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hyperlink w:anchor="page64">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UNITED STATES</w:t>
      </w:r>
    </w:p>
    <w:p>
      <w:pPr>
        <w:jc w:val="center"/>
        <w:ind w:right="60"/>
        <w:spacing w:after="0" w:line="237" w:lineRule="auto"/>
        <w:rPr>
          <w:sz w:val="20"/>
          <w:szCs w:val="20"/>
          <w:color w:val="auto"/>
        </w:rPr>
      </w:pPr>
      <w:r>
        <w:rPr>
          <w:rFonts w:ascii="Arial" w:cs="Arial" w:eastAsia="Arial" w:hAnsi="Arial"/>
          <w:sz w:val="20"/>
          <w:szCs w:val="20"/>
          <w:b w:val="1"/>
          <w:bCs w:val="1"/>
          <w:color w:val="auto"/>
        </w:rPr>
        <w:t>SECURITIES AND EXCHANGE COMMISSION</w:t>
      </w:r>
    </w:p>
    <w:p>
      <w:pPr>
        <w:jc w:val="center"/>
        <w:ind w:right="60"/>
        <w:spacing w:after="0"/>
        <w:rPr>
          <w:sz w:val="20"/>
          <w:szCs w:val="20"/>
          <w:color w:val="auto"/>
        </w:rPr>
      </w:pPr>
      <w:r>
        <w:rPr>
          <w:rFonts w:ascii="Arial" w:cs="Arial" w:eastAsia="Arial" w:hAnsi="Arial"/>
          <w:sz w:val="22"/>
          <w:szCs w:val="22"/>
          <w:b w:val="1"/>
          <w:bCs w:val="1"/>
          <w:color w:val="auto"/>
        </w:rPr>
        <w:t>Washington, D.C. 20549</w:t>
      </w:r>
    </w:p>
    <w:p>
      <w:pPr>
        <w:spacing w:after="0" w:line="154"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FORM 10-K/A</w:t>
      </w:r>
    </w:p>
    <w:p>
      <w:pPr>
        <w:spacing w:after="0" w:line="14"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(Amendment No. 1)</w:t>
      </w:r>
    </w:p>
    <w:p>
      <w:pPr>
        <w:spacing w:after="0" w:line="3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(Mark One)</w:t>
      </w:r>
    </w:p>
    <w:p>
      <w:pPr>
        <w:spacing w:after="0" w:line="212" w:lineRule="exact"/>
        <w:rPr>
          <w:sz w:val="20"/>
          <w:szCs w:val="20"/>
          <w:color w:val="auto"/>
        </w:rPr>
      </w:pPr>
    </w:p>
    <w:p>
      <w:pPr>
        <w:ind w:left="1100" w:right="1580" w:hanging="407"/>
        <w:spacing w:after="0" w:line="255" w:lineRule="auto"/>
        <w:tabs>
          <w:tab w:leader="none" w:pos="11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ANNUAL REPORT PURSUANT TO SECTION 13 or 15(d) OF THE SECURITIES EXCHANGE ACT OF 1934 For the fiscal year ended September 30, 2008</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OR</w:t>
      </w:r>
    </w:p>
    <w:p>
      <w:pPr>
        <w:spacing w:after="0" w:line="109" w:lineRule="exact"/>
        <w:rPr>
          <w:sz w:val="20"/>
          <w:szCs w:val="20"/>
          <w:color w:val="auto"/>
        </w:rPr>
      </w:pPr>
    </w:p>
    <w:p>
      <w:pPr>
        <w:ind w:left="1100" w:hanging="407"/>
        <w:spacing w:after="0"/>
        <w:tabs>
          <w:tab w:leader="none" w:pos="110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TRANSITION REPORT PURSUANT TO SECTION 13 or 15(d) OF THE SECURITIES EXCHANGE ACT OF 1934</w:t>
      </w:r>
    </w:p>
    <w:tbl>
      <w:tblPr>
        <w:tblLayout w:type="fixed"/>
        <w:tblInd w:w="1100" w:type="dxa"/>
        <w:tblCellMar>
          <w:top w:w="0" w:type="dxa"/>
          <w:left w:w="0" w:type="dxa"/>
          <w:bottom w:w="0" w:type="dxa"/>
          <w:right w:w="0" w:type="dxa"/>
        </w:tblCellMar>
      </w:tblPr>
      <w:tr>
        <w:trPr>
          <w:trHeight w:val="207"/>
        </w:trPr>
        <w:tc>
          <w:tcPr>
            <w:tcW w:w="2800" w:type="dxa"/>
            <w:vAlign w:val="bottom"/>
            <w:gridSpan w:val="2"/>
          </w:tcPr>
          <w:p>
            <w:pPr>
              <w:spacing w:after="0"/>
              <w:rPr>
                <w:sz w:val="20"/>
                <w:szCs w:val="20"/>
                <w:color w:val="auto"/>
              </w:rPr>
            </w:pPr>
            <w:r>
              <w:rPr>
                <w:rFonts w:ascii="Arial" w:cs="Arial" w:eastAsia="Arial" w:hAnsi="Arial"/>
                <w:sz w:val="18"/>
                <w:szCs w:val="18"/>
                <w:color w:val="auto"/>
              </w:rPr>
              <w:t>For the transition period from</w:t>
            </w:r>
          </w:p>
        </w:tc>
        <w:tc>
          <w:tcPr>
            <w:tcW w:w="660" w:type="dxa"/>
            <w:vAlign w:val="bottom"/>
            <w:gridSpan w:val="2"/>
          </w:tcPr>
          <w:p>
            <w:pPr>
              <w:spacing w:after="0"/>
              <w:rPr>
                <w:sz w:val="20"/>
                <w:szCs w:val="20"/>
                <w:color w:val="auto"/>
              </w:rPr>
            </w:pPr>
            <w:r>
              <w:rPr>
                <w:rFonts w:ascii="Arial" w:cs="Arial" w:eastAsia="Arial" w:hAnsi="Arial"/>
                <w:sz w:val="18"/>
                <w:szCs w:val="18"/>
                <w:color w:val="auto"/>
              </w:rPr>
              <w:t>to</w:t>
            </w:r>
          </w:p>
        </w:tc>
      </w:tr>
      <w:tr>
        <w:trPr>
          <w:trHeight w:val="20"/>
        </w:trPr>
        <w:tc>
          <w:tcPr>
            <w:tcW w:w="2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r>
      <w:tr>
        <w:trPr>
          <w:trHeight w:val="335"/>
        </w:trPr>
        <w:tc>
          <w:tcPr>
            <w:tcW w:w="2800" w:type="dxa"/>
            <w:vAlign w:val="bottom"/>
            <w:gridSpan w:val="2"/>
          </w:tcPr>
          <w:p>
            <w:pPr>
              <w:spacing w:after="0"/>
              <w:rPr>
                <w:sz w:val="20"/>
                <w:szCs w:val="20"/>
                <w:color w:val="auto"/>
              </w:rPr>
            </w:pPr>
            <w:r>
              <w:rPr>
                <w:rFonts w:ascii="Arial" w:cs="Arial" w:eastAsia="Arial" w:hAnsi="Arial"/>
                <w:sz w:val="18"/>
                <w:szCs w:val="18"/>
                <w:color w:val="auto"/>
              </w:rPr>
              <w:t>Commission file number 1-13292</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pacing w:after="0" w:line="356"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The Scotts Miracle-Gro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11430</wp:posOffset>
            </wp:positionV>
            <wp:extent cx="63030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03010" cy="8890"/>
                    </a:xfrm>
                    <a:prstGeom prst="rect">
                      <a:avLst/>
                    </a:prstGeom>
                    <a:noFill/>
                  </pic:spPr>
                </pic:pic>
              </a:graphicData>
            </a:graphic>
          </wp:anchor>
        </w:drawing>
      </w:r>
    </w:p>
    <w:p>
      <w:pPr>
        <w:spacing w:after="0" w:line="13"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(Exact name of registrant as specified in its charter)</w:t>
      </w:r>
    </w:p>
    <w:p>
      <w:pPr>
        <w:spacing w:after="0" w:line="181" w:lineRule="exact"/>
        <w:rPr>
          <w:sz w:val="20"/>
          <w:szCs w:val="20"/>
          <w:color w:val="auto"/>
        </w:rPr>
      </w:pPr>
    </w:p>
    <w:tbl>
      <w:tblPr>
        <w:tblLayout w:type="fixed"/>
        <w:tblInd w:w="700" w:type="dxa"/>
        <w:tblCellMar>
          <w:top w:w="0" w:type="dxa"/>
          <w:left w:w="0" w:type="dxa"/>
          <w:bottom w:w="0" w:type="dxa"/>
          <w:right w:w="0" w:type="dxa"/>
        </w:tblCellMar>
      </w:tblPr>
      <w:tr>
        <w:trPr>
          <w:trHeight w:val="227"/>
        </w:trPr>
        <w:tc>
          <w:tcPr>
            <w:tcW w:w="4960" w:type="dxa"/>
            <w:vAlign w:val="bottom"/>
          </w:tcPr>
          <w:p>
            <w:pPr>
              <w:jc w:val="center"/>
              <w:spacing w:after="0"/>
              <w:rPr>
                <w:sz w:val="20"/>
                <w:szCs w:val="20"/>
                <w:color w:val="auto"/>
              </w:rPr>
            </w:pPr>
            <w:r>
              <w:rPr>
                <w:rFonts w:ascii="Arial" w:cs="Arial" w:eastAsia="Arial" w:hAnsi="Arial"/>
                <w:sz w:val="18"/>
                <w:szCs w:val="18"/>
                <w:b w:val="1"/>
                <w:bCs w:val="1"/>
                <w:color w:val="auto"/>
                <w:w w:val="97"/>
              </w:rPr>
              <w:t>Ohio</w:t>
            </w:r>
          </w:p>
        </w:tc>
        <w:tc>
          <w:tcPr>
            <w:tcW w:w="4960" w:type="dxa"/>
            <w:vAlign w:val="bottom"/>
            <w:gridSpan w:val="2"/>
          </w:tcPr>
          <w:p>
            <w:pPr>
              <w:jc w:val="right"/>
              <w:ind w:right="1888"/>
              <w:spacing w:after="0"/>
              <w:rPr>
                <w:sz w:val="20"/>
                <w:szCs w:val="20"/>
                <w:color w:val="auto"/>
              </w:rPr>
            </w:pPr>
            <w:r>
              <w:rPr>
                <w:rFonts w:ascii="Arial" w:cs="Arial" w:eastAsia="Arial" w:hAnsi="Arial"/>
                <w:sz w:val="18"/>
                <w:szCs w:val="18"/>
                <w:b w:val="1"/>
                <w:bCs w:val="1"/>
                <w:color w:val="auto"/>
              </w:rPr>
              <w:t>31-1414921</w:t>
            </w:r>
          </w:p>
        </w:tc>
      </w:tr>
      <w:tr>
        <w:trPr>
          <w:trHeight w:val="188"/>
        </w:trPr>
        <w:tc>
          <w:tcPr>
            <w:tcW w:w="49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(State or other jurisdiction of incorporation or organization)</w:t>
            </w:r>
          </w:p>
        </w:tc>
        <w:tc>
          <w:tcPr>
            <w:tcW w:w="100" w:type="dxa"/>
            <w:vAlign w:val="bottom"/>
          </w:tcPr>
          <w:p>
            <w:pPr>
              <w:spacing w:after="0"/>
              <w:rPr>
                <w:sz w:val="16"/>
                <w:szCs w:val="16"/>
                <w:color w:val="auto"/>
              </w:rPr>
            </w:pPr>
          </w:p>
        </w:tc>
        <w:tc>
          <w:tcPr>
            <w:tcW w:w="48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(I.R.S. Employer Identification No.)</w:t>
            </w:r>
          </w:p>
        </w:tc>
      </w:tr>
      <w:tr>
        <w:trPr>
          <w:trHeight w:val="440"/>
        </w:trPr>
        <w:tc>
          <w:tcPr>
            <w:tcW w:w="4960" w:type="dxa"/>
            <w:vAlign w:val="bottom"/>
          </w:tcPr>
          <w:p>
            <w:pPr>
              <w:ind w:left="840"/>
              <w:spacing w:after="0"/>
              <w:rPr>
                <w:sz w:val="20"/>
                <w:szCs w:val="20"/>
                <w:color w:val="auto"/>
              </w:rPr>
            </w:pPr>
            <w:r>
              <w:rPr>
                <w:rFonts w:ascii="Arial" w:cs="Arial" w:eastAsia="Arial" w:hAnsi="Arial"/>
                <w:sz w:val="18"/>
                <w:szCs w:val="18"/>
                <w:b w:val="1"/>
                <w:bCs w:val="1"/>
                <w:color w:val="auto"/>
              </w:rPr>
              <w:t>14111 Scottslawn Road, Marysville, Ohio</w:t>
            </w:r>
          </w:p>
        </w:tc>
        <w:tc>
          <w:tcPr>
            <w:tcW w:w="4960" w:type="dxa"/>
            <w:vAlign w:val="bottom"/>
            <w:gridSpan w:val="2"/>
          </w:tcPr>
          <w:p>
            <w:pPr>
              <w:jc w:val="right"/>
              <w:ind w:right="2108"/>
              <w:spacing w:after="0"/>
              <w:rPr>
                <w:sz w:val="20"/>
                <w:szCs w:val="20"/>
                <w:color w:val="auto"/>
              </w:rPr>
            </w:pPr>
            <w:r>
              <w:rPr>
                <w:rFonts w:ascii="Arial" w:cs="Arial" w:eastAsia="Arial" w:hAnsi="Arial"/>
                <w:sz w:val="18"/>
                <w:szCs w:val="18"/>
                <w:b w:val="1"/>
                <w:bCs w:val="1"/>
                <w:color w:val="auto"/>
              </w:rPr>
              <w:t>43041</w:t>
            </w:r>
          </w:p>
        </w:tc>
      </w:tr>
      <w:tr>
        <w:trPr>
          <w:trHeight w:val="188"/>
        </w:trPr>
        <w:tc>
          <w:tcPr>
            <w:tcW w:w="49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(Address of principal executive offices)</w:t>
            </w:r>
          </w:p>
        </w:tc>
        <w:tc>
          <w:tcPr>
            <w:tcW w:w="100" w:type="dxa"/>
            <w:vAlign w:val="bottom"/>
          </w:tcPr>
          <w:p>
            <w:pPr>
              <w:spacing w:after="0"/>
              <w:rPr>
                <w:sz w:val="16"/>
                <w:szCs w:val="16"/>
                <w:color w:val="auto"/>
              </w:rPr>
            </w:pPr>
          </w:p>
        </w:tc>
        <w:tc>
          <w:tcPr>
            <w:tcW w:w="48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(Zip Code)</w:t>
            </w:r>
          </w:p>
        </w:tc>
      </w:tr>
    </w:tbl>
    <w:p>
      <w:pPr>
        <w:spacing w:after="0" w:line="12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937-644-0011</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380"/>
          </w:cols>
          <w:pgMar w:left="240" w:top="118" w:right="279" w:bottom="1440" w:gutter="0" w:footer="0" w:header="0"/>
        </w:sectPr>
      </w:pPr>
    </w:p>
    <w:p>
      <w:pPr>
        <w:spacing w:after="0" w:line="206" w:lineRule="exact"/>
        <w:rPr>
          <w:sz w:val="20"/>
          <w:szCs w:val="20"/>
          <w:color w:val="auto"/>
        </w:rPr>
      </w:pPr>
    </w:p>
    <w:p>
      <w:pPr>
        <w:ind w:left="3160"/>
        <w:spacing w:after="0"/>
        <w:rPr>
          <w:sz w:val="20"/>
          <w:szCs w:val="20"/>
          <w:color w:val="auto"/>
        </w:rPr>
      </w:pPr>
      <w:r>
        <w:rPr>
          <w:rFonts w:ascii="Arial" w:cs="Arial" w:eastAsia="Arial" w:hAnsi="Arial"/>
          <w:sz w:val="14"/>
          <w:szCs w:val="14"/>
          <w:b w:val="1"/>
          <w:bCs w:val="1"/>
          <w:u w:val="single" w:color="auto"/>
          <w:color w:val="auto"/>
        </w:rPr>
        <w:t>T</w:t>
      </w:r>
      <w:r>
        <w:rPr>
          <w:rFonts w:ascii="Arial" w:cs="Arial" w:eastAsia="Arial" w:hAnsi="Arial"/>
          <w:sz w:val="14"/>
          <w:szCs w:val="14"/>
          <w:b w:val="1"/>
          <w:bCs w:val="1"/>
          <w:color w:val="auto"/>
        </w:rPr>
        <w:t>itle of Each Class</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w:t>
      </w:r>
      <w:r>
        <w:rPr>
          <w:rFonts w:ascii="Arial" w:cs="Arial" w:eastAsia="Arial" w:hAnsi="Arial"/>
          <w:sz w:val="14"/>
          <w:szCs w:val="14"/>
          <w:b w:val="1"/>
          <w:bCs w:val="1"/>
          <w:color w:val="auto"/>
        </w:rPr>
        <w:t>ame of Each Exchange On Which Registered</w:t>
      </w:r>
    </w:p>
    <w:p>
      <w:pPr>
        <w:spacing w:after="0" w:line="74" w:lineRule="exact"/>
        <w:rPr>
          <w:sz w:val="20"/>
          <w:szCs w:val="20"/>
          <w:color w:val="auto"/>
        </w:rPr>
      </w:pPr>
    </w:p>
    <w:p>
      <w:pPr>
        <w:sectPr>
          <w:pgSz w:w="11900" w:h="16838" w:orient="portrait"/>
          <w:cols w:equalWidth="0" w:num="2">
            <w:col w:w="7500" w:space="720"/>
            <w:col w:w="3160"/>
          </w:cols>
          <w:pgMar w:left="240" w:top="118" w:right="279" w:bottom="1440" w:gutter="0" w:footer="0" w:header="0"/>
          <w:type w:val="continuous"/>
        </w:sectPr>
      </w:pPr>
    </w:p>
    <w:p>
      <w:pPr>
        <w:ind w:left="700"/>
        <w:spacing w:after="0"/>
        <w:rPr>
          <w:sz w:val="20"/>
          <w:szCs w:val="20"/>
          <w:color w:val="auto"/>
        </w:rPr>
      </w:pPr>
      <w:r>
        <w:rPr>
          <w:rFonts w:ascii="Arial" w:cs="Arial" w:eastAsia="Arial" w:hAnsi="Arial"/>
          <w:sz w:val="17"/>
          <w:szCs w:val="17"/>
          <w:color w:val="auto"/>
        </w:rPr>
        <w:t>Common Shares, without par value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New York Stock Exchange</w:t>
      </w:r>
    </w:p>
    <w:p>
      <w:pPr>
        <w:spacing w:after="0" w:line="129" w:lineRule="exact"/>
        <w:rPr>
          <w:sz w:val="20"/>
          <w:szCs w:val="20"/>
          <w:color w:val="auto"/>
        </w:rPr>
      </w:pPr>
    </w:p>
    <w:p>
      <w:pPr>
        <w:sectPr>
          <w:pgSz w:w="11900" w:h="16838" w:orient="portrait"/>
          <w:cols w:equalWidth="0" w:num="2">
            <w:col w:w="6460" w:space="720"/>
            <w:col w:w="4200"/>
          </w:cols>
          <w:pgMar w:left="240" w:top="118" w:right="279" w:bottom="1440" w:gutter="0" w:footer="0" w:header="0"/>
          <w:type w:val="continuous"/>
        </w:sectPr>
      </w:pPr>
    </w:p>
    <w:p>
      <w:pPr>
        <w:ind w:left="700"/>
        <w:spacing w:after="0"/>
        <w:rPr>
          <w:sz w:val="20"/>
          <w:szCs w:val="20"/>
          <w:color w:val="auto"/>
        </w:rPr>
      </w:pPr>
      <w:r>
        <w:rPr>
          <w:rFonts w:ascii="Arial" w:cs="Arial" w:eastAsia="Arial" w:hAnsi="Arial"/>
          <w:sz w:val="18"/>
          <w:szCs w:val="18"/>
          <w:color w:val="auto"/>
        </w:rPr>
        <w:t>Securities registered pursuant to Section 12(g) of the Act: None</w:t>
      </w:r>
    </w:p>
    <w:p>
      <w:pPr>
        <w:spacing w:after="0" w:line="117" w:lineRule="exact"/>
        <w:rPr>
          <w:sz w:val="20"/>
          <w:szCs w:val="20"/>
          <w:color w:val="auto"/>
        </w:rPr>
      </w:pPr>
    </w:p>
    <w:p>
      <w:pPr>
        <w:ind w:left="700" w:right="1760"/>
        <w:spacing w:after="0" w:line="231"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Times New Roman" w:cs="Times New Roman" w:eastAsia="Times New Roman" w:hAnsi="Times New Roman"/>
          <w:sz w:val="18"/>
          <w:szCs w:val="18"/>
          <w:color w:val="auto"/>
        </w:rPr>
        <w:t>o</w:t>
      </w:r>
    </w:p>
    <w:p>
      <w:pPr>
        <w:spacing w:after="0" w:line="79" w:lineRule="exact"/>
        <w:rPr>
          <w:sz w:val="20"/>
          <w:szCs w:val="20"/>
          <w:color w:val="auto"/>
        </w:rPr>
      </w:pPr>
    </w:p>
    <w:p>
      <w:pPr>
        <w:ind w:left="700" w:right="1640"/>
        <w:spacing w:after="0" w:line="231"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w:t>
      </w:r>
      <w:r>
        <w:rPr>
          <w:rFonts w:ascii="Times New Roman" w:cs="Times New Roman" w:eastAsia="Times New Roman" w:hAnsi="Times New Roman"/>
          <w:sz w:val="18"/>
          <w:szCs w:val="18"/>
          <w:color w:val="auto"/>
        </w:rPr>
        <w:t>o</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ectPr>
          <w:pgSz w:w="11900" w:h="16838" w:orient="portrait"/>
          <w:cols w:equalWidth="0" w:num="1">
            <w:col w:w="11380"/>
          </w:cols>
          <w:pgMar w:left="240" w:top="118" w:right="279" w:bottom="1440" w:gutter="0" w:footer="0" w:header="0"/>
          <w:type w:val="continuous"/>
        </w:sectPr>
      </w:pPr>
    </w:p>
    <w:p>
      <w:pPr>
        <w:spacing w:after="0" w:line="79" w:lineRule="exact"/>
        <w:rPr>
          <w:sz w:val="20"/>
          <w:szCs w:val="20"/>
          <w:color w:val="auto"/>
        </w:rPr>
      </w:pPr>
    </w:p>
    <w:p>
      <w:pPr>
        <w:ind w:left="700" w:right="860"/>
        <w:spacing w:after="0" w:line="22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Times New Roman" w:cs="Times New Roman" w:eastAsia="Times New Roman" w:hAnsi="Times New Roman"/>
          <w:sz w:val="18"/>
          <w:szCs w:val="18"/>
          <w:color w:val="auto"/>
        </w:rPr>
        <w:t>o</w:t>
      </w:r>
    </w:p>
    <w:p>
      <w:pPr>
        <w:spacing w:after="0" w:line="80" w:lineRule="exact"/>
        <w:rPr>
          <w:sz w:val="20"/>
          <w:szCs w:val="20"/>
          <w:color w:val="auto"/>
        </w:rPr>
      </w:pPr>
    </w:p>
    <w:p>
      <w:pPr>
        <w:ind w:left="700" w:right="840"/>
        <w:spacing w:after="0" w:line="221"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80" w:lineRule="exact"/>
        <w:rPr>
          <w:sz w:val="20"/>
          <w:szCs w:val="20"/>
          <w:color w:val="auto"/>
        </w:rPr>
      </w:pPr>
    </w:p>
    <w:p>
      <w:pPr>
        <w:ind w:left="700" w:right="780"/>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32" w:lineRule="exact"/>
        <w:rPr>
          <w:sz w:val="20"/>
          <w:szCs w:val="20"/>
          <w:color w:val="auto"/>
        </w:rPr>
      </w:pPr>
    </w:p>
    <w:p>
      <w:pPr>
        <w:ind w:left="3700" w:right="760" w:hanging="4438"/>
        <w:spacing w:after="0" w:line="229" w:lineRule="exact"/>
        <w:tabs>
          <w:tab w:leader="none" w:pos="368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Times New Roman" w:cs="Times New Roman" w:eastAsia="Times New Roman" w:hAnsi="Times New Roman"/>
          <w:sz w:val="18"/>
          <w:szCs w:val="18"/>
          <w:color w:val="auto"/>
        </w:rPr>
        <w:t>o</w:t>
      </w:r>
      <w:r>
        <w:rPr>
          <w:rFonts w:ascii="Arial" w:cs="Arial" w:eastAsia="Arial" w:hAnsi="Arial"/>
          <w:sz w:val="18"/>
          <w:szCs w:val="18"/>
          <w:color w:val="auto"/>
        </w:rPr>
        <w:t xml:space="preserve"> Non-accelerated filer </w:t>
      </w:r>
      <w:r>
        <w:rPr>
          <w:rFonts w:ascii="Times New Roman" w:cs="Times New Roman" w:eastAsia="Times New Roman" w:hAnsi="Times New Roman"/>
          <w:sz w:val="18"/>
          <w:szCs w:val="18"/>
          <w:color w:val="auto"/>
        </w:rPr>
        <w:t>o</w:t>
      </w:r>
      <w:r>
        <w:rPr>
          <w:rFonts w:ascii="Arial" w:cs="Arial" w:eastAsia="Arial" w:hAnsi="Arial"/>
          <w:sz w:val="18"/>
          <w:szCs w:val="18"/>
          <w:color w:val="auto"/>
        </w:rPr>
        <w:t xml:space="preserve"> Smaller reporting company </w:t>
      </w:r>
      <w:r>
        <w:rPr>
          <w:rFonts w:ascii="Times New Roman" w:cs="Times New Roman" w:eastAsia="Times New Roman" w:hAnsi="Times New Roman"/>
          <w:sz w:val="18"/>
          <w:szCs w:val="18"/>
          <w:color w:val="auto"/>
        </w:rPr>
        <w:t>o</w:t>
      </w:r>
      <w:r>
        <w:rPr>
          <w:rFonts w:ascii="Arial" w:cs="Arial" w:eastAsia="Arial" w:hAnsi="Arial"/>
          <w:sz w:val="18"/>
          <w:szCs w:val="18"/>
          <w:color w:val="auto"/>
        </w:rPr>
        <w:t xml:space="preserve"> (Do not check if a smaller reporting company)</w:t>
      </w:r>
    </w:p>
    <w:p>
      <w:pPr>
        <w:spacing w:after="0" w:line="82" w:lineRule="exact"/>
        <w:rPr>
          <w:sz w:val="20"/>
          <w:szCs w:val="20"/>
          <w:color w:val="auto"/>
        </w:rPr>
      </w:pPr>
    </w:p>
    <w:p>
      <w:pPr>
        <w:ind w:left="700"/>
        <w:spacing w:after="0" w:line="208" w:lineRule="exact"/>
        <w:tabs>
          <w:tab w:leader="none" w:pos="9600" w:val="left"/>
        </w:tabs>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Times New Roman" w:cs="Times New Roman" w:eastAsia="Times New Roman" w:hAnsi="Times New Roman"/>
          <w:sz w:val="18"/>
          <w:szCs w:val="18"/>
          <w:color w:val="auto"/>
        </w:rPr>
        <w:t>o</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54" w:lineRule="exact"/>
        <w:rPr>
          <w:sz w:val="20"/>
          <w:szCs w:val="20"/>
          <w:color w:val="auto"/>
        </w:rPr>
      </w:pPr>
    </w:p>
    <w:p>
      <w:pPr>
        <w:jc w:val="both"/>
        <w:ind w:left="700" w:right="1180"/>
        <w:spacing w:after="0" w:line="255" w:lineRule="auto"/>
        <w:rPr>
          <w:sz w:val="20"/>
          <w:szCs w:val="20"/>
          <w:color w:val="auto"/>
        </w:rPr>
      </w:pPr>
      <w:r>
        <w:rPr>
          <w:rFonts w:ascii="Arial" w:cs="Arial" w:eastAsia="Arial" w:hAnsi="Arial"/>
          <w:sz w:val="18"/>
          <w:szCs w:val="18"/>
          <w:color w:val="auto"/>
        </w:rPr>
        <w:t>The aggregate market value of Common Shares (the only common equity of the registrant) held by non-affiliates of the registrant computed by reference to the price at which Common Shares were last sold as of the last business day of the registrant’s most recently completed second fiscal quarter (March 28, 2008) was approximately $1,410,465,487.</w:t>
      </w:r>
    </w:p>
    <w:p>
      <w:pPr>
        <w:spacing w:after="0" w:line="70" w:lineRule="exact"/>
        <w:rPr>
          <w:sz w:val="20"/>
          <w:szCs w:val="20"/>
          <w:color w:val="auto"/>
        </w:rPr>
      </w:pPr>
    </w:p>
    <w:p>
      <w:pPr>
        <w:ind w:left="700" w:right="1000"/>
        <w:spacing w:after="0" w:line="276" w:lineRule="auto"/>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practicable date: The number of Common Shares of the registrant outstanding as of November 21, 2008 was 65,373,940.</w:t>
      </w:r>
    </w:p>
    <w:p>
      <w:pPr>
        <w:spacing w:after="0" w:line="265"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DOCUMENT INCORPORATED BY REFERENCE:</w:t>
      </w:r>
    </w:p>
    <w:p>
      <w:pPr>
        <w:spacing w:after="0" w:line="117" w:lineRule="exact"/>
        <w:rPr>
          <w:sz w:val="20"/>
          <w:szCs w:val="20"/>
          <w:color w:val="auto"/>
        </w:rPr>
      </w:pPr>
    </w:p>
    <w:p>
      <w:pPr>
        <w:ind w:left="700" w:right="1580"/>
        <w:spacing w:after="0" w:line="288" w:lineRule="auto"/>
        <w:rPr>
          <w:sz w:val="20"/>
          <w:szCs w:val="20"/>
          <w:color w:val="auto"/>
        </w:rPr>
      </w:pPr>
      <w:r>
        <w:rPr>
          <w:rFonts w:ascii="Arial" w:cs="Arial" w:eastAsia="Arial" w:hAnsi="Arial"/>
          <w:sz w:val="18"/>
          <w:szCs w:val="18"/>
          <w:b w:val="1"/>
          <w:bCs w:val="1"/>
          <w:color w:val="auto"/>
        </w:rPr>
        <w:t>Portions of the definitive Proxy Statement for Registrant’s 2009 Annual Meeting of Shareholders to be held January 22, 2009, are incorporated by reference into Part III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92710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type w:val="continuous"/>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hyperlink w:anchor="page64">
        <w:r>
          <w:rPr>
            <w:rFonts w:ascii="Times New Roman" w:cs="Times New Roman" w:eastAsia="Times New Roman" w:hAnsi="Times New Roman"/>
            <w:sz w:val="18"/>
            <w:szCs w:val="18"/>
            <w:b w:val="1"/>
            <w:bCs w:val="1"/>
            <w:u w:val="single" w:color="auto"/>
            <w:color w:val="0000EE"/>
          </w:rPr>
          <w:t>Table of Contents</w:t>
        </w:r>
      </w:hyperlink>
    </w:p>
    <w:p>
      <w:pPr>
        <w:spacing w:after="0" w:line="344"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EXPLANATORY NOTE</w:t>
      </w:r>
    </w:p>
    <w:p>
      <w:pPr>
        <w:spacing w:after="0" w:line="119" w:lineRule="exact"/>
        <w:rPr>
          <w:sz w:val="20"/>
          <w:szCs w:val="20"/>
          <w:color w:val="auto"/>
        </w:rPr>
      </w:pPr>
    </w:p>
    <w:p>
      <w:pPr>
        <w:ind w:left="700" w:firstLine="402"/>
        <w:spacing w:after="0" w:line="239" w:lineRule="auto"/>
        <w:rPr>
          <w:sz w:val="20"/>
          <w:szCs w:val="20"/>
          <w:color w:val="auto"/>
        </w:rPr>
      </w:pPr>
      <w:r>
        <w:rPr>
          <w:rFonts w:ascii="Arial" w:cs="Arial" w:eastAsia="Arial" w:hAnsi="Arial"/>
          <w:sz w:val="18"/>
          <w:szCs w:val="18"/>
          <w:color w:val="auto"/>
        </w:rPr>
        <w:t>The Scotts Miracle-Gro Company (“Scotts Miracle-Gro”) is hereby filing this Amendment No. 1 on Form 10-K/A (this “Amendment No. 1”) to its Annual Report on Form 10-K for the fiscal year ended September 30, 2008 (“Form 10-K”), which was filed with the Securities and Exchange Commission on November 25, 2008, to add the conformed signature of its independent registered public accounting firm, Deloitte &amp; Touche LLP, to the Report of Independent Registered Public Accounting Firm regarding the consolidated financial statements of Scotts Miracle-Gro and Subsidiaries (collectively, the “Company”) and the supporting financial statement schedule and the Report of Independent Registered Public Accounting Firm regarding the Company’s internal control over financial reporting (each, a “Report”) contained in the Form 10-K. The conformed signature of Deloitte &amp; Touche LLP was inadvertently omitted from the electronic version of each Report filed with the Form 10-K, although Scotts Miracle-Gro had manually signed copies of each Report in its possession when the Form 10-K was filed. Other than the addition of the conformed signature to each Report, the text of each Report is unchanged.</w:t>
      </w:r>
    </w:p>
    <w:p>
      <w:pPr>
        <w:spacing w:after="0" w:line="86" w:lineRule="exact"/>
        <w:rPr>
          <w:sz w:val="20"/>
          <w:szCs w:val="20"/>
          <w:color w:val="auto"/>
        </w:rPr>
      </w:pPr>
    </w:p>
    <w:p>
      <w:pPr>
        <w:ind w:left="700" w:right="20" w:firstLine="402"/>
        <w:spacing w:after="0" w:line="255" w:lineRule="auto"/>
        <w:rPr>
          <w:sz w:val="20"/>
          <w:szCs w:val="20"/>
          <w:color w:val="auto"/>
        </w:rPr>
      </w:pPr>
      <w:r>
        <w:rPr>
          <w:rFonts w:ascii="Arial" w:cs="Arial" w:eastAsia="Arial" w:hAnsi="Arial"/>
          <w:sz w:val="18"/>
          <w:szCs w:val="18"/>
          <w:color w:val="auto"/>
        </w:rPr>
        <w:t>In accordance with the rules of the Securities and Exchange Commission, Scotts Miracle-Gro has included the text of the Form 10-K in its entirety in this Amendment No. 1. All references in this Amendment No. 1 to “this Annual Report on Form 10-K” refer to the text of the Form 10-K which has been included in this Amendment No. 1.</w:t>
      </w:r>
    </w:p>
    <w:p>
      <w:pPr>
        <w:spacing w:after="0" w:line="70" w:lineRule="exact"/>
        <w:rPr>
          <w:sz w:val="20"/>
          <w:szCs w:val="20"/>
          <w:color w:val="auto"/>
        </w:rPr>
      </w:pPr>
    </w:p>
    <w:p>
      <w:pPr>
        <w:ind w:left="700" w:right="60" w:firstLine="402"/>
        <w:spacing w:after="0" w:line="243" w:lineRule="auto"/>
        <w:rPr>
          <w:sz w:val="20"/>
          <w:szCs w:val="20"/>
          <w:color w:val="auto"/>
        </w:rPr>
      </w:pPr>
      <w:r>
        <w:rPr>
          <w:rFonts w:ascii="Arial" w:cs="Arial" w:eastAsia="Arial" w:hAnsi="Arial"/>
          <w:sz w:val="18"/>
          <w:szCs w:val="18"/>
          <w:color w:val="auto"/>
        </w:rPr>
        <w:t>In addition, as required by Rule 12b-15 under the Securities Exchange Act of 1934, as amended, new certifications by the principal executive officer and the principal financial officer of Scotts Miracle-Gro have been filed as Exhibits 31.1, 31.2 and 32 to this Amendment No. 1 under Item 15 of Part IV hereof. No other changes have been made to Item 15, other than to disclose that certain exhibits which were filed with the Form 10-K are incorporated by reference into this Amendment No. 1 from the Form 10-K, as noted in the list of “Management Contracts and Compensatory Plans and Arrangements” included under Item 15(a)(3) and in the “Index to Exhibits” referenced in Item 15(a)(3) and in Item 15(b).</w:t>
      </w:r>
    </w:p>
    <w:p>
      <w:pPr>
        <w:spacing w:after="0" w:line="80" w:lineRule="exact"/>
        <w:rPr>
          <w:sz w:val="20"/>
          <w:szCs w:val="20"/>
          <w:color w:val="auto"/>
        </w:rPr>
      </w:pPr>
    </w:p>
    <w:p>
      <w:pPr>
        <w:ind w:left="700" w:right="100" w:firstLine="402"/>
        <w:spacing w:after="0" w:line="245" w:lineRule="auto"/>
        <w:rPr>
          <w:sz w:val="20"/>
          <w:szCs w:val="20"/>
          <w:color w:val="auto"/>
        </w:rPr>
      </w:pPr>
      <w:r>
        <w:rPr>
          <w:rFonts w:ascii="Arial" w:cs="Arial" w:eastAsia="Arial" w:hAnsi="Arial"/>
          <w:sz w:val="18"/>
          <w:szCs w:val="18"/>
          <w:color w:val="auto"/>
        </w:rPr>
        <w:t>None of the amendments to the Form 10-K reflected in this Amendment No. 1 resulted in a change to or restatement of the financial statements or other financial information included in the Form 10-K. This Amendment No. 1 is limited in scope to the portions of the Form 10-K set forth above and does not amend, update or change any other items or disclosures contained in the Form 10-K, and we have not updated the disclosures contained therein to reflect events that occurred at any subsequent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20"/>
          </w:cols>
          <w:pgMar w:left="240" w:top="415" w:right="9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hyperlink w:anchor="page64">
        <w:r>
          <w:rPr>
            <w:rFonts w:ascii="Times New Roman" w:cs="Times New Roman" w:eastAsia="Times New Roman" w:hAnsi="Times New Roman"/>
            <w:sz w:val="18"/>
            <w:szCs w:val="18"/>
            <w:b w:val="1"/>
            <w:bCs w:val="1"/>
            <w:u w:val="single" w:color="auto"/>
            <w:color w:val="0000EE"/>
          </w:rPr>
          <w:t>Table of Contents</w:t>
        </w:r>
      </w:hyperlink>
    </w:p>
    <w:p>
      <w:pPr>
        <w:spacing w:after="0" w:line="337" w:lineRule="exact"/>
        <w:rPr>
          <w:sz w:val="20"/>
          <w:szCs w:val="20"/>
          <w:color w:val="auto"/>
        </w:rPr>
      </w:pPr>
    </w:p>
    <w:p>
      <w:pPr>
        <w:ind w:left="5400"/>
        <w:spacing w:after="0"/>
        <w:rPr>
          <w:sz w:val="20"/>
          <w:szCs w:val="20"/>
          <w:color w:val="auto"/>
        </w:rPr>
      </w:pPr>
      <w:r>
        <w:rPr>
          <w:rFonts w:ascii="Arial" w:cs="Arial" w:eastAsia="Arial" w:hAnsi="Arial"/>
          <w:sz w:val="20"/>
          <w:szCs w:val="20"/>
          <w:b w:val="1"/>
          <w:bCs w:val="1"/>
          <w:color w:val="auto"/>
        </w:rPr>
        <w:t>PART I</w:t>
      </w:r>
    </w:p>
    <w:p>
      <w:pPr>
        <w:spacing w:after="0" w:line="222" w:lineRule="exact"/>
        <w:rPr>
          <w:sz w:val="20"/>
          <w:szCs w:val="20"/>
          <w:color w:val="auto"/>
        </w:rPr>
      </w:pPr>
    </w:p>
    <w:p>
      <w:pPr>
        <w:ind w:left="700"/>
        <w:spacing w:after="0"/>
        <w:tabs>
          <w:tab w:leader="none" w:pos="1480" w:val="left"/>
        </w:tabs>
        <w:rPr>
          <w:sz w:val="20"/>
          <w:szCs w:val="20"/>
          <w:color w:val="auto"/>
        </w:rPr>
      </w:pPr>
      <w:r>
        <w:rPr>
          <w:rFonts w:ascii="Arial" w:cs="Arial" w:eastAsia="Arial" w:hAnsi="Arial"/>
          <w:sz w:val="18"/>
          <w:szCs w:val="18"/>
          <w:b w:val="1"/>
          <w:bCs w:val="1"/>
          <w:u w:val="single" w:color="auto"/>
          <w:color w:val="auto"/>
        </w:rPr>
        <w:t>ITEM 1.</w:t>
      </w:r>
      <w:r>
        <w:rPr>
          <w:sz w:val="20"/>
          <w:szCs w:val="20"/>
          <w:color w:val="auto"/>
        </w:rPr>
        <w:tab/>
      </w:r>
      <w:r>
        <w:rPr>
          <w:rFonts w:ascii="Arial" w:cs="Arial" w:eastAsia="Arial" w:hAnsi="Arial"/>
          <w:sz w:val="17"/>
          <w:szCs w:val="17"/>
          <w:b w:val="1"/>
          <w:bCs w:val="1"/>
          <w:u w:val="single" w:color="auto"/>
          <w:color w:val="auto"/>
        </w:rPr>
        <w:t>BUSINESS</w:t>
      </w:r>
    </w:p>
    <w:p>
      <w:pPr>
        <w:spacing w:after="0" w:line="122"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Company Description</w:t>
      </w:r>
    </w:p>
    <w:p>
      <w:pPr>
        <w:spacing w:after="0" w:line="124" w:lineRule="exact"/>
        <w:rPr>
          <w:sz w:val="20"/>
          <w:szCs w:val="20"/>
          <w:color w:val="auto"/>
        </w:rPr>
      </w:pPr>
    </w:p>
    <w:p>
      <w:pPr>
        <w:ind w:left="700" w:right="340" w:firstLine="402"/>
        <w:spacing w:after="0" w:line="243" w:lineRule="auto"/>
        <w:rPr>
          <w:sz w:val="20"/>
          <w:szCs w:val="20"/>
          <w:color w:val="auto"/>
        </w:rPr>
      </w:pPr>
      <w:r>
        <w:rPr>
          <w:rFonts w:ascii="Arial" w:cs="Arial" w:eastAsia="Arial" w:hAnsi="Arial"/>
          <w:sz w:val="18"/>
          <w:szCs w:val="18"/>
          <w:color w:val="auto"/>
        </w:rPr>
        <w:t>The Scotts Miracle-Gro Company, an Ohio corporation (“Scotts Miracle-Gro” and, together with its subsidiaries, the “Company”), traces its roots to two businesses launched by entrepreneurs. In 1868, Civil War veteran O.M. Scott started a seed business in Marysville, Ohio, based on the conviction that “farmers shall have clean, weed-free fields.” Beginning in 1907, The Scotts Company expanded its reach by selling grass seed to consumers and eventually exited the agricultural market. By 1988 — through innovation and acquisition — The Scotts Company had become a leading marketer of lawn fertilizer, grass seed and growing media products within the United States.</w:t>
      </w:r>
    </w:p>
    <w:p>
      <w:pPr>
        <w:spacing w:after="0" w:line="80" w:lineRule="exact"/>
        <w:rPr>
          <w:sz w:val="20"/>
          <w:szCs w:val="20"/>
          <w:color w:val="auto"/>
        </w:rPr>
      </w:pPr>
    </w:p>
    <w:p>
      <w:pPr>
        <w:ind w:left="700" w:right="100" w:firstLine="402"/>
        <w:spacing w:after="0" w:line="248" w:lineRule="auto"/>
        <w:rPr>
          <w:sz w:val="20"/>
          <w:szCs w:val="20"/>
          <w:color w:val="auto"/>
        </w:rPr>
      </w:pPr>
      <w:r>
        <w:rPr>
          <w:rFonts w:ascii="Arial" w:cs="Arial" w:eastAsia="Arial" w:hAnsi="Arial"/>
          <w:sz w:val="18"/>
          <w:szCs w:val="18"/>
          <w:color w:val="auto"/>
        </w:rPr>
        <w:t>Separately, Horace Hagedorn and his partner Otto Stern launched Stern’s Miracle-Gro Products, Inc. in 1951 in New York. Their easy-to-use plant food quickly revolutionized the gardening category. Through innovative marketing, Miracle-Gro</w:t>
      </w:r>
      <w:r>
        <w:rPr>
          <w:rFonts w:ascii="Arial" w:cs="Arial" w:eastAsia="Arial" w:hAnsi="Arial"/>
          <w:sz w:val="15"/>
          <w:szCs w:val="15"/>
          <w:color w:val="auto"/>
        </w:rPr>
        <w:t>®</w:t>
      </w:r>
      <w:r>
        <w:rPr>
          <w:rFonts w:ascii="Arial" w:cs="Arial" w:eastAsia="Arial" w:hAnsi="Arial"/>
          <w:sz w:val="18"/>
          <w:szCs w:val="18"/>
          <w:color w:val="auto"/>
        </w:rPr>
        <w:t xml:space="preserve"> eventually became the leading plant food product in the gardening industry. In 1995, The Scotts Company and Stern’s Miracle-Gro Products, Inc. merged, marking the start of a significant evolution for the Company.</w:t>
      </w:r>
    </w:p>
    <w:p>
      <w:pPr>
        <w:spacing w:after="0" w:line="76" w:lineRule="exact"/>
        <w:rPr>
          <w:sz w:val="20"/>
          <w:szCs w:val="20"/>
          <w:color w:val="auto"/>
        </w:rPr>
      </w:pPr>
    </w:p>
    <w:p>
      <w:pPr>
        <w:ind w:left="700" w:right="60" w:firstLine="402"/>
        <w:spacing w:after="0"/>
        <w:rPr>
          <w:sz w:val="20"/>
          <w:szCs w:val="20"/>
          <w:color w:val="auto"/>
        </w:rPr>
      </w:pPr>
      <w:r>
        <w:rPr>
          <w:rFonts w:ascii="Arial" w:cs="Arial" w:eastAsia="Arial" w:hAnsi="Arial"/>
          <w:sz w:val="18"/>
          <w:szCs w:val="18"/>
          <w:color w:val="auto"/>
        </w:rPr>
        <w:t>In the late 1990’s, the Company launched both a geographic and a category expansion. It acquired companies with industry-leading brands in France, Germany and the United Kingdom. In fiscal 1999, the Company acquired the Ortho</w:t>
      </w:r>
      <w:r>
        <w:rPr>
          <w:rFonts w:ascii="Arial" w:cs="Arial" w:eastAsia="Arial" w:hAnsi="Arial"/>
          <w:sz w:val="15"/>
          <w:szCs w:val="15"/>
          <w:color w:val="auto"/>
        </w:rPr>
        <w:t>®</w:t>
      </w:r>
      <w:r>
        <w:rPr>
          <w:rFonts w:ascii="Arial" w:cs="Arial" w:eastAsia="Arial" w:hAnsi="Arial"/>
          <w:sz w:val="18"/>
          <w:szCs w:val="18"/>
          <w:color w:val="auto"/>
        </w:rPr>
        <w:t xml:space="preserve"> brand in the United States and exclusive rights for the marketing and distribution of consumer Roundup</w:t>
      </w:r>
      <w:r>
        <w:rPr>
          <w:rFonts w:ascii="Arial" w:cs="Arial" w:eastAsia="Arial" w:hAnsi="Arial"/>
          <w:sz w:val="15"/>
          <w:szCs w:val="15"/>
          <w:color w:val="auto"/>
        </w:rPr>
        <w:t>®</w:t>
      </w:r>
      <w:r>
        <w:rPr>
          <w:rFonts w:ascii="Arial" w:cs="Arial" w:eastAsia="Arial" w:hAnsi="Arial"/>
          <w:sz w:val="18"/>
          <w:szCs w:val="18"/>
          <w:color w:val="auto"/>
        </w:rPr>
        <w:t>* brand products within the United States and other specified countries, thereby adding industry-leading weed, insect and disease control products to its portfolio. The Company expanded into the lawn care service industry with the launch of Scotts LawnService</w:t>
      </w:r>
      <w:r>
        <w:rPr>
          <w:rFonts w:ascii="Arial" w:cs="Arial" w:eastAsia="Arial" w:hAnsi="Arial"/>
          <w:sz w:val="15"/>
          <w:szCs w:val="15"/>
          <w:color w:val="auto"/>
        </w:rPr>
        <w:t>®</w:t>
      </w:r>
      <w:r>
        <w:rPr>
          <w:rFonts w:ascii="Arial" w:cs="Arial" w:eastAsia="Arial" w:hAnsi="Arial"/>
          <w:sz w:val="18"/>
          <w:szCs w:val="18"/>
          <w:color w:val="auto"/>
        </w:rPr>
        <w:t xml:space="preserve"> in 1998. Since fiscal 2001, the Company has invested nearly $125 million in acquisitions of local and regional lawn care businesses to provide a platform for rapid expansion throughout the United States. Most recently, the Company entered the North American wild bird food category in fiscal 2006 with the acquisition of Gutwein &amp; Co., Inc. (“Gutwein”) and its Morning Song</w:t>
      </w:r>
      <w:r>
        <w:rPr>
          <w:rFonts w:ascii="Arial" w:cs="Arial" w:eastAsia="Arial" w:hAnsi="Arial"/>
          <w:sz w:val="15"/>
          <w:szCs w:val="15"/>
          <w:color w:val="auto"/>
        </w:rPr>
        <w:t>®</w:t>
      </w:r>
      <w:r>
        <w:rPr>
          <w:rFonts w:ascii="Arial" w:cs="Arial" w:eastAsia="Arial" w:hAnsi="Arial"/>
          <w:sz w:val="18"/>
          <w:szCs w:val="18"/>
          <w:color w:val="auto"/>
        </w:rPr>
        <w:t xml:space="preserve"> brand of bird food.</w:t>
      </w:r>
    </w:p>
    <w:p>
      <w:pPr>
        <w:spacing w:after="0" w:line="82" w:lineRule="exact"/>
        <w:rPr>
          <w:sz w:val="20"/>
          <w:szCs w:val="20"/>
          <w:color w:val="auto"/>
        </w:rPr>
      </w:pPr>
    </w:p>
    <w:p>
      <w:pPr>
        <w:jc w:val="both"/>
        <w:ind w:left="700" w:right="140" w:firstLine="402"/>
        <w:spacing w:after="0" w:line="306" w:lineRule="auto"/>
        <w:rPr>
          <w:sz w:val="20"/>
          <w:szCs w:val="20"/>
          <w:color w:val="auto"/>
        </w:rPr>
      </w:pPr>
      <w:r>
        <w:rPr>
          <w:rFonts w:ascii="Arial" w:cs="Arial" w:eastAsia="Arial" w:hAnsi="Arial"/>
          <w:sz w:val="17"/>
          <w:szCs w:val="17"/>
          <w:color w:val="auto"/>
        </w:rPr>
        <w:t>As the Company celebrates more than 100 years of selling products to consumers, we own the leading brands in nearly every category of the lawn and garden industry. A list of some of our North American leading consumer brands is as follows:</w:t>
      </w:r>
    </w:p>
    <w:p>
      <w:pPr>
        <w:spacing w:after="0" w:line="42" w:lineRule="exact"/>
        <w:rPr>
          <w:sz w:val="20"/>
          <w:szCs w:val="20"/>
          <w:color w:val="auto"/>
        </w:rPr>
      </w:pPr>
    </w:p>
    <w:tbl>
      <w:tblPr>
        <w:tblLayout w:type="fixed"/>
        <w:tblInd w:w="700" w:type="dxa"/>
        <w:tblCellMar>
          <w:top w:w="0" w:type="dxa"/>
          <w:left w:w="0" w:type="dxa"/>
          <w:bottom w:w="0" w:type="dxa"/>
          <w:right w:w="0" w:type="dxa"/>
        </w:tblCellMar>
      </w:tblPr>
      <w:tr>
        <w:trPr>
          <w:trHeight w:val="239"/>
        </w:trPr>
        <w:tc>
          <w:tcPr>
            <w:tcW w:w="2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Category</w:t>
            </w:r>
          </w:p>
        </w:tc>
        <w:tc>
          <w:tcPr>
            <w:tcW w:w="7680" w:type="dxa"/>
            <w:vAlign w:val="bottom"/>
            <w:tcBorders>
              <w:bottom w:val="single" w:sz="8" w:color="auto"/>
            </w:tcBorders>
          </w:tcPr>
          <w:p>
            <w:pPr>
              <w:ind w:left="1160"/>
              <w:spacing w:after="0"/>
              <w:rPr>
                <w:sz w:val="20"/>
                <w:szCs w:val="20"/>
                <w:color w:val="auto"/>
              </w:rPr>
            </w:pPr>
            <w:r>
              <w:rPr>
                <w:rFonts w:ascii="Arial" w:cs="Arial" w:eastAsia="Arial" w:hAnsi="Arial"/>
                <w:sz w:val="18"/>
                <w:szCs w:val="18"/>
                <w:color w:val="auto"/>
              </w:rPr>
              <w:t>Brands</w:t>
            </w:r>
          </w:p>
        </w:tc>
      </w:tr>
      <w:tr>
        <w:trPr>
          <w:trHeight w:val="227"/>
        </w:trPr>
        <w:tc>
          <w:tcPr>
            <w:tcW w:w="2360" w:type="dxa"/>
            <w:vAlign w:val="bottom"/>
          </w:tcPr>
          <w:p>
            <w:pPr>
              <w:spacing w:after="0"/>
              <w:rPr>
                <w:sz w:val="20"/>
                <w:szCs w:val="20"/>
                <w:color w:val="auto"/>
              </w:rPr>
            </w:pPr>
            <w:r>
              <w:rPr>
                <w:rFonts w:ascii="Arial" w:cs="Arial" w:eastAsia="Arial" w:hAnsi="Arial"/>
                <w:sz w:val="18"/>
                <w:szCs w:val="18"/>
                <w:color w:val="auto"/>
              </w:rPr>
              <w:t>Lawns</w:t>
            </w:r>
          </w:p>
        </w:tc>
        <w:tc>
          <w:tcPr>
            <w:tcW w:w="7680" w:type="dxa"/>
            <w:vAlign w:val="bottom"/>
          </w:tcPr>
          <w:p>
            <w:pPr>
              <w:ind w:left="1160"/>
              <w:spacing w:after="0"/>
              <w:rPr>
                <w:sz w:val="20"/>
                <w:szCs w:val="20"/>
                <w:color w:val="auto"/>
              </w:rPr>
            </w:pPr>
            <w:r>
              <w:rPr>
                <w:rFonts w:ascii="Arial" w:cs="Arial" w:eastAsia="Arial" w:hAnsi="Arial"/>
                <w:sz w:val="18"/>
                <w:szCs w:val="18"/>
                <w:color w:val="auto"/>
              </w:rPr>
              <w:t>Scotts</w:t>
            </w:r>
            <w:r>
              <w:rPr>
                <w:rFonts w:ascii="Arial" w:cs="Arial" w:eastAsia="Arial" w:hAnsi="Arial"/>
                <w:sz w:val="15"/>
                <w:szCs w:val="15"/>
                <w:color w:val="auto"/>
              </w:rPr>
              <w:t>®</w:t>
            </w:r>
            <w:r>
              <w:rPr>
                <w:rFonts w:ascii="Arial" w:cs="Arial" w:eastAsia="Arial" w:hAnsi="Arial"/>
                <w:sz w:val="18"/>
                <w:szCs w:val="18"/>
                <w:color w:val="auto"/>
              </w:rPr>
              <w:t>; Turf Builder</w:t>
            </w:r>
            <w:r>
              <w:rPr>
                <w:rFonts w:ascii="Arial" w:cs="Arial" w:eastAsia="Arial" w:hAnsi="Arial"/>
                <w:sz w:val="15"/>
                <w:szCs w:val="15"/>
                <w:color w:val="auto"/>
              </w:rPr>
              <w:t>®</w:t>
            </w:r>
          </w:p>
        </w:tc>
      </w:tr>
      <w:tr>
        <w:trPr>
          <w:trHeight w:val="203"/>
        </w:trPr>
        <w:tc>
          <w:tcPr>
            <w:tcW w:w="2360" w:type="dxa"/>
            <w:vAlign w:val="bottom"/>
          </w:tcPr>
          <w:p>
            <w:pPr>
              <w:spacing w:after="0" w:line="202" w:lineRule="exact"/>
              <w:rPr>
                <w:sz w:val="20"/>
                <w:szCs w:val="20"/>
                <w:color w:val="auto"/>
              </w:rPr>
            </w:pPr>
            <w:r>
              <w:rPr>
                <w:rFonts w:ascii="Arial" w:cs="Arial" w:eastAsia="Arial" w:hAnsi="Arial"/>
                <w:sz w:val="18"/>
                <w:szCs w:val="18"/>
                <w:color w:val="auto"/>
              </w:rPr>
              <w:t>Gardens</w:t>
            </w:r>
          </w:p>
        </w:tc>
        <w:tc>
          <w:tcPr>
            <w:tcW w:w="7680" w:type="dxa"/>
            <w:vAlign w:val="bottom"/>
          </w:tcPr>
          <w:p>
            <w:pPr>
              <w:ind w:left="1160"/>
              <w:spacing w:after="0" w:line="202" w:lineRule="exact"/>
              <w:rPr>
                <w:sz w:val="20"/>
                <w:szCs w:val="20"/>
                <w:color w:val="auto"/>
              </w:rPr>
            </w:pPr>
            <w:r>
              <w:rPr>
                <w:rFonts w:ascii="Arial" w:cs="Arial" w:eastAsia="Arial" w:hAnsi="Arial"/>
                <w:sz w:val="18"/>
                <w:szCs w:val="18"/>
                <w:color w:val="auto"/>
              </w:rPr>
              <w:t>Miracle-Gro</w:t>
            </w:r>
            <w:r>
              <w:rPr>
                <w:rFonts w:ascii="Arial" w:cs="Arial" w:eastAsia="Arial" w:hAnsi="Arial"/>
                <w:sz w:val="15"/>
                <w:szCs w:val="15"/>
                <w:color w:val="auto"/>
              </w:rPr>
              <w:t>®</w:t>
            </w:r>
            <w:r>
              <w:rPr>
                <w:rFonts w:ascii="Arial" w:cs="Arial" w:eastAsia="Arial" w:hAnsi="Arial"/>
                <w:sz w:val="18"/>
                <w:szCs w:val="18"/>
                <w:color w:val="auto"/>
              </w:rPr>
              <w:t>; Osmocote</w:t>
            </w:r>
            <w:r>
              <w:rPr>
                <w:rFonts w:ascii="Arial" w:cs="Arial" w:eastAsia="Arial" w:hAnsi="Arial"/>
                <w:sz w:val="15"/>
                <w:szCs w:val="15"/>
                <w:color w:val="auto"/>
              </w:rPr>
              <w:t>®</w:t>
            </w:r>
            <w:r>
              <w:rPr>
                <w:rFonts w:ascii="Arial" w:cs="Arial" w:eastAsia="Arial" w:hAnsi="Arial"/>
                <w:sz w:val="18"/>
                <w:szCs w:val="18"/>
                <w:color w:val="auto"/>
              </w:rPr>
              <w:t>; LiquaFeed</w:t>
            </w:r>
            <w:r>
              <w:rPr>
                <w:rFonts w:ascii="Arial" w:cs="Arial" w:eastAsia="Arial" w:hAnsi="Arial"/>
                <w:sz w:val="15"/>
                <w:szCs w:val="15"/>
                <w:color w:val="auto"/>
              </w:rPr>
              <w:t>®</w:t>
            </w:r>
            <w:r>
              <w:rPr>
                <w:rFonts w:ascii="Arial" w:cs="Arial" w:eastAsia="Arial" w:hAnsi="Arial"/>
                <w:sz w:val="18"/>
                <w:szCs w:val="18"/>
                <w:color w:val="auto"/>
              </w:rPr>
              <w:t>; Organic Choice</w:t>
            </w:r>
            <w:r>
              <w:rPr>
                <w:rFonts w:ascii="Arial" w:cs="Arial" w:eastAsia="Arial" w:hAnsi="Arial"/>
                <w:sz w:val="15"/>
                <w:szCs w:val="15"/>
                <w:color w:val="auto"/>
              </w:rPr>
              <w:t>®</w:t>
            </w:r>
          </w:p>
        </w:tc>
      </w:tr>
      <w:tr>
        <w:trPr>
          <w:trHeight w:val="203"/>
        </w:trPr>
        <w:tc>
          <w:tcPr>
            <w:tcW w:w="2360" w:type="dxa"/>
            <w:vAlign w:val="bottom"/>
          </w:tcPr>
          <w:p>
            <w:pPr>
              <w:spacing w:after="0" w:line="202" w:lineRule="exact"/>
              <w:rPr>
                <w:sz w:val="20"/>
                <w:szCs w:val="20"/>
                <w:color w:val="auto"/>
              </w:rPr>
            </w:pPr>
            <w:r>
              <w:rPr>
                <w:rFonts w:ascii="Arial" w:cs="Arial" w:eastAsia="Arial" w:hAnsi="Arial"/>
                <w:sz w:val="18"/>
                <w:szCs w:val="18"/>
                <w:color w:val="auto"/>
              </w:rPr>
              <w:t>Growing Media</w:t>
            </w:r>
          </w:p>
        </w:tc>
        <w:tc>
          <w:tcPr>
            <w:tcW w:w="7680" w:type="dxa"/>
            <w:vAlign w:val="bottom"/>
          </w:tcPr>
          <w:p>
            <w:pPr>
              <w:ind w:left="1160"/>
              <w:spacing w:after="0" w:line="202" w:lineRule="exact"/>
              <w:rPr>
                <w:sz w:val="20"/>
                <w:szCs w:val="20"/>
                <w:color w:val="auto"/>
              </w:rPr>
            </w:pPr>
            <w:r>
              <w:rPr>
                <w:rFonts w:ascii="Arial" w:cs="Arial" w:eastAsia="Arial" w:hAnsi="Arial"/>
                <w:sz w:val="18"/>
                <w:szCs w:val="18"/>
                <w:color w:val="auto"/>
              </w:rPr>
              <w:t>Miracle-Gro</w:t>
            </w:r>
            <w:r>
              <w:rPr>
                <w:rFonts w:ascii="Arial" w:cs="Arial" w:eastAsia="Arial" w:hAnsi="Arial"/>
                <w:sz w:val="15"/>
                <w:szCs w:val="15"/>
                <w:color w:val="auto"/>
              </w:rPr>
              <w:t>®</w:t>
            </w:r>
            <w:r>
              <w:rPr>
                <w:rFonts w:ascii="Arial" w:cs="Arial" w:eastAsia="Arial" w:hAnsi="Arial"/>
                <w:sz w:val="18"/>
                <w:szCs w:val="18"/>
                <w:color w:val="auto"/>
              </w:rPr>
              <w:t>; Scotts</w:t>
            </w:r>
            <w:r>
              <w:rPr>
                <w:rFonts w:ascii="Arial" w:cs="Arial" w:eastAsia="Arial" w:hAnsi="Arial"/>
                <w:sz w:val="15"/>
                <w:szCs w:val="15"/>
                <w:color w:val="auto"/>
              </w:rPr>
              <w:t>®</w:t>
            </w:r>
            <w:r>
              <w:rPr>
                <w:rFonts w:ascii="Arial" w:cs="Arial" w:eastAsia="Arial" w:hAnsi="Arial"/>
                <w:sz w:val="18"/>
                <w:szCs w:val="18"/>
                <w:color w:val="auto"/>
              </w:rPr>
              <w:t>; Hyponex</w:t>
            </w:r>
            <w:r>
              <w:rPr>
                <w:rFonts w:ascii="Arial" w:cs="Arial" w:eastAsia="Arial" w:hAnsi="Arial"/>
                <w:sz w:val="15"/>
                <w:szCs w:val="15"/>
                <w:color w:val="auto"/>
              </w:rPr>
              <w:t>®</w:t>
            </w:r>
            <w:r>
              <w:rPr>
                <w:rFonts w:ascii="Arial" w:cs="Arial" w:eastAsia="Arial" w:hAnsi="Arial"/>
                <w:sz w:val="18"/>
                <w:szCs w:val="18"/>
                <w:color w:val="auto"/>
              </w:rPr>
              <w:t>; Earthgro</w:t>
            </w:r>
            <w:r>
              <w:rPr>
                <w:rFonts w:ascii="Arial" w:cs="Arial" w:eastAsia="Arial" w:hAnsi="Arial"/>
                <w:sz w:val="15"/>
                <w:szCs w:val="15"/>
                <w:color w:val="auto"/>
              </w:rPr>
              <w:t>®</w:t>
            </w:r>
            <w:r>
              <w:rPr>
                <w:rFonts w:ascii="Arial" w:cs="Arial" w:eastAsia="Arial" w:hAnsi="Arial"/>
                <w:sz w:val="18"/>
                <w:szCs w:val="18"/>
                <w:color w:val="auto"/>
              </w:rPr>
              <w:t>; SuperSoil</w:t>
            </w:r>
            <w:r>
              <w:rPr>
                <w:rFonts w:ascii="Arial" w:cs="Arial" w:eastAsia="Arial" w:hAnsi="Arial"/>
                <w:sz w:val="15"/>
                <w:szCs w:val="15"/>
                <w:color w:val="auto"/>
              </w:rPr>
              <w:t>®</w:t>
            </w:r>
          </w:p>
        </w:tc>
      </w:tr>
      <w:tr>
        <w:trPr>
          <w:trHeight w:val="203"/>
        </w:trPr>
        <w:tc>
          <w:tcPr>
            <w:tcW w:w="2360" w:type="dxa"/>
            <w:vAlign w:val="bottom"/>
          </w:tcPr>
          <w:p>
            <w:pPr>
              <w:spacing w:after="0" w:line="202" w:lineRule="exact"/>
              <w:rPr>
                <w:sz w:val="20"/>
                <w:szCs w:val="20"/>
                <w:color w:val="auto"/>
              </w:rPr>
            </w:pPr>
            <w:r>
              <w:rPr>
                <w:rFonts w:ascii="Arial" w:cs="Arial" w:eastAsia="Arial" w:hAnsi="Arial"/>
                <w:sz w:val="18"/>
                <w:szCs w:val="18"/>
                <w:color w:val="auto"/>
              </w:rPr>
              <w:t>Grass Seed</w:t>
            </w:r>
          </w:p>
        </w:tc>
        <w:tc>
          <w:tcPr>
            <w:tcW w:w="7680" w:type="dxa"/>
            <w:vAlign w:val="bottom"/>
          </w:tcPr>
          <w:p>
            <w:pPr>
              <w:ind w:left="1160"/>
              <w:spacing w:after="0" w:line="202" w:lineRule="exact"/>
              <w:rPr>
                <w:sz w:val="20"/>
                <w:szCs w:val="20"/>
                <w:color w:val="auto"/>
              </w:rPr>
            </w:pPr>
            <w:r>
              <w:rPr>
                <w:rFonts w:ascii="Arial" w:cs="Arial" w:eastAsia="Arial" w:hAnsi="Arial"/>
                <w:sz w:val="18"/>
                <w:szCs w:val="18"/>
                <w:color w:val="auto"/>
              </w:rPr>
              <w:t>Scotts</w:t>
            </w:r>
            <w:r>
              <w:rPr>
                <w:rFonts w:ascii="Arial" w:cs="Arial" w:eastAsia="Arial" w:hAnsi="Arial"/>
                <w:sz w:val="15"/>
                <w:szCs w:val="15"/>
                <w:color w:val="auto"/>
              </w:rPr>
              <w:t>®</w:t>
            </w:r>
            <w:r>
              <w:rPr>
                <w:rFonts w:ascii="Arial" w:cs="Arial" w:eastAsia="Arial" w:hAnsi="Arial"/>
                <w:sz w:val="18"/>
                <w:szCs w:val="18"/>
                <w:color w:val="auto"/>
              </w:rPr>
              <w:t>; Turf Builder</w:t>
            </w:r>
            <w:r>
              <w:rPr>
                <w:rFonts w:ascii="Arial" w:cs="Arial" w:eastAsia="Arial" w:hAnsi="Arial"/>
                <w:sz w:val="15"/>
                <w:szCs w:val="15"/>
                <w:color w:val="auto"/>
              </w:rPr>
              <w:t>®</w:t>
            </w:r>
          </w:p>
        </w:tc>
      </w:tr>
      <w:tr>
        <w:trPr>
          <w:trHeight w:val="203"/>
        </w:trPr>
        <w:tc>
          <w:tcPr>
            <w:tcW w:w="2360" w:type="dxa"/>
            <w:vAlign w:val="bottom"/>
          </w:tcPr>
          <w:p>
            <w:pPr>
              <w:spacing w:after="0" w:line="202" w:lineRule="exact"/>
              <w:rPr>
                <w:sz w:val="20"/>
                <w:szCs w:val="20"/>
                <w:color w:val="auto"/>
              </w:rPr>
            </w:pPr>
            <w:r>
              <w:rPr>
                <w:rFonts w:ascii="Arial" w:cs="Arial" w:eastAsia="Arial" w:hAnsi="Arial"/>
                <w:sz w:val="18"/>
                <w:szCs w:val="18"/>
                <w:color w:val="auto"/>
              </w:rPr>
              <w:t>Controls</w:t>
            </w:r>
          </w:p>
        </w:tc>
        <w:tc>
          <w:tcPr>
            <w:tcW w:w="7680" w:type="dxa"/>
            <w:vAlign w:val="bottom"/>
          </w:tcPr>
          <w:p>
            <w:pPr>
              <w:ind w:left="1160"/>
              <w:spacing w:after="0" w:line="202" w:lineRule="exact"/>
              <w:rPr>
                <w:sz w:val="20"/>
                <w:szCs w:val="20"/>
                <w:color w:val="auto"/>
              </w:rPr>
            </w:pPr>
            <w:r>
              <w:rPr>
                <w:rFonts w:ascii="Arial" w:cs="Arial" w:eastAsia="Arial" w:hAnsi="Arial"/>
                <w:sz w:val="18"/>
                <w:szCs w:val="18"/>
                <w:color w:val="auto"/>
              </w:rPr>
              <w:t>Ortho</w:t>
            </w:r>
            <w:r>
              <w:rPr>
                <w:rFonts w:ascii="Arial" w:cs="Arial" w:eastAsia="Arial" w:hAnsi="Arial"/>
                <w:sz w:val="15"/>
                <w:szCs w:val="15"/>
                <w:color w:val="auto"/>
              </w:rPr>
              <w:t>®</w:t>
            </w:r>
            <w:r>
              <w:rPr>
                <w:rFonts w:ascii="Arial" w:cs="Arial" w:eastAsia="Arial" w:hAnsi="Arial"/>
                <w:sz w:val="18"/>
                <w:szCs w:val="18"/>
                <w:color w:val="auto"/>
              </w:rPr>
              <w:t>; Home Defense Max</w:t>
            </w:r>
            <w:r>
              <w:rPr>
                <w:rFonts w:ascii="Arial" w:cs="Arial" w:eastAsia="Arial" w:hAnsi="Arial"/>
                <w:sz w:val="15"/>
                <w:szCs w:val="15"/>
                <w:color w:val="auto"/>
              </w:rPr>
              <w:t>®</w:t>
            </w:r>
            <w:r>
              <w:rPr>
                <w:rFonts w:ascii="Arial" w:cs="Arial" w:eastAsia="Arial" w:hAnsi="Arial"/>
                <w:sz w:val="18"/>
                <w:szCs w:val="18"/>
                <w:color w:val="auto"/>
              </w:rPr>
              <w:t>; Weed-B-Gon Max</w:t>
            </w:r>
            <w:r>
              <w:rPr>
                <w:rFonts w:ascii="Arial" w:cs="Arial" w:eastAsia="Arial" w:hAnsi="Arial"/>
                <w:sz w:val="15"/>
                <w:szCs w:val="15"/>
                <w:color w:val="auto"/>
              </w:rPr>
              <w:t>®</w:t>
            </w:r>
            <w:r>
              <w:rPr>
                <w:rFonts w:ascii="Arial" w:cs="Arial" w:eastAsia="Arial" w:hAnsi="Arial"/>
                <w:sz w:val="18"/>
                <w:szCs w:val="18"/>
                <w:color w:val="auto"/>
              </w:rPr>
              <w:t>; Roundup</w:t>
            </w:r>
            <w:r>
              <w:rPr>
                <w:rFonts w:ascii="Arial" w:cs="Arial" w:eastAsia="Arial" w:hAnsi="Arial"/>
                <w:sz w:val="15"/>
                <w:szCs w:val="15"/>
                <w:color w:val="auto"/>
              </w:rPr>
              <w:t>®</w:t>
            </w:r>
            <w:r>
              <w:rPr>
                <w:rFonts w:ascii="Arial" w:cs="Arial" w:eastAsia="Arial" w:hAnsi="Arial"/>
                <w:sz w:val="18"/>
                <w:szCs w:val="18"/>
                <w:color w:val="auto"/>
              </w:rPr>
              <w:t>*</w:t>
            </w:r>
          </w:p>
        </w:tc>
      </w:tr>
      <w:tr>
        <w:trPr>
          <w:trHeight w:val="203"/>
        </w:trPr>
        <w:tc>
          <w:tcPr>
            <w:tcW w:w="2360" w:type="dxa"/>
            <w:vAlign w:val="bottom"/>
          </w:tcPr>
          <w:p>
            <w:pPr>
              <w:spacing w:after="0" w:line="202" w:lineRule="exact"/>
              <w:rPr>
                <w:sz w:val="20"/>
                <w:szCs w:val="20"/>
                <w:color w:val="auto"/>
              </w:rPr>
            </w:pPr>
            <w:r>
              <w:rPr>
                <w:rFonts w:ascii="Arial" w:cs="Arial" w:eastAsia="Arial" w:hAnsi="Arial"/>
                <w:sz w:val="18"/>
                <w:szCs w:val="18"/>
                <w:color w:val="auto"/>
              </w:rPr>
              <w:t>Outdoor Living</w:t>
            </w:r>
          </w:p>
        </w:tc>
        <w:tc>
          <w:tcPr>
            <w:tcW w:w="7680" w:type="dxa"/>
            <w:vAlign w:val="bottom"/>
          </w:tcPr>
          <w:p>
            <w:pPr>
              <w:ind w:left="1160"/>
              <w:spacing w:after="0" w:line="202" w:lineRule="exact"/>
              <w:rPr>
                <w:sz w:val="20"/>
                <w:szCs w:val="20"/>
                <w:color w:val="auto"/>
              </w:rPr>
            </w:pPr>
            <w:r>
              <w:rPr>
                <w:rFonts w:ascii="Arial" w:cs="Arial" w:eastAsia="Arial" w:hAnsi="Arial"/>
                <w:sz w:val="18"/>
                <w:szCs w:val="18"/>
                <w:color w:val="auto"/>
              </w:rPr>
              <w:t>Smith &amp; Hawken</w:t>
            </w:r>
            <w:r>
              <w:rPr>
                <w:rFonts w:ascii="Arial" w:cs="Arial" w:eastAsia="Arial" w:hAnsi="Arial"/>
                <w:sz w:val="15"/>
                <w:szCs w:val="15"/>
                <w:color w:val="auto"/>
              </w:rPr>
              <w:t>®</w:t>
            </w:r>
          </w:p>
        </w:tc>
      </w:tr>
      <w:tr>
        <w:trPr>
          <w:trHeight w:val="243"/>
        </w:trPr>
        <w:tc>
          <w:tcPr>
            <w:tcW w:w="2360" w:type="dxa"/>
            <w:vAlign w:val="bottom"/>
          </w:tcPr>
          <w:p>
            <w:pPr>
              <w:spacing w:after="0"/>
              <w:rPr>
                <w:sz w:val="20"/>
                <w:szCs w:val="20"/>
                <w:color w:val="auto"/>
              </w:rPr>
            </w:pPr>
            <w:r>
              <w:rPr>
                <w:rFonts w:ascii="Arial" w:cs="Arial" w:eastAsia="Arial" w:hAnsi="Arial"/>
                <w:sz w:val="18"/>
                <w:szCs w:val="18"/>
                <w:color w:val="auto"/>
              </w:rPr>
              <w:t>Wild Bird Food</w:t>
            </w:r>
          </w:p>
        </w:tc>
        <w:tc>
          <w:tcPr>
            <w:tcW w:w="7680" w:type="dxa"/>
            <w:vAlign w:val="bottom"/>
          </w:tcPr>
          <w:p>
            <w:pPr>
              <w:ind w:left="1160"/>
              <w:spacing w:after="0"/>
              <w:rPr>
                <w:sz w:val="20"/>
                <w:szCs w:val="20"/>
                <w:color w:val="auto"/>
              </w:rPr>
            </w:pPr>
            <w:r>
              <w:rPr>
                <w:rFonts w:ascii="Arial" w:cs="Arial" w:eastAsia="Arial" w:hAnsi="Arial"/>
                <w:sz w:val="18"/>
                <w:szCs w:val="18"/>
                <w:color w:val="auto"/>
              </w:rPr>
              <w:t>Morning Song</w:t>
            </w:r>
            <w:r>
              <w:rPr>
                <w:rFonts w:ascii="Arial" w:cs="Arial" w:eastAsia="Arial" w:hAnsi="Arial"/>
                <w:sz w:val="15"/>
                <w:szCs w:val="15"/>
                <w:color w:val="auto"/>
              </w:rPr>
              <w:t>®</w:t>
            </w:r>
            <w:r>
              <w:rPr>
                <w:rFonts w:ascii="Arial" w:cs="Arial" w:eastAsia="Arial" w:hAnsi="Arial"/>
                <w:sz w:val="18"/>
                <w:szCs w:val="18"/>
                <w:color w:val="auto"/>
              </w:rPr>
              <w:t>; Scotts Songbird Selections</w:t>
            </w:r>
            <w:r>
              <w:rPr>
                <w:rFonts w:ascii="Arial" w:cs="Arial" w:eastAsia="Arial" w:hAnsi="Arial"/>
                <w:sz w:val="15"/>
                <w:szCs w:val="15"/>
                <w:color w:val="auto"/>
              </w:rPr>
              <w:t>®</w:t>
            </w:r>
          </w:p>
        </w:tc>
      </w:tr>
    </w:tbl>
    <w:p>
      <w:pPr>
        <w:spacing w:after="0" w:line="81" w:lineRule="exact"/>
        <w:rPr>
          <w:sz w:val="20"/>
          <w:szCs w:val="20"/>
          <w:color w:val="auto"/>
        </w:rPr>
      </w:pPr>
    </w:p>
    <w:p>
      <w:pPr>
        <w:ind w:left="700" w:right="260" w:firstLine="402"/>
        <w:spacing w:after="0" w:line="245" w:lineRule="auto"/>
        <w:rPr>
          <w:sz w:val="20"/>
          <w:szCs w:val="20"/>
          <w:color w:val="auto"/>
        </w:rPr>
      </w:pPr>
      <w:r>
        <w:rPr>
          <w:rFonts w:ascii="Arial" w:cs="Arial" w:eastAsia="Arial" w:hAnsi="Arial"/>
          <w:sz w:val="18"/>
          <w:szCs w:val="18"/>
          <w:color w:val="auto"/>
        </w:rPr>
        <w:t>In addition, we have the following significant brands in Europe: Miracle-Gro</w:t>
      </w:r>
      <w:r>
        <w:rPr>
          <w:rFonts w:ascii="Arial" w:cs="Arial" w:eastAsia="Arial" w:hAnsi="Arial"/>
          <w:sz w:val="15"/>
          <w:szCs w:val="15"/>
          <w:color w:val="auto"/>
        </w:rPr>
        <w:t>®</w:t>
      </w:r>
      <w:r>
        <w:rPr>
          <w:rFonts w:ascii="Arial" w:cs="Arial" w:eastAsia="Arial" w:hAnsi="Arial"/>
          <w:sz w:val="18"/>
          <w:szCs w:val="18"/>
          <w:color w:val="auto"/>
        </w:rPr>
        <w:t xml:space="preserve"> plant fertilizers, Weedol</w:t>
      </w:r>
      <w:r>
        <w:rPr>
          <w:rFonts w:ascii="Arial" w:cs="Arial" w:eastAsia="Arial" w:hAnsi="Arial"/>
          <w:sz w:val="15"/>
          <w:szCs w:val="15"/>
          <w:color w:val="auto"/>
        </w:rPr>
        <w:t>®</w:t>
      </w:r>
      <w:r>
        <w:rPr>
          <w:rFonts w:ascii="Arial" w:cs="Arial" w:eastAsia="Arial" w:hAnsi="Arial"/>
          <w:sz w:val="18"/>
          <w:szCs w:val="18"/>
          <w:color w:val="auto"/>
        </w:rPr>
        <w:t xml:space="preserve"> and Pathclear</w:t>
      </w:r>
      <w:r>
        <w:rPr>
          <w:rFonts w:ascii="Arial" w:cs="Arial" w:eastAsia="Arial" w:hAnsi="Arial"/>
          <w:sz w:val="15"/>
          <w:szCs w:val="15"/>
          <w:color w:val="auto"/>
        </w:rPr>
        <w:t>®</w:t>
      </w:r>
      <w:r>
        <w:rPr>
          <w:rFonts w:ascii="Arial" w:cs="Arial" w:eastAsia="Arial" w:hAnsi="Arial"/>
          <w:sz w:val="18"/>
          <w:szCs w:val="18"/>
          <w:color w:val="auto"/>
        </w:rPr>
        <w:t xml:space="preserve"> herbicides, EverGreen</w:t>
      </w:r>
      <w:r>
        <w:rPr>
          <w:rFonts w:ascii="Arial" w:cs="Arial" w:eastAsia="Arial" w:hAnsi="Arial"/>
          <w:sz w:val="15"/>
          <w:szCs w:val="15"/>
          <w:color w:val="auto"/>
        </w:rPr>
        <w:t>®</w:t>
      </w:r>
      <w:r>
        <w:rPr>
          <w:rFonts w:ascii="Arial" w:cs="Arial" w:eastAsia="Arial" w:hAnsi="Arial"/>
          <w:sz w:val="18"/>
          <w:szCs w:val="18"/>
          <w:color w:val="auto"/>
        </w:rPr>
        <w:t xml:space="preserve"> lawn fertilizers and Levington</w:t>
      </w:r>
      <w:r>
        <w:rPr>
          <w:rFonts w:ascii="Arial" w:cs="Arial" w:eastAsia="Arial" w:hAnsi="Arial"/>
          <w:sz w:val="15"/>
          <w:szCs w:val="15"/>
          <w:color w:val="auto"/>
        </w:rPr>
        <w:t>®</w:t>
      </w:r>
      <w:r>
        <w:rPr>
          <w:rFonts w:ascii="Arial" w:cs="Arial" w:eastAsia="Arial" w:hAnsi="Arial"/>
          <w:sz w:val="18"/>
          <w:szCs w:val="18"/>
          <w:color w:val="auto"/>
        </w:rPr>
        <w:t xml:space="preserve"> growing media in the United Kingdom; KB</w:t>
      </w:r>
      <w:r>
        <w:rPr>
          <w:rFonts w:ascii="Arial" w:cs="Arial" w:eastAsia="Arial" w:hAnsi="Arial"/>
          <w:sz w:val="15"/>
          <w:szCs w:val="15"/>
          <w:color w:val="auto"/>
        </w:rPr>
        <w:t>®</w:t>
      </w:r>
      <w:r>
        <w:rPr>
          <w:rFonts w:ascii="Arial" w:cs="Arial" w:eastAsia="Arial" w:hAnsi="Arial"/>
          <w:sz w:val="18"/>
          <w:szCs w:val="18"/>
          <w:color w:val="auto"/>
        </w:rPr>
        <w:t xml:space="preserve"> and Fertiligène</w:t>
      </w:r>
      <w:r>
        <w:rPr>
          <w:rFonts w:ascii="Arial" w:cs="Arial" w:eastAsia="Arial" w:hAnsi="Arial"/>
          <w:sz w:val="15"/>
          <w:szCs w:val="15"/>
          <w:color w:val="auto"/>
        </w:rPr>
        <w:t>®</w:t>
      </w:r>
      <w:r>
        <w:rPr>
          <w:rFonts w:ascii="Arial" w:cs="Arial" w:eastAsia="Arial" w:hAnsi="Arial"/>
          <w:sz w:val="18"/>
          <w:szCs w:val="18"/>
          <w:color w:val="auto"/>
        </w:rPr>
        <w:t xml:space="preserve"> in France; Celaflor</w:t>
      </w:r>
      <w:r>
        <w:rPr>
          <w:rFonts w:ascii="Arial" w:cs="Arial" w:eastAsia="Arial" w:hAnsi="Arial"/>
          <w:sz w:val="15"/>
          <w:szCs w:val="15"/>
          <w:color w:val="auto"/>
        </w:rPr>
        <w:t>®</w:t>
      </w:r>
      <w:r>
        <w:rPr>
          <w:rFonts w:ascii="Arial" w:cs="Arial" w:eastAsia="Arial" w:hAnsi="Arial"/>
          <w:sz w:val="18"/>
          <w:szCs w:val="18"/>
          <w:color w:val="auto"/>
        </w:rPr>
        <w:t>, Nexa Lotte</w:t>
      </w:r>
      <w:r>
        <w:rPr>
          <w:rFonts w:ascii="Arial" w:cs="Arial" w:eastAsia="Arial" w:hAnsi="Arial"/>
          <w:sz w:val="15"/>
          <w:szCs w:val="15"/>
          <w:color w:val="auto"/>
        </w:rPr>
        <w:t>®</w:t>
      </w:r>
      <w:r>
        <w:rPr>
          <w:rFonts w:ascii="Arial" w:cs="Arial" w:eastAsia="Arial" w:hAnsi="Arial"/>
          <w:sz w:val="18"/>
          <w:szCs w:val="18"/>
          <w:color w:val="auto"/>
        </w:rPr>
        <w:t xml:space="preserve"> and Substral</w:t>
      </w:r>
      <w:r>
        <w:rPr>
          <w:rFonts w:ascii="Arial" w:cs="Arial" w:eastAsia="Arial" w:hAnsi="Arial"/>
          <w:sz w:val="15"/>
          <w:szCs w:val="15"/>
          <w:color w:val="auto"/>
        </w:rPr>
        <w:t>®</w:t>
      </w:r>
      <w:r>
        <w:rPr>
          <w:rFonts w:ascii="Arial" w:cs="Arial" w:eastAsia="Arial" w:hAnsi="Arial"/>
          <w:sz w:val="18"/>
          <w:szCs w:val="18"/>
          <w:color w:val="auto"/>
        </w:rPr>
        <w:t xml:space="preserve"> in Germany and Austria; and ASEF</w:t>
      </w:r>
      <w:r>
        <w:rPr>
          <w:rFonts w:ascii="Arial" w:cs="Arial" w:eastAsia="Arial" w:hAnsi="Arial"/>
          <w:sz w:val="15"/>
          <w:szCs w:val="15"/>
          <w:color w:val="auto"/>
        </w:rPr>
        <w:t>®</w:t>
      </w:r>
      <w:r>
        <w:rPr>
          <w:rFonts w:ascii="Arial" w:cs="Arial" w:eastAsia="Arial" w:hAnsi="Arial"/>
          <w:sz w:val="18"/>
          <w:szCs w:val="18"/>
          <w:color w:val="auto"/>
        </w:rPr>
        <w:t>, KB</w:t>
      </w:r>
      <w:r>
        <w:rPr>
          <w:rFonts w:ascii="Arial" w:cs="Arial" w:eastAsia="Arial" w:hAnsi="Arial"/>
          <w:sz w:val="15"/>
          <w:szCs w:val="15"/>
          <w:color w:val="auto"/>
        </w:rPr>
        <w:t>®</w:t>
      </w:r>
      <w:r>
        <w:rPr>
          <w:rFonts w:ascii="Arial" w:cs="Arial" w:eastAsia="Arial" w:hAnsi="Arial"/>
          <w:sz w:val="18"/>
          <w:szCs w:val="18"/>
          <w:color w:val="auto"/>
        </w:rPr>
        <w:t xml:space="preserve"> and Substral</w:t>
      </w:r>
      <w:r>
        <w:rPr>
          <w:rFonts w:ascii="Arial" w:cs="Arial" w:eastAsia="Arial" w:hAnsi="Arial"/>
          <w:sz w:val="15"/>
          <w:szCs w:val="15"/>
          <w:color w:val="auto"/>
        </w:rPr>
        <w:t>®</w:t>
      </w:r>
      <w:r>
        <w:rPr>
          <w:rFonts w:ascii="Arial" w:cs="Arial" w:eastAsia="Arial" w:hAnsi="Arial"/>
          <w:sz w:val="18"/>
          <w:szCs w:val="18"/>
          <w:color w:val="auto"/>
        </w:rPr>
        <w:t xml:space="preserve"> in Belgium, the Netherlands and Luxembourg. Roundup</w:t>
      </w:r>
      <w:r>
        <w:rPr>
          <w:rFonts w:ascii="Arial" w:cs="Arial" w:eastAsia="Arial" w:hAnsi="Arial"/>
          <w:sz w:val="15"/>
          <w:szCs w:val="15"/>
          <w:color w:val="auto"/>
        </w:rPr>
        <w:t>®</w:t>
      </w:r>
      <w:r>
        <w:rPr>
          <w:rFonts w:ascii="Arial" w:cs="Arial" w:eastAsia="Arial" w:hAnsi="Arial"/>
          <w:sz w:val="18"/>
          <w:szCs w:val="18"/>
          <w:color w:val="auto"/>
        </w:rPr>
        <w:t xml:space="preserve"> is also a significant brand in the United Kingdom, France, Germany and other European markets.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Business Segments</w:t>
      </w:r>
    </w:p>
    <w:p>
      <w:pPr>
        <w:spacing w:after="0" w:line="124"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For fiscal 2008, the Company divided its businesses into the following segments:</w:t>
      </w:r>
    </w:p>
    <w:p>
      <w:pPr>
        <w:spacing w:after="0" w:line="117" w:lineRule="exact"/>
        <w:rPr>
          <w:sz w:val="20"/>
          <w:szCs w:val="20"/>
          <w:color w:val="auto"/>
        </w:rPr>
      </w:pPr>
    </w:p>
    <w:p>
      <w:pPr>
        <w:ind w:left="1300" w:hanging="202"/>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Global Consumer;</w:t>
      </w:r>
    </w:p>
    <w:p>
      <w:pPr>
        <w:spacing w:after="0" w:line="211" w:lineRule="exact"/>
        <w:rPr>
          <w:rFonts w:ascii="Arial" w:cs="Arial" w:eastAsia="Arial" w:hAnsi="Arial"/>
          <w:sz w:val="18"/>
          <w:szCs w:val="18"/>
          <w:color w:val="auto"/>
        </w:rPr>
      </w:pPr>
    </w:p>
    <w:p>
      <w:pPr>
        <w:ind w:left="740"/>
        <w:spacing w:after="0"/>
        <w:rPr>
          <w:rFonts w:ascii="Arial" w:cs="Arial" w:eastAsia="Arial" w:hAnsi="Arial"/>
          <w:sz w:val="18"/>
          <w:szCs w:val="18"/>
          <w:color w:val="auto"/>
        </w:rPr>
      </w:pPr>
      <w:r>
        <w:rPr>
          <w:rFonts w:ascii="Arial" w:cs="Arial" w:eastAsia="Arial" w:hAnsi="Arial"/>
          <w:sz w:val="18"/>
          <w:szCs w:val="18"/>
          <w:color w:val="auto"/>
        </w:rPr>
        <w:t>* Roundup</w:t>
      </w:r>
      <w:r>
        <w:rPr>
          <w:rFonts w:ascii="Arial" w:cs="Arial" w:eastAsia="Arial" w:hAnsi="Arial"/>
          <w:sz w:val="15"/>
          <w:szCs w:val="15"/>
          <w:color w:val="auto"/>
        </w:rPr>
        <w:t>®</w:t>
      </w:r>
      <w:r>
        <w:rPr>
          <w:rFonts w:ascii="Arial" w:cs="Arial" w:eastAsia="Arial" w:hAnsi="Arial"/>
          <w:sz w:val="18"/>
          <w:szCs w:val="18"/>
          <w:color w:val="auto"/>
        </w:rPr>
        <w:t xml:space="preserve"> is a registered trademark of Monsanto Technology LLC, a company affiliated with Monsanto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-167640</wp:posOffset>
            </wp:positionV>
            <wp:extent cx="8235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3595" cy="8890"/>
                    </a:xfrm>
                    <a:prstGeom prst="rect">
                      <a:avLst/>
                    </a:prstGeom>
                    <a:noFill/>
                  </pic:spPr>
                </pic:pic>
              </a:graphicData>
            </a:graphic>
          </wp:anchor>
        </w:drawing>
      </w:r>
    </w:p>
    <w:p>
      <w:pPr>
        <w:spacing w:after="0" w:line="118"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1"/>
          <w:szCs w:val="11"/>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-78105</wp:posOffset>
            </wp:positionV>
            <wp:extent cx="1974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240" w:top="415" w:right="91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hyperlink w:anchor="page64">
        <w:r>
          <w:rPr>
            <w:rFonts w:ascii="Times New Roman" w:cs="Times New Roman" w:eastAsia="Times New Roman" w:hAnsi="Times New Roman"/>
            <w:sz w:val="18"/>
            <w:szCs w:val="18"/>
            <w:b w:val="1"/>
            <w:bCs w:val="1"/>
            <w:u w:val="single" w:color="auto"/>
            <w:color w:val="0000EE"/>
          </w:rPr>
          <w:t>Table of Contents</w:t>
        </w:r>
      </w:hyperlink>
    </w:p>
    <w:p>
      <w:pPr>
        <w:spacing w:after="0" w:line="319" w:lineRule="exact"/>
        <w:rPr>
          <w:sz w:val="20"/>
          <w:szCs w:val="20"/>
          <w:color w:val="auto"/>
        </w:rPr>
      </w:pPr>
    </w:p>
    <w:p>
      <w:pPr>
        <w:ind w:left="1300" w:hanging="202"/>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Global Professional;</w:t>
      </w:r>
    </w:p>
    <w:p>
      <w:pPr>
        <w:spacing w:after="0" w:line="103" w:lineRule="exact"/>
        <w:rPr>
          <w:rFonts w:ascii="Arial" w:cs="Arial" w:eastAsia="Arial" w:hAnsi="Arial"/>
          <w:sz w:val="18"/>
          <w:szCs w:val="18"/>
          <w:color w:val="auto"/>
        </w:rPr>
      </w:pPr>
    </w:p>
    <w:p>
      <w:pPr>
        <w:ind w:left="1300" w:hanging="202"/>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Scotts LawnService</w:t>
      </w:r>
      <w:r>
        <w:rPr>
          <w:rFonts w:ascii="Arial" w:cs="Arial" w:eastAsia="Arial" w:hAnsi="Arial"/>
          <w:sz w:val="15"/>
          <w:szCs w:val="15"/>
          <w:color w:val="auto"/>
        </w:rPr>
        <w:t>®</w:t>
      </w:r>
      <w:r>
        <w:rPr>
          <w:rFonts w:ascii="Arial" w:cs="Arial" w:eastAsia="Arial" w:hAnsi="Arial"/>
          <w:sz w:val="18"/>
          <w:szCs w:val="18"/>
          <w:color w:val="auto"/>
        </w:rPr>
        <w:t>; and</w:t>
      </w:r>
    </w:p>
    <w:p>
      <w:pPr>
        <w:spacing w:after="0" w:line="104" w:lineRule="exact"/>
        <w:rPr>
          <w:rFonts w:ascii="Arial" w:cs="Arial" w:eastAsia="Arial" w:hAnsi="Arial"/>
          <w:sz w:val="18"/>
          <w:szCs w:val="18"/>
          <w:color w:val="auto"/>
        </w:rPr>
      </w:pPr>
    </w:p>
    <w:p>
      <w:pPr>
        <w:ind w:left="1300" w:hanging="202"/>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Corporate &amp; Other.</w:t>
      </w:r>
    </w:p>
    <w:p>
      <w:pPr>
        <w:spacing w:after="0" w:line="117" w:lineRule="exact"/>
        <w:rPr>
          <w:sz w:val="20"/>
          <w:szCs w:val="20"/>
          <w:color w:val="auto"/>
        </w:rPr>
      </w:pPr>
    </w:p>
    <w:p>
      <w:pPr>
        <w:ind w:left="700" w:right="60" w:firstLine="402"/>
        <w:spacing w:after="0" w:line="243" w:lineRule="auto"/>
        <w:rPr>
          <w:sz w:val="20"/>
          <w:szCs w:val="20"/>
          <w:color w:val="auto"/>
        </w:rPr>
      </w:pPr>
      <w:r>
        <w:rPr>
          <w:rFonts w:ascii="Arial" w:cs="Arial" w:eastAsia="Arial" w:hAnsi="Arial"/>
          <w:sz w:val="18"/>
          <w:szCs w:val="18"/>
          <w:color w:val="auto"/>
        </w:rPr>
        <w:t>These segments were changed entering fiscal 2008 and differ from the segments used in the prior year due to the realignment of the North America and International segments into the Global Consumer and Global Professional segments. This division of reportable segments is consistent with how the segments report to and are managed by senior management of the Company. Financial information about these current segments for the three years ended September 30, 2008 is presented in “NOTE 21. SEGMENT INFORMATION” to the Consolidated Financial Statements included in this Annual Report on Form 10-K.</w:t>
      </w:r>
    </w:p>
    <w:p>
      <w:pPr>
        <w:spacing w:after="0" w:line="190"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auto"/>
        </w:rPr>
        <w:t>Global Consumer</w:t>
      </w:r>
    </w:p>
    <w:p>
      <w:pPr>
        <w:spacing w:after="0" w:line="124" w:lineRule="exact"/>
        <w:rPr>
          <w:sz w:val="20"/>
          <w:szCs w:val="20"/>
          <w:color w:val="auto"/>
        </w:rPr>
      </w:pPr>
    </w:p>
    <w:p>
      <w:pPr>
        <w:ind w:left="700" w:right="100" w:firstLine="402"/>
        <w:spacing w:after="0" w:line="248" w:lineRule="auto"/>
        <w:rPr>
          <w:sz w:val="20"/>
          <w:szCs w:val="20"/>
          <w:color w:val="auto"/>
        </w:rPr>
      </w:pPr>
      <w:r>
        <w:rPr>
          <w:rFonts w:ascii="Arial" w:cs="Arial" w:eastAsia="Arial" w:hAnsi="Arial"/>
          <w:sz w:val="18"/>
          <w:szCs w:val="18"/>
          <w:color w:val="auto"/>
        </w:rPr>
        <w:t>In our Global Consumer segment, the Company manufactures and markets products that provide easy, reliable and effective assistance to homeowners who seek beautiful, weed and pest-free lawns, gardens and indoor plants. These products incorporate many of the latest technologies available. The Global Consumer segment sells products in the following categories:</w:t>
      </w:r>
    </w:p>
    <w:p>
      <w:pPr>
        <w:spacing w:after="0" w:line="76" w:lineRule="exact"/>
        <w:rPr>
          <w:sz w:val="20"/>
          <w:szCs w:val="20"/>
          <w:color w:val="auto"/>
        </w:rPr>
      </w:pPr>
    </w:p>
    <w:p>
      <w:pPr>
        <w:ind w:left="700" w:right="60" w:firstLine="301"/>
        <w:spacing w:after="0" w:line="248" w:lineRule="auto"/>
        <w:rPr>
          <w:sz w:val="20"/>
          <w:szCs w:val="20"/>
          <w:color w:val="auto"/>
        </w:rPr>
      </w:pPr>
      <w:r>
        <w:rPr>
          <w:rFonts w:ascii="Arial" w:cs="Arial" w:eastAsia="Arial" w:hAnsi="Arial"/>
          <w:sz w:val="16"/>
          <w:szCs w:val="16"/>
          <w:b w:val="1"/>
          <w:bCs w:val="1"/>
          <w:color w:val="auto"/>
        </w:rPr>
        <w:t xml:space="preserve">Lawns: </w:t>
      </w:r>
      <w:r>
        <w:rPr>
          <w:rFonts w:ascii="Arial" w:cs="Arial" w:eastAsia="Arial" w:hAnsi="Arial"/>
          <w:sz w:val="18"/>
          <w:szCs w:val="18"/>
          <w:color w:val="auto"/>
        </w:rPr>
        <w:t>A complete line of granular lawn fertilizer and combination products, including fertilizer and crabgrass control,</w:t>
      </w:r>
      <w:r>
        <w:rPr>
          <w:rFonts w:ascii="Arial" w:cs="Arial" w:eastAsia="Arial" w:hAnsi="Arial"/>
          <w:sz w:val="16"/>
          <w:szCs w:val="16"/>
          <w:b w:val="1"/>
          <w:bCs w:val="1"/>
          <w:color w:val="auto"/>
        </w:rPr>
        <w:t xml:space="preserve"> </w:t>
      </w:r>
      <w:r>
        <w:rPr>
          <w:rFonts w:ascii="Arial" w:cs="Arial" w:eastAsia="Arial" w:hAnsi="Arial"/>
          <w:sz w:val="18"/>
          <w:szCs w:val="18"/>
          <w:color w:val="auto"/>
        </w:rPr>
        <w:t>weed control or pest control, is sold under the Scotts</w:t>
      </w:r>
      <w:r>
        <w:rPr>
          <w:rFonts w:ascii="Arial" w:cs="Arial" w:eastAsia="Arial" w:hAnsi="Arial"/>
          <w:sz w:val="15"/>
          <w:szCs w:val="15"/>
          <w:color w:val="auto"/>
        </w:rPr>
        <w:t>®</w:t>
      </w:r>
      <w:r>
        <w:rPr>
          <w:rFonts w:ascii="Arial" w:cs="Arial" w:eastAsia="Arial" w:hAnsi="Arial"/>
          <w:sz w:val="18"/>
          <w:szCs w:val="18"/>
          <w:color w:val="auto"/>
        </w:rPr>
        <w:t xml:space="preserve"> and Turf Builder</w:t>
      </w:r>
      <w:r>
        <w:rPr>
          <w:rFonts w:ascii="Arial" w:cs="Arial" w:eastAsia="Arial" w:hAnsi="Arial"/>
          <w:sz w:val="15"/>
          <w:szCs w:val="15"/>
          <w:color w:val="auto"/>
        </w:rPr>
        <w:t>®</w:t>
      </w:r>
      <w:r>
        <w:rPr>
          <w:rFonts w:ascii="Arial" w:cs="Arial" w:eastAsia="Arial" w:hAnsi="Arial"/>
          <w:sz w:val="18"/>
          <w:szCs w:val="18"/>
          <w:color w:val="auto"/>
        </w:rPr>
        <w:t xml:space="preserve"> brand names. The Turf Builder</w:t>
      </w:r>
      <w:r>
        <w:rPr>
          <w:rFonts w:ascii="Arial" w:cs="Arial" w:eastAsia="Arial" w:hAnsi="Arial"/>
          <w:sz w:val="15"/>
          <w:szCs w:val="15"/>
          <w:color w:val="auto"/>
        </w:rPr>
        <w:t>®</w:t>
      </w:r>
      <w:r>
        <w:rPr>
          <w:rFonts w:ascii="Arial" w:cs="Arial" w:eastAsia="Arial" w:hAnsi="Arial"/>
          <w:sz w:val="18"/>
          <w:szCs w:val="18"/>
          <w:color w:val="auto"/>
        </w:rPr>
        <w:t xml:space="preserve"> line of products in the United States is designed to make it easy for do-it-yourself consumers to select and properly apply the right product in the right quantity for their lawns. A similar range of products is available in the United Kingdom under the EverGreen</w:t>
      </w:r>
      <w:r>
        <w:rPr>
          <w:rFonts w:ascii="Arial" w:cs="Arial" w:eastAsia="Arial" w:hAnsi="Arial"/>
          <w:sz w:val="15"/>
          <w:szCs w:val="15"/>
          <w:color w:val="auto"/>
        </w:rPr>
        <w:t>®</w:t>
      </w:r>
      <w:r>
        <w:rPr>
          <w:rFonts w:ascii="Arial" w:cs="Arial" w:eastAsia="Arial" w:hAnsi="Arial"/>
          <w:sz w:val="18"/>
          <w:szCs w:val="18"/>
          <w:color w:val="auto"/>
        </w:rPr>
        <w:t xml:space="preserve"> brand.</w:t>
      </w:r>
    </w:p>
    <w:p>
      <w:pPr>
        <w:spacing w:after="0" w:line="76" w:lineRule="exact"/>
        <w:rPr>
          <w:sz w:val="20"/>
          <w:szCs w:val="20"/>
          <w:color w:val="auto"/>
        </w:rPr>
      </w:pPr>
    </w:p>
    <w:p>
      <w:pPr>
        <w:ind w:left="700" w:right="20" w:firstLine="301"/>
        <w:spacing w:after="0"/>
        <w:rPr>
          <w:sz w:val="20"/>
          <w:szCs w:val="20"/>
          <w:color w:val="auto"/>
        </w:rPr>
      </w:pPr>
      <w:r>
        <w:rPr>
          <w:rFonts w:ascii="Arial" w:cs="Arial" w:eastAsia="Arial" w:hAnsi="Arial"/>
          <w:sz w:val="16"/>
          <w:szCs w:val="16"/>
          <w:b w:val="1"/>
          <w:bCs w:val="1"/>
          <w:color w:val="auto"/>
        </w:rPr>
        <w:t xml:space="preserve">Gardens: </w:t>
      </w:r>
      <w:r>
        <w:rPr>
          <w:rFonts w:ascii="Arial" w:cs="Arial" w:eastAsia="Arial" w:hAnsi="Arial"/>
          <w:sz w:val="18"/>
          <w:szCs w:val="18"/>
          <w:color w:val="auto"/>
        </w:rPr>
        <w:t>A complete line of plant foods is marketed under the Miracle-Gro</w:t>
      </w:r>
      <w:r>
        <w:rPr>
          <w:rFonts w:ascii="Arial" w:cs="Arial" w:eastAsia="Arial" w:hAnsi="Arial"/>
          <w:sz w:val="15"/>
          <w:szCs w:val="15"/>
          <w:color w:val="auto"/>
        </w:rPr>
        <w:t>®</w:t>
      </w:r>
      <w:r>
        <w:rPr>
          <w:rFonts w:ascii="Arial" w:cs="Arial" w:eastAsia="Arial" w:hAnsi="Arial"/>
          <w:sz w:val="16"/>
          <w:szCs w:val="16"/>
          <w:b w:val="1"/>
          <w:bCs w:val="1"/>
          <w:color w:val="auto"/>
        </w:rPr>
        <w:t xml:space="preserve"> </w:t>
      </w:r>
      <w:r>
        <w:rPr>
          <w:rFonts w:ascii="Arial" w:cs="Arial" w:eastAsia="Arial" w:hAnsi="Arial"/>
          <w:sz w:val="18"/>
          <w:szCs w:val="18"/>
          <w:color w:val="auto"/>
        </w:rPr>
        <w:t>brand name. In fiscal 2006, we introduced</w:t>
      </w:r>
      <w:r>
        <w:rPr>
          <w:rFonts w:ascii="Arial" w:cs="Arial" w:eastAsia="Arial" w:hAnsi="Arial"/>
          <w:sz w:val="16"/>
          <w:szCs w:val="16"/>
          <w:b w:val="1"/>
          <w:bCs w:val="1"/>
          <w:color w:val="auto"/>
        </w:rPr>
        <w:t xml:space="preserve"> </w:t>
      </w:r>
      <w:r>
        <w:rPr>
          <w:rFonts w:ascii="Arial" w:cs="Arial" w:eastAsia="Arial" w:hAnsi="Arial"/>
          <w:sz w:val="18"/>
          <w:szCs w:val="18"/>
          <w:color w:val="auto"/>
        </w:rPr>
        <w:t>Miracle-Gro</w:t>
      </w:r>
      <w:r>
        <w:rPr>
          <w:rFonts w:ascii="Arial" w:cs="Arial" w:eastAsia="Arial" w:hAnsi="Arial"/>
          <w:sz w:val="15"/>
          <w:szCs w:val="15"/>
          <w:color w:val="auto"/>
        </w:rPr>
        <w:t>®</w:t>
      </w:r>
      <w:r>
        <w:rPr>
          <w:rFonts w:ascii="Arial" w:cs="Arial" w:eastAsia="Arial" w:hAnsi="Arial"/>
          <w:sz w:val="18"/>
          <w:szCs w:val="18"/>
          <w:color w:val="auto"/>
        </w:rPr>
        <w:t xml:space="preserve"> LiquaFeed</w:t>
      </w:r>
      <w:r>
        <w:rPr>
          <w:rFonts w:ascii="Arial" w:cs="Arial" w:eastAsia="Arial" w:hAnsi="Arial"/>
          <w:sz w:val="15"/>
          <w:szCs w:val="15"/>
          <w:color w:val="auto"/>
        </w:rPr>
        <w:t>®</w:t>
      </w:r>
      <w:r>
        <w:rPr>
          <w:rFonts w:ascii="Arial" w:cs="Arial" w:eastAsia="Arial" w:hAnsi="Arial"/>
          <w:sz w:val="18"/>
          <w:szCs w:val="18"/>
          <w:color w:val="auto"/>
        </w:rPr>
        <w:t>, an innovative product that allows consumers to easily feed and water their outdoor plants simultaneously. The Miracle-Gro</w:t>
      </w:r>
      <w:r>
        <w:rPr>
          <w:rFonts w:ascii="Arial" w:cs="Arial" w:eastAsia="Arial" w:hAnsi="Arial"/>
          <w:sz w:val="15"/>
          <w:szCs w:val="15"/>
          <w:color w:val="auto"/>
        </w:rPr>
        <w:t>®</w:t>
      </w:r>
      <w:r>
        <w:rPr>
          <w:rFonts w:ascii="Arial" w:cs="Arial" w:eastAsia="Arial" w:hAnsi="Arial"/>
          <w:sz w:val="18"/>
          <w:szCs w:val="18"/>
          <w:color w:val="auto"/>
        </w:rPr>
        <w:t xml:space="preserve"> brand is marketed primarily in North America and the United Kingdom, although it has been introduced into other Western European markets in recent years. In addition to our high-quality granular and liquid water-soluble plant foods, we have continuous-release plant foods for extended feeding and convenience, which we market under the Osmocote</w:t>
      </w:r>
      <w:r>
        <w:rPr>
          <w:rFonts w:ascii="Arial" w:cs="Arial" w:eastAsia="Arial" w:hAnsi="Arial"/>
          <w:sz w:val="15"/>
          <w:szCs w:val="15"/>
          <w:color w:val="auto"/>
        </w:rPr>
        <w:t>®</w:t>
      </w:r>
      <w:r>
        <w:rPr>
          <w:rFonts w:ascii="Arial" w:cs="Arial" w:eastAsia="Arial" w:hAnsi="Arial"/>
          <w:sz w:val="18"/>
          <w:szCs w:val="18"/>
          <w:color w:val="auto"/>
        </w:rPr>
        <w:t xml:space="preserve"> brand as well as the Shake ’n Feed</w:t>
      </w:r>
      <w:r>
        <w:rPr>
          <w:rFonts w:ascii="Arial" w:cs="Arial" w:eastAsia="Arial" w:hAnsi="Arial"/>
          <w:sz w:val="15"/>
          <w:szCs w:val="15"/>
          <w:color w:val="auto"/>
        </w:rPr>
        <w:t>®</w:t>
      </w:r>
      <w:r>
        <w:rPr>
          <w:rFonts w:ascii="Arial" w:cs="Arial" w:eastAsia="Arial" w:hAnsi="Arial"/>
          <w:sz w:val="18"/>
          <w:szCs w:val="18"/>
          <w:color w:val="auto"/>
        </w:rPr>
        <w:t xml:space="preserve"> sub-brand. The Company also markets an extensive line of plant food products under the Substral</w:t>
      </w:r>
      <w:r>
        <w:rPr>
          <w:rFonts w:ascii="Arial" w:cs="Arial" w:eastAsia="Arial" w:hAnsi="Arial"/>
          <w:sz w:val="15"/>
          <w:szCs w:val="15"/>
          <w:color w:val="auto"/>
        </w:rPr>
        <w:t>®</w:t>
      </w:r>
      <w:r>
        <w:rPr>
          <w:rFonts w:ascii="Arial" w:cs="Arial" w:eastAsia="Arial" w:hAnsi="Arial"/>
          <w:sz w:val="18"/>
          <w:szCs w:val="18"/>
          <w:color w:val="auto"/>
        </w:rPr>
        <w:t xml:space="preserve"> brand name in Germany, Austria, the Nordic countries and throughout Eastern Europe, and under the Fertiligéne</w:t>
      </w:r>
      <w:r>
        <w:rPr>
          <w:rFonts w:ascii="Arial" w:cs="Arial" w:eastAsia="Arial" w:hAnsi="Arial"/>
          <w:sz w:val="15"/>
          <w:szCs w:val="15"/>
          <w:color w:val="auto"/>
        </w:rPr>
        <w:t>®</w:t>
      </w:r>
      <w:r>
        <w:rPr>
          <w:rFonts w:ascii="Arial" w:cs="Arial" w:eastAsia="Arial" w:hAnsi="Arial"/>
          <w:sz w:val="18"/>
          <w:szCs w:val="18"/>
          <w:color w:val="auto"/>
        </w:rPr>
        <w:t xml:space="preserve"> brand name in France.</w:t>
      </w:r>
    </w:p>
    <w:p>
      <w:pPr>
        <w:spacing w:after="0" w:line="87" w:lineRule="exact"/>
        <w:rPr>
          <w:sz w:val="20"/>
          <w:szCs w:val="20"/>
          <w:color w:val="auto"/>
        </w:rPr>
      </w:pPr>
    </w:p>
    <w:p>
      <w:pPr>
        <w:ind w:left="700" w:firstLine="301"/>
        <w:spacing w:after="0"/>
        <w:rPr>
          <w:sz w:val="20"/>
          <w:szCs w:val="20"/>
          <w:color w:val="auto"/>
        </w:rPr>
      </w:pPr>
      <w:r>
        <w:rPr>
          <w:rFonts w:ascii="Arial" w:cs="Arial" w:eastAsia="Arial" w:hAnsi="Arial"/>
          <w:sz w:val="16"/>
          <w:szCs w:val="16"/>
          <w:b w:val="1"/>
          <w:bCs w:val="1"/>
          <w:color w:val="auto"/>
        </w:rPr>
        <w:t xml:space="preserve">Growing Media: </w:t>
      </w:r>
      <w:r>
        <w:rPr>
          <w:rFonts w:ascii="Arial" w:cs="Arial" w:eastAsia="Arial" w:hAnsi="Arial"/>
          <w:sz w:val="18"/>
          <w:szCs w:val="18"/>
          <w:color w:val="auto"/>
        </w:rPr>
        <w:t>A complete line of growing media products for indoor and outdoor uses is marketed under the Miracle-Gro</w:t>
      </w:r>
      <w:r>
        <w:rPr>
          <w:rFonts w:ascii="Arial" w:cs="Arial" w:eastAsia="Arial" w:hAnsi="Arial"/>
          <w:sz w:val="15"/>
          <w:szCs w:val="15"/>
          <w:color w:val="auto"/>
        </w:rPr>
        <w:t>®</w:t>
      </w:r>
      <w:r>
        <w:rPr>
          <w:rFonts w:ascii="Arial" w:cs="Arial" w:eastAsia="Arial" w:hAnsi="Arial"/>
          <w:sz w:val="18"/>
          <w:szCs w:val="18"/>
          <w:color w:val="auto"/>
        </w:rPr>
        <w:t>, Scotts</w:t>
      </w:r>
      <w:r>
        <w:rPr>
          <w:rFonts w:ascii="Arial" w:cs="Arial" w:eastAsia="Arial" w:hAnsi="Arial"/>
          <w:sz w:val="15"/>
          <w:szCs w:val="15"/>
          <w:color w:val="auto"/>
        </w:rPr>
        <w:t>®</w:t>
      </w:r>
      <w:r>
        <w:rPr>
          <w:rFonts w:ascii="Arial" w:cs="Arial" w:eastAsia="Arial" w:hAnsi="Arial"/>
          <w:sz w:val="18"/>
          <w:szCs w:val="18"/>
          <w:color w:val="auto"/>
        </w:rPr>
        <w:t>, Hyponex</w:t>
      </w:r>
      <w:r>
        <w:rPr>
          <w:rFonts w:ascii="Arial" w:cs="Arial" w:eastAsia="Arial" w:hAnsi="Arial"/>
          <w:sz w:val="15"/>
          <w:szCs w:val="15"/>
          <w:color w:val="auto"/>
        </w:rPr>
        <w:t>®</w:t>
      </w:r>
      <w:r>
        <w:rPr>
          <w:rFonts w:ascii="Arial" w:cs="Arial" w:eastAsia="Arial" w:hAnsi="Arial"/>
          <w:sz w:val="18"/>
          <w:szCs w:val="18"/>
          <w:color w:val="auto"/>
        </w:rPr>
        <w:t>, Earthgro</w:t>
      </w:r>
      <w:r>
        <w:rPr>
          <w:rFonts w:ascii="Arial" w:cs="Arial" w:eastAsia="Arial" w:hAnsi="Arial"/>
          <w:sz w:val="15"/>
          <w:szCs w:val="15"/>
          <w:color w:val="auto"/>
        </w:rPr>
        <w:t>®</w:t>
      </w:r>
      <w:r>
        <w:rPr>
          <w:rFonts w:ascii="Arial" w:cs="Arial" w:eastAsia="Arial" w:hAnsi="Arial"/>
          <w:sz w:val="18"/>
          <w:szCs w:val="18"/>
          <w:color w:val="auto"/>
        </w:rPr>
        <w:t xml:space="preserve"> and SuperSoil</w:t>
      </w:r>
      <w:r>
        <w:rPr>
          <w:rFonts w:ascii="Arial" w:cs="Arial" w:eastAsia="Arial" w:hAnsi="Arial"/>
          <w:sz w:val="15"/>
          <w:szCs w:val="15"/>
          <w:color w:val="auto"/>
        </w:rPr>
        <w:t>®</w:t>
      </w:r>
      <w:r>
        <w:rPr>
          <w:rFonts w:ascii="Arial" w:cs="Arial" w:eastAsia="Arial" w:hAnsi="Arial"/>
          <w:sz w:val="18"/>
          <w:szCs w:val="18"/>
          <w:color w:val="auto"/>
        </w:rPr>
        <w:t xml:space="preserve"> brand names in the United States, as well as other labels. These products include potting mix, garden soils, seeding soil, topsoil, manures, sphagnum peat and decorative barks and mulches. The addition of the Miracle-Gro</w:t>
      </w:r>
      <w:r>
        <w:rPr>
          <w:rFonts w:ascii="Arial" w:cs="Arial" w:eastAsia="Arial" w:hAnsi="Arial"/>
          <w:sz w:val="15"/>
          <w:szCs w:val="15"/>
          <w:color w:val="auto"/>
        </w:rPr>
        <w:t>®</w:t>
      </w:r>
      <w:r>
        <w:rPr>
          <w:rFonts w:ascii="Arial" w:cs="Arial" w:eastAsia="Arial" w:hAnsi="Arial"/>
          <w:sz w:val="18"/>
          <w:szCs w:val="18"/>
          <w:color w:val="auto"/>
        </w:rPr>
        <w:t xml:space="preserve"> and Scotts</w:t>
      </w:r>
      <w:r>
        <w:rPr>
          <w:rFonts w:ascii="Arial" w:cs="Arial" w:eastAsia="Arial" w:hAnsi="Arial"/>
          <w:sz w:val="15"/>
          <w:szCs w:val="15"/>
          <w:color w:val="auto"/>
        </w:rPr>
        <w:t>®</w:t>
      </w:r>
      <w:r>
        <w:rPr>
          <w:rFonts w:ascii="Arial" w:cs="Arial" w:eastAsia="Arial" w:hAnsi="Arial"/>
          <w:sz w:val="18"/>
          <w:szCs w:val="18"/>
          <w:color w:val="auto"/>
        </w:rPr>
        <w:t xml:space="preserve"> brand names plus plant food to higher quality potting mixes, garden soils and seeding soil has turned previously low-margin commodity products into value-added category leaders. The introduction of the Moisture Control</w:t>
      </w:r>
      <w:r>
        <w:rPr>
          <w:rFonts w:ascii="Arial" w:cs="Arial" w:eastAsia="Arial" w:hAnsi="Arial"/>
          <w:sz w:val="15"/>
          <w:szCs w:val="15"/>
          <w:color w:val="auto"/>
        </w:rPr>
        <w:t>®</w:t>
      </w:r>
      <w:r>
        <w:rPr>
          <w:rFonts w:ascii="Arial" w:cs="Arial" w:eastAsia="Arial" w:hAnsi="Arial"/>
          <w:sz w:val="18"/>
          <w:szCs w:val="18"/>
          <w:color w:val="auto"/>
        </w:rPr>
        <w:t>, Organic Choice</w:t>
      </w:r>
      <w:r>
        <w:rPr>
          <w:rFonts w:ascii="Arial" w:cs="Arial" w:eastAsia="Arial" w:hAnsi="Arial"/>
          <w:sz w:val="15"/>
          <w:szCs w:val="15"/>
          <w:color w:val="auto"/>
        </w:rPr>
        <w:t>®</w:t>
      </w:r>
      <w:r>
        <w:rPr>
          <w:rFonts w:ascii="Arial" w:cs="Arial" w:eastAsia="Arial" w:hAnsi="Arial"/>
          <w:sz w:val="18"/>
          <w:szCs w:val="18"/>
          <w:color w:val="auto"/>
        </w:rPr>
        <w:t xml:space="preserve"> and Nature Scapes</w:t>
      </w:r>
      <w:r>
        <w:rPr>
          <w:rFonts w:ascii="Arial" w:cs="Arial" w:eastAsia="Arial" w:hAnsi="Arial"/>
          <w:sz w:val="15"/>
          <w:szCs w:val="15"/>
          <w:color w:val="auto"/>
        </w:rPr>
        <w:t>®</w:t>
      </w:r>
      <w:r>
        <w:rPr>
          <w:rFonts w:ascii="Arial" w:cs="Arial" w:eastAsia="Arial" w:hAnsi="Arial"/>
          <w:sz w:val="18"/>
          <w:szCs w:val="18"/>
          <w:color w:val="auto"/>
        </w:rPr>
        <w:t xml:space="preserve"> line extensions has provided further innovation and differentiation of our products in the marketplace. This same strategy is being employed in Europe, where the Miracle-Gro</w:t>
      </w:r>
      <w:r>
        <w:rPr>
          <w:rFonts w:ascii="Arial" w:cs="Arial" w:eastAsia="Arial" w:hAnsi="Arial"/>
          <w:sz w:val="15"/>
          <w:szCs w:val="15"/>
          <w:color w:val="auto"/>
        </w:rPr>
        <w:t>®</w:t>
      </w:r>
      <w:r>
        <w:rPr>
          <w:rFonts w:ascii="Arial" w:cs="Arial" w:eastAsia="Arial" w:hAnsi="Arial"/>
          <w:sz w:val="18"/>
          <w:szCs w:val="18"/>
          <w:color w:val="auto"/>
        </w:rPr>
        <w:t xml:space="preserve"> brand, as well as the Levington</w:t>
      </w:r>
      <w:r>
        <w:rPr>
          <w:rFonts w:ascii="Arial" w:cs="Arial" w:eastAsia="Arial" w:hAnsi="Arial"/>
          <w:sz w:val="15"/>
          <w:szCs w:val="15"/>
          <w:color w:val="auto"/>
        </w:rPr>
        <w:t>®</w:t>
      </w:r>
      <w:r>
        <w:rPr>
          <w:rFonts w:ascii="Arial" w:cs="Arial" w:eastAsia="Arial" w:hAnsi="Arial"/>
          <w:sz w:val="18"/>
          <w:szCs w:val="18"/>
          <w:color w:val="auto"/>
        </w:rPr>
        <w:t>, Fertiligène</w:t>
      </w:r>
      <w:r>
        <w:rPr>
          <w:rFonts w:ascii="Arial" w:cs="Arial" w:eastAsia="Arial" w:hAnsi="Arial"/>
          <w:sz w:val="15"/>
          <w:szCs w:val="15"/>
          <w:color w:val="auto"/>
        </w:rPr>
        <w:t>®</w:t>
      </w:r>
      <w:r>
        <w:rPr>
          <w:rFonts w:ascii="Arial" w:cs="Arial" w:eastAsia="Arial" w:hAnsi="Arial"/>
          <w:sz w:val="18"/>
          <w:szCs w:val="18"/>
          <w:color w:val="auto"/>
        </w:rPr>
        <w:t>, KB</w:t>
      </w:r>
      <w:r>
        <w:rPr>
          <w:rFonts w:ascii="Arial" w:cs="Arial" w:eastAsia="Arial" w:hAnsi="Arial"/>
          <w:sz w:val="15"/>
          <w:szCs w:val="15"/>
          <w:color w:val="auto"/>
        </w:rPr>
        <w:t>®</w:t>
      </w:r>
      <w:r>
        <w:rPr>
          <w:rFonts w:ascii="Arial" w:cs="Arial" w:eastAsia="Arial" w:hAnsi="Arial"/>
          <w:sz w:val="18"/>
          <w:szCs w:val="18"/>
          <w:color w:val="auto"/>
        </w:rPr>
        <w:t xml:space="preserve"> and Substral</w:t>
      </w:r>
      <w:r>
        <w:rPr>
          <w:rFonts w:ascii="Arial" w:cs="Arial" w:eastAsia="Arial" w:hAnsi="Arial"/>
          <w:sz w:val="15"/>
          <w:szCs w:val="15"/>
          <w:color w:val="auto"/>
        </w:rPr>
        <w:t>®</w:t>
      </w:r>
      <w:r>
        <w:rPr>
          <w:rFonts w:ascii="Arial" w:cs="Arial" w:eastAsia="Arial" w:hAnsi="Arial"/>
          <w:sz w:val="18"/>
          <w:szCs w:val="18"/>
          <w:color w:val="auto"/>
        </w:rPr>
        <w:t xml:space="preserve"> brands, are being used to market growing media products.</w:t>
      </w:r>
    </w:p>
    <w:p>
      <w:pPr>
        <w:spacing w:after="0" w:line="86" w:lineRule="exact"/>
        <w:rPr>
          <w:sz w:val="20"/>
          <w:szCs w:val="20"/>
          <w:color w:val="auto"/>
        </w:rPr>
      </w:pPr>
    </w:p>
    <w:p>
      <w:pPr>
        <w:ind w:left="700" w:right="100" w:firstLine="301"/>
        <w:spacing w:after="0" w:line="276" w:lineRule="auto"/>
        <w:rPr>
          <w:sz w:val="20"/>
          <w:szCs w:val="20"/>
          <w:color w:val="auto"/>
        </w:rPr>
      </w:pPr>
      <w:r>
        <w:rPr>
          <w:rFonts w:ascii="Arial" w:cs="Arial" w:eastAsia="Arial" w:hAnsi="Arial"/>
          <w:sz w:val="16"/>
          <w:szCs w:val="16"/>
          <w:b w:val="1"/>
          <w:bCs w:val="1"/>
          <w:color w:val="auto"/>
        </w:rPr>
        <w:t xml:space="preserve">Grass Seed: </w:t>
      </w:r>
      <w:r>
        <w:rPr>
          <w:rFonts w:ascii="Arial" w:cs="Arial" w:eastAsia="Arial" w:hAnsi="Arial"/>
          <w:sz w:val="18"/>
          <w:szCs w:val="18"/>
          <w:color w:val="auto"/>
        </w:rPr>
        <w:t>We offer a broad line of grass seed products for consumers. Our leading grass seed products are sold under</w:t>
      </w:r>
      <w:r>
        <w:rPr>
          <w:rFonts w:ascii="Arial" w:cs="Arial" w:eastAsia="Arial" w:hAnsi="Arial"/>
          <w:sz w:val="16"/>
          <w:szCs w:val="16"/>
          <w:b w:val="1"/>
          <w:bCs w:val="1"/>
          <w:color w:val="auto"/>
        </w:rPr>
        <w:t xml:space="preserve"> </w:t>
      </w:r>
      <w:r>
        <w:rPr>
          <w:rFonts w:ascii="Arial" w:cs="Arial" w:eastAsia="Arial" w:hAnsi="Arial"/>
          <w:sz w:val="18"/>
          <w:szCs w:val="18"/>
          <w:color w:val="auto"/>
        </w:rPr>
        <w:t>the Scotts</w:t>
      </w:r>
      <w:r>
        <w:rPr>
          <w:rFonts w:ascii="Arial" w:cs="Arial" w:eastAsia="Arial" w:hAnsi="Arial"/>
          <w:sz w:val="15"/>
          <w:szCs w:val="15"/>
          <w:color w:val="auto"/>
        </w:rPr>
        <w:t>®</w:t>
      </w:r>
      <w:r>
        <w:rPr>
          <w:rFonts w:ascii="Arial" w:cs="Arial" w:eastAsia="Arial" w:hAnsi="Arial"/>
          <w:sz w:val="18"/>
          <w:szCs w:val="18"/>
          <w:color w:val="auto"/>
        </w:rPr>
        <w:t xml:space="preserve"> Pure Premium</w:t>
      </w:r>
      <w:r>
        <w:rPr>
          <w:rFonts w:ascii="Arial" w:cs="Arial" w:eastAsia="Arial" w:hAnsi="Arial"/>
          <w:sz w:val="15"/>
          <w:szCs w:val="15"/>
          <w:color w:val="auto"/>
        </w:rPr>
        <w:t>®</w:t>
      </w:r>
      <w:r>
        <w:rPr>
          <w:rFonts w:ascii="Arial" w:cs="Arial" w:eastAsia="Arial" w:hAnsi="Arial"/>
          <w:sz w:val="18"/>
          <w:szCs w:val="18"/>
          <w:color w:val="auto"/>
        </w:rPr>
        <w:t>, Classic</w:t>
      </w:r>
      <w:r>
        <w:rPr>
          <w:rFonts w:ascii="Arial" w:cs="Arial" w:eastAsia="Arial" w:hAnsi="Arial"/>
          <w:sz w:val="15"/>
          <w:szCs w:val="15"/>
          <w:color w:val="auto"/>
        </w:rPr>
        <w:t>®</w:t>
      </w:r>
      <w:r>
        <w:rPr>
          <w:rFonts w:ascii="Arial" w:cs="Arial" w:eastAsia="Arial" w:hAnsi="Arial"/>
          <w:sz w:val="18"/>
          <w:szCs w:val="18"/>
          <w:color w:val="auto"/>
        </w:rPr>
        <w:t>, Turf Builder</w:t>
      </w:r>
      <w:r>
        <w:rPr>
          <w:rFonts w:ascii="Arial" w:cs="Arial" w:eastAsia="Arial" w:hAnsi="Arial"/>
          <w:sz w:val="15"/>
          <w:szCs w:val="15"/>
          <w:color w:val="auto"/>
        </w:rPr>
        <w:t>®</w:t>
      </w:r>
      <w:r>
        <w:rPr>
          <w:rFonts w:ascii="Arial" w:cs="Arial" w:eastAsia="Arial" w:hAnsi="Arial"/>
          <w:sz w:val="18"/>
          <w:szCs w:val="18"/>
          <w:color w:val="auto"/>
        </w:rPr>
        <w:t xml:space="preserve"> and PatchMaster</w:t>
      </w:r>
      <w:r>
        <w:rPr>
          <w:rFonts w:ascii="Arial" w:cs="Arial" w:eastAsia="Arial" w:hAnsi="Arial"/>
          <w:sz w:val="15"/>
          <w:szCs w:val="15"/>
          <w:color w:val="auto"/>
        </w:rPr>
        <w:t>®</w:t>
      </w:r>
      <w:r>
        <w:rPr>
          <w:rFonts w:ascii="Arial" w:cs="Arial" w:eastAsia="Arial" w:hAnsi="Arial"/>
          <w:sz w:val="18"/>
          <w:szCs w:val="18"/>
          <w:color w:val="auto"/>
        </w:rPr>
        <w:t xml:space="preserve"> brand names in the consumer market.</w:t>
      </w:r>
    </w:p>
    <w:p>
      <w:pPr>
        <w:spacing w:after="0" w:line="51" w:lineRule="exact"/>
        <w:rPr>
          <w:sz w:val="20"/>
          <w:szCs w:val="20"/>
          <w:color w:val="auto"/>
        </w:rPr>
      </w:pPr>
    </w:p>
    <w:p>
      <w:pPr>
        <w:ind w:left="700" w:right="80" w:firstLine="301"/>
        <w:spacing w:after="0" w:line="243" w:lineRule="auto"/>
        <w:rPr>
          <w:sz w:val="20"/>
          <w:szCs w:val="20"/>
          <w:color w:val="auto"/>
        </w:rPr>
      </w:pPr>
      <w:r>
        <w:rPr>
          <w:rFonts w:ascii="Arial" w:cs="Arial" w:eastAsia="Arial" w:hAnsi="Arial"/>
          <w:sz w:val="16"/>
          <w:szCs w:val="16"/>
          <w:b w:val="1"/>
          <w:bCs w:val="1"/>
          <w:color w:val="auto"/>
        </w:rPr>
        <w:t xml:space="preserve">Controls: </w:t>
      </w:r>
      <w:r>
        <w:rPr>
          <w:rFonts w:ascii="Arial" w:cs="Arial" w:eastAsia="Arial" w:hAnsi="Arial"/>
          <w:sz w:val="18"/>
          <w:szCs w:val="18"/>
          <w:color w:val="auto"/>
        </w:rPr>
        <w:t>A broad line of weed control, indoor and outdoor pest control and plant disease control products is marketed</w:t>
      </w:r>
      <w:r>
        <w:rPr>
          <w:rFonts w:ascii="Arial" w:cs="Arial" w:eastAsia="Arial" w:hAnsi="Arial"/>
          <w:sz w:val="16"/>
          <w:szCs w:val="16"/>
          <w:b w:val="1"/>
          <w:bCs w:val="1"/>
          <w:color w:val="auto"/>
        </w:rPr>
        <w:t xml:space="preserve"> </w:t>
      </w:r>
      <w:r>
        <w:rPr>
          <w:rFonts w:ascii="Arial" w:cs="Arial" w:eastAsia="Arial" w:hAnsi="Arial"/>
          <w:sz w:val="18"/>
          <w:szCs w:val="18"/>
          <w:color w:val="auto"/>
        </w:rPr>
        <w:t>under the Ortho</w:t>
      </w:r>
      <w:r>
        <w:rPr>
          <w:rFonts w:ascii="Arial" w:cs="Arial" w:eastAsia="Arial" w:hAnsi="Arial"/>
          <w:sz w:val="15"/>
          <w:szCs w:val="15"/>
          <w:color w:val="auto"/>
        </w:rPr>
        <w:t>®</w:t>
      </w:r>
      <w:r>
        <w:rPr>
          <w:rFonts w:ascii="Arial" w:cs="Arial" w:eastAsia="Arial" w:hAnsi="Arial"/>
          <w:sz w:val="18"/>
          <w:szCs w:val="18"/>
          <w:color w:val="auto"/>
        </w:rPr>
        <w:t xml:space="preserve"> brand name in the United States. Ortho</w:t>
      </w:r>
      <w:r>
        <w:rPr>
          <w:rFonts w:ascii="Arial" w:cs="Arial" w:eastAsia="Arial" w:hAnsi="Arial"/>
          <w:sz w:val="15"/>
          <w:szCs w:val="15"/>
          <w:color w:val="auto"/>
        </w:rPr>
        <w:t>®</w:t>
      </w:r>
      <w:r>
        <w:rPr>
          <w:rFonts w:ascii="Arial" w:cs="Arial" w:eastAsia="Arial" w:hAnsi="Arial"/>
          <w:sz w:val="18"/>
          <w:szCs w:val="18"/>
          <w:color w:val="auto"/>
        </w:rPr>
        <w:t xml:space="preserve"> products are available in aerosol, ready-to-use liquid, concentrated, granular and dust forms. Ortho</w:t>
      </w:r>
      <w:r>
        <w:rPr>
          <w:rFonts w:ascii="Arial" w:cs="Arial" w:eastAsia="Arial" w:hAnsi="Arial"/>
          <w:sz w:val="15"/>
          <w:szCs w:val="15"/>
          <w:color w:val="auto"/>
        </w:rPr>
        <w:t>®</w:t>
      </w:r>
      <w:r>
        <w:rPr>
          <w:rFonts w:ascii="Arial" w:cs="Arial" w:eastAsia="Arial" w:hAnsi="Arial"/>
          <w:sz w:val="18"/>
          <w:szCs w:val="18"/>
          <w:color w:val="auto"/>
        </w:rPr>
        <w:t xml:space="preserve"> control products include Weed-B-Gon MAX</w:t>
      </w:r>
      <w:r>
        <w:rPr>
          <w:rFonts w:ascii="Arial" w:cs="Arial" w:eastAsia="Arial" w:hAnsi="Arial"/>
          <w:sz w:val="15"/>
          <w:szCs w:val="15"/>
          <w:color w:val="auto"/>
        </w:rPr>
        <w:t>®</w:t>
      </w:r>
      <w:r>
        <w:rPr>
          <w:rFonts w:ascii="Arial" w:cs="Arial" w:eastAsia="Arial" w:hAnsi="Arial"/>
          <w:sz w:val="18"/>
          <w:szCs w:val="18"/>
          <w:color w:val="auto"/>
        </w:rPr>
        <w:t>, Bug-B-Gon MAX</w:t>
      </w:r>
      <w:r>
        <w:rPr>
          <w:rFonts w:ascii="Arial" w:cs="Arial" w:eastAsia="Arial" w:hAnsi="Arial"/>
          <w:sz w:val="15"/>
          <w:szCs w:val="15"/>
          <w:color w:val="auto"/>
        </w:rPr>
        <w:t>®</w:t>
      </w:r>
      <w:r>
        <w:rPr>
          <w:rFonts w:ascii="Arial" w:cs="Arial" w:eastAsia="Arial" w:hAnsi="Arial"/>
          <w:sz w:val="18"/>
          <w:szCs w:val="18"/>
          <w:color w:val="auto"/>
        </w:rPr>
        <w:t>, Home Defense MAX</w:t>
      </w:r>
      <w:r>
        <w:rPr>
          <w:rFonts w:ascii="Arial" w:cs="Arial" w:eastAsia="Arial" w:hAnsi="Arial"/>
          <w:sz w:val="15"/>
          <w:szCs w:val="15"/>
          <w:color w:val="auto"/>
        </w:rPr>
        <w:t>®</w:t>
      </w:r>
      <w:r>
        <w:rPr>
          <w:rFonts w:ascii="Arial" w:cs="Arial" w:eastAsia="Arial" w:hAnsi="Arial"/>
          <w:sz w:val="18"/>
          <w:szCs w:val="18"/>
          <w:color w:val="auto"/>
        </w:rPr>
        <w:t>, Ortho MAX</w:t>
      </w:r>
      <w:r>
        <w:rPr>
          <w:rFonts w:ascii="Arial" w:cs="Arial" w:eastAsia="Arial" w:hAnsi="Arial"/>
          <w:sz w:val="15"/>
          <w:szCs w:val="15"/>
          <w:color w:val="auto"/>
        </w:rPr>
        <w:t>®</w:t>
      </w:r>
      <w:r>
        <w:rPr>
          <w:rFonts w:ascii="Arial" w:cs="Arial" w:eastAsia="Arial" w:hAnsi="Arial"/>
          <w:sz w:val="18"/>
          <w:szCs w:val="18"/>
          <w:color w:val="auto"/>
        </w:rPr>
        <w:t>, GroundClear</w:t>
      </w:r>
      <w:r>
        <w:rPr>
          <w:rFonts w:ascii="Arial" w:cs="Arial" w:eastAsia="Arial" w:hAnsi="Arial"/>
          <w:sz w:val="15"/>
          <w:szCs w:val="15"/>
          <w:color w:val="auto"/>
        </w:rPr>
        <w:t>®</w:t>
      </w:r>
      <w:r>
        <w:rPr>
          <w:rFonts w:ascii="Arial" w:cs="Arial" w:eastAsia="Arial" w:hAnsi="Arial"/>
          <w:sz w:val="18"/>
          <w:szCs w:val="18"/>
          <w:color w:val="auto"/>
        </w:rPr>
        <w:t>, RosePride</w:t>
      </w:r>
      <w:r>
        <w:rPr>
          <w:rFonts w:ascii="Arial" w:cs="Arial" w:eastAsia="Arial" w:hAnsi="Arial"/>
          <w:sz w:val="15"/>
          <w:szCs w:val="15"/>
          <w:color w:val="auto"/>
        </w:rPr>
        <w:t>®</w:t>
      </w:r>
      <w:r>
        <w:rPr>
          <w:rFonts w:ascii="Arial" w:cs="Arial" w:eastAsia="Arial" w:hAnsi="Arial"/>
          <w:sz w:val="18"/>
          <w:szCs w:val="18"/>
          <w:color w:val="auto"/>
        </w:rPr>
        <w:t>, and Orthene</w:t>
      </w:r>
      <w:r>
        <w:rPr>
          <w:rFonts w:ascii="Arial" w:cs="Arial" w:eastAsia="Arial" w:hAnsi="Arial"/>
          <w:sz w:val="15"/>
          <w:szCs w:val="15"/>
          <w:color w:val="auto"/>
        </w:rPr>
        <w:t>®</w:t>
      </w:r>
      <w:r>
        <w:rPr>
          <w:rFonts w:ascii="Arial" w:cs="Arial" w:eastAsia="Arial" w:hAnsi="Arial"/>
          <w:sz w:val="18"/>
          <w:szCs w:val="18"/>
          <w:color w:val="auto"/>
        </w:rPr>
        <w:t xml:space="preserve"> Fire Ant Killer. In Europe, the Company markets an extensive line of control products under a variety of brand names, including Weedol</w:t>
      </w:r>
      <w:r>
        <w:rPr>
          <w:rFonts w:ascii="Arial" w:cs="Arial" w:eastAsia="Arial" w:hAnsi="Arial"/>
          <w:sz w:val="15"/>
          <w:szCs w:val="15"/>
          <w:color w:val="auto"/>
        </w:rPr>
        <w:t>®</w:t>
      </w:r>
      <w:r>
        <w:rPr>
          <w:rFonts w:ascii="Arial" w:cs="Arial" w:eastAsia="Arial" w:hAnsi="Arial"/>
          <w:sz w:val="18"/>
          <w:szCs w:val="18"/>
          <w:color w:val="auto"/>
        </w:rPr>
        <w:t>, Pathclear</w:t>
      </w:r>
      <w:r>
        <w:rPr>
          <w:rFonts w:ascii="Arial" w:cs="Arial" w:eastAsia="Arial" w:hAnsi="Arial"/>
          <w:sz w:val="15"/>
          <w:szCs w:val="15"/>
          <w:color w:val="auto"/>
        </w:rPr>
        <w:t>®</w:t>
      </w:r>
      <w:r>
        <w:rPr>
          <w:rFonts w:ascii="Arial" w:cs="Arial" w:eastAsia="Arial" w:hAnsi="Arial"/>
          <w:sz w:val="18"/>
          <w:szCs w:val="18"/>
          <w:color w:val="auto"/>
        </w:rPr>
        <w:t>, KB</w:t>
      </w:r>
      <w:r>
        <w:rPr>
          <w:rFonts w:ascii="Arial" w:cs="Arial" w:eastAsia="Arial" w:hAnsi="Arial"/>
          <w:sz w:val="15"/>
          <w:szCs w:val="15"/>
          <w:color w:val="auto"/>
        </w:rPr>
        <w:t>®</w:t>
      </w:r>
      <w:r>
        <w:rPr>
          <w:rFonts w:ascii="Arial" w:cs="Arial" w:eastAsia="Arial" w:hAnsi="Arial"/>
          <w:sz w:val="18"/>
          <w:szCs w:val="18"/>
          <w:color w:val="auto"/>
        </w:rPr>
        <w:t>, Fertiligéne</w:t>
      </w:r>
      <w:r>
        <w:rPr>
          <w:rFonts w:ascii="Arial" w:cs="Arial" w:eastAsia="Arial" w:hAnsi="Arial"/>
          <w:sz w:val="15"/>
          <w:szCs w:val="15"/>
          <w:color w:val="auto"/>
        </w:rPr>
        <w:t>®</w:t>
      </w:r>
      <w:r>
        <w:rPr>
          <w:rFonts w:ascii="Arial" w:cs="Arial" w:eastAsia="Arial" w:hAnsi="Arial"/>
          <w:sz w:val="18"/>
          <w:szCs w:val="18"/>
          <w:color w:val="auto"/>
        </w:rPr>
        <w:t>, Celaflor</w:t>
      </w:r>
      <w:r>
        <w:rPr>
          <w:rFonts w:ascii="Arial" w:cs="Arial" w:eastAsia="Arial" w:hAnsi="Arial"/>
          <w:sz w:val="15"/>
          <w:szCs w:val="15"/>
          <w:color w:val="auto"/>
        </w:rPr>
        <w:t>®</w:t>
      </w:r>
      <w:r>
        <w:rPr>
          <w:rFonts w:ascii="Arial" w:cs="Arial" w:eastAsia="Arial" w:hAnsi="Arial"/>
          <w:sz w:val="18"/>
          <w:szCs w:val="18"/>
          <w:color w:val="auto"/>
        </w:rPr>
        <w:t xml:space="preserve"> and Nexa Lotte</w:t>
      </w:r>
      <w:r>
        <w:rPr>
          <w:rFonts w:ascii="Arial" w:cs="Arial" w:eastAsia="Arial" w:hAnsi="Arial"/>
          <w:sz w:val="15"/>
          <w:szCs w:val="15"/>
          <w:color w:val="auto"/>
        </w:rPr>
        <w:t>®</w:t>
      </w:r>
      <w:r>
        <w:rPr>
          <w:rFonts w:ascii="Arial" w:cs="Arial" w:eastAsia="Arial" w:hAnsi="Arial"/>
          <w:sz w:val="18"/>
          <w:szCs w:val="18"/>
          <w:color w:val="auto"/>
        </w:rPr>
        <w:t>.</w:t>
      </w:r>
    </w:p>
    <w:p>
      <w:pPr>
        <w:spacing w:after="0" w:line="80" w:lineRule="exact"/>
        <w:rPr>
          <w:sz w:val="20"/>
          <w:szCs w:val="20"/>
          <w:color w:val="auto"/>
        </w:rPr>
      </w:pPr>
    </w:p>
    <w:p>
      <w:pPr>
        <w:jc w:val="both"/>
        <w:ind w:left="700" w:right="220" w:firstLine="402"/>
        <w:spacing w:after="0" w:line="255" w:lineRule="auto"/>
        <w:rPr>
          <w:sz w:val="20"/>
          <w:szCs w:val="20"/>
          <w:color w:val="auto"/>
        </w:rPr>
      </w:pPr>
      <w:r>
        <w:rPr>
          <w:rFonts w:ascii="Arial" w:cs="Arial" w:eastAsia="Arial" w:hAnsi="Arial"/>
          <w:sz w:val="18"/>
          <w:szCs w:val="18"/>
          <w:color w:val="auto"/>
        </w:rPr>
        <w:t>In fiscal 1999, the Company entered into a long-term marketing agreement with Monsanto Company (“Monsanto”) and became Monsanto’s exclusive agent for the marketing and distribution of Roundup</w:t>
      </w:r>
      <w:r>
        <w:rPr>
          <w:rFonts w:ascii="Arial" w:cs="Arial" w:eastAsia="Arial" w:hAnsi="Arial"/>
          <w:sz w:val="15"/>
          <w:szCs w:val="15"/>
          <w:color w:val="auto"/>
        </w:rPr>
        <w:t>®</w:t>
      </w:r>
      <w:r>
        <w:rPr>
          <w:rFonts w:ascii="Arial" w:cs="Arial" w:eastAsia="Arial" w:hAnsi="Arial"/>
          <w:sz w:val="18"/>
          <w:szCs w:val="18"/>
          <w:color w:val="auto"/>
        </w:rPr>
        <w:t xml:space="preserve"> non-selective herbicide products in the consumer lawn and garden market within the United States and other</w:t>
      </w:r>
    </w:p>
    <w:p>
      <w:pPr>
        <w:spacing w:after="0" w:line="10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1"/>
          <w:szCs w:val="11"/>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-78105</wp:posOffset>
            </wp:positionV>
            <wp:extent cx="1974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20"/>
          </w:cols>
          <w:pgMar w:left="240" w:top="415" w:right="9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hyperlink w:anchor="page6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700" w:right="360"/>
        <w:spacing w:after="0" w:line="255" w:lineRule="auto"/>
        <w:rPr>
          <w:sz w:val="20"/>
          <w:szCs w:val="20"/>
          <w:color w:val="auto"/>
        </w:rPr>
      </w:pPr>
      <w:r>
        <w:rPr>
          <w:rFonts w:ascii="Arial" w:cs="Arial" w:eastAsia="Arial" w:hAnsi="Arial"/>
          <w:sz w:val="18"/>
          <w:szCs w:val="18"/>
          <w:color w:val="auto"/>
        </w:rPr>
        <w:t>specified countries, including Australia, Austria, Belgium, Canada, France, Germany, the Netherlands and the United Kingdom. (See the “Roundup</w:t>
      </w:r>
      <w:r>
        <w:rPr>
          <w:rFonts w:ascii="Arial" w:cs="Arial" w:eastAsia="Arial" w:hAnsi="Arial"/>
          <w:sz w:val="15"/>
          <w:szCs w:val="15"/>
          <w:color w:val="auto"/>
        </w:rPr>
        <w:t>®</w:t>
      </w:r>
      <w:r>
        <w:rPr>
          <w:rFonts w:ascii="Arial" w:cs="Arial" w:eastAsia="Arial" w:hAnsi="Arial"/>
          <w:sz w:val="18"/>
          <w:szCs w:val="18"/>
          <w:color w:val="auto"/>
        </w:rPr>
        <w:t xml:space="preserve"> Marketing Agreement” discussion later in this Item 1 for a more detailed explanation of the Company’s agreement with Monsanto.)</w:t>
      </w:r>
    </w:p>
    <w:p>
      <w:pPr>
        <w:spacing w:after="0" w:line="69" w:lineRule="exact"/>
        <w:rPr>
          <w:sz w:val="20"/>
          <w:szCs w:val="20"/>
          <w:color w:val="auto"/>
        </w:rPr>
      </w:pPr>
    </w:p>
    <w:p>
      <w:pPr>
        <w:jc w:val="both"/>
        <w:ind w:left="700" w:right="220" w:firstLine="301"/>
        <w:spacing w:after="0" w:line="256" w:lineRule="auto"/>
        <w:rPr>
          <w:sz w:val="20"/>
          <w:szCs w:val="20"/>
          <w:color w:val="auto"/>
        </w:rPr>
      </w:pPr>
      <w:r>
        <w:rPr>
          <w:rFonts w:ascii="Arial" w:cs="Arial" w:eastAsia="Arial" w:hAnsi="Arial"/>
          <w:sz w:val="16"/>
          <w:szCs w:val="16"/>
          <w:b w:val="1"/>
          <w:bCs w:val="1"/>
          <w:color w:val="auto"/>
        </w:rPr>
        <w:t xml:space="preserve">Wild Bird Food: </w:t>
      </w:r>
      <w:r>
        <w:rPr>
          <w:rFonts w:ascii="Arial" w:cs="Arial" w:eastAsia="Arial" w:hAnsi="Arial"/>
          <w:sz w:val="18"/>
          <w:szCs w:val="18"/>
          <w:color w:val="auto"/>
        </w:rPr>
        <w:t>In November 2005, the Company acquired Gutwein and its Morning Song</w:t>
      </w:r>
      <w:r>
        <w:rPr>
          <w:rFonts w:ascii="Arial" w:cs="Arial" w:eastAsia="Arial" w:hAnsi="Arial"/>
          <w:sz w:val="15"/>
          <w:szCs w:val="15"/>
          <w:color w:val="auto"/>
        </w:rPr>
        <w:t>®</w:t>
      </w:r>
      <w:r>
        <w:rPr>
          <w:rFonts w:ascii="Arial" w:cs="Arial" w:eastAsia="Arial" w:hAnsi="Arial"/>
          <w:sz w:val="16"/>
          <w:szCs w:val="16"/>
          <w:b w:val="1"/>
          <w:bCs w:val="1"/>
          <w:color w:val="auto"/>
        </w:rPr>
        <w:t xml:space="preserve"> </w:t>
      </w:r>
      <w:r>
        <w:rPr>
          <w:rFonts w:ascii="Arial" w:cs="Arial" w:eastAsia="Arial" w:hAnsi="Arial"/>
          <w:sz w:val="18"/>
          <w:szCs w:val="18"/>
          <w:color w:val="auto"/>
        </w:rPr>
        <w:t>brand of products. Morning</w:t>
      </w:r>
      <w:r>
        <w:rPr>
          <w:rFonts w:ascii="Arial" w:cs="Arial" w:eastAsia="Arial" w:hAnsi="Arial"/>
          <w:sz w:val="16"/>
          <w:szCs w:val="16"/>
          <w:b w:val="1"/>
          <w:bCs w:val="1"/>
          <w:color w:val="auto"/>
        </w:rPr>
        <w:t xml:space="preserve"> </w:t>
      </w:r>
      <w:r>
        <w:rPr>
          <w:rFonts w:ascii="Arial" w:cs="Arial" w:eastAsia="Arial" w:hAnsi="Arial"/>
          <w:sz w:val="18"/>
          <w:szCs w:val="18"/>
          <w:color w:val="auto"/>
        </w:rPr>
        <w:t>Song</w:t>
      </w:r>
      <w:r>
        <w:rPr>
          <w:rFonts w:ascii="Arial" w:cs="Arial" w:eastAsia="Arial" w:hAnsi="Arial"/>
          <w:sz w:val="15"/>
          <w:szCs w:val="15"/>
          <w:color w:val="auto"/>
        </w:rPr>
        <w:t>®</w:t>
      </w:r>
      <w:r>
        <w:rPr>
          <w:rFonts w:ascii="Arial" w:cs="Arial" w:eastAsia="Arial" w:hAnsi="Arial"/>
          <w:sz w:val="18"/>
          <w:szCs w:val="18"/>
          <w:color w:val="auto"/>
        </w:rPr>
        <w:t xml:space="preserve"> products are sold at leading mass retailers, grocery, pet and general merchandise stores. The Company launched a Scotts</w:t>
      </w:r>
      <w:r>
        <w:rPr>
          <w:rFonts w:ascii="Arial" w:cs="Arial" w:eastAsia="Arial" w:hAnsi="Arial"/>
          <w:sz w:val="15"/>
          <w:szCs w:val="15"/>
          <w:color w:val="auto"/>
        </w:rPr>
        <w:t>®</w:t>
      </w:r>
      <w:r>
        <w:rPr>
          <w:rFonts w:ascii="Arial" w:cs="Arial" w:eastAsia="Arial" w:hAnsi="Arial"/>
          <w:sz w:val="18"/>
          <w:szCs w:val="18"/>
          <w:color w:val="auto"/>
        </w:rPr>
        <w:t xml:space="preserve"> branded line of wild bird food in fiscal 2007, with premium blends and innovative packaging.</w:t>
      </w:r>
    </w:p>
    <w:p>
      <w:pPr>
        <w:spacing w:after="0" w:line="67" w:lineRule="exact"/>
        <w:rPr>
          <w:sz w:val="20"/>
          <w:szCs w:val="20"/>
          <w:color w:val="auto"/>
        </w:rPr>
      </w:pPr>
    </w:p>
    <w:p>
      <w:pPr>
        <w:ind w:left="700" w:right="80" w:firstLine="301"/>
        <w:spacing w:after="0" w:line="245" w:lineRule="auto"/>
        <w:rPr>
          <w:sz w:val="20"/>
          <w:szCs w:val="20"/>
          <w:color w:val="auto"/>
        </w:rPr>
      </w:pPr>
      <w:r>
        <w:rPr>
          <w:rFonts w:ascii="Arial" w:cs="Arial" w:eastAsia="Arial" w:hAnsi="Arial"/>
          <w:sz w:val="16"/>
          <w:szCs w:val="16"/>
          <w:b w:val="1"/>
          <w:bCs w:val="1"/>
          <w:color w:val="auto"/>
        </w:rPr>
        <w:t xml:space="preserve">Other Consumer Products: </w:t>
      </w:r>
      <w:r>
        <w:rPr>
          <w:rFonts w:ascii="Arial" w:cs="Arial" w:eastAsia="Arial" w:hAnsi="Arial"/>
          <w:sz w:val="18"/>
          <w:szCs w:val="18"/>
          <w:color w:val="auto"/>
        </w:rPr>
        <w:t>The Company also manufactures and markets several lines of high-quality lawn spreaders</w:t>
      </w:r>
      <w:r>
        <w:rPr>
          <w:rFonts w:ascii="Arial" w:cs="Arial" w:eastAsia="Arial" w:hAnsi="Arial"/>
          <w:sz w:val="16"/>
          <w:szCs w:val="16"/>
          <w:b w:val="1"/>
          <w:bCs w:val="1"/>
          <w:color w:val="auto"/>
        </w:rPr>
        <w:t xml:space="preserve"> </w:t>
      </w:r>
      <w:r>
        <w:rPr>
          <w:rFonts w:ascii="Arial" w:cs="Arial" w:eastAsia="Arial" w:hAnsi="Arial"/>
          <w:sz w:val="18"/>
          <w:szCs w:val="18"/>
          <w:color w:val="auto"/>
        </w:rPr>
        <w:t>under the Scotts</w:t>
      </w:r>
      <w:r>
        <w:rPr>
          <w:rFonts w:ascii="Arial" w:cs="Arial" w:eastAsia="Arial" w:hAnsi="Arial"/>
          <w:sz w:val="15"/>
          <w:szCs w:val="15"/>
          <w:color w:val="auto"/>
        </w:rPr>
        <w:t>®</w:t>
      </w:r>
      <w:r>
        <w:rPr>
          <w:rFonts w:ascii="Arial" w:cs="Arial" w:eastAsia="Arial" w:hAnsi="Arial"/>
          <w:sz w:val="18"/>
          <w:szCs w:val="18"/>
          <w:color w:val="auto"/>
        </w:rPr>
        <w:t xml:space="preserve"> brand name - Deluxe EdgeGuard</w:t>
      </w:r>
      <w:r>
        <w:rPr>
          <w:rFonts w:ascii="Arial" w:cs="Arial" w:eastAsia="Arial" w:hAnsi="Arial"/>
          <w:sz w:val="15"/>
          <w:szCs w:val="15"/>
          <w:color w:val="auto"/>
        </w:rPr>
        <w:t>®</w:t>
      </w:r>
      <w:r>
        <w:rPr>
          <w:rFonts w:ascii="Arial" w:cs="Arial" w:eastAsia="Arial" w:hAnsi="Arial"/>
          <w:sz w:val="18"/>
          <w:szCs w:val="18"/>
          <w:color w:val="auto"/>
        </w:rPr>
        <w:t xml:space="preserve"> spreaders, AccuGreen</w:t>
      </w:r>
      <w:r>
        <w:rPr>
          <w:rFonts w:ascii="Arial" w:cs="Arial" w:eastAsia="Arial" w:hAnsi="Arial"/>
          <w:sz w:val="15"/>
          <w:szCs w:val="15"/>
          <w:color w:val="auto"/>
        </w:rPr>
        <w:t>®</w:t>
      </w:r>
      <w:r>
        <w:rPr>
          <w:rFonts w:ascii="Arial" w:cs="Arial" w:eastAsia="Arial" w:hAnsi="Arial"/>
          <w:sz w:val="18"/>
          <w:szCs w:val="18"/>
          <w:color w:val="auto"/>
        </w:rPr>
        <w:t xml:space="preserve"> drop spreaders and Handy Green</w:t>
      </w:r>
      <w:r>
        <w:rPr>
          <w:rFonts w:ascii="Arial" w:cs="Arial" w:eastAsia="Arial" w:hAnsi="Arial"/>
          <w:sz w:val="15"/>
          <w:szCs w:val="15"/>
          <w:color w:val="auto"/>
        </w:rPr>
        <w:t>®</w:t>
      </w:r>
      <w:r>
        <w:rPr>
          <w:rFonts w:ascii="Arial" w:cs="Arial" w:eastAsia="Arial" w:hAnsi="Arial"/>
          <w:sz w:val="18"/>
          <w:szCs w:val="18"/>
          <w:color w:val="auto"/>
        </w:rPr>
        <w:t>II handheld spreaders. We sell a line of hose-end applicators for water-soluble plant foods such as Miracle-Gro</w:t>
      </w:r>
      <w:r>
        <w:rPr>
          <w:rFonts w:ascii="Arial" w:cs="Arial" w:eastAsia="Arial" w:hAnsi="Arial"/>
          <w:sz w:val="15"/>
          <w:szCs w:val="15"/>
          <w:color w:val="auto"/>
        </w:rPr>
        <w:t>®</w:t>
      </w:r>
      <w:r>
        <w:rPr>
          <w:rFonts w:ascii="Arial" w:cs="Arial" w:eastAsia="Arial" w:hAnsi="Arial"/>
          <w:sz w:val="18"/>
          <w:szCs w:val="18"/>
          <w:color w:val="auto"/>
        </w:rPr>
        <w:t xml:space="preserve"> products, and lines of applicators under the Ortho</w:t>
      </w:r>
      <w:r>
        <w:rPr>
          <w:rFonts w:ascii="Arial" w:cs="Arial" w:eastAsia="Arial" w:hAnsi="Arial"/>
          <w:sz w:val="15"/>
          <w:szCs w:val="15"/>
          <w:color w:val="auto"/>
        </w:rPr>
        <w:t>®</w:t>
      </w:r>
      <w:r>
        <w:rPr>
          <w:rFonts w:ascii="Arial" w:cs="Arial" w:eastAsia="Arial" w:hAnsi="Arial"/>
          <w:sz w:val="18"/>
          <w:szCs w:val="18"/>
          <w:color w:val="auto"/>
        </w:rPr>
        <w:t xml:space="preserve"> and Dial ’N Spray</w:t>
      </w:r>
      <w:r>
        <w:rPr>
          <w:rFonts w:ascii="Arial" w:cs="Arial" w:eastAsia="Arial" w:hAnsi="Arial"/>
          <w:sz w:val="15"/>
          <w:szCs w:val="15"/>
          <w:color w:val="auto"/>
        </w:rPr>
        <w:t>®</w:t>
      </w:r>
      <w:r>
        <w:rPr>
          <w:rFonts w:ascii="Arial" w:cs="Arial" w:eastAsia="Arial" w:hAnsi="Arial"/>
          <w:sz w:val="18"/>
          <w:szCs w:val="18"/>
          <w:color w:val="auto"/>
        </w:rPr>
        <w:t xml:space="preserve"> trademarks for the diluted application of control products sold in the concentrated form.</w:t>
      </w:r>
    </w:p>
    <w:p>
      <w:pPr>
        <w:spacing w:after="0" w:line="78" w:lineRule="exact"/>
        <w:rPr>
          <w:sz w:val="20"/>
          <w:szCs w:val="20"/>
          <w:color w:val="auto"/>
        </w:rPr>
      </w:pPr>
    </w:p>
    <w:p>
      <w:pPr>
        <w:ind w:left="700" w:right="280" w:firstLine="402"/>
        <w:spacing w:after="0" w:line="248" w:lineRule="auto"/>
        <w:rPr>
          <w:sz w:val="20"/>
          <w:szCs w:val="20"/>
          <w:color w:val="auto"/>
        </w:rPr>
      </w:pPr>
      <w:r>
        <w:rPr>
          <w:rFonts w:ascii="Arial" w:cs="Arial" w:eastAsia="Arial" w:hAnsi="Arial"/>
          <w:sz w:val="18"/>
          <w:szCs w:val="18"/>
          <w:color w:val="auto"/>
        </w:rPr>
        <w:t>The Global Consumer segment also includes our Canadian consumer operations. In Canada, we believe we are the leading marketer of branded consumer lawn and garden products. We sell a full range of lawn and garden fertilizer, control products, grass seed, spreaders, and value-added growing media products under the Scotts</w:t>
      </w:r>
      <w:r>
        <w:rPr>
          <w:rFonts w:ascii="Arial" w:cs="Arial" w:eastAsia="Arial" w:hAnsi="Arial"/>
          <w:sz w:val="15"/>
          <w:szCs w:val="15"/>
          <w:color w:val="auto"/>
        </w:rPr>
        <w:t>®</w:t>
      </w:r>
      <w:r>
        <w:rPr>
          <w:rFonts w:ascii="Arial" w:cs="Arial" w:eastAsia="Arial" w:hAnsi="Arial"/>
          <w:sz w:val="18"/>
          <w:szCs w:val="18"/>
          <w:color w:val="auto"/>
        </w:rPr>
        <w:t>, Turf Builder</w:t>
      </w:r>
      <w:r>
        <w:rPr>
          <w:rFonts w:ascii="Arial" w:cs="Arial" w:eastAsia="Arial" w:hAnsi="Arial"/>
          <w:sz w:val="15"/>
          <w:szCs w:val="15"/>
          <w:color w:val="auto"/>
        </w:rPr>
        <w:t>®</w:t>
      </w:r>
      <w:r>
        <w:rPr>
          <w:rFonts w:ascii="Arial" w:cs="Arial" w:eastAsia="Arial" w:hAnsi="Arial"/>
          <w:sz w:val="18"/>
          <w:szCs w:val="18"/>
          <w:color w:val="auto"/>
        </w:rPr>
        <w:t>, EcoSense</w:t>
      </w:r>
      <w:r>
        <w:rPr>
          <w:rFonts w:ascii="Arial" w:cs="Arial" w:eastAsia="Arial" w:hAnsi="Arial"/>
          <w:sz w:val="15"/>
          <w:szCs w:val="15"/>
          <w:color w:val="auto"/>
        </w:rPr>
        <w:t>®</w:t>
      </w:r>
      <w:r>
        <w:rPr>
          <w:rFonts w:ascii="Arial" w:cs="Arial" w:eastAsia="Arial" w:hAnsi="Arial"/>
          <w:sz w:val="18"/>
          <w:szCs w:val="18"/>
          <w:color w:val="auto"/>
        </w:rPr>
        <w:t>, Miracle-Gro</w:t>
      </w:r>
      <w:r>
        <w:rPr>
          <w:rFonts w:ascii="Arial" w:cs="Arial" w:eastAsia="Arial" w:hAnsi="Arial"/>
          <w:sz w:val="15"/>
          <w:szCs w:val="15"/>
          <w:color w:val="auto"/>
        </w:rPr>
        <w:t>®</w:t>
      </w:r>
      <w:r>
        <w:rPr>
          <w:rFonts w:ascii="Arial" w:cs="Arial" w:eastAsia="Arial" w:hAnsi="Arial"/>
          <w:sz w:val="18"/>
          <w:szCs w:val="18"/>
          <w:color w:val="auto"/>
        </w:rPr>
        <w:t>, Ortho</w:t>
      </w:r>
      <w:r>
        <w:rPr>
          <w:rFonts w:ascii="Arial" w:cs="Arial" w:eastAsia="Arial" w:hAnsi="Arial"/>
          <w:sz w:val="15"/>
          <w:szCs w:val="15"/>
          <w:color w:val="auto"/>
        </w:rPr>
        <w:t>®</w:t>
      </w:r>
      <w:r>
        <w:rPr>
          <w:rFonts w:ascii="Arial" w:cs="Arial" w:eastAsia="Arial" w:hAnsi="Arial"/>
          <w:sz w:val="18"/>
          <w:szCs w:val="18"/>
          <w:color w:val="auto"/>
        </w:rPr>
        <w:t>, Killex</w:t>
      </w:r>
      <w:r>
        <w:rPr>
          <w:rFonts w:ascii="Arial" w:cs="Arial" w:eastAsia="Arial" w:hAnsi="Arial"/>
          <w:sz w:val="15"/>
          <w:szCs w:val="15"/>
          <w:color w:val="auto"/>
        </w:rPr>
        <w:t>®</w:t>
      </w:r>
      <w:r>
        <w:rPr>
          <w:rFonts w:ascii="Arial" w:cs="Arial" w:eastAsia="Arial" w:hAnsi="Arial"/>
          <w:sz w:val="18"/>
          <w:szCs w:val="18"/>
          <w:color w:val="auto"/>
        </w:rPr>
        <w:t xml:space="preserve"> and Roundup</w:t>
      </w:r>
      <w:r>
        <w:rPr>
          <w:rFonts w:ascii="Arial" w:cs="Arial" w:eastAsia="Arial" w:hAnsi="Arial"/>
          <w:sz w:val="15"/>
          <w:szCs w:val="15"/>
          <w:color w:val="auto"/>
        </w:rPr>
        <w:t>®</w:t>
      </w:r>
      <w:r>
        <w:rPr>
          <w:rFonts w:ascii="Arial" w:cs="Arial" w:eastAsia="Arial" w:hAnsi="Arial"/>
          <w:sz w:val="18"/>
          <w:szCs w:val="18"/>
          <w:color w:val="auto"/>
        </w:rPr>
        <w:t xml:space="preserve"> brands.</w:t>
      </w:r>
    </w:p>
    <w:p>
      <w:pPr>
        <w:spacing w:after="0" w:line="187"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auto"/>
        </w:rPr>
        <w:t>Global Professional</w:t>
      </w:r>
    </w:p>
    <w:p>
      <w:pPr>
        <w:spacing w:after="0" w:line="124" w:lineRule="exact"/>
        <w:rPr>
          <w:sz w:val="20"/>
          <w:szCs w:val="20"/>
          <w:color w:val="auto"/>
        </w:rPr>
      </w:pPr>
    </w:p>
    <w:p>
      <w:pPr>
        <w:ind w:left="700" w:right="160" w:firstLine="402"/>
        <w:spacing w:after="0" w:line="243" w:lineRule="auto"/>
        <w:rPr>
          <w:sz w:val="20"/>
          <w:szCs w:val="20"/>
          <w:color w:val="auto"/>
        </w:rPr>
      </w:pPr>
      <w:r>
        <w:rPr>
          <w:rFonts w:ascii="Arial" w:cs="Arial" w:eastAsia="Arial" w:hAnsi="Arial"/>
          <w:sz w:val="18"/>
          <w:szCs w:val="18"/>
          <w:color w:val="auto"/>
        </w:rPr>
        <w:t>The Global Professional business sells professional products to commercial nurseries, greenhouses and specialty crop growers primarily in North America, Europe, the Middle East, Africa, Latin America, Australia, New Zealand and throughout the Far East. Our professional products include a broad line of sophisticated controlled-release fertilizers, water-soluble fertilizers, plant protection products, wetting agents, growing media and grass seed that are sold under brand names that include Osmocote</w:t>
      </w:r>
      <w:r>
        <w:rPr>
          <w:rFonts w:ascii="Arial" w:cs="Arial" w:eastAsia="Arial" w:hAnsi="Arial"/>
          <w:sz w:val="15"/>
          <w:szCs w:val="15"/>
          <w:color w:val="auto"/>
        </w:rPr>
        <w:t>®</w:t>
      </w:r>
      <w:r>
        <w:rPr>
          <w:rFonts w:ascii="Arial" w:cs="Arial" w:eastAsia="Arial" w:hAnsi="Arial"/>
          <w:sz w:val="18"/>
          <w:szCs w:val="18"/>
          <w:color w:val="auto"/>
        </w:rPr>
        <w:t>, Sierrablen Plus</w:t>
      </w:r>
      <w:r>
        <w:rPr>
          <w:rFonts w:ascii="Arial" w:cs="Arial" w:eastAsia="Arial" w:hAnsi="Arial"/>
          <w:sz w:val="15"/>
          <w:szCs w:val="15"/>
          <w:color w:val="auto"/>
        </w:rPr>
        <w:t>®</w:t>
      </w:r>
      <w:r>
        <w:rPr>
          <w:rFonts w:ascii="Arial" w:cs="Arial" w:eastAsia="Arial" w:hAnsi="Arial"/>
          <w:sz w:val="18"/>
          <w:szCs w:val="18"/>
          <w:color w:val="auto"/>
        </w:rPr>
        <w:t>, Peters Professional</w:t>
      </w:r>
      <w:r>
        <w:rPr>
          <w:rFonts w:ascii="Arial" w:cs="Arial" w:eastAsia="Arial" w:hAnsi="Arial"/>
          <w:sz w:val="15"/>
          <w:szCs w:val="15"/>
          <w:color w:val="auto"/>
        </w:rPr>
        <w:t>®</w:t>
      </w:r>
      <w:r>
        <w:rPr>
          <w:rFonts w:ascii="Arial" w:cs="Arial" w:eastAsia="Arial" w:hAnsi="Arial"/>
          <w:sz w:val="18"/>
          <w:szCs w:val="18"/>
          <w:color w:val="auto"/>
        </w:rPr>
        <w:t>, Peters Excel</w:t>
      </w:r>
      <w:r>
        <w:rPr>
          <w:rFonts w:ascii="Arial" w:cs="Arial" w:eastAsia="Arial" w:hAnsi="Arial"/>
          <w:sz w:val="15"/>
          <w:szCs w:val="15"/>
          <w:color w:val="auto"/>
        </w:rPr>
        <w:t>®</w:t>
      </w:r>
      <w:r>
        <w:rPr>
          <w:rFonts w:ascii="Arial" w:cs="Arial" w:eastAsia="Arial" w:hAnsi="Arial"/>
          <w:sz w:val="18"/>
          <w:szCs w:val="18"/>
          <w:color w:val="auto"/>
        </w:rPr>
        <w:t>, Agroblen</w:t>
      </w:r>
      <w:r>
        <w:rPr>
          <w:rFonts w:ascii="Arial" w:cs="Arial" w:eastAsia="Arial" w:hAnsi="Arial"/>
          <w:sz w:val="15"/>
          <w:szCs w:val="15"/>
          <w:color w:val="auto"/>
        </w:rPr>
        <w:t>®</w:t>
      </w:r>
      <w:r>
        <w:rPr>
          <w:rFonts w:ascii="Arial" w:cs="Arial" w:eastAsia="Arial" w:hAnsi="Arial"/>
          <w:sz w:val="18"/>
          <w:szCs w:val="18"/>
          <w:color w:val="auto"/>
        </w:rPr>
        <w:t>, Agrocote</w:t>
      </w:r>
      <w:r>
        <w:rPr>
          <w:rFonts w:ascii="Arial" w:cs="Arial" w:eastAsia="Arial" w:hAnsi="Arial"/>
          <w:sz w:val="15"/>
          <w:szCs w:val="15"/>
          <w:color w:val="auto"/>
        </w:rPr>
        <w:t>®</w:t>
      </w:r>
      <w:r>
        <w:rPr>
          <w:rFonts w:ascii="Arial" w:cs="Arial" w:eastAsia="Arial" w:hAnsi="Arial"/>
          <w:sz w:val="18"/>
          <w:szCs w:val="18"/>
          <w:color w:val="auto"/>
        </w:rPr>
        <w:t>, Rout</w:t>
      </w:r>
      <w:r>
        <w:rPr>
          <w:rFonts w:ascii="Arial" w:cs="Arial" w:eastAsia="Arial" w:hAnsi="Arial"/>
          <w:sz w:val="15"/>
          <w:szCs w:val="15"/>
          <w:color w:val="auto"/>
        </w:rPr>
        <w:t>®</w:t>
      </w:r>
      <w:r>
        <w:rPr>
          <w:rFonts w:ascii="Arial" w:cs="Arial" w:eastAsia="Arial" w:hAnsi="Arial"/>
          <w:sz w:val="18"/>
          <w:szCs w:val="18"/>
          <w:color w:val="auto"/>
        </w:rPr>
        <w:t>, OH2</w:t>
      </w:r>
      <w:r>
        <w:rPr>
          <w:rFonts w:ascii="Arial" w:cs="Arial" w:eastAsia="Arial" w:hAnsi="Arial"/>
          <w:sz w:val="15"/>
          <w:szCs w:val="15"/>
          <w:color w:val="auto"/>
        </w:rPr>
        <w:t>®</w:t>
      </w:r>
      <w:r>
        <w:rPr>
          <w:rFonts w:ascii="Arial" w:cs="Arial" w:eastAsia="Arial" w:hAnsi="Arial"/>
          <w:sz w:val="18"/>
          <w:szCs w:val="18"/>
          <w:color w:val="auto"/>
        </w:rPr>
        <w:t>, Scotts</w:t>
      </w:r>
      <w:r>
        <w:rPr>
          <w:rFonts w:ascii="Arial" w:cs="Arial" w:eastAsia="Arial" w:hAnsi="Arial"/>
          <w:sz w:val="15"/>
          <w:szCs w:val="15"/>
          <w:color w:val="auto"/>
        </w:rPr>
        <w:t>®</w:t>
      </w:r>
      <w:r>
        <w:rPr>
          <w:rFonts w:ascii="Arial" w:cs="Arial" w:eastAsia="Arial" w:hAnsi="Arial"/>
          <w:sz w:val="18"/>
          <w:szCs w:val="18"/>
          <w:color w:val="auto"/>
        </w:rPr>
        <w:t xml:space="preserve"> Professional Seed, Scotts</w:t>
      </w:r>
      <w:r>
        <w:rPr>
          <w:rFonts w:ascii="Arial" w:cs="Arial" w:eastAsia="Arial" w:hAnsi="Arial"/>
          <w:sz w:val="15"/>
          <w:szCs w:val="15"/>
          <w:color w:val="auto"/>
        </w:rPr>
        <w:t>®</w:t>
      </w:r>
      <w:r>
        <w:rPr>
          <w:rFonts w:ascii="Arial" w:cs="Arial" w:eastAsia="Arial" w:hAnsi="Arial"/>
          <w:sz w:val="18"/>
          <w:szCs w:val="18"/>
          <w:color w:val="auto"/>
        </w:rPr>
        <w:t xml:space="preserve"> Turfseed</w:t>
      </w:r>
      <w:r>
        <w:rPr>
          <w:rFonts w:ascii="Arial" w:cs="Arial" w:eastAsia="Arial" w:hAnsi="Arial"/>
          <w:sz w:val="10"/>
          <w:szCs w:val="10"/>
          <w:color w:val="auto"/>
        </w:rPr>
        <w:t>TM</w:t>
      </w:r>
      <w:r>
        <w:rPr>
          <w:rFonts w:ascii="Arial" w:cs="Arial" w:eastAsia="Arial" w:hAnsi="Arial"/>
          <w:sz w:val="18"/>
          <w:szCs w:val="18"/>
          <w:color w:val="auto"/>
        </w:rPr>
        <w:t xml:space="preserve"> and Scotts</w:t>
      </w:r>
      <w:r>
        <w:rPr>
          <w:rFonts w:ascii="Arial" w:cs="Arial" w:eastAsia="Arial" w:hAnsi="Arial"/>
          <w:sz w:val="15"/>
          <w:szCs w:val="15"/>
          <w:color w:val="auto"/>
        </w:rPr>
        <w:t>®</w:t>
      </w:r>
      <w:r>
        <w:rPr>
          <w:rFonts w:ascii="Arial" w:cs="Arial" w:eastAsia="Arial" w:hAnsi="Arial"/>
          <w:sz w:val="18"/>
          <w:szCs w:val="18"/>
          <w:color w:val="auto"/>
        </w:rPr>
        <w:t xml:space="preserve"> Landmark</w:t>
      </w:r>
      <w:r>
        <w:rPr>
          <w:rFonts w:ascii="Arial" w:cs="Arial" w:eastAsia="Arial" w:hAnsi="Arial"/>
          <w:sz w:val="10"/>
          <w:szCs w:val="10"/>
          <w:color w:val="auto"/>
        </w:rPr>
        <w:t>TM</w:t>
      </w:r>
      <w:r>
        <w:rPr>
          <w:rFonts w:ascii="Arial" w:cs="Arial" w:eastAsia="Arial" w:hAnsi="Arial"/>
          <w:sz w:val="18"/>
          <w:szCs w:val="18"/>
          <w:color w:val="auto"/>
        </w:rPr>
        <w:t>.</w:t>
      </w:r>
    </w:p>
    <w:p>
      <w:pPr>
        <w:spacing w:after="0" w:line="189"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auto"/>
        </w:rPr>
        <w:t>Scotts LawnService</w:t>
      </w:r>
      <w:r>
        <w:rPr>
          <w:rFonts w:ascii="Arial" w:cs="Arial" w:eastAsia="Arial" w:hAnsi="Arial"/>
          <w:sz w:val="27"/>
          <w:szCs w:val="27"/>
          <w:b w:val="1"/>
          <w:bCs w:val="1"/>
          <w:color w:val="auto"/>
          <w:vertAlign w:val="superscript"/>
        </w:rPr>
        <w:t>®</w:t>
      </w:r>
    </w:p>
    <w:p>
      <w:pPr>
        <w:spacing w:after="0" w:line="18" w:lineRule="exact"/>
        <w:rPr>
          <w:sz w:val="20"/>
          <w:szCs w:val="20"/>
          <w:color w:val="auto"/>
        </w:rPr>
      </w:pPr>
    </w:p>
    <w:p>
      <w:pPr>
        <w:ind w:left="700" w:right="120" w:firstLine="402"/>
        <w:spacing w:after="0" w:line="244" w:lineRule="auto"/>
        <w:rPr>
          <w:sz w:val="20"/>
          <w:szCs w:val="20"/>
          <w:color w:val="auto"/>
        </w:rPr>
      </w:pPr>
      <w:r>
        <w:rPr>
          <w:rFonts w:ascii="Arial" w:cs="Arial" w:eastAsia="Arial" w:hAnsi="Arial"/>
          <w:sz w:val="18"/>
          <w:szCs w:val="18"/>
          <w:color w:val="auto"/>
        </w:rPr>
        <w:t>The Scotts LawnService</w:t>
      </w:r>
      <w:r>
        <w:rPr>
          <w:rFonts w:ascii="Arial" w:cs="Arial" w:eastAsia="Arial" w:hAnsi="Arial"/>
          <w:sz w:val="15"/>
          <w:szCs w:val="15"/>
          <w:color w:val="auto"/>
        </w:rPr>
        <w:t>®</w:t>
      </w:r>
      <w:r>
        <w:rPr>
          <w:rFonts w:ascii="Arial" w:cs="Arial" w:eastAsia="Arial" w:hAnsi="Arial"/>
          <w:sz w:val="18"/>
          <w:szCs w:val="18"/>
          <w:color w:val="auto"/>
        </w:rPr>
        <w:t xml:space="preserve"> segment provides residential lawn care, lawn aeration, tree and shrub care and external pest control services in the United States. As of September 30, 2008, Scotts LawnService</w:t>
      </w:r>
      <w:r>
        <w:rPr>
          <w:rFonts w:ascii="Arial" w:cs="Arial" w:eastAsia="Arial" w:hAnsi="Arial"/>
          <w:sz w:val="15"/>
          <w:szCs w:val="15"/>
          <w:color w:val="auto"/>
        </w:rPr>
        <w:t>®</w:t>
      </w:r>
      <w:r>
        <w:rPr>
          <w:rFonts w:ascii="Arial" w:cs="Arial" w:eastAsia="Arial" w:hAnsi="Arial"/>
          <w:sz w:val="18"/>
          <w:szCs w:val="18"/>
          <w:color w:val="auto"/>
        </w:rPr>
        <w:t xml:space="preserve"> had 81 company-operated locations serving 46 metropolitan markets and 76 independent franchises primarily operating in secondary markets.</w:t>
      </w:r>
    </w:p>
    <w:p>
      <w:pPr>
        <w:spacing w:after="0" w:line="189"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auto"/>
        </w:rPr>
        <w:t>Corporate &amp; Other</w:t>
      </w:r>
    </w:p>
    <w:p>
      <w:pPr>
        <w:spacing w:after="0" w:line="123" w:lineRule="exact"/>
        <w:rPr>
          <w:sz w:val="20"/>
          <w:szCs w:val="20"/>
          <w:color w:val="auto"/>
        </w:rPr>
      </w:pPr>
    </w:p>
    <w:p>
      <w:pPr>
        <w:ind w:left="700" w:right="20" w:firstLine="402"/>
        <w:spacing w:after="0" w:line="245" w:lineRule="auto"/>
        <w:rPr>
          <w:sz w:val="20"/>
          <w:szCs w:val="20"/>
          <w:color w:val="auto"/>
        </w:rPr>
      </w:pPr>
      <w:r>
        <w:rPr>
          <w:rFonts w:ascii="Arial" w:cs="Arial" w:eastAsia="Arial" w:hAnsi="Arial"/>
          <w:sz w:val="18"/>
          <w:szCs w:val="18"/>
          <w:color w:val="auto"/>
        </w:rPr>
        <w:t>The Corporate &amp; Other segment includes Smith &amp; Hawken</w:t>
      </w:r>
      <w:r>
        <w:rPr>
          <w:rFonts w:ascii="Arial" w:cs="Arial" w:eastAsia="Arial" w:hAnsi="Arial"/>
          <w:sz w:val="15"/>
          <w:szCs w:val="15"/>
          <w:color w:val="auto"/>
        </w:rPr>
        <w:t>®</w:t>
      </w:r>
      <w:r>
        <w:rPr>
          <w:rFonts w:ascii="Arial" w:cs="Arial" w:eastAsia="Arial" w:hAnsi="Arial"/>
          <w:sz w:val="18"/>
          <w:szCs w:val="18"/>
          <w:color w:val="auto"/>
        </w:rPr>
        <w:t>, a leading brand in the outdoor living and gardening lifestyle category. Smith &amp; Hawken</w:t>
      </w:r>
      <w:r>
        <w:rPr>
          <w:rFonts w:ascii="Arial" w:cs="Arial" w:eastAsia="Arial" w:hAnsi="Arial"/>
          <w:sz w:val="15"/>
          <w:szCs w:val="15"/>
          <w:color w:val="auto"/>
        </w:rPr>
        <w:t>®</w:t>
      </w:r>
      <w:r>
        <w:rPr>
          <w:rFonts w:ascii="Arial" w:cs="Arial" w:eastAsia="Arial" w:hAnsi="Arial"/>
          <w:sz w:val="18"/>
          <w:szCs w:val="18"/>
          <w:color w:val="auto"/>
        </w:rPr>
        <w:t xml:space="preserve"> products, which include high-end outdoor furniture, pottery, garden tools, gardening containers and live goods, are sold in the United States through its 57 retail stores, catalog and Internet sales, and other trade and wholesale relationships. While the Company maintains a bias for divesting the business, current market conditions are not advantageous. As a result, the Company is now simultaneously pursuing other options.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Competitive Marketplace</w:t>
      </w:r>
    </w:p>
    <w:p>
      <w:pPr>
        <w:spacing w:after="0" w:line="124" w:lineRule="exact"/>
        <w:rPr>
          <w:sz w:val="20"/>
          <w:szCs w:val="20"/>
          <w:color w:val="auto"/>
        </w:rPr>
      </w:pPr>
    </w:p>
    <w:p>
      <w:pPr>
        <w:ind w:left="700" w:firstLine="402"/>
        <w:spacing w:after="0" w:line="241" w:lineRule="auto"/>
        <w:rPr>
          <w:sz w:val="20"/>
          <w:szCs w:val="20"/>
          <w:color w:val="auto"/>
        </w:rPr>
      </w:pPr>
      <w:r>
        <w:rPr>
          <w:rFonts w:ascii="Arial" w:cs="Arial" w:eastAsia="Arial" w:hAnsi="Arial"/>
          <w:sz w:val="18"/>
          <w:szCs w:val="18"/>
          <w:color w:val="auto"/>
        </w:rPr>
        <w:t>Our major customers include home centers, mass merchandisers, warehouse clubs, large hardware chains, independent hardware stores, nurseries, garden centers, food and drug stores, commercial nurseries and greenhouses and specialty crop growers. Each of our segments participates in markets that are highly competitive and many of our competitors sell their products at prices lower than ours. The Company attributes its market leadership and continued success in the lawn and garden category to our industry-leading brands, innovative products, award-winning advertising, supply chain excellence, highly effective field sales and merchandising organization and the strength of our relationships with major retailers in our product categories.</w:t>
      </w:r>
    </w:p>
    <w:p>
      <w:pPr>
        <w:spacing w:after="0" w:line="85" w:lineRule="exact"/>
        <w:rPr>
          <w:sz w:val="20"/>
          <w:szCs w:val="20"/>
          <w:color w:val="auto"/>
        </w:rPr>
      </w:pPr>
    </w:p>
    <w:p>
      <w:pPr>
        <w:ind w:left="700" w:right="120" w:firstLine="402"/>
        <w:spacing w:after="0" w:line="255" w:lineRule="auto"/>
        <w:rPr>
          <w:sz w:val="20"/>
          <w:szCs w:val="20"/>
          <w:color w:val="auto"/>
        </w:rPr>
      </w:pPr>
      <w:r>
        <w:rPr>
          <w:rFonts w:ascii="Arial" w:cs="Arial" w:eastAsia="Arial" w:hAnsi="Arial"/>
          <w:sz w:val="18"/>
          <w:szCs w:val="18"/>
          <w:color w:val="auto"/>
        </w:rPr>
        <w:t>In the North American Global Consumer do-it-yourself lawn and garden and pest control markets, we compete primarily against “private label” products as well as branded products. “Private label” products are those sold under a retailer-owned label or a supplier-owned label, which are sold exclusively at a</w:t>
      </w:r>
    </w:p>
    <w:p>
      <w:pPr>
        <w:spacing w:after="0" w:line="10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1"/>
          <w:szCs w:val="11"/>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-78105</wp:posOffset>
            </wp:positionV>
            <wp:extent cx="1974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00"/>
          </w:cols>
          <w:pgMar w:left="240" w:top="415" w:right="95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hyperlink w:anchor="page6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700" w:right="60"/>
        <w:spacing w:after="0" w:line="248" w:lineRule="auto"/>
        <w:rPr>
          <w:sz w:val="20"/>
          <w:szCs w:val="20"/>
          <w:color w:val="auto"/>
        </w:rPr>
      </w:pPr>
      <w:r>
        <w:rPr>
          <w:rFonts w:ascii="Arial" w:cs="Arial" w:eastAsia="Arial" w:hAnsi="Arial"/>
          <w:sz w:val="18"/>
          <w:szCs w:val="18"/>
          <w:color w:val="auto"/>
        </w:rPr>
        <w:t>specific retail chain. Recently, the Company’s largest North American competitor, Spectrum Brands, announced it would cease competing in the lawn fertilizer, grass seed and growing media categories. As a result, some of our retail partners have approached us regarding the possibility of providing private label solutions for them in these product categories. We believe such an opportunity, if executed, could be beneficial to both the Company and our retail partners.</w:t>
      </w:r>
    </w:p>
    <w:p>
      <w:pPr>
        <w:spacing w:after="0" w:line="76" w:lineRule="exact"/>
        <w:rPr>
          <w:sz w:val="20"/>
          <w:szCs w:val="20"/>
          <w:color w:val="auto"/>
        </w:rPr>
      </w:pPr>
    </w:p>
    <w:p>
      <w:pPr>
        <w:ind w:left="700" w:right="160" w:firstLine="402"/>
        <w:spacing w:after="0" w:line="248" w:lineRule="auto"/>
        <w:rPr>
          <w:sz w:val="20"/>
          <w:szCs w:val="20"/>
          <w:color w:val="auto"/>
        </w:rPr>
      </w:pPr>
      <w:r>
        <w:rPr>
          <w:rFonts w:ascii="Arial" w:cs="Arial" w:eastAsia="Arial" w:hAnsi="Arial"/>
          <w:sz w:val="18"/>
          <w:szCs w:val="18"/>
          <w:color w:val="auto"/>
        </w:rPr>
        <w:t>The Company continues to compete with Spectrum Brands in other lawn and garden categories. We also compete with Bayer AG, Central Garden &amp; Pet Company, Enforcer Products, Inc., Green Light Company and Lebanon Seaboard Corporation. In addition, we face competition from regional competitors who compete primarily on the basis of price for commodity growing media business.</w:t>
      </w:r>
    </w:p>
    <w:p>
      <w:pPr>
        <w:spacing w:after="0" w:line="76" w:lineRule="exact"/>
        <w:rPr>
          <w:sz w:val="20"/>
          <w:szCs w:val="20"/>
          <w:color w:val="auto"/>
        </w:rPr>
      </w:pPr>
    </w:p>
    <w:p>
      <w:pPr>
        <w:jc w:val="both"/>
        <w:ind w:left="700" w:firstLine="402"/>
        <w:spacing w:after="0" w:line="255" w:lineRule="auto"/>
        <w:rPr>
          <w:sz w:val="20"/>
          <w:szCs w:val="20"/>
          <w:color w:val="auto"/>
        </w:rPr>
      </w:pPr>
      <w:r>
        <w:rPr>
          <w:rFonts w:ascii="Arial" w:cs="Arial" w:eastAsia="Arial" w:hAnsi="Arial"/>
          <w:sz w:val="18"/>
          <w:szCs w:val="18"/>
          <w:color w:val="auto"/>
        </w:rPr>
        <w:t>Internationally, we face strong competition in the consumer do-it-yourself lawn and garden market, particularly in Europe. Our competitors in the European Union include Bayer AG, Compo GmbH, a subsidiary of K&amp;S Aktiengesellschaft (which owns the Compo</w:t>
      </w:r>
      <w:r>
        <w:rPr>
          <w:rFonts w:ascii="Arial" w:cs="Arial" w:eastAsia="Arial" w:hAnsi="Arial"/>
          <w:sz w:val="15"/>
          <w:szCs w:val="15"/>
          <w:color w:val="auto"/>
        </w:rPr>
        <w:t>®</w:t>
      </w:r>
      <w:r>
        <w:rPr>
          <w:rFonts w:ascii="Arial" w:cs="Arial" w:eastAsia="Arial" w:hAnsi="Arial"/>
          <w:sz w:val="18"/>
          <w:szCs w:val="18"/>
          <w:color w:val="auto"/>
        </w:rPr>
        <w:t>, Sem</w:t>
      </w:r>
      <w:r>
        <w:rPr>
          <w:rFonts w:ascii="Arial" w:cs="Arial" w:eastAsia="Arial" w:hAnsi="Arial"/>
          <w:sz w:val="15"/>
          <w:szCs w:val="15"/>
          <w:color w:val="auto"/>
        </w:rPr>
        <w:t>®</w:t>
      </w:r>
      <w:r>
        <w:rPr>
          <w:rFonts w:ascii="Arial" w:cs="Arial" w:eastAsia="Arial" w:hAnsi="Arial"/>
          <w:sz w:val="18"/>
          <w:szCs w:val="18"/>
          <w:color w:val="auto"/>
        </w:rPr>
        <w:t xml:space="preserve"> and Algoflash</w:t>
      </w:r>
      <w:r>
        <w:rPr>
          <w:rFonts w:ascii="Arial" w:cs="Arial" w:eastAsia="Arial" w:hAnsi="Arial"/>
          <w:sz w:val="15"/>
          <w:szCs w:val="15"/>
          <w:color w:val="auto"/>
        </w:rPr>
        <w:t>®</w:t>
      </w:r>
      <w:r>
        <w:rPr>
          <w:rFonts w:ascii="Arial" w:cs="Arial" w:eastAsia="Arial" w:hAnsi="Arial"/>
          <w:sz w:val="18"/>
          <w:szCs w:val="18"/>
          <w:color w:val="auto"/>
        </w:rPr>
        <w:t xml:space="preserve"> brands), Westland Horticulture and a variety of local companies.</w:t>
      </w:r>
    </w:p>
    <w:p>
      <w:pPr>
        <w:spacing w:after="0" w:line="70" w:lineRule="exact"/>
        <w:rPr>
          <w:sz w:val="20"/>
          <w:szCs w:val="20"/>
          <w:color w:val="auto"/>
        </w:rPr>
      </w:pPr>
    </w:p>
    <w:p>
      <w:pPr>
        <w:ind w:left="700" w:right="20" w:firstLine="402"/>
        <w:spacing w:after="0" w:line="255" w:lineRule="auto"/>
        <w:rPr>
          <w:sz w:val="20"/>
          <w:szCs w:val="20"/>
          <w:color w:val="auto"/>
        </w:rPr>
      </w:pPr>
      <w:r>
        <w:rPr>
          <w:rFonts w:ascii="Arial" w:cs="Arial" w:eastAsia="Arial" w:hAnsi="Arial"/>
          <w:sz w:val="18"/>
          <w:szCs w:val="18"/>
          <w:color w:val="auto"/>
        </w:rPr>
        <w:t>In the North American Global Professional horticulture markets, we face a broad range of competition from numerous companies such as Agrium, Inc., Haifa Chemicals Ltd., Chisso Asahi Fertilizer Co. Ltd., Syngenta AG and Bayer AG. Some of these competitors have significant financial resources and research departments.</w:t>
      </w:r>
    </w:p>
    <w:p>
      <w:pPr>
        <w:spacing w:after="0" w:line="70" w:lineRule="exact"/>
        <w:rPr>
          <w:sz w:val="20"/>
          <w:szCs w:val="20"/>
          <w:color w:val="auto"/>
        </w:rPr>
      </w:pPr>
    </w:p>
    <w:p>
      <w:pPr>
        <w:ind w:left="700" w:right="20" w:firstLine="402"/>
        <w:spacing w:after="0" w:line="248" w:lineRule="auto"/>
        <w:rPr>
          <w:sz w:val="20"/>
          <w:szCs w:val="20"/>
          <w:color w:val="auto"/>
        </w:rPr>
      </w:pPr>
      <w:r>
        <w:rPr>
          <w:rFonts w:ascii="Arial" w:cs="Arial" w:eastAsia="Arial" w:hAnsi="Arial"/>
          <w:sz w:val="18"/>
          <w:szCs w:val="18"/>
          <w:color w:val="auto"/>
        </w:rPr>
        <w:t>The international Global Professional horticulture markets in which we compete are also very competitive, particularly the markets for controlled-release and water-soluble fertilizer products. We have numerous U.S. and European competitors in these international markets, including Pursell Industries, Inc., Compo GmbH, a subsidiary of K&amp;S Aktiengesellschaft, Norsk Hydro ASA, Haifa Chemicals Ltd. and Kemira Oyj.</w:t>
      </w:r>
    </w:p>
    <w:p>
      <w:pPr>
        <w:spacing w:after="0" w:line="76" w:lineRule="exact"/>
        <w:rPr>
          <w:sz w:val="20"/>
          <w:szCs w:val="20"/>
          <w:color w:val="auto"/>
        </w:rPr>
      </w:pPr>
    </w:p>
    <w:p>
      <w:pPr>
        <w:ind w:left="700" w:right="320" w:firstLine="402"/>
        <w:spacing w:after="0" w:line="248" w:lineRule="auto"/>
        <w:rPr>
          <w:sz w:val="20"/>
          <w:szCs w:val="20"/>
          <w:color w:val="auto"/>
        </w:rPr>
      </w:pPr>
      <w:r>
        <w:rPr>
          <w:rFonts w:ascii="Arial" w:cs="Arial" w:eastAsia="Arial" w:hAnsi="Arial"/>
          <w:sz w:val="18"/>
          <w:szCs w:val="18"/>
          <w:color w:val="auto"/>
        </w:rPr>
        <w:t>We have the second largest market share position in the fragmented U.S. do-it-for-me lawn care service market. We compete against TruGreen-ChemLawn</w:t>
      </w:r>
      <w:r>
        <w:rPr>
          <w:rFonts w:ascii="Arial" w:cs="Arial" w:eastAsia="Arial" w:hAnsi="Arial"/>
          <w:sz w:val="15"/>
          <w:szCs w:val="15"/>
          <w:color w:val="auto"/>
        </w:rPr>
        <w:t>®</w:t>
      </w:r>
      <w:r>
        <w:rPr>
          <w:rFonts w:ascii="Arial" w:cs="Arial" w:eastAsia="Arial" w:hAnsi="Arial"/>
          <w:sz w:val="18"/>
          <w:szCs w:val="18"/>
          <w:color w:val="auto"/>
        </w:rPr>
        <w:t>, a division of ServiceMaster, which has the leading market share in the U.S. lawn care service market and has a substantially larger share of this market than Scotts LawnService</w:t>
      </w:r>
      <w:r>
        <w:rPr>
          <w:rFonts w:ascii="Arial" w:cs="Arial" w:eastAsia="Arial" w:hAnsi="Arial"/>
          <w:sz w:val="15"/>
          <w:szCs w:val="15"/>
          <w:color w:val="auto"/>
        </w:rPr>
        <w:t>®</w:t>
      </w:r>
      <w:r>
        <w:rPr>
          <w:rFonts w:ascii="Arial" w:cs="Arial" w:eastAsia="Arial" w:hAnsi="Arial"/>
          <w:sz w:val="18"/>
          <w:szCs w:val="18"/>
          <w:color w:val="auto"/>
        </w:rPr>
        <w:t>, as well as numerous regional and local lawn care services operations.</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Significant Customers</w:t>
      </w:r>
    </w:p>
    <w:p>
      <w:pPr>
        <w:spacing w:after="0" w:line="124" w:lineRule="exact"/>
        <w:rPr>
          <w:sz w:val="20"/>
          <w:szCs w:val="20"/>
          <w:color w:val="auto"/>
        </w:rPr>
      </w:pPr>
    </w:p>
    <w:p>
      <w:pPr>
        <w:ind w:left="700" w:right="60" w:firstLine="402"/>
        <w:spacing w:after="0" w:line="245" w:lineRule="auto"/>
        <w:rPr>
          <w:sz w:val="20"/>
          <w:szCs w:val="20"/>
          <w:color w:val="auto"/>
        </w:rPr>
      </w:pPr>
      <w:r>
        <w:rPr>
          <w:rFonts w:ascii="Arial" w:cs="Arial" w:eastAsia="Arial" w:hAnsi="Arial"/>
          <w:sz w:val="18"/>
          <w:szCs w:val="18"/>
          <w:color w:val="auto"/>
        </w:rPr>
        <w:t>Approximately 75% of our worldwide net sales in fiscal 2008 were made by our Global Consumer segment. Within the Global Consumer segment, approximately 28% of our net sales in fiscal 2008 were made to Home Depot, 18% to Lowe’s and 18% to Walmart. We face strong competition for the business of these significant customers. The loss of any of these customers or a substantial decrease in the volume or profitability of our business with any of these customers could have a material adverse effect on our earnings and cash flows.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Competitive Strengths</w:t>
      </w:r>
    </w:p>
    <w:p>
      <w:pPr>
        <w:spacing w:after="0" w:line="127"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auto"/>
        </w:rPr>
        <w:t>Strong Brands</w:t>
      </w:r>
    </w:p>
    <w:p>
      <w:pPr>
        <w:spacing w:after="0" w:line="124" w:lineRule="exact"/>
        <w:rPr>
          <w:sz w:val="20"/>
          <w:szCs w:val="20"/>
          <w:color w:val="auto"/>
        </w:rPr>
      </w:pPr>
    </w:p>
    <w:p>
      <w:pPr>
        <w:jc w:val="both"/>
        <w:ind w:left="700" w:right="40" w:firstLine="402"/>
        <w:spacing w:after="0" w:line="255" w:lineRule="auto"/>
        <w:rPr>
          <w:sz w:val="20"/>
          <w:szCs w:val="20"/>
          <w:color w:val="auto"/>
        </w:rPr>
      </w:pPr>
      <w:r>
        <w:rPr>
          <w:rFonts w:ascii="Arial" w:cs="Arial" w:eastAsia="Arial" w:hAnsi="Arial"/>
          <w:sz w:val="18"/>
          <w:szCs w:val="18"/>
          <w:color w:val="auto"/>
        </w:rPr>
        <w:t>The Company considers its industry-leading brands to be its single largest competitive advantage, though hardly its only advantage. The Company believes it has the leading market share in every major U.S. category in which its Global Consumer business competes. The Company also owns many of the leading brands in the European marketplace.</w:t>
      </w:r>
    </w:p>
    <w:p>
      <w:pPr>
        <w:spacing w:after="0" w:line="70" w:lineRule="exact"/>
        <w:rPr>
          <w:sz w:val="20"/>
          <w:szCs w:val="20"/>
          <w:color w:val="auto"/>
        </w:rPr>
      </w:pPr>
    </w:p>
    <w:p>
      <w:pPr>
        <w:jc w:val="both"/>
        <w:ind w:left="700" w:right="140" w:firstLine="402"/>
        <w:spacing w:after="0" w:line="248" w:lineRule="auto"/>
        <w:rPr>
          <w:sz w:val="20"/>
          <w:szCs w:val="20"/>
          <w:color w:val="auto"/>
        </w:rPr>
      </w:pPr>
      <w:r>
        <w:rPr>
          <w:rFonts w:ascii="Arial" w:cs="Arial" w:eastAsia="Arial" w:hAnsi="Arial"/>
          <w:sz w:val="18"/>
          <w:szCs w:val="18"/>
          <w:color w:val="auto"/>
        </w:rPr>
        <w:t>The Company has helped to build awareness of its brands through consistently investing in advertising and marketing. As a result, consumer awareness of the Company’s key brands — especially in the United States — rivals that of nearly any other consumer products company. The strength of the Scotts</w:t>
      </w:r>
      <w:r>
        <w:rPr>
          <w:rFonts w:ascii="Arial" w:cs="Arial" w:eastAsia="Arial" w:hAnsi="Arial"/>
          <w:sz w:val="15"/>
          <w:szCs w:val="15"/>
          <w:color w:val="auto"/>
        </w:rPr>
        <w:t>®</w:t>
      </w:r>
      <w:r>
        <w:rPr>
          <w:rFonts w:ascii="Arial" w:cs="Arial" w:eastAsia="Arial" w:hAnsi="Arial"/>
          <w:sz w:val="18"/>
          <w:szCs w:val="18"/>
          <w:color w:val="auto"/>
        </w:rPr>
        <w:t xml:space="preserve"> brand, in particular, has been a critical aspect of the success of Scotts LawnService</w:t>
      </w:r>
      <w:r>
        <w:rPr>
          <w:rFonts w:ascii="Arial" w:cs="Arial" w:eastAsia="Arial" w:hAnsi="Arial"/>
          <w:sz w:val="15"/>
          <w:szCs w:val="15"/>
          <w:color w:val="auto"/>
        </w:rPr>
        <w:t>®</w:t>
      </w:r>
      <w:r>
        <w:rPr>
          <w:rFonts w:ascii="Arial" w:cs="Arial" w:eastAsia="Arial" w:hAnsi="Arial"/>
          <w:sz w:val="18"/>
          <w:szCs w:val="18"/>
          <w:color w:val="auto"/>
        </w:rPr>
        <w:t>.</w:t>
      </w:r>
    </w:p>
    <w:p>
      <w:pPr>
        <w:spacing w:after="0" w:line="187"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auto"/>
        </w:rPr>
        <w:t>Trademarks, Patents and Licenses</w:t>
      </w:r>
    </w:p>
    <w:p>
      <w:pPr>
        <w:spacing w:after="0" w:line="124" w:lineRule="exact"/>
        <w:rPr>
          <w:sz w:val="20"/>
          <w:szCs w:val="20"/>
          <w:color w:val="auto"/>
        </w:rPr>
      </w:pPr>
    </w:p>
    <w:p>
      <w:pPr>
        <w:ind w:left="700" w:right="300" w:firstLine="402"/>
        <w:spacing w:after="0" w:line="245" w:lineRule="auto"/>
        <w:rPr>
          <w:sz w:val="20"/>
          <w:szCs w:val="20"/>
          <w:color w:val="auto"/>
        </w:rPr>
      </w:pPr>
      <w:r>
        <w:rPr>
          <w:rFonts w:ascii="Arial" w:cs="Arial" w:eastAsia="Arial" w:hAnsi="Arial"/>
          <w:sz w:val="18"/>
          <w:szCs w:val="18"/>
          <w:color w:val="auto"/>
        </w:rPr>
        <w:t>The Company considers its brands, patents and licenses all to be key competitive advantages. We pursue a vigorous brand protection strategy consisting of registration and maintenance of key trademarks and proactive monitoring and enforcement activities to protect against infringement. The Scotts</w:t>
      </w:r>
      <w:r>
        <w:rPr>
          <w:rFonts w:ascii="Arial" w:cs="Arial" w:eastAsia="Arial" w:hAnsi="Arial"/>
          <w:sz w:val="15"/>
          <w:szCs w:val="15"/>
          <w:color w:val="auto"/>
        </w:rPr>
        <w:t>®</w:t>
      </w:r>
      <w:r>
        <w:rPr>
          <w:rFonts w:ascii="Arial" w:cs="Arial" w:eastAsia="Arial" w:hAnsi="Arial"/>
          <w:sz w:val="18"/>
          <w:szCs w:val="18"/>
          <w:color w:val="auto"/>
        </w:rPr>
        <w:t>, Miracle-Gro</w:t>
      </w:r>
      <w:r>
        <w:rPr>
          <w:rFonts w:ascii="Arial" w:cs="Arial" w:eastAsia="Arial" w:hAnsi="Arial"/>
          <w:sz w:val="15"/>
          <w:szCs w:val="15"/>
          <w:color w:val="auto"/>
        </w:rPr>
        <w:t>®</w:t>
      </w:r>
      <w:r>
        <w:rPr>
          <w:rFonts w:ascii="Arial" w:cs="Arial" w:eastAsia="Arial" w:hAnsi="Arial"/>
          <w:sz w:val="18"/>
          <w:szCs w:val="18"/>
          <w:color w:val="auto"/>
        </w:rPr>
        <w:t>, Ortho</w:t>
      </w:r>
      <w:r>
        <w:rPr>
          <w:rFonts w:ascii="Arial" w:cs="Arial" w:eastAsia="Arial" w:hAnsi="Arial"/>
          <w:sz w:val="15"/>
          <w:szCs w:val="15"/>
          <w:color w:val="auto"/>
        </w:rPr>
        <w:t>®</w:t>
      </w:r>
      <w:r>
        <w:rPr>
          <w:rFonts w:ascii="Arial" w:cs="Arial" w:eastAsia="Arial" w:hAnsi="Arial"/>
          <w:sz w:val="18"/>
          <w:szCs w:val="18"/>
          <w:color w:val="auto"/>
        </w:rPr>
        <w:t>, Scotts LawnService</w:t>
      </w:r>
      <w:r>
        <w:rPr>
          <w:rFonts w:ascii="Arial" w:cs="Arial" w:eastAsia="Arial" w:hAnsi="Arial"/>
          <w:sz w:val="15"/>
          <w:szCs w:val="15"/>
          <w:color w:val="auto"/>
        </w:rPr>
        <w:t>®</w:t>
      </w:r>
      <w:r>
        <w:rPr>
          <w:rFonts w:ascii="Arial" w:cs="Arial" w:eastAsia="Arial" w:hAnsi="Arial"/>
          <w:sz w:val="18"/>
          <w:szCs w:val="18"/>
          <w:color w:val="auto"/>
        </w:rPr>
        <w:t>, Smith &amp; Hawken</w:t>
      </w:r>
      <w:r>
        <w:rPr>
          <w:rFonts w:ascii="Arial" w:cs="Arial" w:eastAsia="Arial" w:hAnsi="Arial"/>
          <w:sz w:val="15"/>
          <w:szCs w:val="15"/>
          <w:color w:val="auto"/>
        </w:rPr>
        <w:t>®</w:t>
      </w:r>
      <w:r>
        <w:rPr>
          <w:rFonts w:ascii="Arial" w:cs="Arial" w:eastAsia="Arial" w:hAnsi="Arial"/>
          <w:sz w:val="18"/>
          <w:szCs w:val="18"/>
          <w:color w:val="auto"/>
        </w:rPr>
        <w:t>, Osmocote</w:t>
      </w:r>
      <w:r>
        <w:rPr>
          <w:rFonts w:ascii="Arial" w:cs="Arial" w:eastAsia="Arial" w:hAnsi="Arial"/>
          <w:sz w:val="15"/>
          <w:szCs w:val="15"/>
          <w:color w:val="auto"/>
        </w:rPr>
        <w:t>®</w:t>
      </w:r>
      <w:r>
        <w:rPr>
          <w:rFonts w:ascii="Arial" w:cs="Arial" w:eastAsia="Arial" w:hAnsi="Arial"/>
          <w:sz w:val="18"/>
          <w:szCs w:val="18"/>
          <w:color w:val="auto"/>
        </w:rPr>
        <w:t>, Hyponex</w:t>
      </w:r>
      <w:r>
        <w:rPr>
          <w:rFonts w:ascii="Arial" w:cs="Arial" w:eastAsia="Arial" w:hAnsi="Arial"/>
          <w:sz w:val="15"/>
          <w:szCs w:val="15"/>
          <w:color w:val="auto"/>
        </w:rPr>
        <w:t>®</w:t>
      </w:r>
      <w:r>
        <w:rPr>
          <w:rFonts w:ascii="Arial" w:cs="Arial" w:eastAsia="Arial" w:hAnsi="Arial"/>
          <w:sz w:val="18"/>
          <w:szCs w:val="18"/>
          <w:color w:val="auto"/>
        </w:rPr>
        <w:t xml:space="preserve"> and Earthgro</w:t>
      </w:r>
      <w:r>
        <w:rPr>
          <w:rFonts w:ascii="Arial" w:cs="Arial" w:eastAsia="Arial" w:hAnsi="Arial"/>
          <w:sz w:val="15"/>
          <w:szCs w:val="15"/>
          <w:color w:val="auto"/>
        </w:rPr>
        <w:t>®</w:t>
      </w:r>
      <w:r>
        <w:rPr>
          <w:rFonts w:ascii="Arial" w:cs="Arial" w:eastAsia="Arial" w:hAnsi="Arial"/>
          <w:sz w:val="18"/>
          <w:szCs w:val="18"/>
          <w:color w:val="auto"/>
        </w:rPr>
        <w:t xml:space="preserve"> brand names and logos, as well as a number of product trademarks, including Turf Builder</w:t>
      </w:r>
      <w:r>
        <w:rPr>
          <w:rFonts w:ascii="Arial" w:cs="Arial" w:eastAsia="Arial" w:hAnsi="Arial"/>
          <w:sz w:val="15"/>
          <w:szCs w:val="15"/>
          <w:color w:val="auto"/>
        </w:rPr>
        <w:t>®</w:t>
      </w:r>
      <w:r>
        <w:rPr>
          <w:rFonts w:ascii="Arial" w:cs="Arial" w:eastAsia="Arial" w:hAnsi="Arial"/>
          <w:sz w:val="18"/>
          <w:szCs w:val="18"/>
          <w:color w:val="auto"/>
        </w:rPr>
        <w:t>, Organic Choice</w:t>
      </w:r>
      <w:r>
        <w:rPr>
          <w:rFonts w:ascii="Arial" w:cs="Arial" w:eastAsia="Arial" w:hAnsi="Arial"/>
          <w:sz w:val="15"/>
          <w:szCs w:val="15"/>
          <w:color w:val="auto"/>
        </w:rPr>
        <w:t>®</w:t>
      </w:r>
      <w:r>
        <w:rPr>
          <w:rFonts w:ascii="Arial" w:cs="Arial" w:eastAsia="Arial" w:hAnsi="Arial"/>
          <w:sz w:val="18"/>
          <w:szCs w:val="18"/>
          <w:color w:val="auto"/>
        </w:rPr>
        <w:t>, Home</w:t>
      </w:r>
    </w:p>
    <w:p>
      <w:pPr>
        <w:spacing w:after="0" w:line="112"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1"/>
          <w:szCs w:val="11"/>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-78105</wp:posOffset>
            </wp:positionV>
            <wp:extent cx="1974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20"/>
          </w:cols>
          <w:pgMar w:left="240" w:top="415" w:right="9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hyperlink w:anchor="page6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700" w:right="420"/>
        <w:spacing w:after="0" w:line="277" w:lineRule="auto"/>
        <w:rPr>
          <w:sz w:val="20"/>
          <w:szCs w:val="20"/>
          <w:color w:val="auto"/>
        </w:rPr>
      </w:pPr>
      <w:r>
        <w:rPr>
          <w:rFonts w:ascii="Arial" w:cs="Arial" w:eastAsia="Arial" w:hAnsi="Arial"/>
          <w:sz w:val="18"/>
          <w:szCs w:val="18"/>
          <w:color w:val="auto"/>
        </w:rPr>
        <w:t>Defense Max</w:t>
      </w:r>
      <w:r>
        <w:rPr>
          <w:rFonts w:ascii="Arial" w:cs="Arial" w:eastAsia="Arial" w:hAnsi="Arial"/>
          <w:sz w:val="15"/>
          <w:szCs w:val="15"/>
          <w:color w:val="auto"/>
        </w:rPr>
        <w:t>®</w:t>
      </w:r>
      <w:r>
        <w:rPr>
          <w:rFonts w:ascii="Arial" w:cs="Arial" w:eastAsia="Arial" w:hAnsi="Arial"/>
          <w:sz w:val="18"/>
          <w:szCs w:val="18"/>
          <w:color w:val="auto"/>
        </w:rPr>
        <w:t xml:space="preserve"> and Weed-B-Gon Max</w:t>
      </w:r>
      <w:r>
        <w:rPr>
          <w:rFonts w:ascii="Arial" w:cs="Arial" w:eastAsia="Arial" w:hAnsi="Arial"/>
          <w:sz w:val="15"/>
          <w:szCs w:val="15"/>
          <w:color w:val="auto"/>
        </w:rPr>
        <w:t>®</w:t>
      </w:r>
      <w:r>
        <w:rPr>
          <w:rFonts w:ascii="Arial" w:cs="Arial" w:eastAsia="Arial" w:hAnsi="Arial"/>
          <w:sz w:val="18"/>
          <w:szCs w:val="18"/>
          <w:color w:val="auto"/>
        </w:rPr>
        <w:t>, are federally and/or internationally registered and are considered material to our business.</w:t>
      </w:r>
    </w:p>
    <w:p>
      <w:pPr>
        <w:spacing w:after="0" w:line="49" w:lineRule="exact"/>
        <w:rPr>
          <w:sz w:val="20"/>
          <w:szCs w:val="20"/>
          <w:color w:val="auto"/>
        </w:rPr>
      </w:pPr>
    </w:p>
    <w:p>
      <w:pPr>
        <w:ind w:left="700" w:right="80" w:firstLine="402"/>
        <w:spacing w:after="0" w:line="243" w:lineRule="auto"/>
        <w:rPr>
          <w:sz w:val="20"/>
          <w:szCs w:val="20"/>
          <w:color w:val="auto"/>
        </w:rPr>
      </w:pPr>
      <w:r>
        <w:rPr>
          <w:rFonts w:ascii="Arial" w:cs="Arial" w:eastAsia="Arial" w:hAnsi="Arial"/>
          <w:sz w:val="18"/>
          <w:szCs w:val="18"/>
          <w:color w:val="auto"/>
        </w:rPr>
        <w:t>As of September 30, 2008, we held 95 issued patents in the United States covering fertilizer, chemical and growing media compositions and processes; grass varieties; and mechanical dispensing devices such as applicators, spreaders and sprayers. Similar patents have also been issued or are pending internationally, bringing our total worldwide patent portfolio to 406 patents and applications. The issued patents provide protection generally extending to 20 years from the date of filing, subject to the payment of applicable governmental maintenance and annuity fees. Accordingly, many of our patents will extend well into the next decade.</w:t>
      </w:r>
    </w:p>
    <w:p>
      <w:pPr>
        <w:spacing w:after="0" w:line="80" w:lineRule="exact"/>
        <w:rPr>
          <w:sz w:val="20"/>
          <w:szCs w:val="20"/>
          <w:color w:val="auto"/>
        </w:rPr>
      </w:pPr>
    </w:p>
    <w:p>
      <w:pPr>
        <w:ind w:left="700" w:right="120" w:firstLine="402"/>
        <w:spacing w:after="0" w:line="248" w:lineRule="auto"/>
        <w:rPr>
          <w:sz w:val="20"/>
          <w:szCs w:val="20"/>
          <w:color w:val="auto"/>
        </w:rPr>
      </w:pPr>
      <w:r>
        <w:rPr>
          <w:rFonts w:ascii="Arial" w:cs="Arial" w:eastAsia="Arial" w:hAnsi="Arial"/>
          <w:sz w:val="18"/>
          <w:szCs w:val="18"/>
          <w:color w:val="auto"/>
        </w:rPr>
        <w:t>In addition, we continue to file new patent applications each year covering new, commercially significant developments conceived by our research and development associates. Currently, we have 205 pending patent applications worldwide, including 35 pending U.S. applications. We also hold exclusive and non-exclusive patent licenses and supply arrangements, permitting the use and sale of additional patented fertilizers, pesticides and mechanical devices.</w:t>
      </w:r>
    </w:p>
    <w:p>
      <w:pPr>
        <w:spacing w:after="0" w:line="76" w:lineRule="exact"/>
        <w:rPr>
          <w:sz w:val="20"/>
          <w:szCs w:val="20"/>
          <w:color w:val="auto"/>
        </w:rPr>
      </w:pPr>
    </w:p>
    <w:p>
      <w:pPr>
        <w:jc w:val="both"/>
        <w:ind w:left="700" w:right="360" w:firstLine="402"/>
        <w:spacing w:after="0" w:line="255" w:lineRule="auto"/>
        <w:rPr>
          <w:sz w:val="20"/>
          <w:szCs w:val="20"/>
          <w:color w:val="auto"/>
        </w:rPr>
      </w:pPr>
      <w:r>
        <w:rPr>
          <w:rFonts w:ascii="Arial" w:cs="Arial" w:eastAsia="Arial" w:hAnsi="Arial"/>
          <w:sz w:val="18"/>
          <w:szCs w:val="18"/>
          <w:color w:val="auto"/>
        </w:rPr>
        <w:t>During fiscal 2008, we were granted four U.S. and 21 foreign national patents, including patents for the design of an improved spraying device and for various hybrid varieties of turfgrass. We continue to extend patent coverage of our core technologies nationally and in our Canadian, European, Asia/Pacific and South American markets.</w:t>
      </w:r>
    </w:p>
    <w:p>
      <w:pPr>
        <w:spacing w:after="0" w:line="7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 significant U.S. or foreign patents expired in fiscal 2008.</w:t>
      </w:r>
    </w:p>
    <w:p>
      <w:pPr>
        <w:spacing w:after="0" w:line="228"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auto"/>
        </w:rPr>
        <w:t>Supply Chain and Sales Force</w:t>
      </w:r>
    </w:p>
    <w:p>
      <w:pPr>
        <w:spacing w:after="0" w:line="124" w:lineRule="exact"/>
        <w:rPr>
          <w:sz w:val="20"/>
          <w:szCs w:val="20"/>
          <w:color w:val="auto"/>
        </w:rPr>
      </w:pPr>
    </w:p>
    <w:p>
      <w:pPr>
        <w:ind w:left="700" w:right="320" w:firstLine="402"/>
        <w:spacing w:after="0" w:line="255" w:lineRule="auto"/>
        <w:rPr>
          <w:sz w:val="20"/>
          <w:szCs w:val="20"/>
          <w:color w:val="auto"/>
        </w:rPr>
      </w:pPr>
      <w:r>
        <w:rPr>
          <w:rFonts w:ascii="Arial" w:cs="Arial" w:eastAsia="Arial" w:hAnsi="Arial"/>
          <w:sz w:val="18"/>
          <w:szCs w:val="18"/>
          <w:color w:val="auto"/>
        </w:rPr>
        <w:t>Because the Company sells a substantial majority of its products to a small number of retail customers, it is critical to maintain strong relationships with these partners. We believe our supply chain and sales force are major competitive advantages that have allowed us to build unrivaled relationships with our key retail partners.</w:t>
      </w:r>
    </w:p>
    <w:p>
      <w:pPr>
        <w:spacing w:after="0" w:line="70" w:lineRule="exact"/>
        <w:rPr>
          <w:sz w:val="20"/>
          <w:szCs w:val="20"/>
          <w:color w:val="auto"/>
        </w:rPr>
      </w:pPr>
    </w:p>
    <w:p>
      <w:pPr>
        <w:ind w:left="700" w:firstLine="402"/>
        <w:spacing w:after="0" w:line="243" w:lineRule="auto"/>
        <w:rPr>
          <w:sz w:val="20"/>
          <w:szCs w:val="20"/>
          <w:color w:val="auto"/>
        </w:rPr>
      </w:pPr>
      <w:r>
        <w:rPr>
          <w:rFonts w:ascii="Arial" w:cs="Arial" w:eastAsia="Arial" w:hAnsi="Arial"/>
          <w:sz w:val="18"/>
          <w:szCs w:val="18"/>
          <w:color w:val="auto"/>
        </w:rPr>
        <w:t>Major investments in technology have allowed the Company’s supply chain to be a more efficient supplier to its key retail accounts. The Company considers its order fill rate — which measures the accuracy of shipments — to be an important measure of customer service. In fiscal 2008, the Company achieved a global order fill rate of 99.0 percent. Additionally, the supply chain has helped the Company to improve its inventory turns over the past several years, as well as those of its retail partners. The Company has made substantial investments to lower the cost structure of its supply chain operations in Europe while simultaneously improving customer service levels.</w:t>
      </w:r>
    </w:p>
    <w:p>
      <w:pPr>
        <w:spacing w:after="0" w:line="80" w:lineRule="exact"/>
        <w:rPr>
          <w:sz w:val="20"/>
          <w:szCs w:val="20"/>
          <w:color w:val="auto"/>
        </w:rPr>
      </w:pPr>
    </w:p>
    <w:p>
      <w:pPr>
        <w:ind w:left="700" w:right="20" w:firstLine="402"/>
        <w:spacing w:after="0" w:line="243" w:lineRule="auto"/>
        <w:rPr>
          <w:sz w:val="20"/>
          <w:szCs w:val="20"/>
          <w:color w:val="auto"/>
        </w:rPr>
      </w:pPr>
      <w:r>
        <w:rPr>
          <w:rFonts w:ascii="Arial" w:cs="Arial" w:eastAsia="Arial" w:hAnsi="Arial"/>
          <w:sz w:val="18"/>
          <w:szCs w:val="18"/>
          <w:color w:val="auto"/>
        </w:rPr>
        <w:t>The Company’s U.S. sales force is another major competitive advantage. By increasing the size of the sales force over several years, the Company has taken a more proactive role in helping our retail partners merchandise the lawn and garden department and maximize the productivity of this space. In addition to working closely with retailers, our nearly 2,000 person full-time and seasonal U.S. in-store sales force also provides the Company with an opportunity to interact face-to-face with consumers at-the-shelf. By helping consumers answer their lawn and garden questions, we believe we can drive higher sales of our products.</w:t>
      </w:r>
    </w:p>
    <w:p>
      <w:pPr>
        <w:spacing w:after="0" w:line="190"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auto"/>
        </w:rPr>
        <w:t>Innovation</w:t>
      </w:r>
    </w:p>
    <w:p>
      <w:pPr>
        <w:spacing w:after="0" w:line="124" w:lineRule="exact"/>
        <w:rPr>
          <w:sz w:val="20"/>
          <w:szCs w:val="20"/>
          <w:color w:val="auto"/>
        </w:rPr>
      </w:pPr>
    </w:p>
    <w:p>
      <w:pPr>
        <w:ind w:left="700" w:right="40" w:firstLine="402"/>
        <w:spacing w:after="0" w:line="241" w:lineRule="auto"/>
        <w:rPr>
          <w:sz w:val="20"/>
          <w:szCs w:val="20"/>
          <w:color w:val="auto"/>
        </w:rPr>
      </w:pPr>
      <w:r>
        <w:rPr>
          <w:rFonts w:ascii="Arial" w:cs="Arial" w:eastAsia="Arial" w:hAnsi="Arial"/>
          <w:sz w:val="18"/>
          <w:szCs w:val="18"/>
          <w:color w:val="auto"/>
        </w:rPr>
        <w:t>The Company views its commitment to innovation as a competitive advantage. Consequently, we continually invest in research and development and consumer research to improve and develop existing and new products, manufacturing processes and packaging and delivery systems. Spending on research and development was $44.7 million, $38.8 million and $35.1 million in fiscal 2008, 2007 and 2006, including product registration costs of $9.8 million, $9.3 million and $8.2 million, respectively. The Company’s long-standing commitment to innovation is evidenced by a worldwide portfolio of patents. In addition to the benefits of our own research and development, we actively seek ways to leverage the research and development activities of our suppliers.</w:t>
      </w:r>
    </w:p>
    <w:p>
      <w:pPr>
        <w:spacing w:after="0" w:line="85" w:lineRule="exact"/>
        <w:rPr>
          <w:sz w:val="20"/>
          <w:szCs w:val="20"/>
          <w:color w:val="auto"/>
        </w:rPr>
      </w:pPr>
    </w:p>
    <w:p>
      <w:pPr>
        <w:ind w:left="700" w:right="40" w:firstLine="402"/>
        <w:spacing w:after="0" w:line="248" w:lineRule="auto"/>
        <w:rPr>
          <w:sz w:val="20"/>
          <w:szCs w:val="20"/>
          <w:color w:val="auto"/>
        </w:rPr>
      </w:pPr>
      <w:r>
        <w:rPr>
          <w:rFonts w:ascii="Arial" w:cs="Arial" w:eastAsia="Arial" w:hAnsi="Arial"/>
          <w:sz w:val="18"/>
          <w:szCs w:val="18"/>
          <w:color w:val="auto"/>
        </w:rPr>
        <w:t>Our research and development worldwide headquarters is located at the Dwight G. Scott Research Center in Marysville, Ohio. We also have research and development facilities in the United Kingdom, France, the Netherlands and Sydney, Australia, as well as several research field stations located throughout the United States. In these combined locations, the Company employs approximately 30 PhD scientists.</w:t>
      </w:r>
    </w:p>
    <w:p>
      <w:pPr>
        <w:spacing w:after="0" w:line="11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1"/>
          <w:szCs w:val="11"/>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-78105</wp:posOffset>
            </wp:positionV>
            <wp:extent cx="1974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80"/>
          </w:cols>
          <w:pgMar w:left="240" w:top="415" w:right="97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hyperlink w:anchor="page6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700" w:right="60" w:firstLine="402"/>
        <w:spacing w:after="0" w:line="248" w:lineRule="auto"/>
        <w:rPr>
          <w:sz w:val="20"/>
          <w:szCs w:val="20"/>
          <w:color w:val="auto"/>
        </w:rPr>
      </w:pPr>
      <w:r>
        <w:rPr>
          <w:rFonts w:ascii="Arial" w:cs="Arial" w:eastAsia="Arial" w:hAnsi="Arial"/>
          <w:sz w:val="18"/>
          <w:szCs w:val="18"/>
          <w:color w:val="auto"/>
        </w:rPr>
        <w:t>The Company’s biotechnology program is evidence of its commitment to responsible research and to developing more effective and easier-to-use products that are preferred by consumers and are better for the environment. As part of this program, the Company is currently employing technology already proven in agriculture to develop new turf varieties that could one day require less maintenance, less water and fewer chemical inputs to resist insects, weeds and disease.</w:t>
      </w:r>
    </w:p>
    <w:p>
      <w:pPr>
        <w:spacing w:after="0" w:line="186"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auto"/>
        </w:rPr>
        <w:t>Roundup</w:t>
      </w:r>
      <w:r>
        <w:rPr>
          <w:rFonts w:ascii="Arial" w:cs="Arial" w:eastAsia="Arial" w:hAnsi="Arial"/>
          <w:sz w:val="27"/>
          <w:szCs w:val="27"/>
          <w:b w:val="1"/>
          <w:bCs w:val="1"/>
          <w:color w:val="auto"/>
          <w:vertAlign w:val="superscript"/>
        </w:rPr>
        <w:t>®</w:t>
      </w:r>
      <w:r>
        <w:rPr>
          <w:rFonts w:ascii="Arial" w:cs="Arial" w:eastAsia="Arial" w:hAnsi="Arial"/>
          <w:sz w:val="16"/>
          <w:szCs w:val="16"/>
          <w:b w:val="1"/>
          <w:bCs w:val="1"/>
          <w:color w:val="auto"/>
        </w:rPr>
        <w:t xml:space="preserve"> Marketing Agreement</w:t>
      </w:r>
    </w:p>
    <w:p>
      <w:pPr>
        <w:spacing w:after="0" w:line="18" w:lineRule="exact"/>
        <w:rPr>
          <w:sz w:val="20"/>
          <w:szCs w:val="20"/>
          <w:color w:val="auto"/>
        </w:rPr>
      </w:pPr>
    </w:p>
    <w:p>
      <w:pPr>
        <w:ind w:left="700" w:right="180" w:firstLine="402"/>
        <w:spacing w:after="0" w:line="237" w:lineRule="auto"/>
        <w:rPr>
          <w:sz w:val="20"/>
          <w:szCs w:val="20"/>
          <w:color w:val="auto"/>
        </w:rPr>
      </w:pPr>
      <w:r>
        <w:rPr>
          <w:rFonts w:ascii="Arial" w:cs="Arial" w:eastAsia="Arial" w:hAnsi="Arial"/>
          <w:sz w:val="18"/>
          <w:szCs w:val="18"/>
          <w:color w:val="auto"/>
        </w:rPr>
        <w:t>The Company is Monsanto’s exclusive agent for the marketing and distribution of consumer Roundup</w:t>
      </w:r>
      <w:r>
        <w:rPr>
          <w:rFonts w:ascii="Arial" w:cs="Arial" w:eastAsia="Arial" w:hAnsi="Arial"/>
          <w:sz w:val="15"/>
          <w:szCs w:val="15"/>
          <w:color w:val="auto"/>
        </w:rPr>
        <w:t>®</w:t>
      </w:r>
      <w:r>
        <w:rPr>
          <w:rFonts w:ascii="Arial" w:cs="Arial" w:eastAsia="Arial" w:hAnsi="Arial"/>
          <w:sz w:val="18"/>
          <w:szCs w:val="18"/>
          <w:color w:val="auto"/>
        </w:rPr>
        <w:t xml:space="preserve"> products (with additional rights to new products containing glyphosate or other similar non-selective herbicides) in the consumer lawn and garden market within the United States and other specified countries, including Australia, Austria, Belgium, Canada, France, Germany, the Netherlands and the United Kingdom. Under the terms of the Amended and Restated Exclusive Agency and Marketing Agreement (the “Marketing Agreement”) between us and Monsanto, we and Monsanto are jointly responsible for developing global consumer and trade marketing programs for consumer Roundup</w:t>
      </w:r>
      <w:r>
        <w:rPr>
          <w:rFonts w:ascii="Arial" w:cs="Arial" w:eastAsia="Arial" w:hAnsi="Arial"/>
          <w:sz w:val="15"/>
          <w:szCs w:val="15"/>
          <w:color w:val="auto"/>
        </w:rPr>
        <w:t>®</w:t>
      </w:r>
      <w:r>
        <w:rPr>
          <w:rFonts w:ascii="Arial" w:cs="Arial" w:eastAsia="Arial" w:hAnsi="Arial"/>
          <w:sz w:val="18"/>
          <w:szCs w:val="18"/>
          <w:color w:val="auto"/>
        </w:rPr>
        <w:t>. We have assumed responsibility for sales support, merchandising, distribution and logistics for consumer Roundup</w:t>
      </w:r>
      <w:r>
        <w:rPr>
          <w:rFonts w:ascii="Arial" w:cs="Arial" w:eastAsia="Arial" w:hAnsi="Arial"/>
          <w:sz w:val="15"/>
          <w:szCs w:val="15"/>
          <w:color w:val="auto"/>
        </w:rPr>
        <w:t>®</w:t>
      </w:r>
      <w:r>
        <w:rPr>
          <w:rFonts w:ascii="Arial" w:cs="Arial" w:eastAsia="Arial" w:hAnsi="Arial"/>
          <w:sz w:val="18"/>
          <w:szCs w:val="18"/>
          <w:color w:val="auto"/>
        </w:rPr>
        <w:t>. Monsanto continues to own the consumer Roundup</w:t>
      </w:r>
      <w:r>
        <w:rPr>
          <w:rFonts w:ascii="Arial" w:cs="Arial" w:eastAsia="Arial" w:hAnsi="Arial"/>
          <w:sz w:val="15"/>
          <w:szCs w:val="15"/>
          <w:color w:val="auto"/>
        </w:rPr>
        <w:t>®</w:t>
      </w:r>
      <w:r>
        <w:rPr>
          <w:rFonts w:ascii="Arial" w:cs="Arial" w:eastAsia="Arial" w:hAnsi="Arial"/>
          <w:sz w:val="18"/>
          <w:szCs w:val="18"/>
          <w:color w:val="auto"/>
        </w:rPr>
        <w:t xml:space="preserve"> business and provides significant oversight of its brand. In addition, Monsanto continues to own and operate the agricultural Roundup</w:t>
      </w:r>
      <w:r>
        <w:rPr>
          <w:rFonts w:ascii="Arial" w:cs="Arial" w:eastAsia="Arial" w:hAnsi="Arial"/>
          <w:sz w:val="15"/>
          <w:szCs w:val="15"/>
          <w:color w:val="auto"/>
        </w:rPr>
        <w:t>®</w:t>
      </w:r>
      <w:r>
        <w:rPr>
          <w:rFonts w:ascii="Arial" w:cs="Arial" w:eastAsia="Arial" w:hAnsi="Arial"/>
          <w:sz w:val="18"/>
          <w:szCs w:val="18"/>
          <w:color w:val="auto"/>
        </w:rPr>
        <w:t xml:space="preserve"> business.</w:t>
      </w:r>
    </w:p>
    <w:p>
      <w:pPr>
        <w:spacing w:after="0" w:line="85" w:lineRule="exact"/>
        <w:rPr>
          <w:sz w:val="20"/>
          <w:szCs w:val="20"/>
          <w:color w:val="auto"/>
        </w:rPr>
      </w:pPr>
    </w:p>
    <w:p>
      <w:pPr>
        <w:ind w:left="700" w:right="80" w:firstLine="402"/>
        <w:spacing w:after="0" w:line="243" w:lineRule="auto"/>
        <w:rPr>
          <w:sz w:val="20"/>
          <w:szCs w:val="20"/>
          <w:color w:val="auto"/>
        </w:rPr>
      </w:pPr>
      <w:r>
        <w:rPr>
          <w:rFonts w:ascii="Arial" w:cs="Arial" w:eastAsia="Arial" w:hAnsi="Arial"/>
          <w:sz w:val="18"/>
          <w:szCs w:val="18"/>
          <w:color w:val="auto"/>
        </w:rPr>
        <w:t>We are compensated under the Marketing Agreement based on the success of the consumer Roundup</w:t>
      </w:r>
      <w:r>
        <w:rPr>
          <w:rFonts w:ascii="Arial" w:cs="Arial" w:eastAsia="Arial" w:hAnsi="Arial"/>
          <w:sz w:val="15"/>
          <w:szCs w:val="15"/>
          <w:color w:val="auto"/>
        </w:rPr>
        <w:t>®</w:t>
      </w:r>
      <w:r>
        <w:rPr>
          <w:rFonts w:ascii="Arial" w:cs="Arial" w:eastAsia="Arial" w:hAnsi="Arial"/>
          <w:sz w:val="18"/>
          <w:szCs w:val="18"/>
          <w:color w:val="auto"/>
        </w:rPr>
        <w:t xml:space="preserve"> business in the markets covered by the Marketing Agreement. We receive a graduated commission to the extent that the earnings before interest and taxes of the consumer Roundup</w:t>
      </w:r>
      <w:r>
        <w:rPr>
          <w:rFonts w:ascii="Arial" w:cs="Arial" w:eastAsia="Arial" w:hAnsi="Arial"/>
          <w:sz w:val="15"/>
          <w:szCs w:val="15"/>
          <w:color w:val="auto"/>
        </w:rPr>
        <w:t>®</w:t>
      </w:r>
      <w:r>
        <w:rPr>
          <w:rFonts w:ascii="Arial" w:cs="Arial" w:eastAsia="Arial" w:hAnsi="Arial"/>
          <w:sz w:val="18"/>
          <w:szCs w:val="18"/>
          <w:color w:val="auto"/>
        </w:rPr>
        <w:t xml:space="preserve"> business in the included markets exceed specified thresholds. Regardless of these earnings, we are required to make an annual contribution payment against the overall expenses of the consumer Roundup</w:t>
      </w:r>
      <w:r>
        <w:rPr>
          <w:rFonts w:ascii="Arial" w:cs="Arial" w:eastAsia="Arial" w:hAnsi="Arial"/>
          <w:sz w:val="15"/>
          <w:szCs w:val="15"/>
          <w:color w:val="auto"/>
        </w:rPr>
        <w:t>®</w:t>
      </w:r>
      <w:r>
        <w:rPr>
          <w:rFonts w:ascii="Arial" w:cs="Arial" w:eastAsia="Arial" w:hAnsi="Arial"/>
          <w:sz w:val="18"/>
          <w:szCs w:val="18"/>
          <w:color w:val="auto"/>
        </w:rPr>
        <w:t xml:space="preserve"> business. The minimum annual contribution payment is $20 million until 2018 or the earlier termination of the Marketing Agreement.</w:t>
      </w:r>
    </w:p>
    <w:p>
      <w:pPr>
        <w:spacing w:after="0" w:line="80" w:lineRule="exact"/>
        <w:rPr>
          <w:sz w:val="20"/>
          <w:szCs w:val="20"/>
          <w:color w:val="auto"/>
        </w:rPr>
      </w:pPr>
    </w:p>
    <w:p>
      <w:pPr>
        <w:ind w:left="700" w:right="340" w:firstLine="402"/>
        <w:spacing w:after="0" w:line="245" w:lineRule="auto"/>
        <w:rPr>
          <w:sz w:val="20"/>
          <w:szCs w:val="20"/>
          <w:color w:val="auto"/>
        </w:rPr>
      </w:pPr>
      <w:r>
        <w:rPr>
          <w:rFonts w:ascii="Arial" w:cs="Arial" w:eastAsia="Arial" w:hAnsi="Arial"/>
          <w:sz w:val="18"/>
          <w:szCs w:val="18"/>
          <w:color w:val="auto"/>
        </w:rPr>
        <w:t>The gross commission earned under the Marketing Agreement, the contribution payments to Monsanto and the amortization of the initial marketing fee paid to Monsanto are included in the calculation of net sales in the Company’s Consolidated Statements of Operations. For fiscal 2008, 2007 and 2006, the net amount earned under the Marketing Agreement was $ 44.3 million, $41.9 million and $39.9 million, respectively. For further details, see “NOTE 7. MARKETING AGREEMENT” to the Consolidated Financial Statements included in this Annual Report on Form 10-K.</w:t>
      </w:r>
    </w:p>
    <w:p>
      <w:pPr>
        <w:spacing w:after="0" w:line="78" w:lineRule="exact"/>
        <w:rPr>
          <w:sz w:val="20"/>
          <w:szCs w:val="20"/>
          <w:color w:val="auto"/>
        </w:rPr>
      </w:pPr>
    </w:p>
    <w:p>
      <w:pPr>
        <w:ind w:left="700" w:right="100" w:firstLine="402"/>
        <w:spacing w:after="0" w:line="248" w:lineRule="auto"/>
        <w:rPr>
          <w:sz w:val="20"/>
          <w:szCs w:val="20"/>
          <w:color w:val="auto"/>
        </w:rPr>
      </w:pPr>
      <w:r>
        <w:rPr>
          <w:rFonts w:ascii="Arial" w:cs="Arial" w:eastAsia="Arial" w:hAnsi="Arial"/>
          <w:sz w:val="18"/>
          <w:szCs w:val="18"/>
          <w:color w:val="auto"/>
        </w:rPr>
        <w:t>The Marketing Agreement has no definite term except as it relates to the European Union countries (the “EU term”). The EU term had previously been extended through September 30, 2008 and, on March 28, 2008, the parties agreed to further extend the EU term through September 30, 2011, with up to two additional automatic renewal periods of two years each, subject to non-renewal only upon the occurrence of certain performance defaults.</w:t>
      </w:r>
    </w:p>
    <w:p>
      <w:pPr>
        <w:spacing w:after="0" w:line="76" w:lineRule="exact"/>
        <w:rPr>
          <w:sz w:val="20"/>
          <w:szCs w:val="20"/>
          <w:color w:val="auto"/>
        </w:rPr>
      </w:pPr>
    </w:p>
    <w:p>
      <w:pPr>
        <w:ind w:left="700" w:firstLine="402"/>
        <w:spacing w:after="0" w:line="238" w:lineRule="auto"/>
        <w:rPr>
          <w:sz w:val="20"/>
          <w:szCs w:val="20"/>
          <w:color w:val="auto"/>
        </w:rPr>
      </w:pPr>
      <w:r>
        <w:rPr>
          <w:rFonts w:ascii="Arial" w:cs="Arial" w:eastAsia="Arial" w:hAnsi="Arial"/>
          <w:sz w:val="18"/>
          <w:szCs w:val="18"/>
          <w:color w:val="auto"/>
        </w:rPr>
        <w:t>The Marketing Agreement provides Monsanto with the right to terminate the Marketing Agreement upon an event of default (as defined in the Marketing Agreement) by the Company, a change in control of Monsanto or the sale of the consumer Roundup</w:t>
      </w:r>
      <w:r>
        <w:rPr>
          <w:rFonts w:ascii="Arial" w:cs="Arial" w:eastAsia="Arial" w:hAnsi="Arial"/>
          <w:sz w:val="15"/>
          <w:szCs w:val="15"/>
          <w:color w:val="auto"/>
        </w:rPr>
        <w:t>®</w:t>
      </w:r>
      <w:r>
        <w:rPr>
          <w:rFonts w:ascii="Arial" w:cs="Arial" w:eastAsia="Arial" w:hAnsi="Arial"/>
          <w:sz w:val="18"/>
          <w:szCs w:val="18"/>
          <w:color w:val="auto"/>
        </w:rPr>
        <w:t xml:space="preserve"> business. The Marketing Agreement provides the Company with the right to terminate the Marketing Agreement in certain circumstances, including an event of default by Monsanto or the sale of the consumer Roundup</w:t>
      </w:r>
      <w:r>
        <w:rPr>
          <w:rFonts w:ascii="Arial" w:cs="Arial" w:eastAsia="Arial" w:hAnsi="Arial"/>
          <w:sz w:val="15"/>
          <w:szCs w:val="15"/>
          <w:color w:val="auto"/>
        </w:rPr>
        <w:t>®</w:t>
      </w:r>
      <w:r>
        <w:rPr>
          <w:rFonts w:ascii="Arial" w:cs="Arial" w:eastAsia="Arial" w:hAnsi="Arial"/>
          <w:sz w:val="18"/>
          <w:szCs w:val="18"/>
          <w:color w:val="auto"/>
        </w:rPr>
        <w:t xml:space="preserve"> business. Unless Monsanto terminates the Marketing Agreement due to an event of default by the Company, Monsanto is required to pay a termination fee to the Company that varies by program year. The termination fee is calculated as a percentage of the value of the Roundup</w:t>
      </w:r>
      <w:r>
        <w:rPr>
          <w:rFonts w:ascii="Arial" w:cs="Arial" w:eastAsia="Arial" w:hAnsi="Arial"/>
          <w:sz w:val="15"/>
          <w:szCs w:val="15"/>
          <w:color w:val="auto"/>
        </w:rPr>
        <w:t>®</w:t>
      </w:r>
      <w:r>
        <w:rPr>
          <w:rFonts w:ascii="Arial" w:cs="Arial" w:eastAsia="Arial" w:hAnsi="Arial"/>
          <w:sz w:val="18"/>
          <w:szCs w:val="18"/>
          <w:color w:val="auto"/>
        </w:rPr>
        <w:t xml:space="preserve"> business exceeding a certain threshold, but in no event will the termination fee be less than $ 16 million. If Monsanto were to terminate the Marketing Agreement due to an event of default by the Company, however, the Company would not be entitled to any termination fee, and it would lose all, or a substantial portion, of the significant source of earnings and overhead expense absorption the Marketing Agreement provides. Monsanto may also be able to terminate the Marketing Agreement within a given region, including North America, without paying a termination fee if unit volume sales to consumers in that region decline: (1) over a cumulative three-fiscal-year period; or (2) by more than 5% for each of two consecutive years.</w:t>
      </w:r>
    </w:p>
    <w:p>
      <w:pPr>
        <w:spacing w:after="0" w:line="86" w:lineRule="exact"/>
        <w:rPr>
          <w:sz w:val="20"/>
          <w:szCs w:val="20"/>
          <w:color w:val="auto"/>
        </w:rPr>
      </w:pPr>
    </w:p>
    <w:p>
      <w:pPr>
        <w:ind w:left="700" w:right="260" w:firstLine="402"/>
        <w:spacing w:after="0" w:line="256" w:lineRule="auto"/>
        <w:rPr>
          <w:sz w:val="20"/>
          <w:szCs w:val="20"/>
          <w:color w:val="auto"/>
        </w:rPr>
      </w:pPr>
      <w:r>
        <w:rPr>
          <w:rFonts w:ascii="Arial" w:cs="Arial" w:eastAsia="Arial" w:hAnsi="Arial"/>
          <w:sz w:val="18"/>
          <w:szCs w:val="18"/>
          <w:color w:val="auto"/>
        </w:rPr>
        <w:t>Monsanto has agreed to provide us with notice of any proposed sale of the consumer Roundup</w:t>
      </w:r>
      <w:r>
        <w:rPr>
          <w:rFonts w:ascii="Arial" w:cs="Arial" w:eastAsia="Arial" w:hAnsi="Arial"/>
          <w:sz w:val="15"/>
          <w:szCs w:val="15"/>
          <w:color w:val="auto"/>
        </w:rPr>
        <w:t>®</w:t>
      </w:r>
      <w:r>
        <w:rPr>
          <w:rFonts w:ascii="Arial" w:cs="Arial" w:eastAsia="Arial" w:hAnsi="Arial"/>
          <w:sz w:val="18"/>
          <w:szCs w:val="18"/>
          <w:color w:val="auto"/>
        </w:rPr>
        <w:t xml:space="preserve"> business, allow us to participate in the sale process and negotiate in good faith with us with respect to any such proposed sale. In the event we acquire the consumer Roundup</w:t>
      </w:r>
      <w:r>
        <w:rPr>
          <w:rFonts w:ascii="Arial" w:cs="Arial" w:eastAsia="Arial" w:hAnsi="Arial"/>
          <w:sz w:val="15"/>
          <w:szCs w:val="15"/>
          <w:color w:val="auto"/>
        </w:rPr>
        <w:t>®</w:t>
      </w:r>
      <w:r>
        <w:rPr>
          <w:rFonts w:ascii="Arial" w:cs="Arial" w:eastAsia="Arial" w:hAnsi="Arial"/>
          <w:sz w:val="18"/>
          <w:szCs w:val="18"/>
          <w:color w:val="auto"/>
        </w:rPr>
        <w:t xml:space="preserve"> business in such a sale, we</w:t>
      </w:r>
    </w:p>
    <w:p>
      <w:pPr>
        <w:spacing w:after="0" w:line="102"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1"/>
          <w:szCs w:val="11"/>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-78105</wp:posOffset>
            </wp:positionV>
            <wp:extent cx="1974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240" w:top="415" w:right="91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hyperlink w:anchor="page6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700"/>
        <w:spacing w:after="0" w:line="245" w:lineRule="auto"/>
        <w:rPr>
          <w:sz w:val="20"/>
          <w:szCs w:val="20"/>
          <w:color w:val="auto"/>
        </w:rPr>
      </w:pPr>
      <w:r>
        <w:rPr>
          <w:rFonts w:ascii="Arial" w:cs="Arial" w:eastAsia="Arial" w:hAnsi="Arial"/>
          <w:sz w:val="18"/>
          <w:szCs w:val="18"/>
          <w:color w:val="auto"/>
        </w:rPr>
        <w:t>would receive as a credit against the purchase price the amount of the termination fee that would have been paid to us if Monsanto had exercised its right to terminate the Marketing Agreement in connection with a sale to another party. If Monsanto decides to sell the consumer Roundup</w:t>
      </w:r>
      <w:r>
        <w:rPr>
          <w:rFonts w:ascii="Arial" w:cs="Arial" w:eastAsia="Arial" w:hAnsi="Arial"/>
          <w:sz w:val="15"/>
          <w:szCs w:val="15"/>
          <w:color w:val="auto"/>
        </w:rPr>
        <w:t>®</w:t>
      </w:r>
      <w:r>
        <w:rPr>
          <w:rFonts w:ascii="Arial" w:cs="Arial" w:eastAsia="Arial" w:hAnsi="Arial"/>
          <w:sz w:val="18"/>
          <w:szCs w:val="18"/>
          <w:color w:val="auto"/>
        </w:rPr>
        <w:t xml:space="preserve"> business to another party, we must let Monsanto know whether we intend to terminate the Marketing Agreement and forfeit any right to a termination fee or whether we will agree to continue to perform under the Marketing Agreement on behalf of the purchaser.</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Strategic Initiatives</w:t>
      </w:r>
    </w:p>
    <w:p>
      <w:pPr>
        <w:spacing w:after="0" w:line="124" w:lineRule="exact"/>
        <w:rPr>
          <w:sz w:val="20"/>
          <w:szCs w:val="20"/>
          <w:color w:val="auto"/>
        </w:rPr>
      </w:pPr>
    </w:p>
    <w:p>
      <w:pPr>
        <w:jc w:val="both"/>
        <w:ind w:left="700" w:right="240" w:firstLine="402"/>
        <w:spacing w:after="0" w:line="255" w:lineRule="auto"/>
        <w:rPr>
          <w:sz w:val="20"/>
          <w:szCs w:val="20"/>
          <w:color w:val="auto"/>
        </w:rPr>
      </w:pPr>
      <w:r>
        <w:rPr>
          <w:rFonts w:ascii="Arial" w:cs="Arial" w:eastAsia="Arial" w:hAnsi="Arial"/>
          <w:sz w:val="18"/>
          <w:szCs w:val="18"/>
          <w:color w:val="auto"/>
        </w:rPr>
        <w:t>Our strategic plan is focused on leveraging our key competitive advantages in a way that fuels growth, reduces costs, distances us from the competition and drives shareholder value. We are currently involved in several initiatives designed to meet this criteria:</w:t>
      </w:r>
    </w:p>
    <w:p>
      <w:pPr>
        <w:spacing w:after="0" w:line="70" w:lineRule="exact"/>
        <w:rPr>
          <w:sz w:val="20"/>
          <w:szCs w:val="20"/>
          <w:color w:val="auto"/>
        </w:rPr>
      </w:pPr>
    </w:p>
    <w:p>
      <w:pPr>
        <w:ind w:left="1300" w:right="220" w:hanging="202"/>
        <w:spacing w:after="0" w:line="245"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Even in a difficult economy, we continue to expand upon our strategy of strengthening our relationship with the consumer. This will allow us to leverage the cornerstone of our business — our brands — and drive higher usage of our products. Our strategy is to raise household penetration of our products, as well as the frequency with which existing consumers use our products. We believe this can be accomplished by pursuing an advertising strategy that increasingly relies on regional radio advertising, as well as a national approach on television.</w:t>
      </w:r>
    </w:p>
    <w:p>
      <w:pPr>
        <w:spacing w:after="0" w:line="77" w:lineRule="exact"/>
        <w:rPr>
          <w:rFonts w:ascii="Arial" w:cs="Arial" w:eastAsia="Arial" w:hAnsi="Arial"/>
          <w:sz w:val="18"/>
          <w:szCs w:val="18"/>
          <w:color w:val="auto"/>
        </w:rPr>
      </w:pPr>
    </w:p>
    <w:p>
      <w:pPr>
        <w:ind w:left="1300" w:right="100"/>
        <w:spacing w:after="0" w:line="255" w:lineRule="auto"/>
        <w:rPr>
          <w:rFonts w:ascii="Arial" w:cs="Arial" w:eastAsia="Arial" w:hAnsi="Arial"/>
          <w:sz w:val="18"/>
          <w:szCs w:val="18"/>
          <w:color w:val="auto"/>
        </w:rPr>
      </w:pPr>
      <w:r>
        <w:rPr>
          <w:rFonts w:ascii="Arial" w:cs="Arial" w:eastAsia="Arial" w:hAnsi="Arial"/>
          <w:sz w:val="18"/>
          <w:szCs w:val="18"/>
          <w:color w:val="auto"/>
        </w:rPr>
        <w:t>We also continue to execute a strategy focused on better understanding the needs and attitudes of our consumers. We have historically demonstrated the ability to use customer feedback to develop improved products and packaging that drives increased consumer demand.</w:t>
      </w:r>
    </w:p>
    <w:p>
      <w:pPr>
        <w:spacing w:after="0" w:line="68" w:lineRule="exact"/>
        <w:rPr>
          <w:rFonts w:ascii="Arial" w:cs="Arial" w:eastAsia="Arial" w:hAnsi="Arial"/>
          <w:sz w:val="18"/>
          <w:szCs w:val="18"/>
          <w:color w:val="auto"/>
        </w:rPr>
      </w:pPr>
    </w:p>
    <w:p>
      <w:pPr>
        <w:ind w:left="1300"/>
        <w:spacing w:after="0" w:line="249" w:lineRule="auto"/>
        <w:rPr>
          <w:rFonts w:ascii="Arial" w:cs="Arial" w:eastAsia="Arial" w:hAnsi="Arial"/>
          <w:sz w:val="18"/>
          <w:szCs w:val="18"/>
          <w:color w:val="auto"/>
        </w:rPr>
      </w:pPr>
      <w:r>
        <w:rPr>
          <w:rFonts w:ascii="Arial" w:cs="Arial" w:eastAsia="Arial" w:hAnsi="Arial"/>
          <w:sz w:val="18"/>
          <w:szCs w:val="18"/>
          <w:color w:val="auto"/>
        </w:rPr>
        <w:t>In 2008, these strategies helped us succeed with new products such as Roundup</w:t>
      </w:r>
      <w:r>
        <w:rPr>
          <w:rFonts w:ascii="Arial" w:cs="Arial" w:eastAsia="Arial" w:hAnsi="Arial"/>
          <w:sz w:val="15"/>
          <w:szCs w:val="15"/>
          <w:color w:val="auto"/>
        </w:rPr>
        <w:t>®</w:t>
      </w:r>
      <w:r>
        <w:rPr>
          <w:rFonts w:ascii="Arial" w:cs="Arial" w:eastAsia="Arial" w:hAnsi="Arial"/>
          <w:sz w:val="18"/>
          <w:szCs w:val="18"/>
          <w:color w:val="auto"/>
        </w:rPr>
        <w:t xml:space="preserve"> Pump `N Go</w:t>
      </w:r>
      <w:r>
        <w:rPr>
          <w:rFonts w:ascii="Arial" w:cs="Arial" w:eastAsia="Arial" w:hAnsi="Arial"/>
          <w:sz w:val="15"/>
          <w:szCs w:val="15"/>
          <w:color w:val="auto"/>
        </w:rPr>
        <w:t>®</w:t>
      </w:r>
      <w:r>
        <w:rPr>
          <w:rFonts w:ascii="Arial" w:cs="Arial" w:eastAsia="Arial" w:hAnsi="Arial"/>
          <w:sz w:val="18"/>
          <w:szCs w:val="18"/>
          <w:color w:val="auto"/>
        </w:rPr>
        <w:t xml:space="preserve"> in the United States, as well as a full line of natural and organic lawn and garden products in Europe. In 2009, insights gained from consumers will be critical as we navigate a challenging economic environment. Our research will help us more effectively communicate to consumers that our products cost more because they are worth more.</w:t>
      </w:r>
    </w:p>
    <w:p>
      <w:pPr>
        <w:spacing w:after="0" w:line="73" w:lineRule="exact"/>
        <w:rPr>
          <w:rFonts w:ascii="Arial" w:cs="Arial" w:eastAsia="Arial" w:hAnsi="Arial"/>
          <w:sz w:val="18"/>
          <w:szCs w:val="18"/>
          <w:color w:val="auto"/>
        </w:rPr>
      </w:pPr>
    </w:p>
    <w:p>
      <w:pPr>
        <w:ind w:left="1300" w:right="60" w:hanging="202"/>
        <w:spacing w:after="0" w:line="248"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strategic plan is heavily focused on driving innovation, which we believe is necessary to achieve higher sales and profits. In recent years, new products have been critical to our success. Our strategy is focused on continuing to leverage what we consider an unmatched commitment to innovation. This takes into account three strategic imperatives: all new products must be “simple,” “sustainable” and “significant.”</w:t>
      </w:r>
    </w:p>
    <w:p>
      <w:pPr>
        <w:spacing w:after="0" w:line="76" w:lineRule="exact"/>
        <w:rPr>
          <w:rFonts w:ascii="Arial" w:cs="Arial" w:eastAsia="Arial" w:hAnsi="Arial"/>
          <w:sz w:val="18"/>
          <w:szCs w:val="18"/>
          <w:color w:val="auto"/>
        </w:rPr>
      </w:pPr>
    </w:p>
    <w:p>
      <w:pPr>
        <w:ind w:left="1300" w:right="40"/>
        <w:spacing w:after="0" w:line="245" w:lineRule="auto"/>
        <w:rPr>
          <w:rFonts w:ascii="Arial" w:cs="Arial" w:eastAsia="Arial" w:hAnsi="Arial"/>
          <w:sz w:val="18"/>
          <w:szCs w:val="18"/>
          <w:color w:val="auto"/>
        </w:rPr>
      </w:pPr>
      <w:r>
        <w:rPr>
          <w:rFonts w:ascii="Arial" w:cs="Arial" w:eastAsia="Arial" w:hAnsi="Arial"/>
          <w:sz w:val="18"/>
          <w:szCs w:val="18"/>
          <w:color w:val="auto"/>
        </w:rPr>
        <w:t>“Simple” means that products must be easy for the consumer to buy, easy to use and easy to store. In addition, they should reduce the amount of time it takes to accomplish a task and should give the consumer improved results. Being “sustainable” means products must be designed with consumer safety and environmental impacts in mind. “Significant” products should have strong margin potential, generate possible cost savings, present a global opportunity and be proprietary whenever possible.</w:t>
      </w:r>
    </w:p>
    <w:p>
      <w:pPr>
        <w:spacing w:after="0" w:line="77" w:lineRule="exact"/>
        <w:rPr>
          <w:rFonts w:ascii="Arial" w:cs="Arial" w:eastAsia="Arial" w:hAnsi="Arial"/>
          <w:sz w:val="18"/>
          <w:szCs w:val="18"/>
          <w:color w:val="auto"/>
        </w:rPr>
      </w:pPr>
    </w:p>
    <w:p>
      <w:pPr>
        <w:ind w:left="1300" w:right="20"/>
        <w:spacing w:after="0"/>
        <w:rPr>
          <w:rFonts w:ascii="Arial" w:cs="Arial" w:eastAsia="Arial" w:hAnsi="Arial"/>
          <w:sz w:val="18"/>
          <w:szCs w:val="18"/>
          <w:color w:val="auto"/>
        </w:rPr>
      </w:pPr>
      <w:r>
        <w:rPr>
          <w:rFonts w:ascii="Arial" w:cs="Arial" w:eastAsia="Arial" w:hAnsi="Arial"/>
          <w:sz w:val="18"/>
          <w:szCs w:val="18"/>
          <w:color w:val="auto"/>
        </w:rPr>
        <w:t>We believe this strategy will result in the successful launch of several new products in 2009, including Turf Builder</w:t>
      </w:r>
      <w:r>
        <w:rPr>
          <w:rFonts w:ascii="Arial" w:cs="Arial" w:eastAsia="Arial" w:hAnsi="Arial"/>
          <w:sz w:val="15"/>
          <w:szCs w:val="15"/>
          <w:color w:val="auto"/>
        </w:rPr>
        <w:t>®</w:t>
      </w:r>
      <w:r>
        <w:rPr>
          <w:rFonts w:ascii="Arial" w:cs="Arial" w:eastAsia="Arial" w:hAnsi="Arial"/>
          <w:sz w:val="18"/>
          <w:szCs w:val="18"/>
          <w:color w:val="auto"/>
        </w:rPr>
        <w:t xml:space="preserve"> Water Smart</w:t>
      </w:r>
      <w:r>
        <w:rPr>
          <w:rFonts w:ascii="Arial" w:cs="Arial" w:eastAsia="Arial" w:hAnsi="Arial"/>
          <w:sz w:val="10"/>
          <w:szCs w:val="10"/>
          <w:color w:val="auto"/>
        </w:rPr>
        <w:t>TM</w:t>
      </w:r>
      <w:r>
        <w:rPr>
          <w:rFonts w:ascii="Arial" w:cs="Arial" w:eastAsia="Arial" w:hAnsi="Arial"/>
          <w:sz w:val="18"/>
          <w:szCs w:val="18"/>
          <w:color w:val="auto"/>
        </w:rPr>
        <w:t xml:space="preserve"> Grass Seed and EZ Seed</w:t>
      </w:r>
      <w:r>
        <w:rPr>
          <w:rFonts w:ascii="Arial" w:cs="Arial" w:eastAsia="Arial" w:hAnsi="Arial"/>
          <w:sz w:val="10"/>
          <w:szCs w:val="10"/>
          <w:color w:val="auto"/>
        </w:rPr>
        <w:t>TM</w:t>
      </w:r>
      <w:r>
        <w:rPr>
          <w:rFonts w:ascii="Arial" w:cs="Arial" w:eastAsia="Arial" w:hAnsi="Arial"/>
          <w:sz w:val="18"/>
          <w:szCs w:val="18"/>
          <w:color w:val="auto"/>
        </w:rPr>
        <w:t xml:space="preserve"> Grass Seed. The former includes a full line of premium grass seed products that provide consumers high-performance seed wrapped in a super-absorbent coating. The patented coating allows every seed to absorb up to 40% more water than ordinary seed. As a result, the seed needs to be watered less frequently, which enables consumers to more easily succeed in growing a healthy lawn. EZ Seed</w:t>
      </w:r>
      <w:r>
        <w:rPr>
          <w:rFonts w:ascii="Arial" w:cs="Arial" w:eastAsia="Arial" w:hAnsi="Arial"/>
          <w:sz w:val="10"/>
          <w:szCs w:val="10"/>
          <w:color w:val="auto"/>
        </w:rPr>
        <w:t>TM</w:t>
      </w:r>
      <w:r>
        <w:rPr>
          <w:rFonts w:ascii="Arial" w:cs="Arial" w:eastAsia="Arial" w:hAnsi="Arial"/>
          <w:sz w:val="18"/>
          <w:szCs w:val="18"/>
          <w:color w:val="auto"/>
        </w:rPr>
        <w:t xml:space="preserve"> is a seed mix which includes premium grass seed, fertilizer and a proprietary growing material. Our proprietary technology absorbs water, expanding to surround the seed in a moist protective layer. The protective layer continues to care for the seed, infusing it with water and nutrients, so it builds strong roots that survive tough conditions.</w:t>
      </w:r>
    </w:p>
    <w:p>
      <w:pPr>
        <w:spacing w:after="0" w:line="86" w:lineRule="exact"/>
        <w:rPr>
          <w:rFonts w:ascii="Arial" w:cs="Arial" w:eastAsia="Arial" w:hAnsi="Arial"/>
          <w:sz w:val="18"/>
          <w:szCs w:val="18"/>
          <w:color w:val="auto"/>
        </w:rPr>
      </w:pPr>
    </w:p>
    <w:p>
      <w:pPr>
        <w:ind w:left="1300" w:hanging="202"/>
        <w:spacing w:after="0" w:line="255"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strategic plan also continues to focus on further assisting our retail partners in order to improve their sales and the productivity of the lawn and garden department. We believe this strategy makes us a more critical component to their success and helps to ensure our continued growth.</w:t>
      </w:r>
    </w:p>
    <w:p>
      <w:pPr>
        <w:spacing w:after="0" w:line="70" w:lineRule="exact"/>
        <w:rPr>
          <w:sz w:val="20"/>
          <w:szCs w:val="20"/>
          <w:color w:val="auto"/>
        </w:rPr>
      </w:pPr>
    </w:p>
    <w:p>
      <w:pPr>
        <w:ind w:left="1300" w:right="160"/>
        <w:spacing w:after="0" w:line="276" w:lineRule="auto"/>
        <w:rPr>
          <w:sz w:val="20"/>
          <w:szCs w:val="20"/>
          <w:color w:val="auto"/>
        </w:rPr>
      </w:pPr>
      <w:r>
        <w:rPr>
          <w:rFonts w:ascii="Arial" w:cs="Arial" w:eastAsia="Arial" w:hAnsi="Arial"/>
          <w:sz w:val="18"/>
          <w:szCs w:val="18"/>
          <w:color w:val="auto"/>
        </w:rPr>
        <w:t>In 2009, we will employ more merchandisers and expert product counselors and significantly increase the number of hours we spend in the stores of our major retail partners. We are rebalancing</w:t>
      </w:r>
    </w:p>
    <w:p>
      <w:pPr>
        <w:spacing w:after="0" w:line="85"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1"/>
          <w:szCs w:val="11"/>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-78105</wp:posOffset>
            </wp:positionV>
            <wp:extent cx="1974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00"/>
          </w:cols>
          <w:pgMar w:left="240" w:top="415" w:right="95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hyperlink w:anchor="page6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300" w:right="200"/>
        <w:spacing w:after="0" w:line="276" w:lineRule="auto"/>
        <w:rPr>
          <w:sz w:val="20"/>
          <w:szCs w:val="20"/>
          <w:color w:val="auto"/>
        </w:rPr>
      </w:pPr>
      <w:r>
        <w:rPr>
          <w:rFonts w:ascii="Arial" w:cs="Arial" w:eastAsia="Arial" w:hAnsi="Arial"/>
          <w:sz w:val="18"/>
          <w:szCs w:val="18"/>
          <w:color w:val="auto"/>
        </w:rPr>
        <w:t>our sales force in a cost neutral way that allows us to spend more time helping our retailers and consumers and less time on administrative activities.</w:t>
      </w:r>
    </w:p>
    <w:p>
      <w:pPr>
        <w:spacing w:after="0" w:line="51" w:lineRule="exact"/>
        <w:rPr>
          <w:sz w:val="20"/>
          <w:szCs w:val="20"/>
          <w:color w:val="auto"/>
        </w:rPr>
      </w:pPr>
    </w:p>
    <w:p>
      <w:pPr>
        <w:jc w:val="both"/>
        <w:ind w:left="1300" w:right="280"/>
        <w:spacing w:after="0" w:line="248" w:lineRule="auto"/>
        <w:rPr>
          <w:sz w:val="20"/>
          <w:szCs w:val="20"/>
          <w:color w:val="auto"/>
        </w:rPr>
      </w:pPr>
      <w:r>
        <w:rPr>
          <w:rFonts w:ascii="Arial" w:cs="Arial" w:eastAsia="Arial" w:hAnsi="Arial"/>
          <w:sz w:val="18"/>
          <w:szCs w:val="18"/>
          <w:color w:val="auto"/>
        </w:rPr>
        <w:t>We believe this strategy will provide a more flexible cost structure that helps maximize the return on our investment and allows us to better meet the needs and timing of local markets. It also allows us to quickly deploy more labor in those regions where business is particularly strong and reduce spending in regions where sales may be lower than expected due to poor weather, economic concerns or other factors.</w:t>
      </w:r>
    </w:p>
    <w:p>
      <w:pPr>
        <w:spacing w:after="0" w:line="76" w:lineRule="exact"/>
        <w:rPr>
          <w:sz w:val="20"/>
          <w:szCs w:val="20"/>
          <w:color w:val="auto"/>
        </w:rPr>
      </w:pPr>
    </w:p>
    <w:p>
      <w:pPr>
        <w:ind w:left="1300" w:right="340" w:hanging="202"/>
        <w:spacing w:after="0" w:line="276"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strategy will continue to transform our U.S. supply chain into a more regional model. We believe this effort can result in cost savings of $50 million annually and reduce inventories by more than $100 million.</w:t>
      </w:r>
    </w:p>
    <w:p>
      <w:pPr>
        <w:spacing w:after="0" w:line="50" w:lineRule="exact"/>
        <w:rPr>
          <w:rFonts w:ascii="Arial" w:cs="Arial" w:eastAsia="Arial" w:hAnsi="Arial"/>
          <w:sz w:val="18"/>
          <w:szCs w:val="18"/>
          <w:color w:val="auto"/>
        </w:rPr>
      </w:pPr>
    </w:p>
    <w:p>
      <w:pPr>
        <w:ind w:left="1300" w:right="80"/>
        <w:spacing w:after="0" w:line="248" w:lineRule="auto"/>
        <w:rPr>
          <w:rFonts w:ascii="Arial" w:cs="Arial" w:eastAsia="Arial" w:hAnsi="Arial"/>
          <w:sz w:val="18"/>
          <w:szCs w:val="18"/>
          <w:color w:val="auto"/>
        </w:rPr>
      </w:pPr>
      <w:r>
        <w:rPr>
          <w:rFonts w:ascii="Arial" w:cs="Arial" w:eastAsia="Arial" w:hAnsi="Arial"/>
          <w:sz w:val="18"/>
          <w:szCs w:val="18"/>
          <w:color w:val="auto"/>
        </w:rPr>
        <w:t>Today, the majority of our lawn fertilizer products in the United States are shipped from our plant in Marysville, Ohio to one of 11 warehouses across the country. From those warehouses, the fertilizer products are then shipped — along with controls, plant food, grass seed and durable products — directly to home center stores. These products are often shipped on less-than-full trucks, making their distribution less efficient than we would like.</w:t>
      </w:r>
    </w:p>
    <w:p>
      <w:pPr>
        <w:spacing w:after="0" w:line="76" w:lineRule="exact"/>
        <w:rPr>
          <w:rFonts w:ascii="Arial" w:cs="Arial" w:eastAsia="Arial" w:hAnsi="Arial"/>
          <w:sz w:val="18"/>
          <w:szCs w:val="18"/>
          <w:color w:val="auto"/>
        </w:rPr>
      </w:pPr>
    </w:p>
    <w:p>
      <w:pPr>
        <w:ind w:left="1300" w:right="540"/>
        <w:spacing w:after="0" w:line="276" w:lineRule="auto"/>
        <w:rPr>
          <w:rFonts w:ascii="Arial" w:cs="Arial" w:eastAsia="Arial" w:hAnsi="Arial"/>
          <w:sz w:val="18"/>
          <w:szCs w:val="18"/>
          <w:color w:val="auto"/>
        </w:rPr>
      </w:pPr>
      <w:r>
        <w:rPr>
          <w:rFonts w:ascii="Arial" w:cs="Arial" w:eastAsia="Arial" w:hAnsi="Arial"/>
          <w:sz w:val="18"/>
          <w:szCs w:val="18"/>
          <w:color w:val="auto"/>
        </w:rPr>
        <w:t>Meanwhile, growing media products are shipped direct-to-store through a network of 26 manufacturing facilities. Because these shipments go shorter distances on full trucks, they are more efficient.</w:t>
      </w:r>
    </w:p>
    <w:p>
      <w:pPr>
        <w:spacing w:after="0" w:line="50" w:lineRule="exact"/>
        <w:rPr>
          <w:rFonts w:ascii="Arial" w:cs="Arial" w:eastAsia="Arial" w:hAnsi="Arial"/>
          <w:sz w:val="18"/>
          <w:szCs w:val="18"/>
          <w:color w:val="auto"/>
        </w:rPr>
      </w:pPr>
    </w:p>
    <w:p>
      <w:pPr>
        <w:ind w:left="1300" w:right="80"/>
        <w:spacing w:after="0" w:line="245" w:lineRule="auto"/>
        <w:rPr>
          <w:rFonts w:ascii="Arial" w:cs="Arial" w:eastAsia="Arial" w:hAnsi="Arial"/>
          <w:sz w:val="18"/>
          <w:szCs w:val="18"/>
          <w:color w:val="auto"/>
        </w:rPr>
      </w:pPr>
      <w:r>
        <w:rPr>
          <w:rFonts w:ascii="Arial" w:cs="Arial" w:eastAsia="Arial" w:hAnsi="Arial"/>
          <w:sz w:val="18"/>
          <w:szCs w:val="18"/>
          <w:color w:val="auto"/>
        </w:rPr>
        <w:t>Our strategy for a future model — which is being rolled out in the Southeastern United States in 2009 — allows fertilizer products to be shipped into these growing media facilities, instead of to warehouses. From there, the fertilizer and growing media products are co-distributed directly to the stores. Once deployed across the entire country, nearly all fertilizer products for home center customers will be shipped through these growing media facilities, significantly improving our product distribution efficiency.</w:t>
      </w:r>
    </w:p>
    <w:p>
      <w:pPr>
        <w:spacing w:after="0" w:line="77" w:lineRule="exact"/>
        <w:rPr>
          <w:rFonts w:ascii="Arial" w:cs="Arial" w:eastAsia="Arial" w:hAnsi="Arial"/>
          <w:sz w:val="18"/>
          <w:szCs w:val="18"/>
          <w:color w:val="auto"/>
        </w:rPr>
      </w:pPr>
    </w:p>
    <w:p>
      <w:pPr>
        <w:ind w:left="1300" w:right="60"/>
        <w:spacing w:after="0" w:line="255" w:lineRule="auto"/>
        <w:rPr>
          <w:rFonts w:ascii="Arial" w:cs="Arial" w:eastAsia="Arial" w:hAnsi="Arial"/>
          <w:sz w:val="18"/>
          <w:szCs w:val="18"/>
          <w:color w:val="auto"/>
        </w:rPr>
      </w:pPr>
      <w:r>
        <w:rPr>
          <w:rFonts w:ascii="Arial" w:cs="Arial" w:eastAsia="Arial" w:hAnsi="Arial"/>
          <w:sz w:val="18"/>
          <w:szCs w:val="18"/>
          <w:color w:val="auto"/>
        </w:rPr>
        <w:t>Within five years, it is anticipated that up to half of our third-party warehouse square footage could be eliminated. With fertilizer and growing media products shipping together to home center retailers, most of the remaining cased goods would be shipped from the warehouses to our retail partners’ distribution centers on fully-loaded trucks.</w:t>
      </w:r>
    </w:p>
    <w:p>
      <w:pPr>
        <w:spacing w:after="0" w:line="69" w:lineRule="exact"/>
        <w:rPr>
          <w:rFonts w:ascii="Arial" w:cs="Arial" w:eastAsia="Arial" w:hAnsi="Arial"/>
          <w:sz w:val="18"/>
          <w:szCs w:val="18"/>
          <w:color w:val="auto"/>
        </w:rPr>
      </w:pPr>
    </w:p>
    <w:p>
      <w:pPr>
        <w:ind w:left="1300"/>
        <w:spacing w:after="0" w:line="248" w:lineRule="auto"/>
        <w:rPr>
          <w:rFonts w:ascii="Arial" w:cs="Arial" w:eastAsia="Arial" w:hAnsi="Arial"/>
          <w:sz w:val="18"/>
          <w:szCs w:val="18"/>
          <w:color w:val="auto"/>
        </w:rPr>
      </w:pPr>
      <w:r>
        <w:rPr>
          <w:rFonts w:ascii="Arial" w:cs="Arial" w:eastAsia="Arial" w:hAnsi="Arial"/>
          <w:sz w:val="18"/>
          <w:szCs w:val="18"/>
          <w:color w:val="auto"/>
        </w:rPr>
        <w:t>These strategic efforts not only present a significant economic benefit to the Company, but our retail partners will benefit as well, through more frequent store replenishment, improved inventory turns and reduced order lead times. As such, we believe our partners can maximize their retail point-of-sale opportunities without compromising the customer service rates they have come to expect.</w:t>
      </w:r>
    </w:p>
    <w:p>
      <w:pPr>
        <w:spacing w:after="0" w:line="187"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auto"/>
        </w:rPr>
        <w:t>Strengthening our Global Consumer Business Internationally</w:t>
      </w:r>
    </w:p>
    <w:p>
      <w:pPr>
        <w:spacing w:after="0" w:line="124" w:lineRule="exact"/>
        <w:rPr>
          <w:sz w:val="20"/>
          <w:szCs w:val="20"/>
          <w:color w:val="auto"/>
        </w:rPr>
      </w:pPr>
    </w:p>
    <w:p>
      <w:pPr>
        <w:ind w:left="700" w:firstLine="402"/>
        <w:spacing w:after="0" w:line="238" w:lineRule="auto"/>
        <w:rPr>
          <w:sz w:val="20"/>
          <w:szCs w:val="20"/>
          <w:color w:val="auto"/>
        </w:rPr>
      </w:pPr>
      <w:r>
        <w:rPr>
          <w:rFonts w:ascii="Arial" w:cs="Arial" w:eastAsia="Arial" w:hAnsi="Arial"/>
          <w:sz w:val="18"/>
          <w:szCs w:val="18"/>
          <w:color w:val="auto"/>
        </w:rPr>
        <w:t>We continue to believe in the long-term growth potential of our Global Consumer business internationally. In order to maximize shareholder value in this business, we have sharpened our focus by: (i) reducing costs in the business to improve profitability and to allow for marketing investments; (ii) aligning the organization by category rather than by geography to better leverage our knowledge of the marketplace and the consumer; and (iii) better leveraging the Company’s innovation competencies. We have implemented a global supply chain to provide our smaller, international market segments with the benefits of the larger Company, such as lower packaging costs and the ability to source products from any Company-owned plant globally. The first steps of the organizational realignment have taken place, and as part of a broader corporate initiative, they will continue to evolve in fiscal 2009 and beyond. Finally, we are combining global scale with locally tailored products to streamline our technology platform in the international Global Consumer business. As an example, when the Company introduced LiquaFeed</w:t>
      </w:r>
      <w:r>
        <w:rPr>
          <w:rFonts w:ascii="Arial" w:cs="Arial" w:eastAsia="Arial" w:hAnsi="Arial"/>
          <w:sz w:val="15"/>
          <w:szCs w:val="15"/>
          <w:color w:val="auto"/>
        </w:rPr>
        <w:t>®</w:t>
      </w:r>
      <w:r>
        <w:rPr>
          <w:rFonts w:ascii="Arial" w:cs="Arial" w:eastAsia="Arial" w:hAnsi="Arial"/>
          <w:sz w:val="18"/>
          <w:szCs w:val="18"/>
          <w:color w:val="auto"/>
        </w:rPr>
        <w:t xml:space="preserve"> Plant Food to a variety of European countries in fiscal 2008, each label carried the same design and branding while the claims and instructions were displayed in the local language. At the same time, the European business doubled sales of natural products in fiscal 2008 by launching Naturen</w:t>
      </w:r>
      <w:r>
        <w:rPr>
          <w:rFonts w:ascii="Arial" w:cs="Arial" w:eastAsia="Arial" w:hAnsi="Arial"/>
          <w:sz w:val="15"/>
          <w:szCs w:val="15"/>
          <w:color w:val="auto"/>
        </w:rPr>
        <w:t>®</w:t>
      </w:r>
      <w:r>
        <w:rPr>
          <w:rFonts w:ascii="Arial" w:cs="Arial" w:eastAsia="Arial" w:hAnsi="Arial"/>
          <w:sz w:val="18"/>
          <w:szCs w:val="18"/>
          <w:color w:val="auto"/>
        </w:rPr>
        <w:t xml:space="preserve"> sub-branded products as a locally driven effort.</w:t>
      </w:r>
    </w:p>
    <w:p>
      <w:pPr>
        <w:spacing w:after="0" w:line="199"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auto"/>
        </w:rPr>
        <w:t>Expanding Scotts LawnService</w:t>
      </w:r>
      <w:r>
        <w:rPr>
          <w:rFonts w:ascii="Arial" w:cs="Arial" w:eastAsia="Arial" w:hAnsi="Arial"/>
          <w:sz w:val="27"/>
          <w:szCs w:val="27"/>
          <w:b w:val="1"/>
          <w:bCs w:val="1"/>
          <w:color w:val="auto"/>
          <w:vertAlign w:val="superscript"/>
        </w:rPr>
        <w:t>®</w:t>
      </w:r>
    </w:p>
    <w:p>
      <w:pPr>
        <w:spacing w:after="0" w:line="20" w:lineRule="exact"/>
        <w:rPr>
          <w:sz w:val="20"/>
          <w:szCs w:val="20"/>
          <w:color w:val="auto"/>
        </w:rPr>
      </w:pPr>
    </w:p>
    <w:p>
      <w:pPr>
        <w:ind w:left="700" w:right="420" w:firstLine="402"/>
        <w:spacing w:after="0" w:line="242" w:lineRule="auto"/>
        <w:rPr>
          <w:sz w:val="20"/>
          <w:szCs w:val="20"/>
          <w:color w:val="auto"/>
        </w:rPr>
      </w:pPr>
      <w:r>
        <w:rPr>
          <w:rFonts w:ascii="Arial" w:cs="Arial" w:eastAsia="Arial" w:hAnsi="Arial"/>
          <w:sz w:val="18"/>
          <w:szCs w:val="18"/>
          <w:color w:val="auto"/>
        </w:rPr>
        <w:t>The number of homeowners who want to maintain their lawns and gardens but do not want to do it themselves represents a significant portion of the total lawn and garden market. We recognize that our portfolio of well-known brands provides us with a unique ability to extend our business into lawn and</w:t>
      </w:r>
    </w:p>
    <w:p>
      <w:pPr>
        <w:spacing w:after="0" w:line="115"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1"/>
          <w:szCs w:val="11"/>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-78105</wp:posOffset>
            </wp:positionV>
            <wp:extent cx="19748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20"/>
          </w:cols>
          <w:pgMar w:left="240" w:top="415" w:right="9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hyperlink w:anchor="page6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700"/>
        <w:spacing w:after="0" w:line="241" w:lineRule="auto"/>
        <w:rPr>
          <w:sz w:val="20"/>
          <w:szCs w:val="20"/>
          <w:color w:val="auto"/>
        </w:rPr>
      </w:pPr>
      <w:r>
        <w:rPr>
          <w:rFonts w:ascii="Arial" w:cs="Arial" w:eastAsia="Arial" w:hAnsi="Arial"/>
          <w:sz w:val="18"/>
          <w:szCs w:val="18"/>
          <w:color w:val="auto"/>
        </w:rPr>
        <w:t>garden services and that the strength of our brands provides us with a competitive advantage in acquiring new customers. We have spent the past several years developing our Scotts LawnService</w:t>
      </w:r>
      <w:r>
        <w:rPr>
          <w:rFonts w:ascii="Arial" w:cs="Arial" w:eastAsia="Arial" w:hAnsi="Arial"/>
          <w:sz w:val="15"/>
          <w:szCs w:val="15"/>
          <w:color w:val="auto"/>
        </w:rPr>
        <w:t>®</w:t>
      </w:r>
      <w:r>
        <w:rPr>
          <w:rFonts w:ascii="Arial" w:cs="Arial" w:eastAsia="Arial" w:hAnsi="Arial"/>
          <w:sz w:val="18"/>
          <w:szCs w:val="18"/>
          <w:color w:val="auto"/>
        </w:rPr>
        <w:t xml:space="preserve"> business model and the business has grown significantly, from revenues of $41.2 million in fiscal 2001 to revenues of $247.4 million in fiscal 2008. This growth has come from geographic expansion, acquisitions and organic growth fueled by our direct marketing programs. Although acquisition activity was negligible in fiscal 2008 and $22.5 million in fiscal 2007, we anticipate continuing to make selective acquisitions in fiscal 2009 and beyond. We will also continue to invest in the Scotts LawnService</w:t>
      </w:r>
      <w:r>
        <w:rPr>
          <w:rFonts w:ascii="Arial" w:cs="Arial" w:eastAsia="Arial" w:hAnsi="Arial"/>
          <w:sz w:val="15"/>
          <w:szCs w:val="15"/>
          <w:color w:val="auto"/>
        </w:rPr>
        <w:t>®</w:t>
      </w:r>
      <w:r>
        <w:rPr>
          <w:rFonts w:ascii="Arial" w:cs="Arial" w:eastAsia="Arial" w:hAnsi="Arial"/>
          <w:sz w:val="18"/>
          <w:szCs w:val="18"/>
          <w:color w:val="auto"/>
        </w:rPr>
        <w:t xml:space="preserve"> business infrastructure in order to continually improve customer service throughout the organization and leverage economies of scale as we continue to grow.</w:t>
      </w:r>
    </w:p>
    <w:p>
      <w:pPr>
        <w:spacing w:after="0" w:line="195"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auto"/>
        </w:rPr>
        <w:t>Seasonality and Backlog</w:t>
      </w:r>
    </w:p>
    <w:p>
      <w:pPr>
        <w:spacing w:after="0" w:line="124" w:lineRule="exact"/>
        <w:rPr>
          <w:sz w:val="20"/>
          <w:szCs w:val="20"/>
          <w:color w:val="auto"/>
        </w:rPr>
      </w:pPr>
    </w:p>
    <w:p>
      <w:pPr>
        <w:ind w:left="700" w:right="120" w:firstLine="402"/>
        <w:spacing w:after="0" w:line="277" w:lineRule="auto"/>
        <w:rPr>
          <w:sz w:val="20"/>
          <w:szCs w:val="20"/>
          <w:color w:val="auto"/>
        </w:rPr>
      </w:pPr>
      <w:r>
        <w:rPr>
          <w:rFonts w:ascii="Arial" w:cs="Arial" w:eastAsia="Arial" w:hAnsi="Arial"/>
          <w:sz w:val="17"/>
          <w:szCs w:val="17"/>
          <w:color w:val="auto"/>
        </w:rPr>
        <w:t>Our business is highly seasonal, with 70% to 75% of our annual net sales occurring in our combined second and third fiscal quarters. Our annual sales are further concentrated in our second and third fiscal quarters by retailers who increasingly rely on our ability to deliver products “in season” when consumers buy our products, thereby reducing their inventories.</w:t>
      </w:r>
    </w:p>
    <w:p>
      <w:pPr>
        <w:spacing w:after="0" w:line="52" w:lineRule="exact"/>
        <w:rPr>
          <w:sz w:val="20"/>
          <w:szCs w:val="20"/>
          <w:color w:val="auto"/>
        </w:rPr>
      </w:pPr>
    </w:p>
    <w:p>
      <w:pPr>
        <w:ind w:left="700" w:right="240" w:firstLine="402"/>
        <w:spacing w:after="0" w:line="255" w:lineRule="auto"/>
        <w:rPr>
          <w:sz w:val="20"/>
          <w:szCs w:val="20"/>
          <w:color w:val="auto"/>
        </w:rPr>
      </w:pPr>
      <w:r>
        <w:rPr>
          <w:rFonts w:ascii="Arial" w:cs="Arial" w:eastAsia="Arial" w:hAnsi="Arial"/>
          <w:sz w:val="18"/>
          <w:szCs w:val="18"/>
          <w:color w:val="auto"/>
        </w:rPr>
        <w:t>We anticipate significant orders for the upcoming spring season will start to be received late in the winter and continue through the spring season. Historically, substantially all orders are received and shipped within the same fiscal year with minimal carryover of open orders at the end of the fiscal year.</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Raw Materials</w:t>
      </w:r>
    </w:p>
    <w:p>
      <w:pPr>
        <w:spacing w:after="0" w:line="124" w:lineRule="exact"/>
        <w:rPr>
          <w:sz w:val="20"/>
          <w:szCs w:val="20"/>
          <w:color w:val="auto"/>
        </w:rPr>
      </w:pPr>
    </w:p>
    <w:p>
      <w:pPr>
        <w:ind w:left="700" w:right="160" w:firstLine="402"/>
        <w:spacing w:after="0" w:line="241" w:lineRule="auto"/>
        <w:rPr>
          <w:sz w:val="20"/>
          <w:szCs w:val="20"/>
          <w:color w:val="auto"/>
        </w:rPr>
      </w:pPr>
      <w:r>
        <w:rPr>
          <w:rFonts w:ascii="Arial" w:cs="Arial" w:eastAsia="Arial" w:hAnsi="Arial"/>
          <w:sz w:val="18"/>
          <w:szCs w:val="18"/>
          <w:color w:val="auto"/>
        </w:rPr>
        <w:t>We purchase raw materials for our products from various sources that we presently consider to be adequate to supply the needs of each of our segments and our business as a whole. We are subject to market risk from fluctuating prices of certain raw materials, including urea, resins, fuel, grass seed and wild bird food components. Our objectives surrounding the procurement of these materials are to ensure continuous supply and to minimize costs. We seek to achieve these objectives through negotiation of contracts with favorable terms directly with vendors. When appropriate, we will procure a certain percentage of our needs in advance of the season to secure pre-determined prices. We also hedge certain commodities to improve predictability and control costs.</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Manufacturing and Distribution</w:t>
      </w:r>
    </w:p>
    <w:p>
      <w:pPr>
        <w:spacing w:after="0" w:line="124"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We manufacture products for our Global Consumer business in North America at our facilities in Marysville, Ohio,</w:t>
      </w:r>
    </w:p>
    <w:p>
      <w:pPr>
        <w:spacing w:after="0" w:line="18" w:lineRule="exact"/>
        <w:rPr>
          <w:sz w:val="20"/>
          <w:szCs w:val="20"/>
          <w:color w:val="auto"/>
        </w:rPr>
      </w:pPr>
    </w:p>
    <w:p>
      <w:pPr>
        <w:ind w:left="700"/>
        <w:spacing w:after="0" w:line="239" w:lineRule="auto"/>
        <w:rPr>
          <w:sz w:val="20"/>
          <w:szCs w:val="20"/>
          <w:color w:val="auto"/>
        </w:rPr>
      </w:pPr>
      <w:r>
        <w:rPr>
          <w:rFonts w:ascii="Arial" w:cs="Arial" w:eastAsia="Arial" w:hAnsi="Arial"/>
          <w:sz w:val="18"/>
          <w:szCs w:val="18"/>
          <w:color w:val="auto"/>
        </w:rPr>
        <w:t>Fort Madison, Iowa, Albany, Oregon and Temecula, California, as well as at a number of third-party contract packer facilities in the United States and Canada. In addition, the Company manufactures growing media products in 27 regional facilities located throughout North America. We also own five production facilities for our wild bird food operations in Indiana, South Dakota, South Carolina and Texas. The primary distribution centers for our Global Consumer business in North America are managed by the Company and strategically placed across the United States.</w:t>
      </w:r>
    </w:p>
    <w:p>
      <w:pPr>
        <w:spacing w:after="0" w:line="82" w:lineRule="exact"/>
        <w:rPr>
          <w:sz w:val="20"/>
          <w:szCs w:val="20"/>
          <w:color w:val="auto"/>
        </w:rPr>
      </w:pPr>
    </w:p>
    <w:p>
      <w:pPr>
        <w:ind w:left="700" w:right="20" w:firstLine="402"/>
        <w:spacing w:after="0" w:line="248" w:lineRule="auto"/>
        <w:rPr>
          <w:sz w:val="20"/>
          <w:szCs w:val="20"/>
          <w:color w:val="auto"/>
        </w:rPr>
      </w:pPr>
      <w:r>
        <w:rPr>
          <w:rFonts w:ascii="Arial" w:cs="Arial" w:eastAsia="Arial" w:hAnsi="Arial"/>
          <w:sz w:val="18"/>
          <w:szCs w:val="18"/>
          <w:color w:val="auto"/>
        </w:rPr>
        <w:t>We manufacture the non-growing media products for our Global Consumer business internationally at our facilities in Howden, the United Kingdom and Bourth, France. We also utilize a number of third-party contract packers. The primary distribution centers for our Global Consumer business internationally are located in the United Kingdom, France and Germany and are managed by a logistics provider.</w:t>
      </w:r>
    </w:p>
    <w:p>
      <w:pPr>
        <w:spacing w:after="0" w:line="76" w:lineRule="exact"/>
        <w:rPr>
          <w:sz w:val="20"/>
          <w:szCs w:val="20"/>
          <w:color w:val="auto"/>
        </w:rPr>
      </w:pPr>
    </w:p>
    <w:p>
      <w:pPr>
        <w:ind w:left="700" w:right="40" w:firstLine="402"/>
        <w:spacing w:after="0" w:line="255" w:lineRule="auto"/>
        <w:rPr>
          <w:sz w:val="20"/>
          <w:szCs w:val="20"/>
          <w:color w:val="auto"/>
        </w:rPr>
      </w:pPr>
      <w:r>
        <w:rPr>
          <w:rFonts w:ascii="Arial" w:cs="Arial" w:eastAsia="Arial" w:hAnsi="Arial"/>
          <w:sz w:val="18"/>
          <w:szCs w:val="18"/>
          <w:color w:val="auto"/>
        </w:rPr>
        <w:t>The growing media products for our international Global Consumer business are produced at our facilities in Hatfield and Sutton Bridge, both in the United Kingdom, and Hautmont, France, and at a number of third-party contract packer facilities. These growing media products are generally shipped direct without passing through a distribution center.</w:t>
      </w:r>
    </w:p>
    <w:p>
      <w:pPr>
        <w:spacing w:after="0" w:line="70" w:lineRule="exact"/>
        <w:rPr>
          <w:sz w:val="20"/>
          <w:szCs w:val="20"/>
          <w:color w:val="auto"/>
        </w:rPr>
      </w:pPr>
    </w:p>
    <w:p>
      <w:pPr>
        <w:ind w:left="700" w:right="80" w:firstLine="402"/>
        <w:spacing w:after="0" w:line="248" w:lineRule="auto"/>
        <w:rPr>
          <w:sz w:val="20"/>
          <w:szCs w:val="20"/>
          <w:color w:val="auto"/>
        </w:rPr>
      </w:pPr>
      <w:r>
        <w:rPr>
          <w:rFonts w:ascii="Arial" w:cs="Arial" w:eastAsia="Arial" w:hAnsi="Arial"/>
          <w:sz w:val="18"/>
          <w:szCs w:val="18"/>
          <w:color w:val="auto"/>
        </w:rPr>
        <w:t>We also manufacture horticultural products for our Global Professional business at a leased fertilizer manufacturing facility in Charleston, South Carolina and a Company-owned site in Heerlen, the Netherlands. The remaining products for our Global Professional businesses are produced at other Company-owned facilities and subcontractors in the United States and Europe.</w:t>
      </w:r>
    </w:p>
    <w:p>
      <w:pPr>
        <w:spacing w:after="0" w:line="76" w:lineRule="exact"/>
        <w:rPr>
          <w:sz w:val="20"/>
          <w:szCs w:val="20"/>
          <w:color w:val="auto"/>
        </w:rPr>
      </w:pPr>
    </w:p>
    <w:p>
      <w:pPr>
        <w:ind w:left="700" w:right="240" w:firstLine="402"/>
        <w:spacing w:after="0" w:line="255" w:lineRule="auto"/>
        <w:rPr>
          <w:sz w:val="20"/>
          <w:szCs w:val="20"/>
          <w:color w:val="auto"/>
        </w:rPr>
      </w:pPr>
      <w:r>
        <w:rPr>
          <w:rFonts w:ascii="Arial" w:cs="Arial" w:eastAsia="Arial" w:hAnsi="Arial"/>
          <w:sz w:val="18"/>
          <w:szCs w:val="18"/>
          <w:color w:val="auto"/>
        </w:rPr>
        <w:t>The majority of shipments to customers are made via common carriers or through distributors in the United States and through a network of public warehouses and distributors in Europe. We are subject to market risk from fluctuating market prices of diesel fuel, which our common carriers pass on to the</w:t>
      </w:r>
    </w:p>
    <w:p>
      <w:pPr>
        <w:spacing w:after="0" w:line="10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1"/>
          <w:szCs w:val="11"/>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-78105</wp:posOffset>
            </wp:positionV>
            <wp:extent cx="19748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20"/>
          </w:cols>
          <w:pgMar w:left="240" w:top="415" w:right="9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hyperlink w:anchor="page6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700" w:right="240"/>
        <w:spacing w:after="0" w:line="276" w:lineRule="auto"/>
        <w:rPr>
          <w:sz w:val="20"/>
          <w:szCs w:val="20"/>
          <w:color w:val="auto"/>
        </w:rPr>
      </w:pPr>
      <w:r>
        <w:rPr>
          <w:rFonts w:ascii="Arial" w:cs="Arial" w:eastAsia="Arial" w:hAnsi="Arial"/>
          <w:sz w:val="18"/>
          <w:szCs w:val="18"/>
          <w:color w:val="auto"/>
        </w:rPr>
        <w:t>Company in the form of fuel surcharges. When appropriate, the Company will hedge a portion of these indirect fuel costs to improve predictability and control costs.</w:t>
      </w:r>
    </w:p>
    <w:p>
      <w:pPr>
        <w:spacing w:after="0" w:line="161"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Employees</w:t>
      </w:r>
    </w:p>
    <w:p>
      <w:pPr>
        <w:spacing w:after="0" w:line="124" w:lineRule="exact"/>
        <w:rPr>
          <w:sz w:val="20"/>
          <w:szCs w:val="20"/>
          <w:color w:val="auto"/>
        </w:rPr>
      </w:pPr>
    </w:p>
    <w:p>
      <w:pPr>
        <w:ind w:left="700" w:right="60" w:firstLine="402"/>
        <w:spacing w:after="0" w:line="255" w:lineRule="auto"/>
        <w:rPr>
          <w:sz w:val="20"/>
          <w:szCs w:val="20"/>
          <w:color w:val="auto"/>
        </w:rPr>
      </w:pPr>
      <w:r>
        <w:rPr>
          <w:rFonts w:ascii="Arial" w:cs="Arial" w:eastAsia="Arial" w:hAnsi="Arial"/>
          <w:sz w:val="18"/>
          <w:szCs w:val="18"/>
          <w:color w:val="auto"/>
        </w:rPr>
        <w:t>As of September 30, 2008, we employed 5,303 full-time employees in the United States and an additional 1,075 full-time employees located outside the United States. During peak sales and production periods, we utilize seasonal and temporary labor.</w:t>
      </w:r>
    </w:p>
    <w:p>
      <w:pPr>
        <w:spacing w:after="0" w:line="70" w:lineRule="exact"/>
        <w:rPr>
          <w:sz w:val="20"/>
          <w:szCs w:val="20"/>
          <w:color w:val="auto"/>
        </w:rPr>
      </w:pPr>
    </w:p>
    <w:p>
      <w:pPr>
        <w:ind w:left="700" w:firstLine="402"/>
        <w:spacing w:after="0" w:line="239" w:lineRule="auto"/>
        <w:rPr>
          <w:sz w:val="20"/>
          <w:szCs w:val="20"/>
          <w:color w:val="auto"/>
        </w:rPr>
      </w:pPr>
      <w:r>
        <w:rPr>
          <w:rFonts w:ascii="Arial" w:cs="Arial" w:eastAsia="Arial" w:hAnsi="Arial"/>
          <w:sz w:val="18"/>
          <w:szCs w:val="18"/>
          <w:color w:val="auto"/>
        </w:rPr>
        <w:t>None of our U.S.-based employees are members of a union. Approximately 35 of our full-time U.K.-based employees are members of the Transport and General Workers Union and have full collective bargaining rights. An undisclosed number of our full-time employees at our office in Ecully, France are members of the Confederation Francaise Democratique du Travail and Confederation Generale du Travail, participation in which is confidential under French law. In addition, a number of union and non-union full-time employees are members of works councils at three sites in Bourth, Hautmont and Ecully, France, and a number of non-union employees are members of works councils in Ingelheim, Germany. In the Waardenburg office and in the Heerlen Plant in the Netherlands, approximately 10 employees are members of a workers union, but we are not responsible for collective bargaining negotiations with this union. In the Netherlands, we are governed by the Works Councils Act with respect to the union. Works councils represent employees on labor and employment matters and manage social benefits.</w:t>
      </w:r>
    </w:p>
    <w:p>
      <w:pPr>
        <w:spacing w:after="0" w:line="86" w:lineRule="exact"/>
        <w:rPr>
          <w:sz w:val="20"/>
          <w:szCs w:val="20"/>
          <w:color w:val="auto"/>
        </w:rPr>
      </w:pPr>
    </w:p>
    <w:p>
      <w:pPr>
        <w:ind w:left="700" w:right="140" w:firstLine="402"/>
        <w:spacing w:after="0" w:line="276" w:lineRule="auto"/>
        <w:rPr>
          <w:sz w:val="20"/>
          <w:szCs w:val="20"/>
          <w:color w:val="auto"/>
        </w:rPr>
      </w:pPr>
      <w:r>
        <w:rPr>
          <w:rFonts w:ascii="Arial" w:cs="Arial" w:eastAsia="Arial" w:hAnsi="Arial"/>
          <w:sz w:val="18"/>
          <w:szCs w:val="18"/>
          <w:color w:val="auto"/>
        </w:rPr>
        <w:t>We believe we have good relationships with our employees in the United States, and both unionized and non-unionized international employees.</w:t>
      </w:r>
    </w:p>
    <w:p>
      <w:pPr>
        <w:spacing w:after="0" w:line="161"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Regulatory Considerations</w:t>
      </w:r>
    </w:p>
    <w:p>
      <w:pPr>
        <w:spacing w:after="0" w:line="124"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Local, state, federal and foreign laws and regulations affect the sale of our products in several ways.</w:t>
      </w:r>
    </w:p>
    <w:p>
      <w:pPr>
        <w:spacing w:after="0" w:line="117" w:lineRule="exact"/>
        <w:rPr>
          <w:sz w:val="20"/>
          <w:szCs w:val="20"/>
          <w:color w:val="auto"/>
        </w:rPr>
      </w:pPr>
    </w:p>
    <w:p>
      <w:pPr>
        <w:ind w:left="700" w:right="200" w:firstLine="402"/>
        <w:spacing w:after="0" w:line="258" w:lineRule="auto"/>
        <w:rPr>
          <w:sz w:val="20"/>
          <w:szCs w:val="20"/>
          <w:color w:val="auto"/>
        </w:rPr>
      </w:pPr>
      <w:r>
        <w:rPr>
          <w:rFonts w:ascii="Arial" w:cs="Arial" w:eastAsia="Arial" w:hAnsi="Arial"/>
          <w:sz w:val="17"/>
          <w:szCs w:val="17"/>
          <w:color w:val="auto"/>
        </w:rPr>
        <w:t>In the United States, all products containing pesticides must comply with the Federal Insecticide, Fungicide, and Rodenticide Act of 1947, as amended (“FIFRA”), and be registered with the U.S. Environmental Protection Agency (the “U.S. EPA”) (and similar state agencies) before they can be sold or distributed. The inability to obtain or maintain such compliance, or the cancellation of any such registration, could have an adverse effect on our business, the severity of which would depend on the products involved, whether another product could be substituted and whether our competitors were similarly affected. We attempt to anticipate regulatory developments and maintain registrations of, and access to, substitute active ingredients, but there can be no assurance that we will continue to be able to avoid or minimize these risks.</w:t>
      </w:r>
    </w:p>
    <w:p>
      <w:pPr>
        <w:spacing w:after="0" w:line="69" w:lineRule="exact"/>
        <w:rPr>
          <w:sz w:val="20"/>
          <w:szCs w:val="20"/>
          <w:color w:val="auto"/>
        </w:rPr>
      </w:pPr>
    </w:p>
    <w:p>
      <w:pPr>
        <w:ind w:left="700" w:right="20" w:firstLine="402"/>
        <w:spacing w:after="0" w:line="248" w:lineRule="auto"/>
        <w:rPr>
          <w:sz w:val="20"/>
          <w:szCs w:val="20"/>
          <w:color w:val="auto"/>
        </w:rPr>
      </w:pPr>
      <w:r>
        <w:rPr>
          <w:rFonts w:ascii="Arial" w:cs="Arial" w:eastAsia="Arial" w:hAnsi="Arial"/>
          <w:sz w:val="18"/>
          <w:szCs w:val="18"/>
          <w:color w:val="auto"/>
        </w:rPr>
        <w:t>Fertilizer and growing media products are subject to state and foreign labeling regulations. Our manufacturing operations are subject to waste, water and air quality permitting and other regulatory requirements of federal and state agencies. The Company’s wild bird food business is subject to regulation by the U.S. Food and Drug Administration and our grass seed products are regulated by the Federal Seed Act and various state regulations.</w:t>
      </w:r>
    </w:p>
    <w:p>
      <w:pPr>
        <w:spacing w:after="0" w:line="76" w:lineRule="exact"/>
        <w:rPr>
          <w:sz w:val="20"/>
          <w:szCs w:val="20"/>
          <w:color w:val="auto"/>
        </w:rPr>
      </w:pPr>
    </w:p>
    <w:p>
      <w:pPr>
        <w:ind w:left="700" w:firstLine="402"/>
        <w:spacing w:after="0" w:line="248" w:lineRule="auto"/>
        <w:rPr>
          <w:sz w:val="20"/>
          <w:szCs w:val="20"/>
          <w:color w:val="auto"/>
        </w:rPr>
      </w:pPr>
      <w:r>
        <w:rPr>
          <w:rFonts w:ascii="Arial" w:cs="Arial" w:eastAsia="Arial" w:hAnsi="Arial"/>
          <w:sz w:val="18"/>
          <w:szCs w:val="18"/>
          <w:color w:val="auto"/>
        </w:rPr>
        <w:t>Pursuant to the Food Quality Protection Act, the U.S. EPA is evaluating the cumulative risks from dietary and non-dietary exposures to pesticides. The pesticides in our products are typically manufactured by independent third parties and as a result of the U.S. EPA’s continuing risk assessment, a decision by the U.S. EPA or the third party registrant may restrict our access to the pesticides. We cannot predict the outcome or the severity of the effect of these continuing evaluations.</w:t>
      </w:r>
    </w:p>
    <w:p>
      <w:pPr>
        <w:spacing w:after="0" w:line="76" w:lineRule="exact"/>
        <w:rPr>
          <w:sz w:val="20"/>
          <w:szCs w:val="20"/>
          <w:color w:val="auto"/>
        </w:rPr>
      </w:pPr>
    </w:p>
    <w:p>
      <w:pPr>
        <w:ind w:left="700" w:firstLine="402"/>
        <w:spacing w:after="0" w:line="260" w:lineRule="auto"/>
        <w:rPr>
          <w:sz w:val="20"/>
          <w:szCs w:val="20"/>
          <w:color w:val="auto"/>
        </w:rPr>
      </w:pPr>
      <w:r>
        <w:rPr>
          <w:rFonts w:ascii="Arial" w:cs="Arial" w:eastAsia="Arial" w:hAnsi="Arial"/>
          <w:sz w:val="17"/>
          <w:szCs w:val="17"/>
          <w:color w:val="auto"/>
        </w:rPr>
        <w:t>The use of certain pesticide and fertilizer products is regulated by various local, state, federal and foreign environmental and public health agencies. These regulations may include requirements that only certified or professional users apply the product or that certain products be used only on certain types of locations (such as “not for use on sod farms or golf courses”), may require users to post notices on properties to which products have been or will be applied, may require notification to individuals in the vicinity that products will be applied in the future or may ban the use of certain ingredients. We believe we are operating in substantial compliance with, or taking action aimed at ensuring compliance with, these laws and regulations.</w:t>
      </w:r>
    </w:p>
    <w:p>
      <w:pPr>
        <w:spacing w:after="0" w:line="66" w:lineRule="exact"/>
        <w:rPr>
          <w:sz w:val="20"/>
          <w:szCs w:val="20"/>
          <w:color w:val="auto"/>
        </w:rPr>
      </w:pPr>
    </w:p>
    <w:p>
      <w:pPr>
        <w:ind w:left="700" w:right="140" w:firstLine="402"/>
        <w:spacing w:after="0" w:line="255" w:lineRule="auto"/>
        <w:rPr>
          <w:sz w:val="20"/>
          <w:szCs w:val="20"/>
          <w:color w:val="auto"/>
        </w:rPr>
      </w:pPr>
      <w:r>
        <w:rPr>
          <w:rFonts w:ascii="Arial" w:cs="Arial" w:eastAsia="Arial" w:hAnsi="Arial"/>
          <w:sz w:val="18"/>
          <w:szCs w:val="18"/>
          <w:color w:val="auto"/>
        </w:rPr>
        <w:t>State, federal and foreign authorities generally require growing media facilities to obtain permits (sometimes on an annual basis) in order to harvest peat and to discharge storm water run-off or water pumped from peat deposits. The permits typically specify the condition in which the property must be left</w:t>
      </w:r>
    </w:p>
    <w:p>
      <w:pPr>
        <w:spacing w:after="0" w:line="10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1"/>
          <w:szCs w:val="11"/>
          <w:b w:val="1"/>
          <w:bCs w:val="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-78105</wp:posOffset>
            </wp:positionV>
            <wp:extent cx="19748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20"/>
          </w:cols>
          <w:pgMar w:left="240" w:top="415" w:right="9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hyperlink w:anchor="page6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700" w:right="20"/>
        <w:spacing w:after="0" w:line="248" w:lineRule="auto"/>
        <w:rPr>
          <w:sz w:val="20"/>
          <w:szCs w:val="20"/>
          <w:color w:val="auto"/>
        </w:rPr>
      </w:pPr>
      <w:r>
        <w:rPr>
          <w:rFonts w:ascii="Arial" w:cs="Arial" w:eastAsia="Arial" w:hAnsi="Arial"/>
          <w:sz w:val="18"/>
          <w:szCs w:val="18"/>
          <w:color w:val="auto"/>
        </w:rPr>
        <w:t>after the peat is fully harvested, with the residual use typically being natural wetland habitats combined with open water areas. We are generally required by these permits to limit our harvesting and to restore the property consistent with the intended residual use. In some locations, these facilities have been required to create water retention ponds to control the sediment content of discharged water.</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FIFRA Compliance, the Corresponding Governmental Investigation and Related Matters</w:t>
      </w:r>
    </w:p>
    <w:p>
      <w:pPr>
        <w:spacing w:after="0" w:line="124"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In April 2008, the Company learned that a former associate apparently deliberately circumvented the Company’s policies</w:t>
      </w:r>
    </w:p>
    <w:p>
      <w:pPr>
        <w:spacing w:after="0" w:line="1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and U.S. EPA regulations under FIFRA by failing to obtain valid registrations for products and/or causing invalid product</w:t>
      </w:r>
    </w:p>
    <w:p>
      <w:pPr>
        <w:ind w:left="700"/>
        <w:spacing w:after="0" w:line="234" w:lineRule="auto"/>
        <w:rPr>
          <w:sz w:val="20"/>
          <w:szCs w:val="20"/>
          <w:color w:val="auto"/>
        </w:rPr>
      </w:pPr>
      <w:r>
        <w:rPr>
          <w:rFonts w:ascii="Arial" w:cs="Arial" w:eastAsia="Arial" w:hAnsi="Arial"/>
          <w:sz w:val="18"/>
          <w:szCs w:val="18"/>
          <w:color w:val="auto"/>
        </w:rPr>
        <w:t>registration forms to be submitted to regulators. Since that time, we have been cooperating with the U.S. EPA in its civil</w:t>
      </w:r>
    </w:p>
    <w:p>
      <w:pPr>
        <w:ind w:left="700"/>
        <w:spacing w:after="0" w:line="235" w:lineRule="auto"/>
        <w:rPr>
          <w:sz w:val="20"/>
          <w:szCs w:val="20"/>
          <w:color w:val="auto"/>
        </w:rPr>
      </w:pPr>
      <w:r>
        <w:rPr>
          <w:rFonts w:ascii="Arial" w:cs="Arial" w:eastAsia="Arial" w:hAnsi="Arial"/>
          <w:sz w:val="18"/>
          <w:szCs w:val="18"/>
          <w:color w:val="auto"/>
        </w:rPr>
        <w:t>investigation into pesticide product registration issues involving the Company and with the U.S. EPA and the U.S. Department</w:t>
      </w:r>
    </w:p>
    <w:p>
      <w:pPr>
        <w:ind w:left="700"/>
        <w:spacing w:after="0" w:line="235" w:lineRule="auto"/>
        <w:rPr>
          <w:sz w:val="20"/>
          <w:szCs w:val="20"/>
          <w:color w:val="auto"/>
        </w:rPr>
      </w:pPr>
      <w:r>
        <w:rPr>
          <w:rFonts w:ascii="Arial" w:cs="Arial" w:eastAsia="Arial" w:hAnsi="Arial"/>
          <w:sz w:val="18"/>
          <w:szCs w:val="18"/>
          <w:color w:val="auto"/>
        </w:rPr>
        <w:t>of Justice (the “U.S. DOJ”) in a related criminal investigation. In late April of 2008, in connection with the U.S. EPA’s</w:t>
      </w:r>
    </w:p>
    <w:p>
      <w:pPr>
        <w:ind w:left="700"/>
        <w:spacing w:after="0" w:line="235" w:lineRule="auto"/>
        <w:rPr>
          <w:sz w:val="20"/>
          <w:szCs w:val="20"/>
          <w:color w:val="auto"/>
        </w:rPr>
      </w:pPr>
      <w:r>
        <w:rPr>
          <w:rFonts w:ascii="Arial" w:cs="Arial" w:eastAsia="Arial" w:hAnsi="Arial"/>
          <w:sz w:val="18"/>
          <w:szCs w:val="18"/>
          <w:color w:val="auto"/>
        </w:rPr>
        <w:t>investigation, the Company was required to conduct a consumer-level recall of certain consumer lawn and garden products</w:t>
      </w:r>
    </w:p>
    <w:p>
      <w:pPr>
        <w:ind w:left="700"/>
        <w:spacing w:after="0" w:line="235" w:lineRule="auto"/>
        <w:rPr>
          <w:sz w:val="20"/>
          <w:szCs w:val="20"/>
          <w:color w:val="auto"/>
        </w:rPr>
      </w:pPr>
      <w:r>
        <w:rPr>
          <w:rFonts w:ascii="Arial" w:cs="Arial" w:eastAsia="Arial" w:hAnsi="Arial"/>
          <w:sz w:val="18"/>
          <w:szCs w:val="18"/>
          <w:color w:val="auto"/>
        </w:rPr>
        <w:t>and a Scotts LawnService</w:t>
      </w:r>
      <w:r>
        <w:rPr>
          <w:rFonts w:ascii="Arial" w:cs="Arial" w:eastAsia="Arial" w:hAnsi="Arial"/>
          <w:sz w:val="15"/>
          <w:szCs w:val="15"/>
          <w:color w:val="auto"/>
        </w:rPr>
        <w:t>®</w:t>
      </w:r>
      <w:r>
        <w:rPr>
          <w:rFonts w:ascii="Arial" w:cs="Arial" w:eastAsia="Arial" w:hAnsi="Arial"/>
          <w:sz w:val="18"/>
          <w:szCs w:val="18"/>
          <w:color w:val="auto"/>
        </w:rPr>
        <w:t xml:space="preserve"> product. Subsequently, the Company and the U.S. EPA agreed upon a Compliance Review Plan</w:t>
      </w:r>
    </w:p>
    <w:p>
      <w:pPr>
        <w:ind w:left="700"/>
        <w:spacing w:after="0" w:line="235" w:lineRule="auto"/>
        <w:rPr>
          <w:sz w:val="20"/>
          <w:szCs w:val="20"/>
          <w:color w:val="auto"/>
        </w:rPr>
      </w:pPr>
      <w:r>
        <w:rPr>
          <w:rFonts w:ascii="Arial" w:cs="Arial" w:eastAsia="Arial" w:hAnsi="Arial"/>
          <w:sz w:val="18"/>
          <w:szCs w:val="18"/>
          <w:color w:val="auto"/>
        </w:rPr>
        <w:t>for conducting a comprehensive, independent review of our product registration records. Pursuant to the Compliance Review</w:t>
      </w:r>
    </w:p>
    <w:p>
      <w:pPr>
        <w:ind w:left="700"/>
        <w:spacing w:after="0" w:line="235" w:lineRule="auto"/>
        <w:rPr>
          <w:sz w:val="20"/>
          <w:szCs w:val="20"/>
          <w:color w:val="auto"/>
        </w:rPr>
      </w:pPr>
      <w:r>
        <w:rPr>
          <w:rFonts w:ascii="Arial" w:cs="Arial" w:eastAsia="Arial" w:hAnsi="Arial"/>
          <w:sz w:val="18"/>
          <w:szCs w:val="18"/>
          <w:color w:val="auto"/>
        </w:rPr>
        <w:t>Plan, an independent third-party firm, Quality Associates Incorporated (“QAI”), has been reviewing all of the Company’s</w:t>
      </w:r>
    </w:p>
    <w:p>
      <w:pPr>
        <w:ind w:left="700"/>
        <w:spacing w:after="0" w:line="235" w:lineRule="auto"/>
        <w:rPr>
          <w:sz w:val="20"/>
          <w:szCs w:val="20"/>
          <w:color w:val="auto"/>
        </w:rPr>
      </w:pPr>
      <w:r>
        <w:rPr>
          <w:rFonts w:ascii="Arial" w:cs="Arial" w:eastAsia="Arial" w:hAnsi="Arial"/>
          <w:sz w:val="18"/>
          <w:szCs w:val="18"/>
          <w:color w:val="auto"/>
        </w:rPr>
        <w:t>U.S. pesticide product registration records, some of which are historical in nature and no longer support sales of our products.</w:t>
      </w:r>
    </w:p>
    <w:p>
      <w:pPr>
        <w:ind w:left="700"/>
        <w:spacing w:after="0" w:line="235" w:lineRule="auto"/>
        <w:rPr>
          <w:sz w:val="20"/>
          <w:szCs w:val="20"/>
          <w:color w:val="auto"/>
        </w:rPr>
      </w:pPr>
      <w:r>
        <w:rPr>
          <w:rFonts w:ascii="Arial" w:cs="Arial" w:eastAsia="Arial" w:hAnsi="Arial"/>
          <w:sz w:val="18"/>
          <w:szCs w:val="18"/>
          <w:color w:val="auto"/>
        </w:rPr>
        <w:t>The Company has identified approximately 132 of the registrations under review as relating to products for which there was</w:t>
      </w:r>
    </w:p>
    <w:p>
      <w:pPr>
        <w:ind w:left="700"/>
        <w:spacing w:after="0" w:line="234" w:lineRule="auto"/>
        <w:rPr>
          <w:sz w:val="20"/>
          <w:szCs w:val="20"/>
          <w:color w:val="auto"/>
        </w:rPr>
      </w:pPr>
      <w:r>
        <w:rPr>
          <w:rFonts w:ascii="Arial" w:cs="Arial" w:eastAsia="Arial" w:hAnsi="Arial"/>
          <w:sz w:val="18"/>
          <w:szCs w:val="18"/>
          <w:color w:val="auto"/>
        </w:rPr>
        <w:t>sales activity in the period generally representing the Company’s 2008 fiscal year (“Active Registrations”). These Active</w:t>
      </w:r>
    </w:p>
    <w:p>
      <w:pPr>
        <w:ind w:left="700"/>
        <w:spacing w:after="0" w:line="235" w:lineRule="auto"/>
        <w:rPr>
          <w:sz w:val="20"/>
          <w:szCs w:val="20"/>
          <w:color w:val="auto"/>
        </w:rPr>
      </w:pPr>
      <w:r>
        <w:rPr>
          <w:rFonts w:ascii="Arial" w:cs="Arial" w:eastAsia="Arial" w:hAnsi="Arial"/>
          <w:sz w:val="18"/>
          <w:szCs w:val="18"/>
          <w:color w:val="auto"/>
        </w:rPr>
        <w:t>Registrations supported products which accounted for approximately $680 million of the Company’s net sales in the period.</w:t>
      </w:r>
    </w:p>
    <w:p>
      <w:pPr>
        <w:ind w:left="700"/>
        <w:spacing w:after="0" w:line="235" w:lineRule="auto"/>
        <w:rPr>
          <w:sz w:val="20"/>
          <w:szCs w:val="20"/>
          <w:color w:val="auto"/>
        </w:rPr>
      </w:pPr>
      <w:r>
        <w:rPr>
          <w:rFonts w:ascii="Arial" w:cs="Arial" w:eastAsia="Arial" w:hAnsi="Arial"/>
          <w:sz w:val="18"/>
          <w:szCs w:val="18"/>
          <w:color w:val="auto"/>
        </w:rPr>
        <w:t>The U.S. EPA investigation and QAI review process identified several issues affecting Active Registrations which resulted in</w:t>
      </w:r>
    </w:p>
    <w:p>
      <w:pPr>
        <w:ind w:left="700"/>
        <w:spacing w:after="0" w:line="235" w:lineRule="auto"/>
        <w:rPr>
          <w:sz w:val="20"/>
          <w:szCs w:val="20"/>
          <w:color w:val="auto"/>
        </w:rPr>
      </w:pPr>
      <w:r>
        <w:rPr>
          <w:rFonts w:ascii="Arial" w:cs="Arial" w:eastAsia="Arial" w:hAnsi="Arial"/>
          <w:sz w:val="18"/>
          <w:szCs w:val="18"/>
          <w:color w:val="auto"/>
        </w:rPr>
        <w:t>the issuance of a number of Stop Sale, Use or Removal Orders by the U.S. EPA and caused the Company to temporarily</w:t>
      </w:r>
    </w:p>
    <w:p>
      <w:pPr>
        <w:ind w:left="700"/>
        <w:spacing w:after="0" w:line="235" w:lineRule="auto"/>
        <w:rPr>
          <w:sz w:val="20"/>
          <w:szCs w:val="20"/>
          <w:color w:val="auto"/>
        </w:rPr>
      </w:pPr>
      <w:r>
        <w:rPr>
          <w:rFonts w:ascii="Arial" w:cs="Arial" w:eastAsia="Arial" w:hAnsi="Arial"/>
          <w:sz w:val="18"/>
          <w:szCs w:val="18"/>
          <w:color w:val="auto"/>
        </w:rPr>
        <w:t>suspend sales and shipments of affected products. In addition, as the QAI review process or our internal review has identified</w:t>
      </w:r>
    </w:p>
    <w:p>
      <w:pPr>
        <w:ind w:left="700"/>
        <w:spacing w:after="0" w:line="235" w:lineRule="auto"/>
        <w:rPr>
          <w:sz w:val="20"/>
          <w:szCs w:val="20"/>
          <w:color w:val="auto"/>
        </w:rPr>
      </w:pPr>
      <w:r>
        <w:rPr>
          <w:rFonts w:ascii="Arial" w:cs="Arial" w:eastAsia="Arial" w:hAnsi="Arial"/>
          <w:sz w:val="18"/>
          <w:szCs w:val="18"/>
          <w:color w:val="auto"/>
        </w:rPr>
        <w:t>a FIFRA registration issue or a potential FIFRA registration issue (some of which appear unrelated to the former associate),</w:t>
      </w:r>
    </w:p>
    <w:p>
      <w:pPr>
        <w:ind w:left="700"/>
        <w:spacing w:after="0"/>
        <w:rPr>
          <w:sz w:val="20"/>
          <w:szCs w:val="20"/>
          <w:color w:val="auto"/>
        </w:rPr>
      </w:pPr>
      <w:r>
        <w:rPr>
          <w:rFonts w:ascii="Arial" w:cs="Arial" w:eastAsia="Arial" w:hAnsi="Arial"/>
          <w:sz w:val="18"/>
          <w:szCs w:val="18"/>
          <w:color w:val="auto"/>
        </w:rPr>
        <w:t>we have endeavored to stop selling or distributing the affected products until the issue could be resolved with the U.S. EPA.</w:t>
      </w:r>
    </w:p>
    <w:p>
      <w:pPr>
        <w:spacing w:after="0" w:line="95" w:lineRule="exact"/>
        <w:rPr>
          <w:sz w:val="20"/>
          <w:szCs w:val="20"/>
          <w:color w:val="auto"/>
        </w:rPr>
      </w:pPr>
    </w:p>
    <w:p>
      <w:pPr>
        <w:ind w:left="700" w:right="20" w:firstLine="402"/>
        <w:spacing w:after="0"/>
        <w:rPr>
          <w:sz w:val="20"/>
          <w:szCs w:val="20"/>
          <w:color w:val="auto"/>
        </w:rPr>
      </w:pPr>
      <w:r>
        <w:rPr>
          <w:rFonts w:ascii="Arial" w:cs="Arial" w:eastAsia="Arial" w:hAnsi="Arial"/>
          <w:sz w:val="18"/>
          <w:szCs w:val="18"/>
          <w:color w:val="auto"/>
        </w:rPr>
        <w:t>To date, QAI has completed a review of the registration records for substantially all of the Company’s Active Registrations. Based on such review, and with the cooperation and prompt attention of the U.S. EPA, the Company believes it has restored the ability to sell and distribute products representing over 90% of the sales associated with Active Registrations; and we are hopeful that we will be able to satisfactorily resolve most, if not all, of the remaining issues prior to the start of the 2009 lawn and garden season. The QAI review process is expected to continue with a focus on reviewing advertising and related promotional support of our registered pesticide products. For more information with respect to additional risks and uncertainties the Company may face in connection with the ongoing investigation and for a discussion of the related costs and expenses, see “NOTE 2. PRODUCT REGISTRATION AND RECALL MATTERS” to the Consolidated Financial Statements included in this Annual Report on Form 10-K.</w:t>
      </w:r>
    </w:p>
    <w:p>
      <w:pPr>
        <w:spacing w:after="0" w:line="81" w:lineRule="exact"/>
        <w:rPr>
          <w:sz w:val="20"/>
          <w:szCs w:val="20"/>
          <w:color w:val="auto"/>
        </w:rPr>
      </w:pPr>
    </w:p>
    <w:p>
      <w:pPr>
        <w:ind w:left="700" w:firstLine="402"/>
        <w:spacing w:after="0" w:line="243" w:lineRule="auto"/>
        <w:rPr>
          <w:sz w:val="20"/>
          <w:szCs w:val="20"/>
          <w:color w:val="auto"/>
        </w:rPr>
      </w:pPr>
      <w:r>
        <w:rPr>
          <w:rFonts w:ascii="Arial" w:cs="Arial" w:eastAsia="Arial" w:hAnsi="Arial"/>
          <w:sz w:val="18"/>
          <w:szCs w:val="18"/>
          <w:color w:val="auto"/>
        </w:rPr>
        <w:t>On September 26, 2008, the Company, doing business as Scotts LawnService</w:t>
      </w:r>
      <w:r>
        <w:rPr>
          <w:rFonts w:ascii="Arial" w:cs="Arial" w:eastAsia="Arial" w:hAnsi="Arial"/>
          <w:sz w:val="15"/>
          <w:szCs w:val="15"/>
          <w:color w:val="auto"/>
        </w:rPr>
        <w:t>®</w:t>
      </w:r>
      <w:r>
        <w:rPr>
          <w:rFonts w:ascii="Arial" w:cs="Arial" w:eastAsia="Arial" w:hAnsi="Arial"/>
          <w:sz w:val="18"/>
          <w:szCs w:val="18"/>
          <w:color w:val="auto"/>
        </w:rPr>
        <w:t>, was named as a defendant in a purported class action filed in the U.S. District Court for the Eastern District of Michigan relating to certain pesticide products. In the suit, Mark Baumkel, on behalf of himself and the purported classes, seeks an unspecified amount of damages, plus costs and attorney fees, for alleged claims involving breach of contract, unjust enrichment and violation of the Michigan consumer protection act. Given the preliminary stages of the proceedings, no reserves have been booked at this time, and the Company intends to vigorously contest the plaintiff’s assertions.</w:t>
      </w:r>
    </w:p>
    <w:p>
      <w:pPr>
        <w:spacing w:after="0" w:line="80" w:lineRule="exact"/>
        <w:rPr>
          <w:sz w:val="20"/>
          <w:szCs w:val="20"/>
          <w:color w:val="auto"/>
        </w:rPr>
      </w:pPr>
    </w:p>
    <w:p>
      <w:pPr>
        <w:ind w:left="700" w:right="400" w:firstLine="402"/>
        <w:spacing w:after="0" w:line="245" w:lineRule="auto"/>
        <w:rPr>
          <w:sz w:val="20"/>
          <w:szCs w:val="20"/>
          <w:color w:val="auto"/>
        </w:rPr>
      </w:pPr>
      <w:r>
        <w:rPr>
          <w:rFonts w:ascii="Arial" w:cs="Arial" w:eastAsia="Arial" w:hAnsi="Arial"/>
          <w:sz w:val="18"/>
          <w:szCs w:val="18"/>
          <w:color w:val="auto"/>
        </w:rPr>
        <w:t>In addition, in fiscal 2008 the Company conducted a voluntary recall of most of its wild bird food products due to a formulation issue. The wild bird food products had been treated with pest control additives to avoid insect infestation, especially at retail stores. While the pest control additives had been labeled for use on certain stored grains that can be processed for human and/or animal consumption, they were not labeled for use on wild bird food products. This voluntary recall was completed prior to the end of fiscal 2008.</w:t>
      </w:r>
    </w:p>
    <w:p>
      <w:pPr>
        <w:spacing w:after="0" w:line="11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1"/>
          <w:szCs w:val="11"/>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-78105</wp:posOffset>
            </wp:positionV>
            <wp:extent cx="19748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20"/>
          </w:cols>
          <w:pgMar w:left="240" w:top="415" w:right="9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hyperlink w:anchor="page64">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Other Regulatory Matters</w:t>
      </w:r>
    </w:p>
    <w:p>
      <w:pPr>
        <w:spacing w:after="0" w:line="124" w:lineRule="exact"/>
        <w:rPr>
          <w:sz w:val="20"/>
          <w:szCs w:val="20"/>
          <w:color w:val="auto"/>
        </w:rPr>
      </w:pPr>
    </w:p>
    <w:p>
      <w:pPr>
        <w:ind w:left="700" w:right="180" w:firstLine="402"/>
        <w:spacing w:after="0" w:line="243" w:lineRule="auto"/>
        <w:rPr>
          <w:sz w:val="20"/>
          <w:szCs w:val="20"/>
          <w:color w:val="auto"/>
        </w:rPr>
      </w:pPr>
      <w:r>
        <w:rPr>
          <w:rFonts w:ascii="Arial" w:cs="Arial" w:eastAsia="Arial" w:hAnsi="Arial"/>
          <w:sz w:val="18"/>
          <w:szCs w:val="18"/>
          <w:color w:val="auto"/>
        </w:rPr>
        <w:t>In 1997, the Ohio Environmental Protection Agency (the “Ohio EPA”) initiated an enforcement action against us with respect to alleged surface water violations and inadequate wastewater treatment capabilities at our Marysville, Ohio facility and sought corrective action under the Federal Resource Conservation and Recovery Act. The action related to discharges from on-site waste water treatment and several discontinued on-site disposal areas that date back to the early operations of the Marysville facility, which we had already been assessing and, in some cases, remediating, on a voluntary basis. We are remediating the Marysville site under the terms of a judicial consent order under the oversight of the Ohio EPA.</w:t>
      </w:r>
    </w:p>
    <w:p>
      <w:pPr>
        <w:spacing w:after="0" w:line="80" w:lineRule="exact"/>
        <w:rPr>
          <w:sz w:val="20"/>
          <w:szCs w:val="20"/>
          <w:color w:val="auto"/>
        </w:rPr>
      </w:pPr>
    </w:p>
    <w:p>
      <w:pPr>
        <w:ind w:left="700" w:right="40" w:firstLine="402"/>
        <w:spacing w:after="0" w:line="245" w:lineRule="auto"/>
        <w:rPr>
          <w:sz w:val="20"/>
          <w:szCs w:val="20"/>
          <w:color w:val="auto"/>
        </w:rPr>
      </w:pPr>
      <w:r>
        <w:rPr>
          <w:rFonts w:ascii="Arial" w:cs="Arial" w:eastAsia="Arial" w:hAnsi="Arial"/>
          <w:sz w:val="18"/>
          <w:szCs w:val="18"/>
          <w:color w:val="auto"/>
        </w:rPr>
        <w:t>We completed negotiations with the Philadelphia District of the U.S. Army Corps of Engineers regarding the terms of site remediation and the resolution of the Corps’ civil penalty demand in connection with our prior peat harvesting operations at our Lafayette, New Jersey facility. A final consent decree was entered into on October 18, 2004 that required us to perform five years of wetland monitoring, and the completion of additional actions if after five years, the monitoring indicates the wetlands have not developed satisfactorily.</w:t>
      </w:r>
    </w:p>
    <w:p>
      <w:pPr>
        <w:spacing w:after="0" w:line="78" w:lineRule="exact"/>
        <w:rPr>
          <w:sz w:val="20"/>
          <w:szCs w:val="20"/>
          <w:color w:val="auto"/>
        </w:rPr>
      </w:pPr>
    </w:p>
    <w:p>
      <w:pPr>
        <w:ind w:left="700" w:right="60" w:firstLine="402"/>
        <w:spacing w:after="0" w:line="245" w:lineRule="auto"/>
        <w:rPr>
          <w:sz w:val="20"/>
          <w:szCs w:val="20"/>
          <w:color w:val="auto"/>
        </w:rPr>
      </w:pPr>
      <w:r>
        <w:rPr>
          <w:rFonts w:ascii="Arial" w:cs="Arial" w:eastAsia="Arial" w:hAnsi="Arial"/>
          <w:sz w:val="18"/>
          <w:szCs w:val="18"/>
          <w:color w:val="auto"/>
        </w:rPr>
        <w:t>At September 30, 2008, $3.8 million was accrued for these non-FIFRA compliance-related environmental actions, the majority of which is for site remediation. Most of the costs accrued as of September 30, 2008 are expected to be paid in fiscal 2009; however, payments could be made for a period thereafter. During fiscal 2008, 2007 and 2006, we expensed approximately $1.4 million, $1.5 million, and $2.4 million for non-FIFRA compliance-related environmental matters. There were no material capital expenditures during the last three fiscal years related to environmental or regulatory matters.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General Information</w:t>
      </w:r>
    </w:p>
    <w:p>
      <w:pPr>
        <w:spacing w:after="0" w:line="124" w:lineRule="exact"/>
        <w:rPr>
          <w:sz w:val="20"/>
          <w:szCs w:val="20"/>
          <w:color w:val="auto"/>
        </w:rPr>
      </w:pPr>
    </w:p>
    <w:p>
      <w:pPr>
        <w:ind w:left="700" w:firstLine="402"/>
        <w:spacing w:after="0" w:line="241" w:lineRule="auto"/>
        <w:rPr>
          <w:sz w:val="20"/>
          <w:szCs w:val="20"/>
          <w:color w:val="auto"/>
        </w:rPr>
      </w:pPr>
      <w:r>
        <w:rPr>
          <w:rFonts w:ascii="Arial" w:cs="Arial" w:eastAsia="Arial" w:hAnsi="Arial"/>
          <w:sz w:val="18"/>
          <w:szCs w:val="18"/>
          <w:color w:val="auto"/>
        </w:rPr>
        <w:t>The Company maintains a website at http://investor.scotts.com (this uniform resource locator, or URL, is an inactive textual reference only and is not intended to incorporate our website into this Annual Report on Form 10-K). We file reports with the Securities and Exchange Commission (the “SEC”) and make available, free of charge, on or through our website, our annual reports on Form 10-K, quarterly reports on Form 10-Q, current reports on Form 8-K, and amendments to those reports filed or furnished pursuant to Section 13(a) or 15(d) of the Securities Exchange Act of 1934, as amended, as well as our proxy and information statements, as soon as reasonably practicable after we electronically file such material with, or furnish it to, the SEC.</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Financial Information About Geographic Areas</w:t>
      </w:r>
    </w:p>
    <w:p>
      <w:pPr>
        <w:spacing w:after="0" w:line="124" w:lineRule="exact"/>
        <w:rPr>
          <w:sz w:val="20"/>
          <w:szCs w:val="20"/>
          <w:color w:val="auto"/>
        </w:rPr>
      </w:pPr>
    </w:p>
    <w:p>
      <w:pPr>
        <w:ind w:left="700" w:right="760" w:firstLine="402"/>
        <w:spacing w:after="0" w:line="276" w:lineRule="auto"/>
        <w:rPr>
          <w:sz w:val="20"/>
          <w:szCs w:val="20"/>
          <w:color w:val="auto"/>
        </w:rPr>
      </w:pPr>
      <w:r>
        <w:rPr>
          <w:rFonts w:ascii="Arial" w:cs="Arial" w:eastAsia="Arial" w:hAnsi="Arial"/>
          <w:sz w:val="18"/>
          <w:szCs w:val="18"/>
          <w:color w:val="auto"/>
        </w:rPr>
        <w:t>For certain information concerning our international revenues and long-lived assets, see “NOTE 21. SEGMENT INFORMATION” to the Consolidated Financial Statements included in this Annual Report on Form 10-K.</w:t>
      </w:r>
    </w:p>
    <w:p>
      <w:pPr>
        <w:spacing w:after="0" w:line="157" w:lineRule="exact"/>
        <w:rPr>
          <w:sz w:val="20"/>
          <w:szCs w:val="20"/>
          <w:color w:val="auto"/>
        </w:rPr>
      </w:pPr>
    </w:p>
    <w:p>
      <w:pPr>
        <w:ind w:left="700"/>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122"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Cautionary Statement on Forward-Looking Statements</w:t>
      </w:r>
    </w:p>
    <w:p>
      <w:pPr>
        <w:spacing w:after="0" w:line="124" w:lineRule="exact"/>
        <w:rPr>
          <w:sz w:val="20"/>
          <w:szCs w:val="20"/>
          <w:color w:val="auto"/>
        </w:rPr>
      </w:pPr>
    </w:p>
    <w:p>
      <w:pPr>
        <w:ind w:left="700" w:right="20" w:firstLine="402"/>
        <w:spacing w:after="0" w:line="243" w:lineRule="auto"/>
        <w:rPr>
          <w:sz w:val="20"/>
          <w:szCs w:val="20"/>
          <w:color w:val="auto"/>
        </w:rPr>
      </w:pPr>
      <w:r>
        <w:rPr>
          <w:rFonts w:ascii="Arial" w:cs="Arial" w:eastAsia="Arial" w:hAnsi="Arial"/>
          <w:sz w:val="18"/>
          <w:szCs w:val="18"/>
          <w:color w:val="auto"/>
        </w:rPr>
        <w:t>We have made and will make “forward-looking statements” within the meaning of Section 27A of the Securities Act of 1933 and Section 21E of the Securities Exchange Act of 1934 in this Annual Report on Form 10-K, in our 2008 Annual Report to Shareholders (our “2008 Annual Report”) and in other contexts relating to future growth and profitability targets and strategies designed to increase total shareholder value. Forward-looking statements also include, but are not limited to, information regarding our future economic and financial condition, the plans and objectives of our management and our assumptions regarding our performance and these plans and objectives.</w:t>
      </w:r>
    </w:p>
    <w:p>
      <w:pPr>
        <w:spacing w:after="0" w:line="80" w:lineRule="exact"/>
        <w:rPr>
          <w:sz w:val="20"/>
          <w:szCs w:val="20"/>
          <w:color w:val="auto"/>
        </w:rPr>
      </w:pPr>
    </w:p>
    <w:p>
      <w:pPr>
        <w:ind w:left="700" w:right="200" w:firstLine="402"/>
        <w:spacing w:after="0" w:line="245" w:lineRule="auto"/>
        <w:rPr>
          <w:sz w:val="20"/>
          <w:szCs w:val="20"/>
          <w:color w:val="auto"/>
        </w:rPr>
      </w:pPr>
      <w:r>
        <w:rPr>
          <w:rFonts w:ascii="Arial" w:cs="Arial" w:eastAsia="Arial" w:hAnsi="Arial"/>
          <w:sz w:val="18"/>
          <w:szCs w:val="18"/>
          <w:color w:val="auto"/>
        </w:rPr>
        <w:t>The Private Securities Litigation Reform Act of 1995 provides a “safe harbor” for forward-looking statements to encourage companies to provide prospective information, so long as those statements are identified as forward-looking and are accompanied by meaningful cautionary statements identifying important factors that could cause actual results to differ materially from those discussed in the forward-looking statements. We desire to take advantage of the “safe harbor” provisions of that Act.</w:t>
      </w:r>
    </w:p>
    <w:p>
      <w:pPr>
        <w:spacing w:after="0" w:line="78" w:lineRule="exact"/>
        <w:rPr>
          <w:sz w:val="20"/>
          <w:szCs w:val="20"/>
          <w:color w:val="auto"/>
        </w:rPr>
      </w:pPr>
    </w:p>
    <w:p>
      <w:pPr>
        <w:ind w:left="700" w:right="200" w:firstLine="402"/>
        <w:spacing w:after="0" w:line="276" w:lineRule="auto"/>
        <w:rPr>
          <w:sz w:val="20"/>
          <w:szCs w:val="20"/>
          <w:color w:val="auto"/>
        </w:rPr>
      </w:pPr>
      <w:r>
        <w:rPr>
          <w:rFonts w:ascii="Arial" w:cs="Arial" w:eastAsia="Arial" w:hAnsi="Arial"/>
          <w:sz w:val="18"/>
          <w:szCs w:val="18"/>
          <w:color w:val="auto"/>
        </w:rPr>
        <w:t>Some forward-looking statements that we make in our 2008 Annual Report, in this Annual Report on Form 10-K and in other contexts represent challenging goals for our Company, the achievement of which is</w:t>
      </w:r>
    </w:p>
    <w:p>
      <w:pPr>
        <w:spacing w:after="0" w:line="8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1"/>
          <w:szCs w:val="11"/>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-78105</wp:posOffset>
            </wp:positionV>
            <wp:extent cx="19748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00"/>
          </w:cols>
          <w:pgMar w:left="240" w:top="415" w:right="95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hyperlink w:anchor="page6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700" w:right="360"/>
        <w:spacing w:after="0" w:line="245" w:lineRule="auto"/>
        <w:rPr>
          <w:sz w:val="20"/>
          <w:szCs w:val="20"/>
          <w:color w:val="auto"/>
        </w:rPr>
      </w:pPr>
      <w:r>
        <w:rPr>
          <w:rFonts w:ascii="Arial" w:cs="Arial" w:eastAsia="Arial" w:hAnsi="Arial"/>
          <w:sz w:val="18"/>
          <w:szCs w:val="18"/>
          <w:color w:val="auto"/>
        </w:rPr>
        <w:t>subject to a variety of risks and assumptions and numerous factors beyond our control. Important factors that could cause actual results to differ materially from the forward-looking statements we make are described below. All forward-looking statements attributable to us or persons working on our behalf are expressly qualified in their entirety by the following cautionary statements. Updates to our risk factors as a result of our 2008 product recalls and the related governmental investigation are included below.</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FIFRA Compliance, the Corresponding Governmental Investigation and Related Matters</w:t>
      </w:r>
    </w:p>
    <w:p>
      <w:pPr>
        <w:spacing w:after="0" w:line="124" w:lineRule="exact"/>
        <w:rPr>
          <w:sz w:val="20"/>
          <w:szCs w:val="20"/>
          <w:color w:val="auto"/>
        </w:rPr>
      </w:pPr>
    </w:p>
    <w:p>
      <w:pPr>
        <w:ind w:left="700" w:right="140" w:firstLine="402"/>
        <w:spacing w:after="0" w:line="243" w:lineRule="auto"/>
        <w:rPr>
          <w:sz w:val="20"/>
          <w:szCs w:val="20"/>
          <w:color w:val="auto"/>
        </w:rPr>
      </w:pPr>
      <w:r>
        <w:rPr>
          <w:rFonts w:ascii="Arial" w:cs="Arial" w:eastAsia="Arial" w:hAnsi="Arial"/>
          <w:sz w:val="18"/>
          <w:szCs w:val="18"/>
          <w:color w:val="auto"/>
        </w:rPr>
        <w:t>Our products that contain pesticides must comply with FIFRA and be registered with the U.S. EPA (and similar state agencies) before they can be sold or distributed. In April 2008, we became aware that a former associate apparently deliberately circumvented Company policies and U.S. EPA regulations under FIFRA by failing to obtain valid registrations for products and/or causing invalid product registration forms to be submitted to regulators. Since that time, we have been cooperating with the U.S. EPA in its civil investigation into pesticide product registration issues involving the Company and with the U.S. EPA and the U.S. DOJ in a related criminal investigation.</w:t>
      </w:r>
    </w:p>
    <w:p>
      <w:pPr>
        <w:spacing w:after="0" w:line="80" w:lineRule="exact"/>
        <w:rPr>
          <w:sz w:val="20"/>
          <w:szCs w:val="20"/>
          <w:color w:val="auto"/>
        </w:rPr>
      </w:pPr>
    </w:p>
    <w:p>
      <w:pPr>
        <w:ind w:left="700" w:firstLine="402"/>
        <w:spacing w:after="0" w:line="239" w:lineRule="auto"/>
        <w:rPr>
          <w:sz w:val="20"/>
          <w:szCs w:val="20"/>
          <w:color w:val="auto"/>
        </w:rPr>
      </w:pPr>
      <w:r>
        <w:rPr>
          <w:rFonts w:ascii="Arial" w:cs="Arial" w:eastAsia="Arial" w:hAnsi="Arial"/>
          <w:sz w:val="18"/>
          <w:szCs w:val="18"/>
          <w:color w:val="auto"/>
        </w:rPr>
        <w:t>In connection with the registration investigation and FIFRA compliance review process, we have recorded, and in the future may record, charges and costs, based on our most recent estimates, of retailer inventory returns, consumer returns and replacement costs, costs to rework existing products, inventory write-downs, associated legal and professional fees and costs associated with administration of the registration investigation and compliance review process. Because these current and expected future charges are based on estimates, they may increase as a result of numerous factors, many of which are beyond our control, including the amount of products that may be returned by consumers and retailers, the number and type of legal or regulatory proceedings relating to the registration investigation and FIFRA compliance review process and regulatory or judicial orders or decrees that may require us to take certain actions in connection with the registration investigation and FIFRA compliance review process or to pay civil or criminal fines and/or penalties at the state and/or federal level.</w:t>
      </w:r>
    </w:p>
    <w:p>
      <w:pPr>
        <w:spacing w:after="0" w:line="86" w:lineRule="exact"/>
        <w:rPr>
          <w:sz w:val="20"/>
          <w:szCs w:val="20"/>
          <w:color w:val="auto"/>
        </w:rPr>
      </w:pPr>
    </w:p>
    <w:p>
      <w:pPr>
        <w:ind w:left="700" w:right="40" w:firstLine="402"/>
        <w:spacing w:after="0"/>
        <w:rPr>
          <w:sz w:val="20"/>
          <w:szCs w:val="20"/>
          <w:color w:val="auto"/>
        </w:rPr>
      </w:pPr>
      <w:r>
        <w:rPr>
          <w:rFonts w:ascii="Arial" w:cs="Arial" w:eastAsia="Arial" w:hAnsi="Arial"/>
          <w:sz w:val="18"/>
          <w:szCs w:val="18"/>
          <w:color w:val="auto"/>
        </w:rPr>
        <w:t>There can be no assurance that the ultimate outcome of the investigation will not result in further action against us, whether administrative, civil or criminal, by the U.S. EPA, U.S. DOJ, state regulatory agencies or private litigants, and any such action, in addition to the costs we have incurred and would continue to incur in connection therewith, could materially and adversely affect our financial condition, results of operations and cash flows. In particular, a significant fine, penalty or judgment assessed against us could result in a charge to earnings or an increase in debt which materially affects our ability to remain in compliance with the financial covenants of our credit facilities, potentially causing us to have to seek an amendment or waiver from our lending group. While we believe we have good relationships with our banking group, given the adverse conditions currently present in the global credit markets, we can provide no assurance that such a request would be likely to result in a modified or replacement credit facility on reasonable terms, if at all.</w:t>
      </w:r>
    </w:p>
    <w:p>
      <w:pPr>
        <w:spacing w:after="0" w:line="82" w:lineRule="exact"/>
        <w:rPr>
          <w:sz w:val="20"/>
          <w:szCs w:val="20"/>
          <w:color w:val="auto"/>
        </w:rPr>
      </w:pPr>
    </w:p>
    <w:p>
      <w:pPr>
        <w:ind w:left="700" w:right="60" w:firstLine="402"/>
        <w:spacing w:after="0" w:line="239" w:lineRule="auto"/>
        <w:rPr>
          <w:sz w:val="20"/>
          <w:szCs w:val="20"/>
          <w:color w:val="auto"/>
        </w:rPr>
      </w:pPr>
      <w:r>
        <w:rPr>
          <w:rFonts w:ascii="Arial" w:cs="Arial" w:eastAsia="Arial" w:hAnsi="Arial"/>
          <w:sz w:val="18"/>
          <w:szCs w:val="18"/>
          <w:color w:val="auto"/>
        </w:rPr>
        <w:t>Product recalls, our inability to ship, sell or transport affected products and the on-going governmental investigation may harm our reputation and acceptance of our products by our retail customers and consumers, which may materially and adversely affect our business operations, decrease sales and increase costs. Moreover, the FIFRA compliance issues we have disclosed throughout fiscal 2008, together with the corresponding governmental investigation by the U.S. EPA and U.S. DOJ, have resulted in coverage critical of us in the press and media. While we believe that these compliance issues are primarily the result of the misguided actions of a former associate who misled us, some of the issues identified appear unrelated to the former associate. And although we believe we have acted promptly, responsibly and in the public interest, these compliance issues may nevertheless harm our reputation and the acceptance of our products by consumers and our retailer customers. Our retailer customers may be less willing to purchase our products or to provide marketing support for those products, such as shelf space, promotions and advertising, or may impose additional requirements that could materially and adversely affect our business operations, decrease sales and increase costs.</w:t>
      </w:r>
    </w:p>
    <w:p>
      <w:pPr>
        <w:spacing w:after="0" w:line="82" w:lineRule="exact"/>
        <w:rPr>
          <w:sz w:val="20"/>
          <w:szCs w:val="20"/>
          <w:color w:val="auto"/>
        </w:rPr>
      </w:pPr>
    </w:p>
    <w:p>
      <w:pPr>
        <w:ind w:left="700" w:right="120" w:firstLine="402"/>
        <w:spacing w:after="0" w:line="245" w:lineRule="auto"/>
        <w:rPr>
          <w:sz w:val="20"/>
          <w:szCs w:val="20"/>
          <w:color w:val="auto"/>
        </w:rPr>
      </w:pPr>
      <w:r>
        <w:rPr>
          <w:rFonts w:ascii="Arial" w:cs="Arial" w:eastAsia="Arial" w:hAnsi="Arial"/>
          <w:sz w:val="18"/>
          <w:szCs w:val="18"/>
          <w:color w:val="auto"/>
        </w:rPr>
        <w:t>On September 26, 2008, the Company, doing business as Scotts LawnService</w:t>
      </w:r>
      <w:r>
        <w:rPr>
          <w:rFonts w:ascii="Arial" w:cs="Arial" w:eastAsia="Arial" w:hAnsi="Arial"/>
          <w:sz w:val="15"/>
          <w:szCs w:val="15"/>
          <w:color w:val="auto"/>
        </w:rPr>
        <w:t>®</w:t>
      </w:r>
      <w:r>
        <w:rPr>
          <w:rFonts w:ascii="Arial" w:cs="Arial" w:eastAsia="Arial" w:hAnsi="Arial"/>
          <w:sz w:val="18"/>
          <w:szCs w:val="18"/>
          <w:color w:val="auto"/>
        </w:rPr>
        <w:t>, was named as a defendant in a purported class action filed in the U.S. District Court for the Eastern District of Michigan relating to certain pesticide products. In the suit, Mark Baumkel, on behalf of himself and the purported classes, seeks an unspecified amount of damages, plus costs and attorney fees, for alleged claims involving breach of contract, unjust enrichment and violation of the Michigan consumer protection act.</w:t>
      </w:r>
    </w:p>
    <w:p>
      <w:pPr>
        <w:spacing w:after="0" w:line="11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1"/>
          <w:szCs w:val="11"/>
          <w:b w:val="1"/>
          <w:bCs w:val="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-78105</wp:posOffset>
            </wp:positionV>
            <wp:extent cx="19748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20"/>
          </w:cols>
          <w:pgMar w:left="240" w:top="415" w:right="9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hyperlink w:anchor="page6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700" w:right="380"/>
        <w:spacing w:after="0" w:line="276" w:lineRule="auto"/>
        <w:rPr>
          <w:sz w:val="20"/>
          <w:szCs w:val="20"/>
          <w:color w:val="auto"/>
        </w:rPr>
      </w:pPr>
      <w:r>
        <w:rPr>
          <w:rFonts w:ascii="Arial" w:cs="Arial" w:eastAsia="Arial" w:hAnsi="Arial"/>
          <w:sz w:val="18"/>
          <w:szCs w:val="18"/>
          <w:color w:val="auto"/>
        </w:rPr>
        <w:t>Given the preliminary stages of the proceedings, no reserves have been booked at this time, and the Company intends to vigorously contest the plaintiff’s assertions.</w:t>
      </w:r>
    </w:p>
    <w:p>
      <w:pPr>
        <w:spacing w:after="0" w:line="161"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Commodity Cost Pressures</w:t>
      </w:r>
    </w:p>
    <w:p>
      <w:pPr>
        <w:spacing w:after="0" w:line="124" w:lineRule="exact"/>
        <w:rPr>
          <w:sz w:val="20"/>
          <w:szCs w:val="20"/>
          <w:color w:val="auto"/>
        </w:rPr>
      </w:pPr>
    </w:p>
    <w:p>
      <w:pPr>
        <w:ind w:left="700" w:right="120" w:firstLine="402"/>
        <w:spacing w:after="0" w:line="245" w:lineRule="auto"/>
        <w:rPr>
          <w:sz w:val="20"/>
          <w:szCs w:val="20"/>
          <w:color w:val="auto"/>
        </w:rPr>
      </w:pPr>
      <w:r>
        <w:rPr>
          <w:rFonts w:ascii="Arial" w:cs="Arial" w:eastAsia="Arial" w:hAnsi="Arial"/>
          <w:sz w:val="18"/>
          <w:szCs w:val="18"/>
          <w:color w:val="auto"/>
        </w:rPr>
        <w:t>Our ability to manage our cost structure can be adversely affected by movements in commodity and other raw material prices, such as those experienced in both fiscal 2008 and 2007. Market conditions may limit the Company’s ability to raise selling prices to offset increases in our input and distribution costs. The uniqueness of our technologies can limit our ability to locate or utilize alternative inputs for certain products. For certain inputs, new sources of supply may have to be qualified under regulatory standards, which can require additional investment and delay bringing a product to market.</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Competition</w:t>
      </w:r>
    </w:p>
    <w:p>
      <w:pPr>
        <w:spacing w:after="0" w:line="124" w:lineRule="exact"/>
        <w:rPr>
          <w:sz w:val="20"/>
          <w:szCs w:val="20"/>
          <w:color w:val="auto"/>
        </w:rPr>
      </w:pPr>
    </w:p>
    <w:p>
      <w:pPr>
        <w:ind w:left="700" w:firstLine="402"/>
        <w:spacing w:after="0" w:line="241" w:lineRule="auto"/>
        <w:rPr>
          <w:sz w:val="20"/>
          <w:szCs w:val="20"/>
          <w:color w:val="auto"/>
        </w:rPr>
      </w:pPr>
      <w:r>
        <w:rPr>
          <w:rFonts w:ascii="Arial" w:cs="Arial" w:eastAsia="Arial" w:hAnsi="Arial"/>
          <w:sz w:val="18"/>
          <w:szCs w:val="18"/>
          <w:color w:val="auto"/>
        </w:rPr>
        <w:t>Each of our segments participates in markets that are highly competitive. Many of our competitors sell their products at prices lower than ours. The most price sensitive segment of our category may be more likely to trade down to lower price point products in a more challenging economic environment. We compete primarily on the basis of product innovation, product quality, product performance, value, brand strength, supply chain competency, field sales support and advertising. Some of our competitors have significant financial resources. The strong competition that we face in all of our markets may prevent us from achieving our revenue goals, which may have a material adverse affect on our financial condition, results of operations and cash flows.</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The Regulatory Environment</w:t>
      </w:r>
    </w:p>
    <w:p>
      <w:pPr>
        <w:spacing w:after="0" w:line="124" w:lineRule="exact"/>
        <w:rPr>
          <w:sz w:val="20"/>
          <w:szCs w:val="20"/>
          <w:color w:val="auto"/>
        </w:rPr>
      </w:pPr>
    </w:p>
    <w:p>
      <w:pPr>
        <w:ind w:left="700" w:firstLine="402"/>
        <w:spacing w:after="0" w:line="238" w:lineRule="auto"/>
        <w:rPr>
          <w:sz w:val="20"/>
          <w:szCs w:val="20"/>
          <w:color w:val="auto"/>
        </w:rPr>
      </w:pPr>
      <w:r>
        <w:rPr>
          <w:rFonts w:ascii="Arial" w:cs="Arial" w:eastAsia="Arial" w:hAnsi="Arial"/>
          <w:sz w:val="18"/>
          <w:szCs w:val="18"/>
          <w:color w:val="auto"/>
        </w:rPr>
        <w:t>Local, state, federal and foreign laws and regulations relating to environmental matters affect us in several ways. In the United States, all products containing pesticides must comply with FIFRA and be registered with the U.S. EPA (and similar state agencies) before they can be sold or distributed. The inability to obtain or maintain such compliance, or the cancellation of any registration, could have an adverse effect on our business, the severity of which would depend on the products involved, whether another product could be substituted and whether our competitors were similarly affected. We attempt to anticipate regulatory developments and maintain registrations of, and access to, substitute active ingredients, but there can be no assurance that we will continue to be able to avoid or minimize these risks. In the EU, the European Parliament is considering the adoption of certain regulations, the effect of which would substantially restrict or eliminate our ability to market and sell certain of our pesticide products. If these regulations were to be adopted in their current form in the EU, the resulting impact on our consumer and professional European controls businesses could be materially adversely impacted. In addition, there are provincially-driven regulations pending across Canada that, depending on the timing and scope of final issuance, could substantially restrict or eliminate our ability to market and sell certain of our consumer pesticide products there.</w:t>
      </w:r>
    </w:p>
    <w:p>
      <w:pPr>
        <w:spacing w:after="0" w:line="89" w:lineRule="exact"/>
        <w:rPr>
          <w:sz w:val="20"/>
          <w:szCs w:val="20"/>
          <w:color w:val="auto"/>
        </w:rPr>
      </w:pPr>
    </w:p>
    <w:p>
      <w:pPr>
        <w:ind w:left="700" w:firstLine="402"/>
        <w:spacing w:after="0" w:line="239" w:lineRule="auto"/>
        <w:rPr>
          <w:sz w:val="20"/>
          <w:szCs w:val="20"/>
          <w:color w:val="auto"/>
        </w:rPr>
      </w:pPr>
      <w:r>
        <w:rPr>
          <w:rFonts w:ascii="Arial" w:cs="Arial" w:eastAsia="Arial" w:hAnsi="Arial"/>
          <w:sz w:val="18"/>
          <w:szCs w:val="18"/>
          <w:color w:val="auto"/>
        </w:rPr>
        <w:t>Under the Food Quality Protection Act, enacted by the U.S. Congress in 1996, food-use pesticides are evaluated to determine whether there is reasonable certainty that no harm will result from the cumulative effects of pesticide exposures. Under this Act, the U.S. EPA is evaluating the cumulative risks from dietary and non-dietary exposures to pesticides. The pesticides in our products, certain of which may be used on crops processed into various food products, are typically manufactured by independent third parties and continue to be evaluated by the U.S. EPA as part of this exposure risk assessment. The U.S. EPA or the third party registrant may decide that a pesticide we use in our products will be limited or made unavailable to us. For example, in December 2000, the U.S. EPA reached agreement with various parties, including manufacturers of the active ingredient diazinon, regarding a phased withdrawal from retailers by December 2004 of residential uses of products containing diazinon, which was also used in our lawn and garden products. We cannot predict the outcome or the severity of the effect of continuing evaluations.</w:t>
      </w:r>
    </w:p>
    <w:p>
      <w:pPr>
        <w:spacing w:after="0" w:line="86" w:lineRule="exact"/>
        <w:rPr>
          <w:sz w:val="20"/>
          <w:szCs w:val="20"/>
          <w:color w:val="auto"/>
        </w:rPr>
      </w:pPr>
    </w:p>
    <w:p>
      <w:pPr>
        <w:ind w:left="700" w:right="20" w:firstLine="402"/>
        <w:spacing w:after="0" w:line="243" w:lineRule="auto"/>
        <w:rPr>
          <w:sz w:val="20"/>
          <w:szCs w:val="20"/>
          <w:color w:val="auto"/>
        </w:rPr>
      </w:pPr>
      <w:r>
        <w:rPr>
          <w:rFonts w:ascii="Arial" w:cs="Arial" w:eastAsia="Arial" w:hAnsi="Arial"/>
          <w:sz w:val="18"/>
          <w:szCs w:val="18"/>
          <w:color w:val="auto"/>
        </w:rPr>
        <w:t>In addition, the use of certain pesticide and fertilizer products is regulated by various local, state, federal and foreign environmental and public health agencies. These regulations may include requirements that only certified or professional users apply the product or that certain products be used only on certain types of locations, may require users to post notices on properties to which products have been or will be applied, may require notification to individuals in the vicinity that products will be applied in the future or may ban the use of certain ingredients. Even if we are able to comply with all such regulations and obtain</w:t>
      </w:r>
    </w:p>
    <w:p>
      <w:pPr>
        <w:spacing w:after="0" w:line="11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1"/>
          <w:szCs w:val="11"/>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-78105</wp:posOffset>
            </wp:positionV>
            <wp:extent cx="19748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20"/>
          </w:cols>
          <w:pgMar w:left="240" w:top="415" w:right="9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hyperlink w:anchor="page6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700" w:right="40"/>
        <w:spacing w:after="0" w:line="248" w:lineRule="auto"/>
        <w:rPr>
          <w:sz w:val="20"/>
          <w:szCs w:val="20"/>
          <w:color w:val="auto"/>
        </w:rPr>
      </w:pPr>
      <w:r>
        <w:rPr>
          <w:rFonts w:ascii="Arial" w:cs="Arial" w:eastAsia="Arial" w:hAnsi="Arial"/>
          <w:sz w:val="18"/>
          <w:szCs w:val="18"/>
          <w:color w:val="auto"/>
        </w:rPr>
        <w:t>all necessary registrations, we cannot provide assurance that our products, particularly pesticide products, will not cause injury to the environment or to people under all circumstances. The costs of compliance, remediation or products liability have adversely affected operating results in the past and could materially adversely affect future quarterly or annual operating results.</w:t>
      </w:r>
    </w:p>
    <w:p>
      <w:pPr>
        <w:spacing w:after="0" w:line="76" w:lineRule="exact"/>
        <w:rPr>
          <w:sz w:val="20"/>
          <w:szCs w:val="20"/>
          <w:color w:val="auto"/>
        </w:rPr>
      </w:pPr>
    </w:p>
    <w:p>
      <w:pPr>
        <w:ind w:left="700" w:firstLine="402"/>
        <w:spacing w:after="0" w:line="241" w:lineRule="auto"/>
        <w:rPr>
          <w:sz w:val="20"/>
          <w:szCs w:val="20"/>
          <w:color w:val="auto"/>
        </w:rPr>
      </w:pPr>
      <w:r>
        <w:rPr>
          <w:rFonts w:ascii="Arial" w:cs="Arial" w:eastAsia="Arial" w:hAnsi="Arial"/>
          <w:sz w:val="18"/>
          <w:szCs w:val="18"/>
          <w:color w:val="auto"/>
        </w:rPr>
        <w:t>Perceptions that the products we produce and market are not safe could adversely affect us and contribute to the risk we will be subjected to legal action. We manufacture and market a number of complex chemical products, such as fertilizers, certain growing media, herbicides and pesticides. On occasion, allegations are made that some of our products have failed to perform up to expectations or have caused damage or injury to individuals or property. Based on reports of contamination at a third party supplier’s vermiculite mine, the public may perceive that some of our products manufactured in the past using vermiculite are or may be contaminated. Public perception that our products are not safe, whether justified or not, could impair our reputation, involve us in litigation, damage our brand names and have a material adverse affect on our business.</w:t>
      </w:r>
    </w:p>
    <w:p>
      <w:pPr>
        <w:spacing w:after="0" w:line="85" w:lineRule="exact"/>
        <w:rPr>
          <w:sz w:val="20"/>
          <w:szCs w:val="20"/>
          <w:color w:val="auto"/>
        </w:rPr>
      </w:pPr>
    </w:p>
    <w:p>
      <w:pPr>
        <w:ind w:left="700" w:right="220" w:firstLine="402"/>
        <w:spacing w:after="0" w:line="248" w:lineRule="auto"/>
        <w:rPr>
          <w:sz w:val="20"/>
          <w:szCs w:val="20"/>
          <w:color w:val="auto"/>
        </w:rPr>
      </w:pPr>
      <w:r>
        <w:rPr>
          <w:rFonts w:ascii="Arial" w:cs="Arial" w:eastAsia="Arial" w:hAnsi="Arial"/>
          <w:sz w:val="18"/>
          <w:szCs w:val="18"/>
          <w:color w:val="auto"/>
        </w:rPr>
        <w:t>The harvesting of peat for our growing media business has come under increasing regulatory and environmental scrutiny. In the United States, state regulations frequently require us to limit our harvesting and to restore the property to an agreed-upon condition. In some locations, we have been required to create water retention ponds to control the sediment content of discharged water. In the United Kingdom, our peat extraction efforts are also the subject of legislation.</w:t>
      </w:r>
    </w:p>
    <w:p>
      <w:pPr>
        <w:spacing w:after="0" w:line="76" w:lineRule="exact"/>
        <w:rPr>
          <w:sz w:val="20"/>
          <w:szCs w:val="20"/>
          <w:color w:val="auto"/>
        </w:rPr>
      </w:pPr>
    </w:p>
    <w:p>
      <w:pPr>
        <w:ind w:left="700" w:right="40" w:firstLine="402"/>
        <w:spacing w:after="0" w:line="276" w:lineRule="auto"/>
        <w:rPr>
          <w:sz w:val="20"/>
          <w:szCs w:val="20"/>
          <w:color w:val="auto"/>
        </w:rPr>
      </w:pPr>
      <w:r>
        <w:rPr>
          <w:rFonts w:ascii="Arial" w:cs="Arial" w:eastAsia="Arial" w:hAnsi="Arial"/>
          <w:sz w:val="18"/>
          <w:szCs w:val="18"/>
          <w:color w:val="auto"/>
        </w:rPr>
        <w:t>In addition to the regulations already described, local, state, federal and foreign agencies regulate the disposal, handling and storage of waste, air and water discharges from our facilities.</w:t>
      </w:r>
    </w:p>
    <w:p>
      <w:pPr>
        <w:spacing w:after="0" w:line="51" w:lineRule="exact"/>
        <w:rPr>
          <w:sz w:val="20"/>
          <w:szCs w:val="20"/>
          <w:color w:val="auto"/>
        </w:rPr>
      </w:pPr>
    </w:p>
    <w:p>
      <w:pPr>
        <w:ind w:left="700" w:right="240" w:firstLine="402"/>
        <w:spacing w:after="0" w:line="255" w:lineRule="auto"/>
        <w:rPr>
          <w:sz w:val="20"/>
          <w:szCs w:val="20"/>
          <w:color w:val="auto"/>
        </w:rPr>
      </w:pPr>
      <w:r>
        <w:rPr>
          <w:rFonts w:ascii="Arial" w:cs="Arial" w:eastAsia="Arial" w:hAnsi="Arial"/>
          <w:sz w:val="18"/>
          <w:szCs w:val="18"/>
          <w:color w:val="auto"/>
        </w:rPr>
        <w:t>The adequacy of our current non-FIFRA compliance related environmental reserves and future provisions is based on our operating in substantial compliance with applicable environmental and public health laws and regulations and several significant assumptions:</w:t>
      </w:r>
    </w:p>
    <w:p>
      <w:pPr>
        <w:spacing w:after="0" w:line="70" w:lineRule="exact"/>
        <w:rPr>
          <w:sz w:val="20"/>
          <w:szCs w:val="20"/>
          <w:color w:val="auto"/>
        </w:rPr>
      </w:pPr>
    </w:p>
    <w:p>
      <w:pPr>
        <w:ind w:left="1300" w:hanging="202"/>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that we have identified all of the significant sites that must be remediated;</w:t>
      </w:r>
    </w:p>
    <w:p>
      <w:pPr>
        <w:spacing w:after="0" w:line="103" w:lineRule="exact"/>
        <w:rPr>
          <w:rFonts w:ascii="Arial" w:cs="Arial" w:eastAsia="Arial" w:hAnsi="Arial"/>
          <w:sz w:val="18"/>
          <w:szCs w:val="18"/>
          <w:color w:val="auto"/>
        </w:rPr>
      </w:pPr>
    </w:p>
    <w:p>
      <w:pPr>
        <w:ind w:left="1300" w:hanging="202"/>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that there are no significant conditions of potential contamination that are unknown to us; and</w:t>
      </w:r>
    </w:p>
    <w:p>
      <w:pPr>
        <w:spacing w:after="0" w:line="103" w:lineRule="exact"/>
        <w:rPr>
          <w:rFonts w:ascii="Arial" w:cs="Arial" w:eastAsia="Arial" w:hAnsi="Arial"/>
          <w:sz w:val="18"/>
          <w:szCs w:val="18"/>
          <w:color w:val="auto"/>
        </w:rPr>
      </w:pPr>
    </w:p>
    <w:p>
      <w:pPr>
        <w:ind w:left="1300" w:right="240" w:hanging="202"/>
        <w:spacing w:after="0" w:line="255"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that with respect to the agreed judicial consent order in Ohio relating to the remediation of the Marysville site, the potentially contaminated soil can be remediated in place rather than having to be removed and only specific stream segments will require remediation as opposed to the entire stream.</w:t>
      </w:r>
    </w:p>
    <w:p>
      <w:pPr>
        <w:spacing w:after="0" w:line="70" w:lineRule="exact"/>
        <w:rPr>
          <w:sz w:val="20"/>
          <w:szCs w:val="20"/>
          <w:color w:val="auto"/>
        </w:rPr>
      </w:pPr>
    </w:p>
    <w:p>
      <w:pPr>
        <w:ind w:left="700" w:firstLine="402"/>
        <w:spacing w:after="0" w:line="248" w:lineRule="auto"/>
        <w:rPr>
          <w:sz w:val="20"/>
          <w:szCs w:val="20"/>
          <w:color w:val="auto"/>
        </w:rPr>
      </w:pPr>
      <w:r>
        <w:rPr>
          <w:rFonts w:ascii="Arial" w:cs="Arial" w:eastAsia="Arial" w:hAnsi="Arial"/>
          <w:sz w:val="18"/>
          <w:szCs w:val="18"/>
          <w:color w:val="auto"/>
        </w:rPr>
        <w:t>If there is a significant change in the facts and circumstances surrounding these assumptions or if we are found not to be in substantial compliance with applicable environmental and public health laws and regulations, it could have a material adverse impact on future environmental capital expenditures and other environmental expenses and our results of operations, financial position and cash flows.</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Manufacturing</w:t>
      </w:r>
    </w:p>
    <w:p>
      <w:pPr>
        <w:spacing w:after="0" w:line="124" w:lineRule="exact"/>
        <w:rPr>
          <w:sz w:val="20"/>
          <w:szCs w:val="20"/>
          <w:color w:val="auto"/>
        </w:rPr>
      </w:pPr>
    </w:p>
    <w:p>
      <w:pPr>
        <w:ind w:left="700" w:right="200" w:firstLine="402"/>
        <w:spacing w:after="0" w:line="248" w:lineRule="auto"/>
        <w:rPr>
          <w:sz w:val="20"/>
          <w:szCs w:val="20"/>
          <w:color w:val="auto"/>
        </w:rPr>
      </w:pPr>
      <w:r>
        <w:rPr>
          <w:rFonts w:ascii="Arial" w:cs="Arial" w:eastAsia="Arial" w:hAnsi="Arial"/>
          <w:sz w:val="18"/>
          <w:szCs w:val="18"/>
          <w:color w:val="auto"/>
        </w:rPr>
        <w:t>We use a combination of internal and outsourced facilities to manufacture our products. We are subject to the inherent risks in such activities, including product quality, safety, licensing requirements and other regulatory issues, environmental events, loss or impairment of key manufacturing sites, disruptions in logistics, labor disputes and industrial accidents. Furthermore, we are subject to natural disasters and other factors over which the Company has no control.</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Customer Concentration</w:t>
      </w:r>
    </w:p>
    <w:p>
      <w:pPr>
        <w:spacing w:after="0" w:line="124" w:lineRule="exact"/>
        <w:rPr>
          <w:sz w:val="20"/>
          <w:szCs w:val="20"/>
          <w:color w:val="auto"/>
        </w:rPr>
      </w:pPr>
    </w:p>
    <w:p>
      <w:pPr>
        <w:ind w:left="700" w:right="40" w:firstLine="402"/>
        <w:spacing w:after="0"/>
        <w:rPr>
          <w:sz w:val="20"/>
          <w:szCs w:val="20"/>
          <w:color w:val="auto"/>
        </w:rPr>
      </w:pPr>
      <w:r>
        <w:rPr>
          <w:rFonts w:ascii="Arial" w:cs="Arial" w:eastAsia="Arial" w:hAnsi="Arial"/>
          <w:sz w:val="18"/>
          <w:szCs w:val="18"/>
          <w:color w:val="auto"/>
        </w:rPr>
        <w:t>Global Consumer net sales represented approximately 75% of our worldwide net sales in fiscal 2008. Our top three North American retail customers together accounted for 64% of our Global Consumer segment fiscal 2008 net sales and 34% of our outstanding accounts receivable as of September 30, 2008. Home Depot, Lowe’s and Walmart represented approximately 28%, 18% and 18%, respectively, of our fiscal 2008 Global Consumer net sales. The loss of, or reduction in orders from, Home Depot, Lowe’s, Walmart or any other significant customer could have a material adverse effect on our business and our financial results, as could customer disputes regarding shipments, fees, merchandise condition or related matters. Our inability to collect accounts receivable from any of these customers could also have a material adverse affect on our financial condition and results of operations.</w:t>
      </w:r>
    </w:p>
    <w:p>
      <w:pPr>
        <w:spacing w:after="0" w:line="12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1"/>
          <w:szCs w:val="11"/>
          <w:b w:val="1"/>
          <w:bCs w:val="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-78105</wp:posOffset>
            </wp:positionV>
            <wp:extent cx="19748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00"/>
          </w:cols>
          <w:pgMar w:left="240" w:top="415" w:right="95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hyperlink w:anchor="page6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700" w:right="80" w:firstLine="402"/>
        <w:spacing w:after="0" w:line="245" w:lineRule="auto"/>
        <w:rPr>
          <w:sz w:val="20"/>
          <w:szCs w:val="20"/>
          <w:color w:val="auto"/>
        </w:rPr>
      </w:pPr>
      <w:r>
        <w:rPr>
          <w:rFonts w:ascii="Arial" w:cs="Arial" w:eastAsia="Arial" w:hAnsi="Arial"/>
          <w:sz w:val="18"/>
          <w:szCs w:val="18"/>
          <w:color w:val="auto"/>
        </w:rPr>
        <w:t>We do not have long-term sales agreements with, or other contractual assurances as to future sales to, any of our major retail customers. In addition, continued consolidation in the retail industry has resulted in an increasingly concentrated retail base. To the extent such concentration continues to occur, our net sales and income from operations may be increasingly sensitive to deterioration in the financial condition of, or other adverse developments involving our relationship with, one or more of our customers.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Weather and Seasonality</w:t>
      </w:r>
    </w:p>
    <w:p>
      <w:pPr>
        <w:spacing w:after="0" w:line="124" w:lineRule="exact"/>
        <w:rPr>
          <w:sz w:val="20"/>
          <w:szCs w:val="20"/>
          <w:color w:val="auto"/>
        </w:rPr>
      </w:pPr>
    </w:p>
    <w:p>
      <w:pPr>
        <w:ind w:left="700" w:right="20" w:firstLine="402"/>
        <w:spacing w:after="0" w:line="239" w:lineRule="auto"/>
        <w:rPr>
          <w:sz w:val="20"/>
          <w:szCs w:val="20"/>
          <w:color w:val="auto"/>
        </w:rPr>
      </w:pPr>
      <w:r>
        <w:rPr>
          <w:rFonts w:ascii="Arial" w:cs="Arial" w:eastAsia="Arial" w:hAnsi="Arial"/>
          <w:sz w:val="18"/>
          <w:szCs w:val="18"/>
          <w:color w:val="auto"/>
        </w:rPr>
        <w:t>Weather conditions in North America and Europe can have a significant impact on the timing of sales in the spring selling season and overall annual sales. An abnormally wet and/or cold spring throughout North America or Europe could adversely affect both fertilizer and pesticide sales and, therefore, our financial results. Because our products are used primarily in the spring and summer, our business is highly seasonal. For the past three fiscal years, 70% to 75% of our annual net sales have occurred in the second and third fiscal quarters combined. Our working capital needs and borrowings typically peak during the initial weeks of our third fiscal quarter because we are incurring expenditures in preparation for the spring selling season, while the majority of our revenue collections occur later in our third fiscal quarter. If cash on hand is insufficient to pay our obligations as they come due, including interest payments or operating expenses, at a time when we are unable to draw on our credit facilities, this seasonality could have a material adverse effect on our ability to conduct our business. Adverse weather conditions could heighten this risk.</w:t>
      </w:r>
    </w:p>
    <w:p>
      <w:pPr>
        <w:spacing w:after="0" w:line="197"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Debt</w:t>
      </w:r>
    </w:p>
    <w:p>
      <w:pPr>
        <w:spacing w:after="0" w:line="124" w:lineRule="exact"/>
        <w:rPr>
          <w:sz w:val="20"/>
          <w:szCs w:val="20"/>
          <w:color w:val="auto"/>
        </w:rPr>
      </w:pPr>
    </w:p>
    <w:p>
      <w:pPr>
        <w:ind w:left="700" w:right="360" w:firstLine="402"/>
        <w:spacing w:after="0" w:line="276" w:lineRule="auto"/>
        <w:rPr>
          <w:sz w:val="20"/>
          <w:szCs w:val="20"/>
          <w:color w:val="auto"/>
        </w:rPr>
      </w:pPr>
      <w:r>
        <w:rPr>
          <w:rFonts w:ascii="Arial" w:cs="Arial" w:eastAsia="Arial" w:hAnsi="Arial"/>
          <w:sz w:val="18"/>
          <w:szCs w:val="18"/>
          <w:color w:val="auto"/>
        </w:rPr>
        <w:t>We have a significant amount of debt that could adversely affect our financial health and prevent us from fulfilling our obligations. Our substantial indebtedness could have important consequences. For example, it could:</w:t>
      </w:r>
    </w:p>
    <w:p>
      <w:pPr>
        <w:spacing w:after="0" w:line="51" w:lineRule="exact"/>
        <w:rPr>
          <w:sz w:val="20"/>
          <w:szCs w:val="20"/>
          <w:color w:val="auto"/>
        </w:rPr>
      </w:pPr>
    </w:p>
    <w:p>
      <w:pPr>
        <w:ind w:left="1300" w:hanging="202"/>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make it more difficult for us to satisfy our obligations under outstanding indebtedness;</w:t>
      </w:r>
    </w:p>
    <w:p>
      <w:pPr>
        <w:spacing w:after="0" w:line="103" w:lineRule="exact"/>
        <w:rPr>
          <w:rFonts w:ascii="Arial" w:cs="Arial" w:eastAsia="Arial" w:hAnsi="Arial"/>
          <w:sz w:val="18"/>
          <w:szCs w:val="18"/>
          <w:color w:val="auto"/>
        </w:rPr>
      </w:pPr>
    </w:p>
    <w:p>
      <w:pPr>
        <w:ind w:left="1300" w:hanging="202"/>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103" w:lineRule="exact"/>
        <w:rPr>
          <w:rFonts w:ascii="Arial" w:cs="Arial" w:eastAsia="Arial" w:hAnsi="Arial"/>
          <w:sz w:val="18"/>
          <w:szCs w:val="18"/>
          <w:color w:val="auto"/>
        </w:rPr>
      </w:pPr>
    </w:p>
    <w:p>
      <w:pPr>
        <w:jc w:val="both"/>
        <w:ind w:left="1300" w:right="220" w:hanging="202"/>
        <w:spacing w:after="0" w:line="255"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require us to dedicate a substantial portion of cash flows from operating activities to payments on our indebtedness, which would reduce the cash flows available to fund working capital, capital expenditures, advertising, research and development efforts and other general corporate requirements;</w:t>
      </w:r>
    </w:p>
    <w:p>
      <w:pPr>
        <w:spacing w:after="0" w:line="56" w:lineRule="exact"/>
        <w:rPr>
          <w:rFonts w:ascii="Arial" w:cs="Arial" w:eastAsia="Arial" w:hAnsi="Arial"/>
          <w:sz w:val="18"/>
          <w:szCs w:val="18"/>
          <w:color w:val="auto"/>
        </w:rPr>
      </w:pPr>
    </w:p>
    <w:p>
      <w:pPr>
        <w:ind w:left="1300" w:hanging="202"/>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industry in which we operate;</w:t>
      </w:r>
    </w:p>
    <w:p>
      <w:pPr>
        <w:spacing w:after="0" w:line="103" w:lineRule="exact"/>
        <w:rPr>
          <w:rFonts w:ascii="Arial" w:cs="Arial" w:eastAsia="Arial" w:hAnsi="Arial"/>
          <w:sz w:val="18"/>
          <w:szCs w:val="18"/>
          <w:color w:val="auto"/>
        </w:rPr>
      </w:pPr>
    </w:p>
    <w:p>
      <w:pPr>
        <w:ind w:left="1300" w:hanging="202"/>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place us at a competitive disadvantage compared to our competitors that have less debt;</w:t>
      </w:r>
    </w:p>
    <w:p>
      <w:pPr>
        <w:spacing w:after="0" w:line="103" w:lineRule="exact"/>
        <w:rPr>
          <w:rFonts w:ascii="Arial" w:cs="Arial" w:eastAsia="Arial" w:hAnsi="Arial"/>
          <w:sz w:val="18"/>
          <w:szCs w:val="18"/>
          <w:color w:val="auto"/>
        </w:rPr>
      </w:pPr>
    </w:p>
    <w:p>
      <w:pPr>
        <w:ind w:left="1300" w:hanging="202"/>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 our ability to borrow additional funds; and</w:t>
      </w:r>
    </w:p>
    <w:p>
      <w:pPr>
        <w:spacing w:after="0" w:line="103" w:lineRule="exact"/>
        <w:rPr>
          <w:rFonts w:ascii="Arial" w:cs="Arial" w:eastAsia="Arial" w:hAnsi="Arial"/>
          <w:sz w:val="18"/>
          <w:szCs w:val="18"/>
          <w:color w:val="auto"/>
        </w:rPr>
      </w:pPr>
    </w:p>
    <w:p>
      <w:pPr>
        <w:ind w:left="1300" w:right="620" w:hanging="202"/>
        <w:spacing w:after="0" w:line="276"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expose us to risks inherent in interest rate fluctuations because some of our borrowings are at variable rates of interest, which could result in higher interest expense in the event of increases in interest rates.</w:t>
      </w:r>
    </w:p>
    <w:p>
      <w:pPr>
        <w:spacing w:after="0" w:line="51" w:lineRule="exact"/>
        <w:rPr>
          <w:sz w:val="20"/>
          <w:szCs w:val="20"/>
          <w:color w:val="auto"/>
        </w:rPr>
      </w:pPr>
    </w:p>
    <w:p>
      <w:pPr>
        <w:ind w:left="700" w:right="180" w:firstLine="402"/>
        <w:spacing w:after="0" w:line="255" w:lineRule="auto"/>
        <w:rPr>
          <w:sz w:val="20"/>
          <w:szCs w:val="20"/>
          <w:color w:val="auto"/>
        </w:rPr>
      </w:pPr>
      <w:r>
        <w:rPr>
          <w:rFonts w:ascii="Arial" w:cs="Arial" w:eastAsia="Arial" w:hAnsi="Arial"/>
          <w:sz w:val="18"/>
          <w:szCs w:val="18"/>
          <w:color w:val="auto"/>
        </w:rPr>
        <w:t>Our ability to make payments and to refinance our indebtedness, to fund planned capital expenditures and acquisitions and to pay dividends will depend on our ability to generate cash in the future. This, to some extent, is subject to general economic, financial, competitive, legislative, regulatory and other factors that are beyond our control.</w:t>
      </w:r>
    </w:p>
    <w:p>
      <w:pPr>
        <w:spacing w:after="0" w:line="70" w:lineRule="exact"/>
        <w:rPr>
          <w:sz w:val="20"/>
          <w:szCs w:val="20"/>
          <w:color w:val="auto"/>
        </w:rPr>
      </w:pPr>
    </w:p>
    <w:p>
      <w:pPr>
        <w:ind w:left="700" w:firstLine="402"/>
        <w:spacing w:after="0" w:line="248" w:lineRule="auto"/>
        <w:rPr>
          <w:sz w:val="20"/>
          <w:szCs w:val="20"/>
          <w:color w:val="auto"/>
        </w:rPr>
      </w:pPr>
      <w:r>
        <w:rPr>
          <w:rFonts w:ascii="Arial" w:cs="Arial" w:eastAsia="Arial" w:hAnsi="Arial"/>
          <w:sz w:val="18"/>
          <w:szCs w:val="18"/>
          <w:color w:val="auto"/>
        </w:rPr>
        <w:t>We cannot provide assurance that our business will generate sufficient cash flow from operating activities or that future borrowings will be available to us under our credit facilities in amounts sufficient to enable us to pay our indebtedness or to fund our other liquidity needs. We may need to refinance all or a portion of our indebtedness, on or before maturity. We cannot be sure that we would be able to refinance any of our indebtedness on commercially reasonable terms or at all.</w:t>
      </w:r>
    </w:p>
    <w:p>
      <w:pPr>
        <w:spacing w:after="0" w:line="76" w:lineRule="exact"/>
        <w:rPr>
          <w:sz w:val="20"/>
          <w:szCs w:val="20"/>
          <w:color w:val="auto"/>
        </w:rPr>
      </w:pPr>
    </w:p>
    <w:p>
      <w:pPr>
        <w:ind w:left="700" w:right="360" w:firstLine="402"/>
        <w:spacing w:after="0" w:line="248" w:lineRule="auto"/>
        <w:rPr>
          <w:sz w:val="20"/>
          <w:szCs w:val="20"/>
          <w:color w:val="auto"/>
        </w:rPr>
      </w:pPr>
      <w:r>
        <w:rPr>
          <w:rFonts w:ascii="Arial" w:cs="Arial" w:eastAsia="Arial" w:hAnsi="Arial"/>
          <w:sz w:val="18"/>
          <w:szCs w:val="18"/>
          <w:color w:val="auto"/>
        </w:rPr>
        <w:t>Our credit facilities contain restrictive covenants and cross default provisions that require us to maintain specified financial ratios. Our ability to satisfy those financial ratios can be affected by events beyond our control, and we cannot be assured we will satisfy those ratios. A breach of any of these financial ratio covenants or other covenants could result in a default. Upon the occurrence of an event of</w:t>
      </w:r>
    </w:p>
    <w:p>
      <w:pPr>
        <w:spacing w:after="0" w:line="11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1"/>
          <w:szCs w:val="11"/>
          <w:b w:val="1"/>
          <w:bCs w:val="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-78105</wp:posOffset>
            </wp:positionV>
            <wp:extent cx="19748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20"/>
          </w:cols>
          <w:pgMar w:left="240" w:top="415" w:right="9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hyperlink w:anchor="page6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700" w:right="60"/>
        <w:spacing w:after="0" w:line="255" w:lineRule="auto"/>
        <w:rPr>
          <w:sz w:val="20"/>
          <w:szCs w:val="20"/>
          <w:color w:val="auto"/>
        </w:rPr>
      </w:pPr>
      <w:r>
        <w:rPr>
          <w:rFonts w:ascii="Arial" w:cs="Arial" w:eastAsia="Arial" w:hAnsi="Arial"/>
          <w:sz w:val="18"/>
          <w:szCs w:val="18"/>
          <w:color w:val="auto"/>
        </w:rPr>
        <w:t>default, the lenders could elect to declare the applicable outstanding indebtedness due immediately and payable and terminate all commitments to extend further credit. We cannot be sure that our lenders would waive a default or that we could pay the indebtedness in full if it were accelerated.</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Foreign Operations and Currency Exposures</w:t>
      </w:r>
    </w:p>
    <w:p>
      <w:pPr>
        <w:spacing w:after="0" w:line="124" w:lineRule="exact"/>
        <w:rPr>
          <w:sz w:val="20"/>
          <w:szCs w:val="20"/>
          <w:color w:val="auto"/>
        </w:rPr>
      </w:pPr>
    </w:p>
    <w:p>
      <w:pPr>
        <w:ind w:left="700" w:right="420" w:firstLine="402"/>
        <w:spacing w:after="0" w:line="248" w:lineRule="auto"/>
        <w:rPr>
          <w:sz w:val="20"/>
          <w:szCs w:val="20"/>
          <w:color w:val="auto"/>
        </w:rPr>
      </w:pPr>
      <w:r>
        <w:rPr>
          <w:rFonts w:ascii="Arial" w:cs="Arial" w:eastAsia="Arial" w:hAnsi="Arial"/>
          <w:sz w:val="18"/>
          <w:szCs w:val="18"/>
          <w:color w:val="auto"/>
        </w:rPr>
        <w:t>We currently operate manufacturing, sales and service facilities outside of the United States, particularly in Canada, France, the United Kingdom, Germany and the Netherlands. In fiscal 2008, international net sales, including Canada, accounted for approximately 24% of our total net sales. Accordingly, we are subject to risks associated with operating in foreign countries, including:</w:t>
      </w:r>
    </w:p>
    <w:p>
      <w:pPr>
        <w:spacing w:after="0" w:line="76" w:lineRule="exact"/>
        <w:rPr>
          <w:sz w:val="20"/>
          <w:szCs w:val="20"/>
          <w:color w:val="auto"/>
        </w:rPr>
      </w:pPr>
    </w:p>
    <w:p>
      <w:pPr>
        <w:ind w:left="1300" w:hanging="202"/>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103" w:lineRule="exact"/>
        <w:rPr>
          <w:rFonts w:ascii="Arial" w:cs="Arial" w:eastAsia="Arial" w:hAnsi="Arial"/>
          <w:sz w:val="18"/>
          <w:szCs w:val="18"/>
          <w:color w:val="auto"/>
        </w:rPr>
      </w:pPr>
    </w:p>
    <w:p>
      <w:pPr>
        <w:ind w:left="1300" w:hanging="202"/>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limitations on the remittance of dividends and other payments by foreign subsidiaries;</w:t>
      </w:r>
    </w:p>
    <w:p>
      <w:pPr>
        <w:spacing w:after="0" w:line="103" w:lineRule="exact"/>
        <w:rPr>
          <w:rFonts w:ascii="Arial" w:cs="Arial" w:eastAsia="Arial" w:hAnsi="Arial"/>
          <w:sz w:val="18"/>
          <w:szCs w:val="18"/>
          <w:color w:val="auto"/>
        </w:rPr>
      </w:pPr>
    </w:p>
    <w:p>
      <w:pPr>
        <w:ind w:left="1300" w:hanging="202"/>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additional costs of compliance with local regulations; and</w:t>
      </w:r>
    </w:p>
    <w:p>
      <w:pPr>
        <w:spacing w:after="0" w:line="103" w:lineRule="exact"/>
        <w:rPr>
          <w:rFonts w:ascii="Arial" w:cs="Arial" w:eastAsia="Arial" w:hAnsi="Arial"/>
          <w:sz w:val="18"/>
          <w:szCs w:val="18"/>
          <w:color w:val="auto"/>
        </w:rPr>
      </w:pPr>
    </w:p>
    <w:p>
      <w:pPr>
        <w:ind w:left="1300" w:hanging="202"/>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historically, in certain countries, higher rates of inflation than in the United States.</w:t>
      </w:r>
    </w:p>
    <w:p>
      <w:pPr>
        <w:spacing w:after="0" w:line="117" w:lineRule="exact"/>
        <w:rPr>
          <w:sz w:val="20"/>
          <w:szCs w:val="20"/>
          <w:color w:val="auto"/>
        </w:rPr>
      </w:pPr>
    </w:p>
    <w:p>
      <w:pPr>
        <w:ind w:left="700" w:right="220" w:firstLine="402"/>
        <w:spacing w:after="0" w:line="248" w:lineRule="auto"/>
        <w:rPr>
          <w:sz w:val="20"/>
          <w:szCs w:val="20"/>
          <w:color w:val="auto"/>
        </w:rPr>
      </w:pPr>
      <w:r>
        <w:rPr>
          <w:rFonts w:ascii="Arial" w:cs="Arial" w:eastAsia="Arial" w:hAnsi="Arial"/>
          <w:sz w:val="18"/>
          <w:szCs w:val="18"/>
          <w:color w:val="auto"/>
        </w:rPr>
        <w:t>In addition, our operations outside the United States are subject to the risk of new and different legal and regulatory requirements in local jurisdictions, potential difficulties in staffing and managing local operations and potentially adverse tax consequences. The costs related to our international and Canadian operations could adversely affect our operations and financial results in the future.</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Acquisitions</w:t>
      </w:r>
    </w:p>
    <w:p>
      <w:pPr>
        <w:spacing w:after="0" w:line="124" w:lineRule="exact"/>
        <w:rPr>
          <w:sz w:val="20"/>
          <w:szCs w:val="20"/>
          <w:color w:val="auto"/>
        </w:rPr>
      </w:pPr>
    </w:p>
    <w:p>
      <w:pPr>
        <w:ind w:left="700" w:right="400" w:firstLine="402"/>
        <w:spacing w:after="0" w:line="254" w:lineRule="auto"/>
        <w:rPr>
          <w:sz w:val="20"/>
          <w:szCs w:val="20"/>
          <w:color w:val="auto"/>
        </w:rPr>
      </w:pPr>
      <w:r>
        <w:rPr>
          <w:rFonts w:ascii="Arial" w:cs="Arial" w:eastAsia="Arial" w:hAnsi="Arial"/>
          <w:sz w:val="17"/>
          <w:szCs w:val="17"/>
          <w:color w:val="auto"/>
        </w:rPr>
        <w:t>We make strategic acquisitions from time to time, including the June 2006 acquisition of certain assets of Landmark Seed Company, the May 2006 acquisition of certain assets of Turf-Seed, Inc., the November 2005 acquisition of Gutwein (Morning Song</w:t>
      </w:r>
      <w:r>
        <w:rPr>
          <w:rFonts w:ascii="Arial" w:cs="Arial" w:eastAsia="Arial" w:hAnsi="Arial"/>
          <w:sz w:val="14"/>
          <w:szCs w:val="14"/>
          <w:color w:val="auto"/>
        </w:rPr>
        <w:t>®</w:t>
      </w:r>
      <w:r>
        <w:rPr>
          <w:rFonts w:ascii="Arial" w:cs="Arial" w:eastAsia="Arial" w:hAnsi="Arial"/>
          <w:sz w:val="17"/>
          <w:szCs w:val="17"/>
          <w:color w:val="auto"/>
        </w:rPr>
        <w:t>), the October 2005 acquisition of Rod McLellan Company and the October 2004 acquisition of Smith &amp; Hawken</w:t>
      </w:r>
      <w:r>
        <w:rPr>
          <w:rFonts w:ascii="Arial" w:cs="Arial" w:eastAsia="Arial" w:hAnsi="Arial"/>
          <w:sz w:val="14"/>
          <w:szCs w:val="14"/>
          <w:color w:val="auto"/>
        </w:rPr>
        <w:t>®</w:t>
      </w:r>
      <w:r>
        <w:rPr>
          <w:rFonts w:ascii="Arial" w:cs="Arial" w:eastAsia="Arial" w:hAnsi="Arial"/>
          <w:sz w:val="17"/>
          <w:szCs w:val="17"/>
          <w:color w:val="auto"/>
        </w:rPr>
        <w:t>. Acquisitions have inherent risks, such as obtaining necessary regulatory approvals, retaining key personnel, integration of the acquired business and achievement of planned synergies and projections. We have approximately</w:t>
      </w:r>
    </w:p>
    <w:p>
      <w:pPr>
        <w:spacing w:after="0" w:line="1" w:lineRule="exact"/>
        <w:rPr>
          <w:sz w:val="20"/>
          <w:szCs w:val="20"/>
          <w:color w:val="auto"/>
        </w:rPr>
      </w:pPr>
    </w:p>
    <w:p>
      <w:pPr>
        <w:jc w:val="both"/>
        <w:ind w:left="700" w:right="100"/>
        <w:spacing w:after="0" w:line="242" w:lineRule="auto"/>
        <w:rPr>
          <w:sz w:val="20"/>
          <w:szCs w:val="20"/>
          <w:color w:val="auto"/>
        </w:rPr>
      </w:pPr>
      <w:r>
        <w:rPr>
          <w:rFonts w:ascii="Arial" w:cs="Arial" w:eastAsia="Arial" w:hAnsi="Arial"/>
          <w:sz w:val="18"/>
          <w:szCs w:val="18"/>
          <w:color w:val="auto"/>
        </w:rPr>
        <w:t>$745 million of goodwill and intangible assets as of September 30, 2008. Uncertainty regarding the future performance of the acquired businesses could also result in future impairment charges related to the associated goodwill and intangible assets, such as the impairment charges recorded in fiscal 2006, 2007 and 2008.</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Significant Agreement</w:t>
      </w:r>
    </w:p>
    <w:p>
      <w:pPr>
        <w:spacing w:after="0" w:line="123" w:lineRule="exact"/>
        <w:rPr>
          <w:sz w:val="20"/>
          <w:szCs w:val="20"/>
          <w:color w:val="auto"/>
        </w:rPr>
      </w:pPr>
    </w:p>
    <w:p>
      <w:pPr>
        <w:ind w:left="700" w:firstLine="402"/>
        <w:spacing w:after="0" w:line="241" w:lineRule="auto"/>
        <w:rPr>
          <w:sz w:val="20"/>
          <w:szCs w:val="20"/>
          <w:color w:val="auto"/>
        </w:rPr>
      </w:pPr>
      <w:r>
        <w:rPr>
          <w:rFonts w:ascii="Arial" w:cs="Arial" w:eastAsia="Arial" w:hAnsi="Arial"/>
          <w:sz w:val="18"/>
          <w:szCs w:val="18"/>
          <w:color w:val="auto"/>
        </w:rPr>
        <w:t>If we were to commit a serious default under the Marketing Agreement with Monsanto for consumer Roundup</w:t>
      </w:r>
      <w:r>
        <w:rPr>
          <w:rFonts w:ascii="Arial" w:cs="Arial" w:eastAsia="Arial" w:hAnsi="Arial"/>
          <w:sz w:val="15"/>
          <w:szCs w:val="15"/>
          <w:color w:val="auto"/>
        </w:rPr>
        <w:t>®</w:t>
      </w:r>
      <w:r>
        <w:rPr>
          <w:rFonts w:ascii="Arial" w:cs="Arial" w:eastAsia="Arial" w:hAnsi="Arial"/>
          <w:sz w:val="18"/>
          <w:szCs w:val="18"/>
          <w:color w:val="auto"/>
        </w:rPr>
        <w:t xml:space="preserve"> products, Monsanto may have the right to terminate the Marketing Agreement. If Monsanto were to terminate the Marketing Agreement for cause, we would not be entitled to any termination fee, and we would lose all, or a substantial portion, of the significant source of earnings and overhead expense absorption the Marketing Agreement provides. Monsanto may also be able to terminate the Marketing Agreement within a given region, including North America, without paying us a termination fee if unit volume sales to consumers in that region decline: (1) over a cumulative three-fiscal-year period; or (2) by more than 5% for each of two consecutive years.</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Equity Ownership Concentration</w:t>
      </w:r>
    </w:p>
    <w:p>
      <w:pPr>
        <w:spacing w:after="0" w:line="124" w:lineRule="exact"/>
        <w:rPr>
          <w:sz w:val="20"/>
          <w:szCs w:val="20"/>
          <w:color w:val="auto"/>
        </w:rPr>
      </w:pPr>
    </w:p>
    <w:p>
      <w:pPr>
        <w:ind w:left="700" w:right="400" w:firstLine="402"/>
        <w:spacing w:after="0" w:line="255" w:lineRule="auto"/>
        <w:rPr>
          <w:sz w:val="20"/>
          <w:szCs w:val="20"/>
          <w:color w:val="auto"/>
        </w:rPr>
      </w:pPr>
      <w:r>
        <w:rPr>
          <w:rFonts w:ascii="Arial" w:cs="Arial" w:eastAsia="Arial" w:hAnsi="Arial"/>
          <w:sz w:val="18"/>
          <w:szCs w:val="18"/>
          <w:color w:val="auto"/>
        </w:rPr>
        <w:t>Hagedorn Partnership, L.P. beneficially owned approximately 31% of our outstanding common shares as of November 21, 2008, and has sufficient voting power to significantly influence the election of directors and the approval of other actions requiring the approval of our shareholders.</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8"/>
          <w:szCs w:val="18"/>
          <w:b w:val="1"/>
          <w:bCs w:val="1"/>
          <w:u w:val="single" w:color="auto"/>
          <w:color w:val="auto"/>
        </w:rPr>
        <w:t>ITEM 1B.  UNRESOLVED STAFF COMMENTS</w:t>
      </w:r>
    </w:p>
    <w:p>
      <w:pPr>
        <w:spacing w:after="0" w:line="11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None.</w:t>
      </w:r>
    </w:p>
    <w:p>
      <w:pPr>
        <w:spacing w:after="0" w:line="223" w:lineRule="exact"/>
        <w:rPr>
          <w:sz w:val="20"/>
          <w:szCs w:val="20"/>
          <w:color w:val="auto"/>
        </w:rPr>
      </w:pPr>
    </w:p>
    <w:p>
      <w:pPr>
        <w:ind w:left="700"/>
        <w:spacing w:after="0"/>
        <w:tabs>
          <w:tab w:leader="none" w:pos="1480" w:val="left"/>
        </w:tabs>
        <w:rPr>
          <w:sz w:val="20"/>
          <w:szCs w:val="20"/>
          <w:color w:val="auto"/>
        </w:rPr>
      </w:pPr>
      <w:r>
        <w:rPr>
          <w:rFonts w:ascii="Arial" w:cs="Arial" w:eastAsia="Arial" w:hAnsi="Arial"/>
          <w:sz w:val="18"/>
          <w:szCs w:val="18"/>
          <w:b w:val="1"/>
          <w:bCs w:val="1"/>
          <w:u w:val="single" w:color="auto"/>
          <w:color w:val="auto"/>
        </w:rPr>
        <w:t>ITEM 2.</w:t>
      </w:r>
      <w:r>
        <w:rPr>
          <w:sz w:val="20"/>
          <w:szCs w:val="20"/>
          <w:color w:val="auto"/>
        </w:rPr>
        <w:tab/>
      </w:r>
      <w:r>
        <w:rPr>
          <w:rFonts w:ascii="Arial" w:cs="Arial" w:eastAsia="Arial" w:hAnsi="Arial"/>
          <w:sz w:val="17"/>
          <w:szCs w:val="17"/>
          <w:b w:val="1"/>
          <w:bCs w:val="1"/>
          <w:u w:val="single" w:color="auto"/>
          <w:color w:val="auto"/>
        </w:rPr>
        <w:t>PROPERTIES</w:t>
      </w:r>
    </w:p>
    <w:p>
      <w:pPr>
        <w:spacing w:after="0" w:line="119" w:lineRule="exact"/>
        <w:rPr>
          <w:sz w:val="20"/>
          <w:szCs w:val="20"/>
          <w:color w:val="auto"/>
        </w:rPr>
      </w:pPr>
    </w:p>
    <w:p>
      <w:pPr>
        <w:ind w:left="700" w:right="100" w:firstLine="402"/>
        <w:spacing w:after="0" w:line="276" w:lineRule="auto"/>
        <w:rPr>
          <w:sz w:val="20"/>
          <w:szCs w:val="20"/>
          <w:color w:val="auto"/>
        </w:rPr>
      </w:pPr>
      <w:r>
        <w:rPr>
          <w:rFonts w:ascii="Arial" w:cs="Arial" w:eastAsia="Arial" w:hAnsi="Arial"/>
          <w:sz w:val="18"/>
          <w:szCs w:val="18"/>
          <w:color w:val="auto"/>
        </w:rPr>
        <w:t>The Company owns or leases, as appropriate, numerous facilities throughout the world to support each of its respective business segments.</w:t>
      </w:r>
    </w:p>
    <w:p>
      <w:pPr>
        <w:spacing w:after="0" w:line="8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1"/>
          <w:szCs w:val="11"/>
          <w:b w:val="1"/>
          <w:bCs w:val="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-78105</wp:posOffset>
            </wp:positionV>
            <wp:extent cx="19748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00"/>
          </w:cols>
          <w:pgMar w:left="240" w:top="415" w:right="95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hyperlink w:anchor="page6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300" w:right="40" w:hanging="202"/>
        <w:spacing w:after="0" w:line="238"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Global Consumer</w:t>
      </w:r>
      <w:r>
        <w:rPr>
          <w:rFonts w:ascii="Arial" w:cs="Arial" w:eastAsia="Arial" w:hAnsi="Arial"/>
          <w:sz w:val="18"/>
          <w:szCs w:val="18"/>
          <w:color w:val="auto"/>
        </w:rPr>
        <w:t xml:space="preserve"> — We own manufacturing and distribution and research and development facilities in Marysville, Ohio, research facilities in Apopka, Florida and Gervais, Oregon, and a production facility in Fort Madison, Iowa. We lease a spreader and other durable components manufacturing facility in Temecula, California. In addition, we operate 27 growing media facilities in North America — 22 of which are owned by the Company and five of which are leased. Most of our growing media facilities include production lines, warehouses, offices and field processing areas. We own five production facilities for our wild bird food operations in Indiana, South Dakota, South Carolina and Texas. Further, we own a manufacturing facility in Sutton Bridge, the United Kingdom, a blending and bagging facility for growing media in Hautmont, France and a plant in Bourth, France that we use for formulating, blending and packaging plant protection products for the consumer market. We lease most of our general office space, including business development sales offices in Atlanta, Georgia, Mooresville, North Carolina, Rolling Meadows, Illinois and Bentonville, Arkansas; the headquarters for our Canadian subsidiary in Mississauga, Ontario; the headquarters for our U.K. business in Godalming (Surrey), the United Kingdom; the headquarters for our international business (which also serves as our local French operations office) in Ecully (Lyon), France; a business office in Ingelheim, Germany; a business office in Salzburg, Austria; and a sales office in Saint Niklaas, Belgium.</w:t>
      </w:r>
    </w:p>
    <w:p>
      <w:pPr>
        <w:spacing w:after="0" w:line="70" w:lineRule="exact"/>
        <w:rPr>
          <w:rFonts w:ascii="Arial" w:cs="Arial" w:eastAsia="Arial" w:hAnsi="Arial"/>
          <w:sz w:val="18"/>
          <w:szCs w:val="18"/>
          <w:color w:val="auto"/>
        </w:rPr>
      </w:pPr>
    </w:p>
    <w:p>
      <w:pPr>
        <w:ind w:left="1300" w:right="100" w:hanging="202"/>
        <w:spacing w:after="0" w:line="248"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Global Professional</w:t>
      </w:r>
      <w:r>
        <w:rPr>
          <w:rFonts w:ascii="Arial" w:cs="Arial" w:eastAsia="Arial" w:hAnsi="Arial"/>
          <w:sz w:val="18"/>
          <w:szCs w:val="18"/>
          <w:color w:val="auto"/>
        </w:rPr>
        <w:t xml:space="preserve"> — We lease a controlled-release fertilizer manufacturing facility in Charleston, South Carolina, a corporate office in Waardenburg, the Netherlands and a sales office in Bramford, the United Kingdom, where we also have some supply chain services. Further, we lease sales offices in Nordhorn, Germany, Paris, France, Budapest, Hungary, Tarragona, Spain and Nairobi, Kenya, where we also lease warehouse space.</w:t>
      </w:r>
    </w:p>
    <w:p>
      <w:pPr>
        <w:spacing w:after="0" w:line="62" w:lineRule="exact"/>
        <w:rPr>
          <w:rFonts w:ascii="Arial" w:cs="Arial" w:eastAsia="Arial" w:hAnsi="Arial"/>
          <w:sz w:val="18"/>
          <w:szCs w:val="18"/>
          <w:color w:val="auto"/>
        </w:rPr>
      </w:pPr>
    </w:p>
    <w:p>
      <w:pPr>
        <w:ind w:left="1300" w:right="40" w:hanging="202"/>
        <w:spacing w:after="0" w:line="238"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Global Consumer and Global Professional</w:t>
      </w:r>
      <w:r>
        <w:rPr>
          <w:rFonts w:ascii="Arial" w:cs="Arial" w:eastAsia="Arial" w:hAnsi="Arial"/>
          <w:sz w:val="18"/>
          <w:szCs w:val="18"/>
          <w:color w:val="auto"/>
        </w:rPr>
        <w:t xml:space="preserve"> — In addition to the above, the Company owns or leases a number of properties that we use for both the Global Consumer and Global Professional segments of our business. We own manufacturing facilities in Howden (East Yorkshire) and Hatfield (South Yorkshire), both in the United Kingdom. Our site in Heerlen, the Netherlands includes a research facility, a distribution center and a manufacturing site for coated fertilizers for the consumer and professional markets (we own the land and the building for the manufacturing facility, but lease the distribution center building). We lease land for peat extraction in Manchester, England (Irlam Moss), Gretna, England (Solway Moss) and Dumfriesshire, Scotland (Nutberry Moss and Creca Moss), and we also lease land to stockpile harvested peat in South Lanarkshire, Scotland (Douglas Water). We own peat extraction facilities in Dumfriesshire, Scotland (Nutberry Moss), North Lanarkshire, England (Fannyside Muir), Stirlingshire, Scotland (Letham) and on two properties in South Lanarkshire, Scotland (Douglas Water &amp; Carnwath). We own a grass seed production facility in Albany, Oregon. We lease a research and development facility in Morance, France and we own a research and development facility in Levington, the United Kingdom. We lease sales offices in Treviso, Italy and Warsaw, Poland, and we lease our Australian corporate office, located in Baulkan Hills (New South Wales), Australia.</w:t>
      </w:r>
    </w:p>
    <w:p>
      <w:pPr>
        <w:spacing w:after="0" w:line="72" w:lineRule="exact"/>
        <w:rPr>
          <w:rFonts w:ascii="Arial" w:cs="Arial" w:eastAsia="Arial" w:hAnsi="Arial"/>
          <w:sz w:val="18"/>
          <w:szCs w:val="18"/>
          <w:color w:val="auto"/>
        </w:rPr>
      </w:pPr>
    </w:p>
    <w:p>
      <w:pPr>
        <w:ind w:left="1300" w:right="500" w:hanging="202"/>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Scotts LawnService</w:t>
      </w:r>
      <w:r>
        <w:rPr>
          <w:rFonts w:ascii="Arial" w:cs="Arial" w:eastAsia="Arial" w:hAnsi="Arial"/>
          <w:sz w:val="15"/>
          <w:szCs w:val="15"/>
          <w:u w:val="single" w:color="auto"/>
          <w:color w:val="auto"/>
        </w:rPr>
        <w:t>®</w:t>
      </w:r>
      <w:r>
        <w:rPr>
          <w:rFonts w:ascii="Arial" w:cs="Arial" w:eastAsia="Arial" w:hAnsi="Arial"/>
          <w:sz w:val="18"/>
          <w:szCs w:val="18"/>
          <w:color w:val="auto"/>
        </w:rPr>
        <w:t xml:space="preserve"> — We conduct company-owned Scotts LawnService</w:t>
      </w:r>
      <w:r>
        <w:rPr>
          <w:rFonts w:ascii="Arial" w:cs="Arial" w:eastAsia="Arial" w:hAnsi="Arial"/>
          <w:sz w:val="15"/>
          <w:szCs w:val="15"/>
          <w:color w:val="auto"/>
        </w:rPr>
        <w:t>®</w:t>
      </w:r>
      <w:r>
        <w:rPr>
          <w:rFonts w:ascii="Arial" w:cs="Arial" w:eastAsia="Arial" w:hAnsi="Arial"/>
          <w:sz w:val="18"/>
          <w:szCs w:val="18"/>
          <w:color w:val="auto"/>
        </w:rPr>
        <w:t xml:space="preserve"> operations from 81 leased facilities, primarily located in industrial office parks, serving 46 metropolitan markets across the United States.</w:t>
      </w:r>
    </w:p>
    <w:p>
      <w:pPr>
        <w:spacing w:after="0" w:line="35" w:lineRule="exact"/>
        <w:rPr>
          <w:rFonts w:ascii="Arial" w:cs="Arial" w:eastAsia="Arial" w:hAnsi="Arial"/>
          <w:sz w:val="18"/>
          <w:szCs w:val="18"/>
          <w:color w:val="auto"/>
        </w:rPr>
      </w:pPr>
    </w:p>
    <w:p>
      <w:pPr>
        <w:ind w:left="1300" w:hanging="202"/>
        <w:spacing w:after="0" w:line="248"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Corporate &amp; Other</w:t>
      </w:r>
      <w:r>
        <w:rPr>
          <w:rFonts w:ascii="Arial" w:cs="Arial" w:eastAsia="Arial" w:hAnsi="Arial"/>
          <w:sz w:val="18"/>
          <w:szCs w:val="18"/>
          <w:color w:val="auto"/>
        </w:rPr>
        <w:t xml:space="preserve"> — Our corporate headquarters are located in Marysville, Ohio. Including our Global Consumer manufacturing and distribution facilities and our research and development facilities, we own or lease approximately 750 acres in Marysville. Smith &amp; Hawken</w:t>
      </w:r>
      <w:r>
        <w:rPr>
          <w:rFonts w:ascii="Arial" w:cs="Arial" w:eastAsia="Arial" w:hAnsi="Arial"/>
          <w:sz w:val="15"/>
          <w:szCs w:val="15"/>
          <w:color w:val="auto"/>
        </w:rPr>
        <w:t>®</w:t>
      </w:r>
      <w:r>
        <w:rPr>
          <w:rFonts w:ascii="Arial" w:cs="Arial" w:eastAsia="Arial" w:hAnsi="Arial"/>
          <w:sz w:val="18"/>
          <w:szCs w:val="18"/>
          <w:color w:val="auto"/>
        </w:rPr>
        <w:t xml:space="preserve"> operates 57 retail stores in the United States, which are all leased facilities, and leases its main headquarters in Novato, California.</w:t>
      </w:r>
    </w:p>
    <w:p>
      <w:pPr>
        <w:spacing w:after="0" w:line="7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Company also leases warehouse space throughout North America and continental Europe as needed.</w:t>
      </w:r>
    </w:p>
    <w:p>
      <w:pPr>
        <w:spacing w:after="0" w:line="117" w:lineRule="exact"/>
        <w:rPr>
          <w:sz w:val="20"/>
          <w:szCs w:val="20"/>
          <w:color w:val="auto"/>
        </w:rPr>
      </w:pPr>
    </w:p>
    <w:p>
      <w:pPr>
        <w:ind w:left="700" w:right="140" w:firstLine="402"/>
        <w:spacing w:after="0" w:line="276" w:lineRule="auto"/>
        <w:rPr>
          <w:sz w:val="20"/>
          <w:szCs w:val="20"/>
          <w:color w:val="auto"/>
        </w:rPr>
      </w:pPr>
      <w:r>
        <w:rPr>
          <w:rFonts w:ascii="Arial" w:cs="Arial" w:eastAsia="Arial" w:hAnsi="Arial"/>
          <w:sz w:val="18"/>
          <w:szCs w:val="18"/>
          <w:color w:val="auto"/>
        </w:rPr>
        <w:t>We believe that our facilities are adequate to serve their intended purposes and that our property leasing arrangements are satisfactory.</w:t>
      </w:r>
    </w:p>
    <w:p>
      <w:pPr>
        <w:spacing w:after="0" w:line="8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1"/>
          <w:szCs w:val="11"/>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-78105</wp:posOffset>
            </wp:positionV>
            <wp:extent cx="19748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00"/>
          </w:cols>
          <w:pgMar w:left="240" w:top="415" w:right="95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hyperlink w:anchor="page64">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700"/>
        <w:spacing w:after="0"/>
        <w:tabs>
          <w:tab w:leader="none" w:pos="1480" w:val="left"/>
        </w:tabs>
        <w:rPr>
          <w:sz w:val="20"/>
          <w:szCs w:val="20"/>
          <w:color w:val="auto"/>
        </w:rPr>
      </w:pPr>
      <w:r>
        <w:rPr>
          <w:rFonts w:ascii="Arial" w:cs="Arial" w:eastAsia="Arial" w:hAnsi="Arial"/>
          <w:sz w:val="18"/>
          <w:szCs w:val="18"/>
          <w:b w:val="1"/>
          <w:bCs w:val="1"/>
          <w:u w:val="single" w:color="auto"/>
          <w:color w:val="auto"/>
        </w:rPr>
        <w:t>ITEM 3.</w:t>
        <w:tab/>
        <w:t>LEGAL PROCEEDINGS</w:t>
      </w:r>
    </w:p>
    <w:p>
      <w:pPr>
        <w:spacing w:after="0" w:line="119" w:lineRule="exact"/>
        <w:rPr>
          <w:sz w:val="20"/>
          <w:szCs w:val="20"/>
          <w:color w:val="auto"/>
        </w:rPr>
      </w:pPr>
    </w:p>
    <w:p>
      <w:pPr>
        <w:ind w:left="700" w:right="120" w:firstLine="402"/>
        <w:spacing w:after="0" w:line="243" w:lineRule="auto"/>
        <w:rPr>
          <w:sz w:val="20"/>
          <w:szCs w:val="20"/>
          <w:color w:val="auto"/>
        </w:rPr>
      </w:pPr>
      <w:r>
        <w:rPr>
          <w:rFonts w:ascii="Arial" w:cs="Arial" w:eastAsia="Arial" w:hAnsi="Arial"/>
          <w:sz w:val="18"/>
          <w:szCs w:val="18"/>
          <w:color w:val="auto"/>
        </w:rPr>
        <w:t>As noted in the discussion in “ITEM 1. BUSINESS — Regulatory Considerations,” “ITEM 1. BUSINESS — FIFRA Compliance, the Corresponding Governmental Investigation and Related Matters” and “ITEM 1. BUSINESS — Other Regulatory Matters,” we are involved in several pending environmental and regulatory matters. We believe that our assessment of contingencies is reasonable and that related reserves, in the aggregate, are adequate; however, there can be no assurance that the final resolution of these matters will not have a material adverse affect on our results of operations, financial position and cash flows.</w:t>
      </w:r>
    </w:p>
    <w:p>
      <w:pPr>
        <w:spacing w:after="0" w:line="8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Pending significant legal proceedings are as follows:</w:t>
      </w:r>
    </w:p>
    <w:p>
      <w:pPr>
        <w:spacing w:after="0" w:line="228"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FIFRA Compliance, the Corresponding Governmental Investigation and Related Matters</w:t>
      </w:r>
    </w:p>
    <w:p>
      <w:pPr>
        <w:spacing w:after="0" w:line="124" w:lineRule="exact"/>
        <w:rPr>
          <w:sz w:val="20"/>
          <w:szCs w:val="20"/>
          <w:color w:val="auto"/>
        </w:rPr>
      </w:pPr>
    </w:p>
    <w:p>
      <w:pPr>
        <w:ind w:left="700" w:right="100" w:firstLine="402"/>
        <w:spacing w:after="0" w:line="237" w:lineRule="auto"/>
        <w:rPr>
          <w:sz w:val="20"/>
          <w:szCs w:val="20"/>
          <w:color w:val="auto"/>
        </w:rPr>
      </w:pPr>
      <w:r>
        <w:rPr>
          <w:rFonts w:ascii="Arial" w:cs="Arial" w:eastAsia="Arial" w:hAnsi="Arial"/>
          <w:sz w:val="18"/>
          <w:szCs w:val="18"/>
          <w:color w:val="auto"/>
        </w:rPr>
        <w:t>The Company’s products that contain pesticides must comply with the Federal Insecticide, Fungicide, and Rodenticide Act of 1947, as amended (“FIFRA”), and be registered with the U.S. Environmental Protection Agency (“U.S. EPA”) (and similar state agencies) before they can be sold or distributed. In April 2008, the Company became aware that a former associate apparently deliberately circumvented the Company’s policies and U.S. EPA regulations under FIFRA by failing to obtain valid registrations for products and/or causing invalid product registration forms to be submitted to regulators. Since that time, the Company has been cooperating with the U.S. EPA in its civil investigation into product registration issues involving the Company and with the U.S. EPA and the U.S. DOJ in a related criminal investigation. In late April of 2008, in connection with the U.S. EPA’s investigation, the Company was required to conduct a consumer-level recall of certain consumer lawn and garden products and a Scotts LawnService</w:t>
      </w:r>
      <w:r>
        <w:rPr>
          <w:rFonts w:ascii="Arial" w:cs="Arial" w:eastAsia="Arial" w:hAnsi="Arial"/>
          <w:sz w:val="15"/>
          <w:szCs w:val="15"/>
          <w:color w:val="auto"/>
        </w:rPr>
        <w:t>®</w:t>
      </w:r>
      <w:r>
        <w:rPr>
          <w:rFonts w:ascii="Arial" w:cs="Arial" w:eastAsia="Arial" w:hAnsi="Arial"/>
          <w:sz w:val="18"/>
          <w:szCs w:val="18"/>
          <w:color w:val="auto"/>
        </w:rPr>
        <w:t xml:space="preserve"> product. Subsequently, the Company and the U.S. EPA agreed upon a Compliance Review Plan for conducting a comprehensive, independent review of the Company’s product registration records. Pursuant to the Compliance Review Plan, an independent third party firm, Quality Associates Incorporated (“QAI”), has been reviewing all of the Company’s U.S. pesticide product registration records. The U.S. EPA investigation and QAI review process have resulted in the issuance of a number of Stop Sale, Use or Removal Orders by the U.S. EPA that resulted in the Company’s temporarily being unable to ship or sell several products. In addition, as the QAI review process or the Company’s internal review has indicated a FIFRA registration issue or a potential FIFRA registration issue (some of which appear unrelated to the former associate), the Company has endeavored to stop shipping or selling the affected products until the issue could be resolved with the U.S. EPA.</w:t>
      </w:r>
    </w:p>
    <w:p>
      <w:pPr>
        <w:spacing w:after="0" w:line="91" w:lineRule="exact"/>
        <w:rPr>
          <w:sz w:val="20"/>
          <w:szCs w:val="20"/>
          <w:color w:val="auto"/>
        </w:rPr>
      </w:pPr>
    </w:p>
    <w:p>
      <w:pPr>
        <w:ind w:left="700" w:right="100" w:firstLine="402"/>
        <w:spacing w:after="0" w:line="239" w:lineRule="auto"/>
        <w:rPr>
          <w:sz w:val="20"/>
          <w:szCs w:val="20"/>
          <w:color w:val="auto"/>
        </w:rPr>
      </w:pPr>
      <w:r>
        <w:rPr>
          <w:rFonts w:ascii="Arial" w:cs="Arial" w:eastAsia="Arial" w:hAnsi="Arial"/>
          <w:sz w:val="18"/>
          <w:szCs w:val="18"/>
          <w:color w:val="auto"/>
        </w:rPr>
        <w:t>The U.S. EPA investigation or the compliance review process may result in future state or federal action or private rights of action with respect to additional product registration issues. Until such investigation and compliance review process is complete, the Company cannot fully quantify the extent of additional issues. While the Company continues to evaluate the financial impact of the registration and recall matters, the Company currently expects total fiscal year 2008 and 2009 costs related to the recalls and known registration issues to be limited to approximately $65 million, exclusive of potential fines, penalties and/or judgments, of which approximately $51.1 million was incurred during fiscal 2008. No reserves have been established with respect to any potential fines, penalties and/or judgments at the state and/or federal level related to the product registration issues as the scope and magnitude of such amounts are not currently estimable. However, it is possible that such fines, penalties and/or judgments could be material and have an adverse effect on the Company’s financial condition, results of operations and cash flows.</w:t>
      </w:r>
    </w:p>
    <w:p>
      <w:pPr>
        <w:spacing w:after="0" w:line="86" w:lineRule="exact"/>
        <w:rPr>
          <w:sz w:val="20"/>
          <w:szCs w:val="20"/>
          <w:color w:val="auto"/>
        </w:rPr>
      </w:pPr>
    </w:p>
    <w:p>
      <w:pPr>
        <w:ind w:left="700" w:firstLine="402"/>
        <w:spacing w:after="0" w:line="243" w:lineRule="auto"/>
        <w:rPr>
          <w:sz w:val="20"/>
          <w:szCs w:val="20"/>
          <w:color w:val="auto"/>
        </w:rPr>
      </w:pPr>
      <w:r>
        <w:rPr>
          <w:rFonts w:ascii="Arial" w:cs="Arial" w:eastAsia="Arial" w:hAnsi="Arial"/>
          <w:sz w:val="18"/>
          <w:szCs w:val="18"/>
          <w:color w:val="auto"/>
        </w:rPr>
        <w:t>On September 26, 2008, the Company, doing business as Scotts LawnService</w:t>
      </w:r>
      <w:r>
        <w:rPr>
          <w:rFonts w:ascii="Arial" w:cs="Arial" w:eastAsia="Arial" w:hAnsi="Arial"/>
          <w:sz w:val="15"/>
          <w:szCs w:val="15"/>
          <w:color w:val="auto"/>
        </w:rPr>
        <w:t>®</w:t>
      </w:r>
      <w:r>
        <w:rPr>
          <w:rFonts w:ascii="Arial" w:cs="Arial" w:eastAsia="Arial" w:hAnsi="Arial"/>
          <w:sz w:val="18"/>
          <w:szCs w:val="18"/>
          <w:color w:val="auto"/>
        </w:rPr>
        <w:t>, was named as a defendant in a purported class action filed in the U.S. District Court for the Eastern District of Michigan relating to certain pesticide products. In the suit, Mark Baumkel, on behalf of himself and the purported classes, seeks an unspecified amount of damages, plus costs and attorney fees, for alleged claims involving breach of contract, unjust enrichment and violation of the Michigan consumer protection act. Given the preliminary stages of the proceedings, no reserves have been booked at this time, and the Company intends to vigorously contest the plaintiff’s assertions.</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U.S. Horticultural Supply, Inc. (F/K/A E.C. Geiger, Inc.)</w:t>
      </w:r>
    </w:p>
    <w:p>
      <w:pPr>
        <w:spacing w:after="0" w:line="124" w:lineRule="exact"/>
        <w:rPr>
          <w:sz w:val="20"/>
          <w:szCs w:val="20"/>
          <w:color w:val="auto"/>
        </w:rPr>
      </w:pPr>
    </w:p>
    <w:p>
      <w:pPr>
        <w:ind w:left="700" w:right="140" w:firstLine="402"/>
        <w:spacing w:after="0" w:line="255" w:lineRule="auto"/>
        <w:rPr>
          <w:sz w:val="20"/>
          <w:szCs w:val="20"/>
          <w:color w:val="auto"/>
        </w:rPr>
      </w:pPr>
      <w:r>
        <w:rPr>
          <w:rFonts w:ascii="Arial" w:cs="Arial" w:eastAsia="Arial" w:hAnsi="Arial"/>
          <w:sz w:val="18"/>
          <w:szCs w:val="18"/>
          <w:color w:val="auto"/>
        </w:rPr>
        <w:t>On November 5, 2004, U.S. Horticultural Supply, Inc. (“Geiger”) filed suit against the Company in the U.S. District Court for the Eastern District of Pennsylvania. The complaint alleges that the Company conspired with another distributor, Griffin Greenhouse Supplies, Inc., to restrain trade in the horticultural</w:t>
      </w:r>
    </w:p>
    <w:p>
      <w:pPr>
        <w:spacing w:after="0" w:line="10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1"/>
          <w:szCs w:val="11"/>
          <w:b w:val="1"/>
          <w:bCs w:val="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-78105</wp:posOffset>
            </wp:positionV>
            <wp:extent cx="19748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20"/>
          </w:cols>
          <w:pgMar w:left="240" w:top="415" w:right="9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hyperlink w:anchor="page6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700"/>
        <w:spacing w:after="0" w:line="248" w:lineRule="auto"/>
        <w:rPr>
          <w:sz w:val="20"/>
          <w:szCs w:val="20"/>
          <w:color w:val="auto"/>
        </w:rPr>
      </w:pPr>
      <w:r>
        <w:rPr>
          <w:rFonts w:ascii="Arial" w:cs="Arial" w:eastAsia="Arial" w:hAnsi="Arial"/>
          <w:sz w:val="18"/>
          <w:szCs w:val="18"/>
          <w:color w:val="auto"/>
        </w:rPr>
        <w:t>products market, in violation of Section 1 of the Sherman Antitrust Act. On June 2, 2006, the Court denied the Company’s motion to dismiss the complaint. Fact discovery and expert discovery are closed. Geiger’s damages expert quantifies Geiger’s alleged damages at approximately $3.3 million, which could be trebled under antitrust laws. Geiger also seeks recovery of attorneys’ fees and costs. The Company has moved for summary judgment requesting dismissal of Geiger’s claims.</w:t>
      </w:r>
    </w:p>
    <w:p>
      <w:pPr>
        <w:spacing w:after="0" w:line="76" w:lineRule="exact"/>
        <w:rPr>
          <w:sz w:val="20"/>
          <w:szCs w:val="20"/>
          <w:color w:val="auto"/>
        </w:rPr>
      </w:pPr>
    </w:p>
    <w:p>
      <w:pPr>
        <w:ind w:left="700" w:right="260" w:firstLine="402"/>
        <w:spacing w:after="0" w:line="248" w:lineRule="auto"/>
        <w:rPr>
          <w:sz w:val="20"/>
          <w:szCs w:val="20"/>
          <w:color w:val="auto"/>
        </w:rPr>
      </w:pPr>
      <w:r>
        <w:rPr>
          <w:rFonts w:ascii="Arial" w:cs="Arial" w:eastAsia="Arial" w:hAnsi="Arial"/>
          <w:sz w:val="18"/>
          <w:szCs w:val="18"/>
          <w:color w:val="auto"/>
        </w:rPr>
        <w:t>The Company continues to vigorously defend against Geiger’s claims and believes that Geiger’s claims are without merit. While no accrual has been established related to this matter, the Company cannot predict the ultimate outcome with certainty. The Company had previously sued and obtained a judgment against Geiger on April 25, 2005, based on Geiger’s default on obligations to the Company. The Company is proceeding to collect that judgment.</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The Scotts Company LLC v. Liberty Mutual Insurance Company</w:t>
      </w:r>
    </w:p>
    <w:p>
      <w:pPr>
        <w:spacing w:after="0" w:line="124" w:lineRule="exact"/>
        <w:rPr>
          <w:sz w:val="20"/>
          <w:szCs w:val="20"/>
          <w:color w:val="auto"/>
        </w:rPr>
      </w:pPr>
    </w:p>
    <w:p>
      <w:pPr>
        <w:ind w:left="700" w:right="160" w:firstLine="402"/>
        <w:spacing w:after="0" w:line="245" w:lineRule="auto"/>
        <w:rPr>
          <w:sz w:val="20"/>
          <w:szCs w:val="20"/>
          <w:color w:val="auto"/>
        </w:rPr>
      </w:pPr>
      <w:r>
        <w:rPr>
          <w:rFonts w:ascii="Arial" w:cs="Arial" w:eastAsia="Arial" w:hAnsi="Arial"/>
          <w:sz w:val="18"/>
          <w:szCs w:val="18"/>
          <w:color w:val="auto"/>
        </w:rPr>
        <w:t>On October 25, 2006, The Scotts Company LLC (“Scotts LLC”), as successor to The Scotts Company (“Scotts”), the public company predecessor of Scotts Miracle-Gro, sued Liberty Mutual Insurance Company (“Liberty Mutual”) in the U.S. District Court for the Southern District of Ohio. In the suit, Scotts LLC sought damages and the rescission of a 2000 agreement between Scotts and Liberty Mutual that purports to be a complete buyout by Scotts of any insurance policies that Liberty Mutual might have issued to Scotts (the “2000 Agreement”).</w:t>
      </w:r>
    </w:p>
    <w:p>
      <w:pPr>
        <w:spacing w:after="0" w:line="78" w:lineRule="exact"/>
        <w:rPr>
          <w:sz w:val="20"/>
          <w:szCs w:val="20"/>
          <w:color w:val="auto"/>
        </w:rPr>
      </w:pPr>
    </w:p>
    <w:p>
      <w:pPr>
        <w:ind w:left="700" w:firstLine="402"/>
        <w:spacing w:after="0"/>
        <w:rPr>
          <w:sz w:val="20"/>
          <w:szCs w:val="20"/>
          <w:color w:val="auto"/>
        </w:rPr>
      </w:pPr>
      <w:r>
        <w:rPr>
          <w:rFonts w:ascii="Arial" w:cs="Arial" w:eastAsia="Arial" w:hAnsi="Arial"/>
          <w:sz w:val="18"/>
          <w:szCs w:val="18"/>
          <w:color w:val="auto"/>
        </w:rPr>
        <w:t>As alleged in Scotts LLC’s complaint, in 1998, Scotts tendered certain claims to Liberty Mutual, one of its primary-layer insurers, in connection with costs incurred by Scotts for environmental liabilities. Scotts believed that it had coverage from Liberty Mutual for at least 10 years beginning in 1958, but could only locate a single policy from 1967. Liberty Mutual responded to Scotts’ tender by stating that, after conducting an internal search, Liberty Mutual did not have sufficient evidence to establish that it had ever insured Scotts before 1967. Based on Liberty Mutual’s representations and Scotts’ inability to locate any additional Liberty Mutual policies in Scotts’ own files, Scotts eventually entered into the 2000 Agreement. According to the complaint, in Fall 2006, Scotts discovered evidence confirming that, contrary to its representations during the negotiations leading to the 2000 Agreement, Liberty Mutual provided liability insurance to Scotts beginning in at least 1958 and, in fact, paid claims to third parties on Scotts’ behalf during that period.</w:t>
      </w:r>
    </w:p>
    <w:p>
      <w:pPr>
        <w:spacing w:after="0" w:line="82" w:lineRule="exact"/>
        <w:rPr>
          <w:sz w:val="20"/>
          <w:szCs w:val="20"/>
          <w:color w:val="auto"/>
        </w:rPr>
      </w:pPr>
    </w:p>
    <w:p>
      <w:pPr>
        <w:ind w:left="700" w:firstLine="402"/>
        <w:spacing w:after="0" w:line="248" w:lineRule="auto"/>
        <w:rPr>
          <w:sz w:val="20"/>
          <w:szCs w:val="20"/>
          <w:color w:val="auto"/>
        </w:rPr>
      </w:pPr>
      <w:r>
        <w:rPr>
          <w:rFonts w:ascii="Arial" w:cs="Arial" w:eastAsia="Arial" w:hAnsi="Arial"/>
          <w:sz w:val="18"/>
          <w:szCs w:val="18"/>
          <w:color w:val="auto"/>
        </w:rPr>
        <w:t>The complaint seeks rescission of the 2000 Agreement and seeks damages based on Liberty Mutual’s breach of fiduciary duty, fraud, breach of the implied covenant of good faith and fair dealing and bad faith denial of coverage. Scotts LLC intends to prosecute these claims vigorously. Liberty Mutual has filed an answer that denies the complaint’s allegations and has moved for summary judgment against Scotts LLC’s claims. The Court has not set a trial date.</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Other</w:t>
      </w:r>
    </w:p>
    <w:p>
      <w:pPr>
        <w:spacing w:after="0" w:line="124" w:lineRule="exact"/>
        <w:rPr>
          <w:sz w:val="20"/>
          <w:szCs w:val="20"/>
          <w:color w:val="auto"/>
        </w:rPr>
      </w:pPr>
    </w:p>
    <w:p>
      <w:pPr>
        <w:ind w:left="700" w:right="20" w:firstLine="402"/>
        <w:spacing w:after="0"/>
        <w:rPr>
          <w:sz w:val="20"/>
          <w:szCs w:val="20"/>
          <w:color w:val="auto"/>
        </w:rPr>
      </w:pPr>
      <w:r>
        <w:rPr>
          <w:rFonts w:ascii="Arial" w:cs="Arial" w:eastAsia="Arial" w:hAnsi="Arial"/>
          <w:sz w:val="18"/>
          <w:szCs w:val="18"/>
          <w:color w:val="auto"/>
        </w:rPr>
        <w:t>The Company has been named as a defendant in a number of cases alleging injuries that the lawsuits claim resulted from exposure to asbestos-containing products, apparently based on the Company’s historic use of vermiculite in certain of its products. The complaints in these cases are not specific about the plaintiffs’ contacts with the Company or its products. The Company in each case is one of numerous defendants and none of the claims seek damages from the Company alone. The Company believes that the claims against it are without merit and is vigorously defending against them. It is not currently possible to reasonably estimate a probable loss, if any, associated with the cases and, accordingly, no accrual or reserves have been recorded in the Company’s consolidated financial statements. There can be no assurance that these cases, whether as a result of adverse outcomes or as a result of significant defense costs, will not have a material adverse effect on the Company’s financial condition, results of operations and cash flows.</w:t>
      </w:r>
    </w:p>
    <w:p>
      <w:pPr>
        <w:spacing w:after="0" w:line="82" w:lineRule="exact"/>
        <w:rPr>
          <w:sz w:val="20"/>
          <w:szCs w:val="20"/>
          <w:color w:val="auto"/>
        </w:rPr>
      </w:pPr>
    </w:p>
    <w:p>
      <w:pPr>
        <w:ind w:left="700" w:right="300" w:firstLine="402"/>
        <w:spacing w:after="0" w:line="255" w:lineRule="auto"/>
        <w:rPr>
          <w:sz w:val="20"/>
          <w:szCs w:val="20"/>
          <w:color w:val="auto"/>
        </w:rPr>
      </w:pPr>
      <w:r>
        <w:rPr>
          <w:rFonts w:ascii="Arial" w:cs="Arial" w:eastAsia="Arial" w:hAnsi="Arial"/>
          <w:sz w:val="18"/>
          <w:szCs w:val="18"/>
          <w:color w:val="auto"/>
        </w:rPr>
        <w:t>The Company is reviewing agreements and policies that may provide insurance coverage or indemnity as to these claims and is pursuing coverage under some of these agreements and policies, although there can be no assurance of the results of these efforts.</w:t>
      </w:r>
    </w:p>
    <w:p>
      <w:pPr>
        <w:spacing w:after="0" w:line="70" w:lineRule="exact"/>
        <w:rPr>
          <w:sz w:val="20"/>
          <w:szCs w:val="20"/>
          <w:color w:val="auto"/>
        </w:rPr>
      </w:pPr>
    </w:p>
    <w:p>
      <w:pPr>
        <w:jc w:val="both"/>
        <w:ind w:left="700" w:right="580" w:firstLine="402"/>
        <w:spacing w:after="0" w:line="255" w:lineRule="auto"/>
        <w:rPr>
          <w:sz w:val="20"/>
          <w:szCs w:val="20"/>
          <w:color w:val="auto"/>
        </w:rPr>
      </w:pPr>
      <w:r>
        <w:rPr>
          <w:rFonts w:ascii="Arial" w:cs="Arial" w:eastAsia="Arial" w:hAnsi="Arial"/>
          <w:sz w:val="18"/>
          <w:szCs w:val="18"/>
          <w:color w:val="auto"/>
        </w:rPr>
        <w:t>On April 27, 2007, the Company received a proposed Order On Consent from the New York State Department of Environmental Conservation (the “Proposed Order”) alleging that, during calendar year 2003, the Company and James Hagedorn, individually and as Chairman of the Board and Chief Executive Officer</w:t>
      </w:r>
    </w:p>
    <w:p>
      <w:pPr>
        <w:spacing w:after="0" w:line="10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1"/>
          <w:szCs w:val="11"/>
          <w:b w:val="1"/>
          <w:bCs w:val="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-78105</wp:posOffset>
            </wp:positionV>
            <wp:extent cx="19748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20"/>
          </w:cols>
          <w:pgMar w:left="240" w:top="415" w:right="9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hyperlink w:anchor="page6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700" w:right="60"/>
        <w:spacing w:after="0" w:line="249" w:lineRule="auto"/>
        <w:rPr>
          <w:sz w:val="20"/>
          <w:szCs w:val="20"/>
          <w:color w:val="auto"/>
        </w:rPr>
      </w:pPr>
      <w:r>
        <w:rPr>
          <w:rFonts w:ascii="Arial" w:cs="Arial" w:eastAsia="Arial" w:hAnsi="Arial"/>
          <w:sz w:val="18"/>
          <w:szCs w:val="18"/>
          <w:color w:val="auto"/>
        </w:rPr>
        <w:t>of the Company, unlawfully donated to a Port Washington, New York youth sports organization forty bags of Scotts</w:t>
      </w:r>
      <w:r>
        <w:rPr>
          <w:rFonts w:ascii="Arial" w:cs="Arial" w:eastAsia="Arial" w:hAnsi="Arial"/>
          <w:sz w:val="15"/>
          <w:szCs w:val="15"/>
          <w:color w:val="auto"/>
        </w:rPr>
        <w:t>®</w:t>
      </w:r>
      <w:r>
        <w:rPr>
          <w:rFonts w:ascii="Arial" w:cs="Arial" w:eastAsia="Arial" w:hAnsi="Arial"/>
          <w:sz w:val="18"/>
          <w:szCs w:val="18"/>
          <w:color w:val="auto"/>
        </w:rPr>
        <w:t xml:space="preserve"> LawnPro</w:t>
      </w:r>
      <w:r>
        <w:rPr>
          <w:rFonts w:ascii="Arial" w:cs="Arial" w:eastAsia="Arial" w:hAnsi="Arial"/>
          <w:sz w:val="15"/>
          <w:szCs w:val="15"/>
          <w:color w:val="auto"/>
        </w:rPr>
        <w:t>®</w:t>
      </w:r>
      <w:r>
        <w:rPr>
          <w:rFonts w:ascii="Arial" w:cs="Arial" w:eastAsia="Arial" w:hAnsi="Arial"/>
          <w:sz w:val="18"/>
          <w:szCs w:val="18"/>
          <w:color w:val="auto"/>
        </w:rPr>
        <w:t xml:space="preserve"> Annual Program Step 3 Insect Control Plus Fertilizer which, while federally registered, was allegedly not registered in the state of New York. The Proposed Order requests penalties totaling $695,000. The Company has made its position clear to the New York State Department of Environmental Conservation and is awaiting a response.</w:t>
      </w:r>
    </w:p>
    <w:p>
      <w:pPr>
        <w:spacing w:after="0" w:line="73" w:lineRule="exact"/>
        <w:rPr>
          <w:sz w:val="20"/>
          <w:szCs w:val="20"/>
          <w:color w:val="auto"/>
        </w:rPr>
      </w:pPr>
    </w:p>
    <w:p>
      <w:pPr>
        <w:ind w:left="700" w:right="340" w:firstLine="402"/>
        <w:spacing w:after="0" w:line="255" w:lineRule="auto"/>
        <w:rPr>
          <w:sz w:val="20"/>
          <w:szCs w:val="20"/>
          <w:color w:val="auto"/>
        </w:rPr>
      </w:pPr>
      <w:r>
        <w:rPr>
          <w:rFonts w:ascii="Arial" w:cs="Arial" w:eastAsia="Arial" w:hAnsi="Arial"/>
          <w:sz w:val="18"/>
          <w:szCs w:val="18"/>
          <w:color w:val="auto"/>
        </w:rPr>
        <w:t>We are involved in other lawsuits and claims which arise in the normal course of our business. In our opinion, these claims individually and in the aggregate are not expected to result in a material adverse effect on our results of operations, financial position and cash flows.</w:t>
      </w:r>
    </w:p>
    <w:p>
      <w:pPr>
        <w:spacing w:after="0" w:line="176" w:lineRule="exact"/>
        <w:rPr>
          <w:sz w:val="20"/>
          <w:szCs w:val="20"/>
          <w:color w:val="auto"/>
        </w:rPr>
      </w:pPr>
    </w:p>
    <w:p>
      <w:pPr>
        <w:ind w:left="700"/>
        <w:spacing w:after="0"/>
        <w:tabs>
          <w:tab w:leader="none" w:pos="1480" w:val="left"/>
        </w:tabs>
        <w:rPr>
          <w:sz w:val="20"/>
          <w:szCs w:val="20"/>
          <w:color w:val="auto"/>
        </w:rPr>
      </w:pPr>
      <w:r>
        <w:rPr>
          <w:rFonts w:ascii="Arial" w:cs="Arial" w:eastAsia="Arial" w:hAnsi="Arial"/>
          <w:sz w:val="18"/>
          <w:szCs w:val="18"/>
          <w:b w:val="1"/>
          <w:bCs w:val="1"/>
          <w:u w:val="single" w:color="auto"/>
          <w:color w:val="auto"/>
        </w:rPr>
        <w:t>ITEM 4.</w:t>
      </w:r>
      <w:r>
        <w:rPr>
          <w:sz w:val="20"/>
          <w:szCs w:val="20"/>
          <w:color w:val="auto"/>
        </w:rPr>
        <w:tab/>
      </w:r>
      <w:r>
        <w:rPr>
          <w:rFonts w:ascii="Arial" w:cs="Arial" w:eastAsia="Arial" w:hAnsi="Arial"/>
          <w:sz w:val="17"/>
          <w:szCs w:val="17"/>
          <w:b w:val="1"/>
          <w:bCs w:val="1"/>
          <w:u w:val="single" w:color="auto"/>
          <w:color w:val="auto"/>
        </w:rPr>
        <w:t>SUBMISSION OF MATTERS TO A VOTE OF SECURITY HOLDERS</w:t>
      </w:r>
    </w:p>
    <w:p>
      <w:pPr>
        <w:spacing w:after="0" w:line="119" w:lineRule="exact"/>
        <w:rPr>
          <w:sz w:val="20"/>
          <w:szCs w:val="20"/>
          <w:color w:val="auto"/>
        </w:rPr>
      </w:pPr>
    </w:p>
    <w:p>
      <w:pPr>
        <w:ind w:left="700" w:right="80" w:firstLine="402"/>
        <w:spacing w:after="0" w:line="276" w:lineRule="auto"/>
        <w:rPr>
          <w:sz w:val="20"/>
          <w:szCs w:val="20"/>
          <w:color w:val="auto"/>
        </w:rPr>
      </w:pPr>
      <w:r>
        <w:rPr>
          <w:rFonts w:ascii="Arial" w:cs="Arial" w:eastAsia="Arial" w:hAnsi="Arial"/>
          <w:sz w:val="18"/>
          <w:szCs w:val="18"/>
          <w:color w:val="auto"/>
        </w:rPr>
        <w:t>There were no matters submitted to a vote of the security holders of Scotts Miracle-Gro during the fourth quarter of fiscal 2008.</w:t>
      </w:r>
    </w:p>
    <w:p>
      <w:pPr>
        <w:spacing w:after="0" w:line="157" w:lineRule="exact"/>
        <w:rPr>
          <w:sz w:val="20"/>
          <w:szCs w:val="20"/>
          <w:color w:val="auto"/>
        </w:rPr>
      </w:pPr>
    </w:p>
    <w:p>
      <w:pPr>
        <w:ind w:left="700"/>
        <w:spacing w:after="0"/>
        <w:rPr>
          <w:sz w:val="20"/>
          <w:szCs w:val="20"/>
          <w:color w:val="auto"/>
        </w:rPr>
      </w:pPr>
      <w:r>
        <w:rPr>
          <w:rFonts w:ascii="Arial" w:cs="Arial" w:eastAsia="Arial" w:hAnsi="Arial"/>
          <w:sz w:val="18"/>
          <w:szCs w:val="18"/>
          <w:b w:val="1"/>
          <w:bCs w:val="1"/>
          <w:u w:val="single" w:color="auto"/>
          <w:color w:val="auto"/>
        </w:rPr>
        <w:t>SUPPLEMENTAL ITEM. EXECUTIVE OFFICERS OF THE REGISTRANT</w:t>
      </w:r>
    </w:p>
    <w:p>
      <w:pPr>
        <w:spacing w:after="0" w:line="119" w:lineRule="exact"/>
        <w:rPr>
          <w:sz w:val="20"/>
          <w:szCs w:val="20"/>
          <w:color w:val="auto"/>
        </w:rPr>
      </w:pPr>
    </w:p>
    <w:p>
      <w:pPr>
        <w:ind w:left="700" w:right="380" w:firstLine="402"/>
        <w:spacing w:after="0" w:line="276" w:lineRule="auto"/>
        <w:rPr>
          <w:sz w:val="20"/>
          <w:szCs w:val="20"/>
          <w:color w:val="auto"/>
        </w:rPr>
      </w:pPr>
      <w:r>
        <w:rPr>
          <w:rFonts w:ascii="Arial" w:cs="Arial" w:eastAsia="Arial" w:hAnsi="Arial"/>
          <w:sz w:val="18"/>
          <w:szCs w:val="18"/>
          <w:color w:val="auto"/>
        </w:rPr>
        <w:t>The executive officers of Scotts Miracle-Gro, their positions and, as of November 21, 2008, their ages and years with Scotts Miracle-Gro (and its predecessors) are set forth below.</w:t>
      </w:r>
    </w:p>
    <w:p>
      <w:pPr>
        <w:spacing w:after="0" w:line="60"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Years with</w:t>
            </w:r>
          </w:p>
        </w:tc>
        <w:tc>
          <w:tcPr>
            <w:tcW w:w="0" w:type="dxa"/>
            <w:vAlign w:val="bottom"/>
          </w:tcPr>
          <w:p>
            <w:pPr>
              <w:spacing w:after="0"/>
              <w:rPr>
                <w:sz w:val="1"/>
                <w:szCs w:val="1"/>
                <w:color w:val="auto"/>
              </w:rPr>
            </w:pPr>
          </w:p>
        </w:tc>
      </w:tr>
      <w:tr>
        <w:trPr>
          <w:trHeight w:val="239"/>
        </w:trPr>
        <w:tc>
          <w:tcPr>
            <w:tcW w:w="2880" w:type="dxa"/>
            <w:vAlign w:val="bottom"/>
            <w:gridSpan w:val="2"/>
          </w:tcPr>
          <w:p>
            <w:pPr>
              <w:spacing w:after="0"/>
              <w:rPr>
                <w:sz w:val="20"/>
                <w:szCs w:val="20"/>
                <w:color w:val="auto"/>
              </w:rPr>
            </w:pPr>
            <w:r>
              <w:rPr>
                <w:rFonts w:ascii="Arial" w:cs="Arial" w:eastAsia="Arial" w:hAnsi="Arial"/>
                <w:sz w:val="18"/>
                <w:szCs w:val="18"/>
                <w:color w:val="auto"/>
              </w:rPr>
              <w:t>Name</w:t>
            </w:r>
          </w:p>
        </w:tc>
        <w:tc>
          <w:tcPr>
            <w:tcW w:w="1520" w:type="dxa"/>
            <w:vAlign w:val="bottom"/>
          </w:tcPr>
          <w:p>
            <w:pPr>
              <w:jc w:val="center"/>
              <w:ind w:left="870"/>
              <w:spacing w:after="0"/>
              <w:rPr>
                <w:sz w:val="20"/>
                <w:szCs w:val="20"/>
                <w:color w:val="auto"/>
              </w:rPr>
            </w:pPr>
            <w:r>
              <w:rPr>
                <w:rFonts w:ascii="Arial" w:cs="Arial" w:eastAsia="Arial" w:hAnsi="Arial"/>
                <w:sz w:val="18"/>
                <w:szCs w:val="18"/>
                <w:color w:val="auto"/>
                <w:w w:val="99"/>
              </w:rPr>
              <w:t>Age</w:t>
            </w:r>
          </w:p>
        </w:tc>
        <w:tc>
          <w:tcPr>
            <w:tcW w:w="4500" w:type="dxa"/>
            <w:vAlign w:val="bottom"/>
          </w:tcPr>
          <w:p>
            <w:pPr>
              <w:ind w:left="1640"/>
              <w:spacing w:after="0"/>
              <w:rPr>
                <w:sz w:val="20"/>
                <w:szCs w:val="20"/>
                <w:color w:val="auto"/>
              </w:rPr>
            </w:pPr>
            <w:r>
              <w:rPr>
                <w:rFonts w:ascii="Arial" w:cs="Arial" w:eastAsia="Arial" w:hAnsi="Arial"/>
                <w:sz w:val="18"/>
                <w:szCs w:val="18"/>
                <w:color w:val="auto"/>
              </w:rPr>
              <w:t>Position(s) Held</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Company</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2860" w:type="dxa"/>
            <w:vAlign w:val="bottom"/>
            <w:tcBorders>
              <w:top w:val="single" w:sz="8" w:color="auto"/>
            </w:tcBorders>
          </w:tcPr>
          <w:p>
            <w:pPr>
              <w:spacing w:after="0"/>
              <w:rPr>
                <w:sz w:val="4"/>
                <w:szCs w:val="4"/>
                <w:color w:val="auto"/>
              </w:rPr>
            </w:pPr>
          </w:p>
        </w:tc>
        <w:tc>
          <w:tcPr>
            <w:tcW w:w="1520" w:type="dxa"/>
            <w:vAlign w:val="bottom"/>
            <w:tcBorders>
              <w:top w:val="single" w:sz="8" w:color="auto"/>
            </w:tcBorders>
          </w:tcPr>
          <w:p>
            <w:pPr>
              <w:spacing w:after="0"/>
              <w:rPr>
                <w:sz w:val="4"/>
                <w:szCs w:val="4"/>
                <w:color w:val="auto"/>
              </w:rPr>
            </w:pPr>
          </w:p>
        </w:tc>
        <w:tc>
          <w:tcPr>
            <w:tcW w:w="4500" w:type="dxa"/>
            <w:vAlign w:val="bottom"/>
            <w:tcBorders>
              <w:top w:val="single" w:sz="8" w:color="auto"/>
            </w:tcBorders>
          </w:tcPr>
          <w:p>
            <w:pPr>
              <w:spacing w:after="0"/>
              <w:rPr>
                <w:sz w:val="4"/>
                <w:szCs w:val="4"/>
                <w:color w:val="auto"/>
              </w:rPr>
            </w:pPr>
          </w:p>
        </w:tc>
        <w:tc>
          <w:tcPr>
            <w:tcW w:w="114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James Hagedorn</w:t>
            </w:r>
          </w:p>
        </w:tc>
        <w:tc>
          <w:tcPr>
            <w:tcW w:w="1520" w:type="dxa"/>
            <w:vAlign w:val="bottom"/>
            <w:shd w:val="clear" w:color="auto" w:fill="CCEEFF"/>
          </w:tcPr>
          <w:p>
            <w:pPr>
              <w:jc w:val="center"/>
              <w:ind w:left="870"/>
              <w:spacing w:after="0" w:line="202" w:lineRule="exact"/>
              <w:rPr>
                <w:sz w:val="20"/>
                <w:szCs w:val="20"/>
                <w:color w:val="auto"/>
              </w:rPr>
            </w:pPr>
            <w:r>
              <w:rPr>
                <w:rFonts w:ascii="Arial" w:cs="Arial" w:eastAsia="Arial" w:hAnsi="Arial"/>
                <w:sz w:val="18"/>
                <w:szCs w:val="18"/>
                <w:color w:val="auto"/>
                <w:w w:val="99"/>
              </w:rPr>
              <w:t>53</w:t>
            </w:r>
          </w:p>
        </w:tc>
        <w:tc>
          <w:tcPr>
            <w:tcW w:w="45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Chief Executive Officer and Chairman of the Board</w:t>
            </w:r>
          </w:p>
        </w:tc>
        <w:tc>
          <w:tcPr>
            <w:tcW w:w="114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60" w:type="dxa"/>
            <w:vAlign w:val="bottom"/>
          </w:tcPr>
          <w:p>
            <w:pPr>
              <w:spacing w:after="0" w:line="202" w:lineRule="exact"/>
              <w:rPr>
                <w:sz w:val="20"/>
                <w:szCs w:val="20"/>
                <w:color w:val="auto"/>
              </w:rPr>
            </w:pPr>
            <w:r>
              <w:rPr>
                <w:rFonts w:ascii="Arial" w:cs="Arial" w:eastAsia="Arial" w:hAnsi="Arial"/>
                <w:sz w:val="18"/>
                <w:szCs w:val="18"/>
                <w:color w:val="auto"/>
              </w:rPr>
              <w:t>Mark R. Baker</w:t>
            </w:r>
          </w:p>
        </w:tc>
        <w:tc>
          <w:tcPr>
            <w:tcW w:w="1520" w:type="dxa"/>
            <w:vAlign w:val="bottom"/>
          </w:tcPr>
          <w:p>
            <w:pPr>
              <w:jc w:val="center"/>
              <w:ind w:left="870"/>
              <w:spacing w:after="0" w:line="202" w:lineRule="exact"/>
              <w:rPr>
                <w:sz w:val="20"/>
                <w:szCs w:val="20"/>
                <w:color w:val="auto"/>
              </w:rPr>
            </w:pPr>
            <w:r>
              <w:rPr>
                <w:rFonts w:ascii="Arial" w:cs="Arial" w:eastAsia="Arial" w:hAnsi="Arial"/>
                <w:sz w:val="18"/>
                <w:szCs w:val="18"/>
                <w:color w:val="auto"/>
                <w:w w:val="99"/>
              </w:rPr>
              <w:t>51</w:t>
            </w:r>
          </w:p>
        </w:tc>
        <w:tc>
          <w:tcPr>
            <w:tcW w:w="4500" w:type="dxa"/>
            <w:vAlign w:val="bottom"/>
          </w:tcPr>
          <w:p>
            <w:pPr>
              <w:ind w:left="120"/>
              <w:spacing w:after="0" w:line="202" w:lineRule="exact"/>
              <w:rPr>
                <w:sz w:val="20"/>
                <w:szCs w:val="20"/>
                <w:color w:val="auto"/>
              </w:rPr>
            </w:pPr>
            <w:r>
              <w:rPr>
                <w:rFonts w:ascii="Arial" w:cs="Arial" w:eastAsia="Arial" w:hAnsi="Arial"/>
                <w:sz w:val="18"/>
                <w:szCs w:val="18"/>
                <w:color w:val="auto"/>
              </w:rPr>
              <w:t>President and Chief Operating Officer</w:t>
            </w:r>
          </w:p>
        </w:tc>
        <w:tc>
          <w:tcPr>
            <w:tcW w:w="114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&lt;1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Michael P. Kelty, Ph.D.</w:t>
            </w:r>
          </w:p>
        </w:tc>
        <w:tc>
          <w:tcPr>
            <w:tcW w:w="1520" w:type="dxa"/>
            <w:vAlign w:val="bottom"/>
            <w:shd w:val="clear" w:color="auto" w:fill="CCEEFF"/>
          </w:tcPr>
          <w:p>
            <w:pPr>
              <w:jc w:val="center"/>
              <w:ind w:left="870"/>
              <w:spacing w:after="0" w:line="202" w:lineRule="exact"/>
              <w:rPr>
                <w:sz w:val="20"/>
                <w:szCs w:val="20"/>
                <w:color w:val="auto"/>
              </w:rPr>
            </w:pPr>
            <w:r>
              <w:rPr>
                <w:rFonts w:ascii="Arial" w:cs="Arial" w:eastAsia="Arial" w:hAnsi="Arial"/>
                <w:sz w:val="18"/>
                <w:szCs w:val="18"/>
                <w:color w:val="auto"/>
                <w:w w:val="99"/>
              </w:rPr>
              <w:t>58</w:t>
            </w:r>
          </w:p>
        </w:tc>
        <w:tc>
          <w:tcPr>
            <w:tcW w:w="45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Executive Vice President</w:t>
            </w:r>
          </w:p>
        </w:tc>
        <w:tc>
          <w:tcPr>
            <w:tcW w:w="114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60" w:type="dxa"/>
            <w:vAlign w:val="bottom"/>
          </w:tcPr>
          <w:p>
            <w:pPr>
              <w:spacing w:after="0" w:line="202" w:lineRule="exact"/>
              <w:rPr>
                <w:sz w:val="20"/>
                <w:szCs w:val="20"/>
                <w:color w:val="auto"/>
              </w:rPr>
            </w:pPr>
            <w:r>
              <w:rPr>
                <w:rFonts w:ascii="Arial" w:cs="Arial" w:eastAsia="Arial" w:hAnsi="Arial"/>
                <w:sz w:val="18"/>
                <w:szCs w:val="18"/>
                <w:color w:val="auto"/>
              </w:rPr>
              <w:t>David C. Evans</w:t>
            </w:r>
          </w:p>
        </w:tc>
        <w:tc>
          <w:tcPr>
            <w:tcW w:w="1520" w:type="dxa"/>
            <w:vAlign w:val="bottom"/>
          </w:tcPr>
          <w:p>
            <w:pPr>
              <w:jc w:val="center"/>
              <w:ind w:left="870"/>
              <w:spacing w:after="0" w:line="202" w:lineRule="exact"/>
              <w:rPr>
                <w:sz w:val="20"/>
                <w:szCs w:val="20"/>
                <w:color w:val="auto"/>
              </w:rPr>
            </w:pPr>
            <w:r>
              <w:rPr>
                <w:rFonts w:ascii="Arial" w:cs="Arial" w:eastAsia="Arial" w:hAnsi="Arial"/>
                <w:sz w:val="18"/>
                <w:szCs w:val="18"/>
                <w:color w:val="auto"/>
                <w:w w:val="99"/>
              </w:rPr>
              <w:t>45</w:t>
            </w:r>
          </w:p>
        </w:tc>
        <w:tc>
          <w:tcPr>
            <w:tcW w:w="4500" w:type="dxa"/>
            <w:vAlign w:val="bottom"/>
          </w:tcPr>
          <w:p>
            <w:pPr>
              <w:ind w:left="120"/>
              <w:spacing w:after="0" w:line="202" w:lineRule="exact"/>
              <w:rPr>
                <w:sz w:val="20"/>
                <w:szCs w:val="20"/>
                <w:color w:val="auto"/>
              </w:rPr>
            </w:pPr>
            <w:r>
              <w:rPr>
                <w:rFonts w:ascii="Arial" w:cs="Arial" w:eastAsia="Arial" w:hAnsi="Arial"/>
                <w:sz w:val="18"/>
                <w:szCs w:val="18"/>
                <w:color w:val="auto"/>
              </w:rPr>
              <w:t>Executive Vice President and Chief Financial Officer</w:t>
            </w:r>
          </w:p>
        </w:tc>
        <w:tc>
          <w:tcPr>
            <w:tcW w:w="114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860" w:type="dxa"/>
            <w:vAlign w:val="bottom"/>
            <w:shd w:val="clear" w:color="auto" w:fill="CCEEFF"/>
          </w:tcPr>
          <w:p>
            <w:pPr>
              <w:spacing w:after="0" w:line="180" w:lineRule="exact"/>
              <w:rPr>
                <w:sz w:val="20"/>
                <w:szCs w:val="20"/>
                <w:color w:val="auto"/>
              </w:rPr>
            </w:pPr>
            <w:r>
              <w:rPr>
                <w:rFonts w:ascii="Arial" w:cs="Arial" w:eastAsia="Arial" w:hAnsi="Arial"/>
                <w:sz w:val="18"/>
                <w:szCs w:val="18"/>
                <w:color w:val="auto"/>
              </w:rPr>
              <w:t>Michael C. Lukemire</w:t>
            </w:r>
          </w:p>
        </w:tc>
        <w:tc>
          <w:tcPr>
            <w:tcW w:w="1520" w:type="dxa"/>
            <w:vAlign w:val="bottom"/>
            <w:shd w:val="clear" w:color="auto" w:fill="CCEEFF"/>
          </w:tcPr>
          <w:p>
            <w:pPr>
              <w:jc w:val="center"/>
              <w:ind w:left="870"/>
              <w:spacing w:after="0" w:line="180" w:lineRule="exact"/>
              <w:rPr>
                <w:sz w:val="20"/>
                <w:szCs w:val="20"/>
                <w:color w:val="auto"/>
              </w:rPr>
            </w:pPr>
            <w:r>
              <w:rPr>
                <w:rFonts w:ascii="Arial" w:cs="Arial" w:eastAsia="Arial" w:hAnsi="Arial"/>
                <w:sz w:val="18"/>
                <w:szCs w:val="18"/>
                <w:color w:val="auto"/>
                <w:w w:val="99"/>
              </w:rPr>
              <w:t>50</w:t>
            </w:r>
          </w:p>
        </w:tc>
        <w:tc>
          <w:tcPr>
            <w:tcW w:w="4500" w:type="dxa"/>
            <w:vAlign w:val="bottom"/>
            <w:shd w:val="clear" w:color="auto" w:fill="CCEEFF"/>
          </w:tcPr>
          <w:p>
            <w:pPr>
              <w:ind w:left="120"/>
              <w:spacing w:after="0" w:line="180" w:lineRule="exact"/>
              <w:rPr>
                <w:sz w:val="20"/>
                <w:szCs w:val="20"/>
                <w:color w:val="auto"/>
              </w:rPr>
            </w:pPr>
            <w:r>
              <w:rPr>
                <w:rFonts w:ascii="Arial" w:cs="Arial" w:eastAsia="Arial" w:hAnsi="Arial"/>
                <w:sz w:val="18"/>
                <w:szCs w:val="18"/>
                <w:color w:val="auto"/>
              </w:rPr>
              <w:t>Executive Vice President, Global Technologies and</w:t>
            </w:r>
          </w:p>
        </w:tc>
        <w:tc>
          <w:tcPr>
            <w:tcW w:w="1140" w:type="dxa"/>
            <w:vAlign w:val="bottom"/>
            <w:shd w:val="clear" w:color="auto" w:fill="CCEEFF"/>
          </w:tcPr>
          <w:p>
            <w:pPr>
              <w:jc w:val="right"/>
              <w:ind w:right="310"/>
              <w:spacing w:after="0" w:line="180"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8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4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Operations</w:t>
            </w: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60" w:type="dxa"/>
            <w:vAlign w:val="bottom"/>
          </w:tcPr>
          <w:p>
            <w:pPr>
              <w:spacing w:after="0" w:line="202" w:lineRule="exact"/>
              <w:rPr>
                <w:sz w:val="20"/>
                <w:szCs w:val="20"/>
                <w:color w:val="auto"/>
              </w:rPr>
            </w:pPr>
            <w:r>
              <w:rPr>
                <w:rFonts w:ascii="Arial" w:cs="Arial" w:eastAsia="Arial" w:hAnsi="Arial"/>
                <w:sz w:val="18"/>
                <w:szCs w:val="18"/>
                <w:color w:val="auto"/>
              </w:rPr>
              <w:t>Denise S. Stump</w:t>
            </w:r>
          </w:p>
        </w:tc>
        <w:tc>
          <w:tcPr>
            <w:tcW w:w="1520" w:type="dxa"/>
            <w:vAlign w:val="bottom"/>
          </w:tcPr>
          <w:p>
            <w:pPr>
              <w:jc w:val="center"/>
              <w:ind w:left="870"/>
              <w:spacing w:after="0" w:line="202" w:lineRule="exact"/>
              <w:rPr>
                <w:sz w:val="20"/>
                <w:szCs w:val="20"/>
                <w:color w:val="auto"/>
              </w:rPr>
            </w:pPr>
            <w:r>
              <w:rPr>
                <w:rFonts w:ascii="Arial" w:cs="Arial" w:eastAsia="Arial" w:hAnsi="Arial"/>
                <w:sz w:val="18"/>
                <w:szCs w:val="18"/>
                <w:color w:val="auto"/>
                <w:w w:val="99"/>
              </w:rPr>
              <w:t>54</w:t>
            </w:r>
          </w:p>
        </w:tc>
        <w:tc>
          <w:tcPr>
            <w:tcW w:w="4500" w:type="dxa"/>
            <w:vAlign w:val="bottom"/>
          </w:tcPr>
          <w:p>
            <w:pPr>
              <w:ind w:left="120"/>
              <w:spacing w:after="0" w:line="202" w:lineRule="exact"/>
              <w:rPr>
                <w:sz w:val="20"/>
                <w:szCs w:val="20"/>
                <w:color w:val="auto"/>
              </w:rPr>
            </w:pPr>
            <w:r>
              <w:rPr>
                <w:rFonts w:ascii="Arial" w:cs="Arial" w:eastAsia="Arial" w:hAnsi="Arial"/>
                <w:sz w:val="18"/>
                <w:szCs w:val="18"/>
                <w:color w:val="auto"/>
              </w:rPr>
              <w:t>Executive Vice President, Global Human Resources</w:t>
            </w:r>
          </w:p>
        </w:tc>
        <w:tc>
          <w:tcPr>
            <w:tcW w:w="114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Barry W. Sanders</w:t>
            </w:r>
          </w:p>
        </w:tc>
        <w:tc>
          <w:tcPr>
            <w:tcW w:w="1520" w:type="dxa"/>
            <w:vAlign w:val="bottom"/>
            <w:shd w:val="clear" w:color="auto" w:fill="CCEEFF"/>
          </w:tcPr>
          <w:p>
            <w:pPr>
              <w:jc w:val="center"/>
              <w:ind w:left="870"/>
              <w:spacing w:after="0" w:line="202" w:lineRule="exact"/>
              <w:rPr>
                <w:sz w:val="20"/>
                <w:szCs w:val="20"/>
                <w:color w:val="auto"/>
              </w:rPr>
            </w:pPr>
            <w:r>
              <w:rPr>
                <w:rFonts w:ascii="Arial" w:cs="Arial" w:eastAsia="Arial" w:hAnsi="Arial"/>
                <w:sz w:val="18"/>
                <w:szCs w:val="18"/>
                <w:color w:val="auto"/>
                <w:w w:val="99"/>
              </w:rPr>
              <w:t>44</w:t>
            </w:r>
          </w:p>
        </w:tc>
        <w:tc>
          <w:tcPr>
            <w:tcW w:w="45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Executive Vice President, North American Business</w:t>
            </w:r>
          </w:p>
        </w:tc>
        <w:tc>
          <w:tcPr>
            <w:tcW w:w="114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860" w:type="dxa"/>
            <w:vAlign w:val="bottom"/>
          </w:tcPr>
          <w:p>
            <w:pPr>
              <w:spacing w:after="0" w:line="180" w:lineRule="exact"/>
              <w:rPr>
                <w:sz w:val="20"/>
                <w:szCs w:val="20"/>
                <w:color w:val="auto"/>
              </w:rPr>
            </w:pPr>
            <w:r>
              <w:rPr>
                <w:rFonts w:ascii="Arial" w:cs="Arial" w:eastAsia="Arial" w:hAnsi="Arial"/>
                <w:sz w:val="18"/>
                <w:szCs w:val="18"/>
                <w:color w:val="auto"/>
              </w:rPr>
              <w:t>Claude L. Lopez</w:t>
            </w:r>
          </w:p>
        </w:tc>
        <w:tc>
          <w:tcPr>
            <w:tcW w:w="1520" w:type="dxa"/>
            <w:vAlign w:val="bottom"/>
          </w:tcPr>
          <w:p>
            <w:pPr>
              <w:jc w:val="center"/>
              <w:ind w:left="870"/>
              <w:spacing w:after="0" w:line="180" w:lineRule="exact"/>
              <w:rPr>
                <w:sz w:val="20"/>
                <w:szCs w:val="20"/>
                <w:color w:val="auto"/>
              </w:rPr>
            </w:pPr>
            <w:r>
              <w:rPr>
                <w:rFonts w:ascii="Arial" w:cs="Arial" w:eastAsia="Arial" w:hAnsi="Arial"/>
                <w:sz w:val="18"/>
                <w:szCs w:val="18"/>
                <w:color w:val="auto"/>
                <w:w w:val="99"/>
              </w:rPr>
              <w:t>47</w:t>
            </w:r>
          </w:p>
        </w:tc>
        <w:tc>
          <w:tcPr>
            <w:tcW w:w="4500" w:type="dxa"/>
            <w:vAlign w:val="bottom"/>
          </w:tcPr>
          <w:p>
            <w:pPr>
              <w:ind w:left="120"/>
              <w:spacing w:after="0" w:line="180" w:lineRule="exact"/>
              <w:rPr>
                <w:sz w:val="20"/>
                <w:szCs w:val="20"/>
                <w:color w:val="auto"/>
              </w:rPr>
            </w:pPr>
            <w:r>
              <w:rPr>
                <w:rFonts w:ascii="Arial" w:cs="Arial" w:eastAsia="Arial" w:hAnsi="Arial"/>
                <w:sz w:val="18"/>
                <w:szCs w:val="18"/>
                <w:color w:val="auto"/>
              </w:rPr>
              <w:t>Executive Vice President, International and Chief</w:t>
            </w:r>
          </w:p>
        </w:tc>
        <w:tc>
          <w:tcPr>
            <w:tcW w:w="1140" w:type="dxa"/>
            <w:vAlign w:val="bottom"/>
          </w:tcPr>
          <w:p>
            <w:pPr>
              <w:jc w:val="right"/>
              <w:ind w:right="310"/>
              <w:spacing w:after="0" w:line="180"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4500" w:type="dxa"/>
            <w:vAlign w:val="bottom"/>
          </w:tcPr>
          <w:p>
            <w:pPr>
              <w:ind w:left="120"/>
              <w:spacing w:after="0"/>
              <w:rPr>
                <w:sz w:val="20"/>
                <w:szCs w:val="20"/>
                <w:color w:val="auto"/>
              </w:rPr>
            </w:pPr>
            <w:r>
              <w:rPr>
                <w:rFonts w:ascii="Arial" w:cs="Arial" w:eastAsia="Arial" w:hAnsi="Arial"/>
                <w:sz w:val="18"/>
                <w:szCs w:val="18"/>
                <w:color w:val="auto"/>
              </w:rPr>
              <w:t>Marketing Officer</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860" w:type="dxa"/>
            <w:vAlign w:val="bottom"/>
            <w:shd w:val="clear" w:color="auto" w:fill="CCEEFF"/>
          </w:tcPr>
          <w:p>
            <w:pPr>
              <w:spacing w:after="0" w:line="180" w:lineRule="exact"/>
              <w:rPr>
                <w:sz w:val="20"/>
                <w:szCs w:val="20"/>
                <w:color w:val="auto"/>
              </w:rPr>
            </w:pPr>
            <w:r>
              <w:rPr>
                <w:rFonts w:ascii="Arial" w:cs="Arial" w:eastAsia="Arial" w:hAnsi="Arial"/>
                <w:sz w:val="18"/>
                <w:szCs w:val="18"/>
                <w:color w:val="auto"/>
              </w:rPr>
              <w:t>Vincent C. Brockman</w:t>
            </w:r>
          </w:p>
        </w:tc>
        <w:tc>
          <w:tcPr>
            <w:tcW w:w="1520" w:type="dxa"/>
            <w:vAlign w:val="bottom"/>
            <w:shd w:val="clear" w:color="auto" w:fill="CCEEFF"/>
          </w:tcPr>
          <w:p>
            <w:pPr>
              <w:jc w:val="center"/>
              <w:ind w:left="870"/>
              <w:spacing w:after="0" w:line="180" w:lineRule="exact"/>
              <w:rPr>
                <w:sz w:val="20"/>
                <w:szCs w:val="20"/>
                <w:color w:val="auto"/>
              </w:rPr>
            </w:pPr>
            <w:r>
              <w:rPr>
                <w:rFonts w:ascii="Arial" w:cs="Arial" w:eastAsia="Arial" w:hAnsi="Arial"/>
                <w:sz w:val="18"/>
                <w:szCs w:val="18"/>
                <w:color w:val="auto"/>
                <w:w w:val="99"/>
              </w:rPr>
              <w:t>45</w:t>
            </w:r>
          </w:p>
        </w:tc>
        <w:tc>
          <w:tcPr>
            <w:tcW w:w="4500" w:type="dxa"/>
            <w:vAlign w:val="bottom"/>
            <w:shd w:val="clear" w:color="auto" w:fill="CCEEFF"/>
          </w:tcPr>
          <w:p>
            <w:pPr>
              <w:ind w:left="120"/>
              <w:spacing w:after="0" w:line="180" w:lineRule="exact"/>
              <w:rPr>
                <w:sz w:val="20"/>
                <w:szCs w:val="20"/>
                <w:color w:val="auto"/>
              </w:rPr>
            </w:pPr>
            <w:r>
              <w:rPr>
                <w:rFonts w:ascii="Arial" w:cs="Arial" w:eastAsia="Arial" w:hAnsi="Arial"/>
                <w:sz w:val="18"/>
                <w:szCs w:val="18"/>
                <w:color w:val="auto"/>
              </w:rPr>
              <w:t>Executive Vice President, General Counsel and</w:t>
            </w:r>
          </w:p>
        </w:tc>
        <w:tc>
          <w:tcPr>
            <w:tcW w:w="1140" w:type="dxa"/>
            <w:vAlign w:val="bottom"/>
            <w:shd w:val="clear" w:color="auto" w:fill="CCEEFF"/>
          </w:tcPr>
          <w:p>
            <w:pPr>
              <w:jc w:val="right"/>
              <w:ind w:right="310"/>
              <w:spacing w:after="0" w:line="180"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8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4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Secretary</w:t>
            </w: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700" w:right="360" w:firstLine="402"/>
        <w:spacing w:after="0" w:line="276" w:lineRule="auto"/>
        <w:rPr>
          <w:sz w:val="20"/>
          <w:szCs w:val="20"/>
          <w:color w:val="auto"/>
        </w:rPr>
      </w:pPr>
      <w:r>
        <w:rPr>
          <w:rFonts w:ascii="Arial" w:cs="Arial" w:eastAsia="Arial" w:hAnsi="Arial"/>
          <w:sz w:val="18"/>
          <w:szCs w:val="18"/>
          <w:color w:val="auto"/>
        </w:rPr>
        <w:t>Executive officers serve at the discretion of the Board of Directors of Scotts Miracle-Gro and pursuant to employment agreements or other arrangements.</w:t>
      </w:r>
    </w:p>
    <w:p>
      <w:pPr>
        <w:spacing w:after="0" w:line="5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business experience of each of the individuals listed above during at least the past five years is as follows:</w:t>
      </w:r>
    </w:p>
    <w:p>
      <w:pPr>
        <w:spacing w:after="0" w:line="117" w:lineRule="exact"/>
        <w:rPr>
          <w:sz w:val="20"/>
          <w:szCs w:val="20"/>
          <w:color w:val="auto"/>
        </w:rPr>
      </w:pPr>
    </w:p>
    <w:p>
      <w:pPr>
        <w:ind w:left="700" w:right="40" w:firstLine="402"/>
        <w:spacing w:after="0" w:line="241" w:lineRule="auto"/>
        <w:rPr>
          <w:sz w:val="20"/>
          <w:szCs w:val="20"/>
          <w:color w:val="auto"/>
        </w:rPr>
      </w:pPr>
      <w:r>
        <w:rPr>
          <w:rFonts w:ascii="Arial" w:cs="Arial" w:eastAsia="Arial" w:hAnsi="Arial"/>
          <w:sz w:val="18"/>
          <w:szCs w:val="18"/>
          <w:color w:val="auto"/>
        </w:rPr>
        <w:t>Mr. Hagedorn was named Chairman of the Board of Scotts in January 2003 and named Chief Executive Officer of Scotts in May 2001. He served as President of Scotts Miracle-Gro (or its predecessor) from November 2006 until October 2008 and from May 2001 until December 2005. Mr. Hagedorn serves on the Company’s Board of Directors, a position he has held since 1995. He also serves as a director for Farms For City Kids Foundation, Inc., Nurse Family Partnership, The CDC Foundation, Embry-Riddle Aeronautical University, North Shore University Hospital (New York), Scotts Miracle-Gro Foundation and the Intrepid Sea-Air-Space Museum, all charitable organizations. Mr. Hagedorn is the brother of Katherine Hagedorn Littlefield, a director of Scotts Miracle-Gro.</w:t>
      </w:r>
    </w:p>
    <w:p>
      <w:pPr>
        <w:spacing w:after="0" w:line="85" w:lineRule="exact"/>
        <w:rPr>
          <w:sz w:val="20"/>
          <w:szCs w:val="20"/>
          <w:color w:val="auto"/>
        </w:rPr>
      </w:pPr>
    </w:p>
    <w:p>
      <w:pPr>
        <w:ind w:left="700" w:right="360" w:firstLine="402"/>
        <w:spacing w:after="0" w:line="247" w:lineRule="auto"/>
        <w:rPr>
          <w:sz w:val="20"/>
          <w:szCs w:val="20"/>
          <w:color w:val="auto"/>
        </w:rPr>
      </w:pPr>
      <w:r>
        <w:rPr>
          <w:rFonts w:ascii="Arial" w:cs="Arial" w:eastAsia="Arial" w:hAnsi="Arial"/>
          <w:sz w:val="18"/>
          <w:szCs w:val="18"/>
          <w:color w:val="auto"/>
        </w:rPr>
        <w:t>Mr. Baker was named President and Chief Operating Officer of Scotts Miracle-Gro in October 2008, and continues to serve on the Company’s Board of Directors, a role he has held since 2004. From September 2002 until October 2008,</w:t>
      </w:r>
    </w:p>
    <w:p>
      <w:pPr>
        <w:spacing w:after="0" w:line="1" w:lineRule="exact"/>
        <w:rPr>
          <w:sz w:val="20"/>
          <w:szCs w:val="20"/>
          <w:color w:val="auto"/>
        </w:rPr>
      </w:pPr>
    </w:p>
    <w:p>
      <w:pPr>
        <w:ind w:left="700" w:right="120"/>
        <w:spacing w:after="0" w:line="251" w:lineRule="auto"/>
        <w:rPr>
          <w:sz w:val="20"/>
          <w:szCs w:val="20"/>
          <w:color w:val="auto"/>
        </w:rPr>
      </w:pPr>
      <w:r>
        <w:rPr>
          <w:rFonts w:ascii="Arial" w:cs="Arial" w:eastAsia="Arial" w:hAnsi="Arial"/>
          <w:sz w:val="18"/>
          <w:szCs w:val="18"/>
          <w:color w:val="auto"/>
        </w:rPr>
        <w:t>Mr. Baker served as Chief Executive Officer of Gander Mountain Company, an outdoor retailer specializing in hunting, fishing and camping gear. He served as President of Gander</w:t>
      </w:r>
    </w:p>
    <w:p>
      <w:pPr>
        <w:spacing w:after="0" w:line="10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1"/>
          <w:szCs w:val="11"/>
          <w:b w:val="1"/>
          <w:bCs w:val="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-78105</wp:posOffset>
            </wp:positionV>
            <wp:extent cx="19748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240" w:top="415" w:right="91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hyperlink w:anchor="page6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700" w:right="180"/>
        <w:spacing w:after="0" w:line="276" w:lineRule="auto"/>
        <w:rPr>
          <w:sz w:val="20"/>
          <w:szCs w:val="20"/>
          <w:color w:val="auto"/>
        </w:rPr>
      </w:pPr>
      <w:r>
        <w:rPr>
          <w:rFonts w:ascii="Arial" w:cs="Arial" w:eastAsia="Arial" w:hAnsi="Arial"/>
          <w:sz w:val="18"/>
          <w:szCs w:val="18"/>
          <w:color w:val="auto"/>
        </w:rPr>
        <w:t>Mountain Company from February 2004 until October 2008 and as a director of Gander Mountain Company from April 2004 until October 2008.</w:t>
      </w:r>
    </w:p>
    <w:p>
      <w:pPr>
        <w:spacing w:after="0" w:line="51" w:lineRule="exact"/>
        <w:rPr>
          <w:sz w:val="20"/>
          <w:szCs w:val="20"/>
          <w:color w:val="auto"/>
        </w:rPr>
      </w:pPr>
    </w:p>
    <w:p>
      <w:pPr>
        <w:ind w:left="700" w:right="100" w:firstLine="402"/>
        <w:spacing w:after="0" w:line="248" w:lineRule="auto"/>
        <w:rPr>
          <w:sz w:val="20"/>
          <w:szCs w:val="20"/>
          <w:color w:val="auto"/>
        </w:rPr>
      </w:pPr>
      <w:r>
        <w:rPr>
          <w:rFonts w:ascii="Arial" w:cs="Arial" w:eastAsia="Arial" w:hAnsi="Arial"/>
          <w:sz w:val="18"/>
          <w:szCs w:val="18"/>
          <w:color w:val="auto"/>
        </w:rPr>
        <w:t>Dr. Kelty was named Executive Vice President of Scotts Miracle-Gro in October 2008. He served as Vice Chairman and Executive Vice President of Scotts Miracle-Gro (or its predecessor) from May 2001 until his retirement in November 2005. After his retirement, Dr. Kelty served as an hourly consultant to the Company at various times, most recently beginning in October 2007.</w:t>
      </w:r>
    </w:p>
    <w:p>
      <w:pPr>
        <w:spacing w:after="0" w:line="76" w:lineRule="exact"/>
        <w:rPr>
          <w:sz w:val="20"/>
          <w:szCs w:val="20"/>
          <w:color w:val="auto"/>
        </w:rPr>
      </w:pPr>
    </w:p>
    <w:p>
      <w:pPr>
        <w:ind w:left="700" w:right="40" w:firstLine="402"/>
        <w:spacing w:after="0" w:line="245" w:lineRule="auto"/>
        <w:rPr>
          <w:sz w:val="20"/>
          <w:szCs w:val="20"/>
          <w:color w:val="auto"/>
        </w:rPr>
      </w:pPr>
      <w:r>
        <w:rPr>
          <w:rFonts w:ascii="Arial" w:cs="Arial" w:eastAsia="Arial" w:hAnsi="Arial"/>
          <w:sz w:val="18"/>
          <w:szCs w:val="18"/>
          <w:color w:val="auto"/>
        </w:rPr>
        <w:t>Mr. Evans was named Executive Vice President and Chief Financial Officer of Scotts Miracle-Gro on September 14, 2006. From October 2005 to September 2006, he served as Senior Vice President, Finance and Global Shared Services of Scotts LLC. From March 2005 to September 2005, he served as Senior Vice President, North America of Scotts LLC, and from October 2003 to March 2005, he served in the same capacity for Scotts. From June 2001 to September 2003, he served as Vice President, Finance, North America Sales of Scotts.</w:t>
      </w:r>
    </w:p>
    <w:p>
      <w:pPr>
        <w:spacing w:after="0" w:line="78" w:lineRule="exact"/>
        <w:rPr>
          <w:sz w:val="20"/>
          <w:szCs w:val="20"/>
          <w:color w:val="auto"/>
        </w:rPr>
      </w:pPr>
    </w:p>
    <w:p>
      <w:pPr>
        <w:ind w:left="700" w:firstLine="402"/>
        <w:spacing w:after="0" w:line="248" w:lineRule="auto"/>
        <w:rPr>
          <w:sz w:val="20"/>
          <w:szCs w:val="20"/>
          <w:color w:val="auto"/>
        </w:rPr>
      </w:pPr>
      <w:r>
        <w:rPr>
          <w:rFonts w:ascii="Arial" w:cs="Arial" w:eastAsia="Arial" w:hAnsi="Arial"/>
          <w:sz w:val="18"/>
          <w:szCs w:val="18"/>
          <w:color w:val="auto"/>
        </w:rPr>
        <w:t>Mr. Lukemire was named Executive Vice President, Global Technologies and Operations of Scotts Miracle-Gro in June 2008. From August 2007 until June 2008, Mr. Lukemire served as Senior Vice President, Global Technologies and Operations of Scotts LLC. From March 2005 until August 2007, he served as Senior Vice President, Global Supply Chain of Scotts LLC, and from October 2003 to March 2005, he served in the same capacity for Scotts.</w:t>
      </w:r>
    </w:p>
    <w:p>
      <w:pPr>
        <w:spacing w:after="0" w:line="76" w:lineRule="exact"/>
        <w:rPr>
          <w:sz w:val="20"/>
          <w:szCs w:val="20"/>
          <w:color w:val="auto"/>
        </w:rPr>
      </w:pPr>
    </w:p>
    <w:p>
      <w:pPr>
        <w:ind w:left="700" w:right="20" w:firstLine="402"/>
        <w:spacing w:after="0" w:line="248" w:lineRule="auto"/>
        <w:rPr>
          <w:sz w:val="20"/>
          <w:szCs w:val="20"/>
          <w:color w:val="auto"/>
        </w:rPr>
      </w:pPr>
      <w:r>
        <w:rPr>
          <w:rFonts w:ascii="Arial" w:cs="Arial" w:eastAsia="Arial" w:hAnsi="Arial"/>
          <w:sz w:val="18"/>
          <w:szCs w:val="18"/>
          <w:color w:val="auto"/>
        </w:rPr>
        <w:t>Ms. Stump was named Executive Vice President, Global Human Resources of Scotts in February 2003. She was named Senior Vice President, Global Human Resources of Scotts in October 2002. From July 2001 until October 2002, Ms. Stump served as Vice President, Human Resources North America of Scotts. From September 2000 until July 2001, Ms. Stump served as Vice President, Human Resources Technology and Operations of Scotts.</w:t>
      </w:r>
    </w:p>
    <w:p>
      <w:pPr>
        <w:spacing w:after="0" w:line="76" w:lineRule="exact"/>
        <w:rPr>
          <w:sz w:val="20"/>
          <w:szCs w:val="20"/>
          <w:color w:val="auto"/>
        </w:rPr>
      </w:pPr>
    </w:p>
    <w:p>
      <w:pPr>
        <w:ind w:left="700" w:right="20" w:firstLine="402"/>
        <w:spacing w:after="0" w:line="243" w:lineRule="auto"/>
        <w:rPr>
          <w:sz w:val="20"/>
          <w:szCs w:val="20"/>
          <w:color w:val="auto"/>
        </w:rPr>
      </w:pPr>
      <w:r>
        <w:rPr>
          <w:rFonts w:ascii="Arial" w:cs="Arial" w:eastAsia="Arial" w:hAnsi="Arial"/>
          <w:sz w:val="18"/>
          <w:szCs w:val="18"/>
          <w:color w:val="auto"/>
        </w:rPr>
        <w:t>Mr. Sanders was named Executive Vice President, North America of Scotts Miracle-Gro in September 2007. From January 25, 2005 until September 2007, he served as Executive Vice President of Global Technologies and Operations of Scotts Miracle-Gro (or its predecessor), and was responsible for the Company’s supply chain and information systems as well as research and development efforts. He previously led the North American and global supply chain organizations as well as the North American sales force. In 2005, he ran the Smith &amp; Hawken</w:t>
      </w:r>
      <w:r>
        <w:rPr>
          <w:rFonts w:ascii="Arial" w:cs="Arial" w:eastAsia="Arial" w:hAnsi="Arial"/>
          <w:sz w:val="15"/>
          <w:szCs w:val="15"/>
          <w:color w:val="auto"/>
        </w:rPr>
        <w:t>®</w:t>
      </w:r>
      <w:r>
        <w:rPr>
          <w:rFonts w:ascii="Arial" w:cs="Arial" w:eastAsia="Arial" w:hAnsi="Arial"/>
          <w:sz w:val="18"/>
          <w:szCs w:val="18"/>
          <w:color w:val="auto"/>
        </w:rPr>
        <w:t xml:space="preserve"> business on an interim basis. Prior to joining the Company in 2001, he was a partner with CapGemini/Ernst &amp; Young.</w:t>
      </w:r>
    </w:p>
    <w:p>
      <w:pPr>
        <w:spacing w:after="0" w:line="80" w:lineRule="exact"/>
        <w:rPr>
          <w:sz w:val="20"/>
          <w:szCs w:val="20"/>
          <w:color w:val="auto"/>
        </w:rPr>
      </w:pPr>
    </w:p>
    <w:p>
      <w:pPr>
        <w:ind w:left="700" w:right="240" w:firstLine="402"/>
        <w:spacing w:after="0" w:line="243" w:lineRule="auto"/>
        <w:rPr>
          <w:sz w:val="20"/>
          <w:szCs w:val="20"/>
          <w:color w:val="auto"/>
        </w:rPr>
      </w:pPr>
      <w:r>
        <w:rPr>
          <w:rFonts w:ascii="Arial" w:cs="Arial" w:eastAsia="Arial" w:hAnsi="Arial"/>
          <w:sz w:val="18"/>
          <w:szCs w:val="18"/>
          <w:color w:val="auto"/>
        </w:rPr>
        <w:t>Mr. Lopez was named Executive Vice President, International and Chief Marketing Officer of Scotts Miracle-Gro in October 2007. Mr. Lopez leads marketing for all global consumer-facing business. He also has leadership responsibility for the Company’s Global Professional and Pro Seed businesses. He served as Senior Vice President, International and Chief Marketing Officer of the Company from September 2007 until October 2007. From December 2004 until September 2007, Mr. Lopez served as Senior Vice President, International of the Company. From the time Mr. Lopez joined the Company in 2001 until December 2004, he served as general manager of the Company’s French business.</w:t>
      </w:r>
    </w:p>
    <w:p>
      <w:pPr>
        <w:spacing w:after="0" w:line="80" w:lineRule="exact"/>
        <w:rPr>
          <w:sz w:val="20"/>
          <w:szCs w:val="20"/>
          <w:color w:val="auto"/>
        </w:rPr>
      </w:pPr>
    </w:p>
    <w:p>
      <w:pPr>
        <w:ind w:left="700" w:right="20" w:firstLine="402"/>
        <w:spacing w:after="0" w:line="243" w:lineRule="auto"/>
        <w:rPr>
          <w:sz w:val="20"/>
          <w:szCs w:val="20"/>
          <w:color w:val="auto"/>
        </w:rPr>
      </w:pPr>
      <w:r>
        <w:rPr>
          <w:rFonts w:ascii="Arial" w:cs="Arial" w:eastAsia="Arial" w:hAnsi="Arial"/>
          <w:sz w:val="18"/>
          <w:szCs w:val="18"/>
          <w:color w:val="auto"/>
        </w:rPr>
        <w:t>Mr. Brockman was named Executive Vice President, General Counsel and Corporate Secretary of Scotts Miracle-Gro in January 2008. From February 2007 until January 2008, he served as Senior Vice President, Chief Ethics and Compliance Officer and Chief Administrative Officer of Scotts LLC. He served as Chief Administrative Officer of Scotts LLC from 2006 until February 2007. From March 2005 until February 2007, he served as Chief Ethics and Compliance Officer of Scotts LLC, and from 2004 until March 2005, he served in the same capacity for Scotts. He served as Vice President and Assistant General Counsel of Scotts from 2002 until 2004.</w:t>
      </w:r>
    </w:p>
    <w:p>
      <w:pPr>
        <w:spacing w:after="0" w:line="11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1"/>
          <w:szCs w:val="11"/>
          <w:b w:val="1"/>
          <w:bCs w:val="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-78105</wp:posOffset>
            </wp:positionV>
            <wp:extent cx="19748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00"/>
          </w:cols>
          <w:pgMar w:left="240" w:top="415" w:right="95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hyperlink w:anchor="page64">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ind w:left="5360"/>
        <w:spacing w:after="0"/>
        <w:rPr>
          <w:sz w:val="20"/>
          <w:szCs w:val="20"/>
          <w:color w:val="auto"/>
        </w:rPr>
      </w:pPr>
      <w:r>
        <w:rPr>
          <w:rFonts w:ascii="Arial" w:cs="Arial" w:eastAsia="Arial" w:hAnsi="Arial"/>
          <w:sz w:val="20"/>
          <w:szCs w:val="20"/>
          <w:b w:val="1"/>
          <w:bCs w:val="1"/>
          <w:color w:val="auto"/>
        </w:rPr>
        <w:t>PART II</w:t>
      </w:r>
    </w:p>
    <w:p>
      <w:pPr>
        <w:spacing w:after="0" w:line="371" w:lineRule="exact"/>
        <w:rPr>
          <w:sz w:val="20"/>
          <w:szCs w:val="20"/>
          <w:color w:val="auto"/>
        </w:rPr>
      </w:pPr>
    </w:p>
    <w:p>
      <w:pPr>
        <w:ind w:left="1500" w:right="620" w:hanging="809"/>
        <w:spacing w:after="0" w:line="288" w:lineRule="auto"/>
        <w:tabs>
          <w:tab w:leader="none" w:pos="1480" w:val="left"/>
        </w:tabs>
        <w:rPr>
          <w:sz w:val="20"/>
          <w:szCs w:val="20"/>
          <w:color w:val="auto"/>
        </w:rPr>
      </w:pPr>
      <w:r>
        <w:rPr>
          <w:rFonts w:ascii="Arial" w:cs="Arial" w:eastAsia="Arial" w:hAnsi="Arial"/>
          <w:sz w:val="18"/>
          <w:szCs w:val="18"/>
          <w:b w:val="1"/>
          <w:bCs w:val="1"/>
          <w:u w:val="single" w:color="auto"/>
          <w:color w:val="auto"/>
        </w:rPr>
        <w:t>ITEM 5.</w:t>
        <w:tab/>
        <w:t>MARKET FOR REGISTRANT’S COMMON EQUITY, RELATED STOCKHOLDER MATTERS AND ISSUER PURCHASES OF EQUITY SECURITIES</w:t>
      </w:r>
    </w:p>
    <w:p>
      <w:pPr>
        <w:spacing w:after="0" w:line="32" w:lineRule="exact"/>
        <w:rPr>
          <w:sz w:val="20"/>
          <w:szCs w:val="20"/>
          <w:color w:val="auto"/>
        </w:rPr>
      </w:pPr>
    </w:p>
    <w:p>
      <w:pPr>
        <w:jc w:val="both"/>
        <w:ind w:left="700" w:right="140" w:firstLine="402"/>
        <w:spacing w:after="0" w:line="248" w:lineRule="auto"/>
        <w:rPr>
          <w:sz w:val="20"/>
          <w:szCs w:val="20"/>
          <w:color w:val="auto"/>
        </w:rPr>
      </w:pPr>
      <w:r>
        <w:rPr>
          <w:rFonts w:ascii="Arial" w:cs="Arial" w:eastAsia="Arial" w:hAnsi="Arial"/>
          <w:sz w:val="18"/>
          <w:szCs w:val="18"/>
          <w:color w:val="auto"/>
        </w:rPr>
        <w:t>The common shares of The Scotts Miracle-Gro Company (“Scotts Miracle-Gro” and, together with its subsidiaries, the “Company”) trade on the New York Stock Exchange under the symbol “SMG.” The quarterly high and low sale prices, which have not been adjusted for the special one-time cash dividend of $8.00 per share described below, for the fiscal years ended September 30, 2008 and 2007 were as follows:</w:t>
      </w:r>
    </w:p>
    <w:p>
      <w:pPr>
        <w:spacing w:after="0" w:line="90" w:lineRule="exact"/>
        <w:rPr>
          <w:sz w:val="20"/>
          <w:szCs w:val="20"/>
          <w:color w:val="auto"/>
        </w:rPr>
      </w:pPr>
    </w:p>
    <w:tbl>
      <w:tblPr>
        <w:tblLayout w:type="fixed"/>
        <w:tblInd w:w="70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40" w:type="dxa"/>
            <w:vAlign w:val="bottom"/>
            <w:gridSpan w:val="2"/>
          </w:tcPr>
          <w:p>
            <w:pPr>
              <w:ind w:left="80"/>
              <w:spacing w:after="0"/>
              <w:rPr>
                <w:sz w:val="20"/>
                <w:szCs w:val="20"/>
                <w:color w:val="auto"/>
              </w:rPr>
            </w:pPr>
            <w:r>
              <w:rPr>
                <w:rFonts w:ascii="Arial" w:cs="Arial" w:eastAsia="Arial" w:hAnsi="Arial"/>
                <w:sz w:val="18"/>
                <w:szCs w:val="18"/>
                <w:color w:val="auto"/>
              </w:rPr>
              <w:t>Sale Prices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7"/>
              </w:rPr>
              <w:t>High</w:t>
            </w:r>
          </w:p>
        </w:tc>
        <w:tc>
          <w:tcPr>
            <w:tcW w:w="1740" w:type="dxa"/>
            <w:vAlign w:val="bottom"/>
            <w:tcBorders>
              <w:top w:val="single" w:sz="8" w:color="auto"/>
              <w:bottom w:val="single" w:sz="8" w:color="auto"/>
            </w:tcBorders>
          </w:tcPr>
          <w:p>
            <w:pPr>
              <w:jc w:val="center"/>
              <w:ind w:left="1030"/>
              <w:spacing w:after="0"/>
              <w:rPr>
                <w:sz w:val="20"/>
                <w:szCs w:val="20"/>
                <w:color w:val="auto"/>
              </w:rPr>
            </w:pPr>
            <w:r>
              <w:rPr>
                <w:rFonts w:ascii="Arial" w:cs="Arial" w:eastAsia="Arial" w:hAnsi="Arial"/>
                <w:sz w:val="18"/>
                <w:szCs w:val="18"/>
                <w:color w:val="auto"/>
              </w:rPr>
              <w:t>Low</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4360" w:type="dxa"/>
            <w:vAlign w:val="bottom"/>
          </w:tcPr>
          <w:p>
            <w:pPr>
              <w:spacing w:after="0"/>
              <w:rPr>
                <w:sz w:val="4"/>
                <w:szCs w:val="4"/>
                <w:color w:val="auto"/>
              </w:rPr>
            </w:pPr>
          </w:p>
        </w:tc>
        <w:tc>
          <w:tcPr>
            <w:tcW w:w="3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FISCAL 2008</w:t>
            </w:r>
          </w:p>
        </w:tc>
        <w:tc>
          <w:tcPr>
            <w:tcW w:w="3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tcPr>
          <w:p>
            <w:pPr>
              <w:spacing w:after="0" w:line="202" w:lineRule="exact"/>
              <w:rPr>
                <w:sz w:val="20"/>
                <w:szCs w:val="20"/>
                <w:color w:val="auto"/>
              </w:rPr>
            </w:pPr>
            <w:r>
              <w:rPr>
                <w:rFonts w:ascii="Arial" w:cs="Arial" w:eastAsia="Arial" w:hAnsi="Arial"/>
                <w:sz w:val="18"/>
                <w:szCs w:val="18"/>
                <w:color w:val="auto"/>
              </w:rPr>
              <w:t>First quarter</w:t>
            </w:r>
          </w:p>
        </w:tc>
        <w:tc>
          <w:tcPr>
            <w:tcW w:w="3820" w:type="dxa"/>
            <w:vAlign w:val="bottom"/>
            <w:gridSpan w:val="2"/>
          </w:tcPr>
          <w:p>
            <w:pPr>
              <w:jc w:val="center"/>
              <w:ind w:left="3010"/>
              <w:spacing w:after="0" w:line="202" w:lineRule="exact"/>
              <w:rPr>
                <w:sz w:val="20"/>
                <w:szCs w:val="20"/>
                <w:color w:val="auto"/>
              </w:rPr>
            </w:pPr>
            <w:r>
              <w:rPr>
                <w:rFonts w:ascii="Arial" w:cs="Arial" w:eastAsia="Arial" w:hAnsi="Arial"/>
                <w:sz w:val="18"/>
                <w:szCs w:val="18"/>
                <w:color w:val="auto"/>
                <w:w w:val="99"/>
              </w:rPr>
              <w:t>$ 46.90</w:t>
            </w:r>
          </w:p>
        </w:tc>
        <w:tc>
          <w:tcPr>
            <w:tcW w:w="1740" w:type="dxa"/>
            <w:vAlign w:val="bottom"/>
          </w:tcPr>
          <w:p>
            <w:pPr>
              <w:jc w:val="center"/>
              <w:ind w:left="1030"/>
              <w:spacing w:after="0" w:line="202" w:lineRule="exact"/>
              <w:rPr>
                <w:sz w:val="20"/>
                <w:szCs w:val="20"/>
                <w:color w:val="auto"/>
              </w:rPr>
            </w:pPr>
            <w:r>
              <w:rPr>
                <w:rFonts w:ascii="Arial" w:cs="Arial" w:eastAsia="Arial" w:hAnsi="Arial"/>
                <w:sz w:val="18"/>
                <w:szCs w:val="18"/>
                <w:color w:val="auto"/>
              </w:rPr>
              <w:t>$ 33.50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Second quarter</w:t>
            </w:r>
          </w:p>
        </w:tc>
        <w:tc>
          <w:tcPr>
            <w:tcW w:w="3820" w:type="dxa"/>
            <w:vAlign w:val="bottom"/>
            <w:gridSpan w:val="2"/>
            <w:shd w:val="clear" w:color="auto" w:fill="CCEEFF"/>
          </w:tcPr>
          <w:p>
            <w:pPr>
              <w:jc w:val="center"/>
              <w:ind w:left="3010"/>
              <w:spacing w:after="0" w:line="202" w:lineRule="exact"/>
              <w:rPr>
                <w:sz w:val="20"/>
                <w:szCs w:val="20"/>
                <w:color w:val="auto"/>
              </w:rPr>
            </w:pPr>
            <w:r>
              <w:rPr>
                <w:rFonts w:ascii="Arial" w:cs="Arial" w:eastAsia="Arial" w:hAnsi="Arial"/>
                <w:sz w:val="18"/>
                <w:szCs w:val="18"/>
                <w:color w:val="auto"/>
                <w:w w:val="99"/>
              </w:rPr>
              <w:t>$ 40.65</w:t>
            </w:r>
          </w:p>
        </w:tc>
        <w:tc>
          <w:tcPr>
            <w:tcW w:w="1740" w:type="dxa"/>
            <w:vAlign w:val="bottom"/>
            <w:shd w:val="clear" w:color="auto" w:fill="CCEEFF"/>
          </w:tcPr>
          <w:p>
            <w:pPr>
              <w:jc w:val="center"/>
              <w:ind w:left="1030"/>
              <w:spacing w:after="0" w:line="202" w:lineRule="exact"/>
              <w:rPr>
                <w:sz w:val="20"/>
                <w:szCs w:val="20"/>
                <w:color w:val="auto"/>
              </w:rPr>
            </w:pPr>
            <w:r>
              <w:rPr>
                <w:rFonts w:ascii="Arial" w:cs="Arial" w:eastAsia="Arial" w:hAnsi="Arial"/>
                <w:sz w:val="18"/>
                <w:szCs w:val="18"/>
                <w:color w:val="auto"/>
              </w:rPr>
              <w:t>$ 30.51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tcPr>
          <w:p>
            <w:pPr>
              <w:spacing w:after="0" w:line="202" w:lineRule="exact"/>
              <w:rPr>
                <w:sz w:val="20"/>
                <w:szCs w:val="20"/>
                <w:color w:val="auto"/>
              </w:rPr>
            </w:pPr>
            <w:r>
              <w:rPr>
                <w:rFonts w:ascii="Arial" w:cs="Arial" w:eastAsia="Arial" w:hAnsi="Arial"/>
                <w:sz w:val="18"/>
                <w:szCs w:val="18"/>
                <w:color w:val="auto"/>
              </w:rPr>
              <w:t>Third quarter</w:t>
            </w:r>
          </w:p>
        </w:tc>
        <w:tc>
          <w:tcPr>
            <w:tcW w:w="3820" w:type="dxa"/>
            <w:vAlign w:val="bottom"/>
            <w:gridSpan w:val="2"/>
          </w:tcPr>
          <w:p>
            <w:pPr>
              <w:jc w:val="center"/>
              <w:ind w:left="3010"/>
              <w:spacing w:after="0" w:line="202" w:lineRule="exact"/>
              <w:rPr>
                <w:sz w:val="20"/>
                <w:szCs w:val="20"/>
                <w:color w:val="auto"/>
              </w:rPr>
            </w:pPr>
            <w:r>
              <w:rPr>
                <w:rFonts w:ascii="Arial" w:cs="Arial" w:eastAsia="Arial" w:hAnsi="Arial"/>
                <w:sz w:val="18"/>
                <w:szCs w:val="18"/>
                <w:color w:val="auto"/>
                <w:w w:val="99"/>
              </w:rPr>
              <w:t>$ 36.76</w:t>
            </w:r>
          </w:p>
        </w:tc>
        <w:tc>
          <w:tcPr>
            <w:tcW w:w="1740" w:type="dxa"/>
            <w:vAlign w:val="bottom"/>
          </w:tcPr>
          <w:p>
            <w:pPr>
              <w:jc w:val="center"/>
              <w:ind w:left="1030"/>
              <w:spacing w:after="0" w:line="202" w:lineRule="exact"/>
              <w:rPr>
                <w:sz w:val="20"/>
                <w:szCs w:val="20"/>
                <w:color w:val="auto"/>
              </w:rPr>
            </w:pPr>
            <w:r>
              <w:rPr>
                <w:rFonts w:ascii="Arial" w:cs="Arial" w:eastAsia="Arial" w:hAnsi="Arial"/>
                <w:sz w:val="18"/>
                <w:szCs w:val="18"/>
                <w:color w:val="auto"/>
              </w:rPr>
              <w:t>$ 17.79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Fourth quarter</w:t>
            </w:r>
          </w:p>
        </w:tc>
        <w:tc>
          <w:tcPr>
            <w:tcW w:w="3820" w:type="dxa"/>
            <w:vAlign w:val="bottom"/>
            <w:gridSpan w:val="2"/>
            <w:shd w:val="clear" w:color="auto" w:fill="CCEEFF"/>
          </w:tcPr>
          <w:p>
            <w:pPr>
              <w:jc w:val="center"/>
              <w:ind w:left="3010"/>
              <w:spacing w:after="0" w:line="202" w:lineRule="exact"/>
              <w:rPr>
                <w:sz w:val="20"/>
                <w:szCs w:val="20"/>
                <w:color w:val="auto"/>
              </w:rPr>
            </w:pPr>
            <w:r>
              <w:rPr>
                <w:rFonts w:ascii="Arial" w:cs="Arial" w:eastAsia="Arial" w:hAnsi="Arial"/>
                <w:sz w:val="18"/>
                <w:szCs w:val="18"/>
                <w:color w:val="auto"/>
                <w:w w:val="99"/>
              </w:rPr>
              <w:t>$ 30.17</w:t>
            </w:r>
          </w:p>
        </w:tc>
        <w:tc>
          <w:tcPr>
            <w:tcW w:w="1740" w:type="dxa"/>
            <w:vAlign w:val="bottom"/>
            <w:shd w:val="clear" w:color="auto" w:fill="CCEEFF"/>
          </w:tcPr>
          <w:p>
            <w:pPr>
              <w:jc w:val="center"/>
              <w:ind w:left="1030"/>
              <w:spacing w:after="0" w:line="202" w:lineRule="exact"/>
              <w:rPr>
                <w:sz w:val="20"/>
                <w:szCs w:val="20"/>
                <w:color w:val="auto"/>
              </w:rPr>
            </w:pPr>
            <w:r>
              <w:rPr>
                <w:rFonts w:ascii="Arial" w:cs="Arial" w:eastAsia="Arial" w:hAnsi="Arial"/>
                <w:sz w:val="18"/>
                <w:szCs w:val="18"/>
                <w:color w:val="auto"/>
              </w:rPr>
              <w:t>$ 16.12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tcPr>
          <w:p>
            <w:pPr>
              <w:spacing w:after="0" w:line="202" w:lineRule="exact"/>
              <w:rPr>
                <w:sz w:val="20"/>
                <w:szCs w:val="20"/>
                <w:color w:val="auto"/>
              </w:rPr>
            </w:pPr>
            <w:r>
              <w:rPr>
                <w:rFonts w:ascii="Arial" w:cs="Arial" w:eastAsia="Arial" w:hAnsi="Arial"/>
                <w:sz w:val="18"/>
                <w:szCs w:val="18"/>
                <w:color w:val="auto"/>
              </w:rPr>
              <w:t>FISCAL 2007</w:t>
            </w:r>
          </w:p>
        </w:tc>
        <w:tc>
          <w:tcPr>
            <w:tcW w:w="3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First quarter</w:t>
            </w:r>
          </w:p>
        </w:tc>
        <w:tc>
          <w:tcPr>
            <w:tcW w:w="3820" w:type="dxa"/>
            <w:vAlign w:val="bottom"/>
            <w:gridSpan w:val="2"/>
            <w:shd w:val="clear" w:color="auto" w:fill="CCEEFF"/>
          </w:tcPr>
          <w:p>
            <w:pPr>
              <w:jc w:val="center"/>
              <w:ind w:left="3010"/>
              <w:spacing w:after="0" w:line="202" w:lineRule="exact"/>
              <w:rPr>
                <w:sz w:val="20"/>
                <w:szCs w:val="20"/>
                <w:color w:val="auto"/>
              </w:rPr>
            </w:pPr>
            <w:r>
              <w:rPr>
                <w:rFonts w:ascii="Arial" w:cs="Arial" w:eastAsia="Arial" w:hAnsi="Arial"/>
                <w:sz w:val="18"/>
                <w:szCs w:val="18"/>
                <w:color w:val="auto"/>
                <w:w w:val="99"/>
              </w:rPr>
              <w:t>$ 54.72</w:t>
            </w:r>
          </w:p>
        </w:tc>
        <w:tc>
          <w:tcPr>
            <w:tcW w:w="1740" w:type="dxa"/>
            <w:vAlign w:val="bottom"/>
            <w:shd w:val="clear" w:color="auto" w:fill="CCEEFF"/>
          </w:tcPr>
          <w:p>
            <w:pPr>
              <w:jc w:val="center"/>
              <w:ind w:left="1030"/>
              <w:spacing w:after="0" w:line="202" w:lineRule="exact"/>
              <w:rPr>
                <w:sz w:val="20"/>
                <w:szCs w:val="20"/>
                <w:color w:val="auto"/>
              </w:rPr>
            </w:pPr>
            <w:r>
              <w:rPr>
                <w:rFonts w:ascii="Arial" w:cs="Arial" w:eastAsia="Arial" w:hAnsi="Arial"/>
                <w:sz w:val="18"/>
                <w:szCs w:val="18"/>
                <w:color w:val="auto"/>
              </w:rPr>
              <w:t>$ 44.02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tcPr>
          <w:p>
            <w:pPr>
              <w:spacing w:after="0" w:line="202" w:lineRule="exact"/>
              <w:rPr>
                <w:sz w:val="20"/>
                <w:szCs w:val="20"/>
                <w:color w:val="auto"/>
              </w:rPr>
            </w:pPr>
            <w:r>
              <w:rPr>
                <w:rFonts w:ascii="Arial" w:cs="Arial" w:eastAsia="Arial" w:hAnsi="Arial"/>
                <w:sz w:val="18"/>
                <w:szCs w:val="18"/>
                <w:color w:val="auto"/>
              </w:rPr>
              <w:t>Second quarter</w:t>
            </w:r>
          </w:p>
        </w:tc>
        <w:tc>
          <w:tcPr>
            <w:tcW w:w="3820" w:type="dxa"/>
            <w:vAlign w:val="bottom"/>
            <w:gridSpan w:val="2"/>
          </w:tcPr>
          <w:p>
            <w:pPr>
              <w:jc w:val="center"/>
              <w:ind w:left="3010"/>
              <w:spacing w:after="0" w:line="202" w:lineRule="exact"/>
              <w:rPr>
                <w:sz w:val="20"/>
                <w:szCs w:val="20"/>
                <w:color w:val="auto"/>
              </w:rPr>
            </w:pPr>
            <w:r>
              <w:rPr>
                <w:rFonts w:ascii="Arial" w:cs="Arial" w:eastAsia="Arial" w:hAnsi="Arial"/>
                <w:sz w:val="18"/>
                <w:szCs w:val="18"/>
                <w:color w:val="auto"/>
                <w:w w:val="99"/>
              </w:rPr>
              <w:t>$ 57.45</w:t>
            </w:r>
          </w:p>
        </w:tc>
        <w:tc>
          <w:tcPr>
            <w:tcW w:w="1740" w:type="dxa"/>
            <w:vAlign w:val="bottom"/>
          </w:tcPr>
          <w:p>
            <w:pPr>
              <w:jc w:val="center"/>
              <w:ind w:left="1030"/>
              <w:spacing w:after="0" w:line="202" w:lineRule="exact"/>
              <w:rPr>
                <w:sz w:val="20"/>
                <w:szCs w:val="20"/>
                <w:color w:val="auto"/>
              </w:rPr>
            </w:pPr>
            <w:r>
              <w:rPr>
                <w:rFonts w:ascii="Arial" w:cs="Arial" w:eastAsia="Arial" w:hAnsi="Arial"/>
                <w:sz w:val="18"/>
                <w:szCs w:val="18"/>
                <w:color w:val="auto"/>
              </w:rPr>
              <w:t>$ 40.57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Third quarter</w:t>
            </w:r>
          </w:p>
        </w:tc>
        <w:tc>
          <w:tcPr>
            <w:tcW w:w="3820" w:type="dxa"/>
            <w:vAlign w:val="bottom"/>
            <w:gridSpan w:val="2"/>
            <w:shd w:val="clear" w:color="auto" w:fill="CCEEFF"/>
          </w:tcPr>
          <w:p>
            <w:pPr>
              <w:jc w:val="center"/>
              <w:ind w:left="3010"/>
              <w:spacing w:after="0" w:line="202" w:lineRule="exact"/>
              <w:rPr>
                <w:sz w:val="20"/>
                <w:szCs w:val="20"/>
                <w:color w:val="auto"/>
              </w:rPr>
            </w:pPr>
            <w:r>
              <w:rPr>
                <w:rFonts w:ascii="Arial" w:cs="Arial" w:eastAsia="Arial" w:hAnsi="Arial"/>
                <w:sz w:val="18"/>
                <w:szCs w:val="18"/>
                <w:color w:val="auto"/>
                <w:w w:val="99"/>
              </w:rPr>
              <w:t>$ 47.30</w:t>
            </w:r>
          </w:p>
        </w:tc>
        <w:tc>
          <w:tcPr>
            <w:tcW w:w="1740" w:type="dxa"/>
            <w:vAlign w:val="bottom"/>
            <w:shd w:val="clear" w:color="auto" w:fill="CCEEFF"/>
          </w:tcPr>
          <w:p>
            <w:pPr>
              <w:jc w:val="center"/>
              <w:ind w:left="1030"/>
              <w:spacing w:after="0" w:line="202" w:lineRule="exact"/>
              <w:rPr>
                <w:sz w:val="20"/>
                <w:szCs w:val="20"/>
                <w:color w:val="auto"/>
              </w:rPr>
            </w:pPr>
            <w:r>
              <w:rPr>
                <w:rFonts w:ascii="Arial" w:cs="Arial" w:eastAsia="Arial" w:hAnsi="Arial"/>
                <w:sz w:val="18"/>
                <w:szCs w:val="18"/>
                <w:color w:val="auto"/>
              </w:rPr>
              <w:t>$ 42.80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Fourth quarter</w:t>
            </w:r>
          </w:p>
        </w:tc>
        <w:tc>
          <w:tcPr>
            <w:tcW w:w="3820" w:type="dxa"/>
            <w:vAlign w:val="bottom"/>
            <w:gridSpan w:val="2"/>
          </w:tcPr>
          <w:p>
            <w:pPr>
              <w:jc w:val="center"/>
              <w:ind w:left="3010"/>
              <w:spacing w:after="0"/>
              <w:rPr>
                <w:sz w:val="20"/>
                <w:szCs w:val="20"/>
                <w:color w:val="auto"/>
              </w:rPr>
            </w:pPr>
            <w:r>
              <w:rPr>
                <w:rFonts w:ascii="Arial" w:cs="Arial" w:eastAsia="Arial" w:hAnsi="Arial"/>
                <w:sz w:val="18"/>
                <w:szCs w:val="18"/>
                <w:color w:val="auto"/>
                <w:w w:val="99"/>
              </w:rPr>
              <w:t>$ 49.69</w:t>
            </w:r>
          </w:p>
        </w:tc>
        <w:tc>
          <w:tcPr>
            <w:tcW w:w="1740" w:type="dxa"/>
            <w:vAlign w:val="bottom"/>
          </w:tcPr>
          <w:p>
            <w:pPr>
              <w:jc w:val="center"/>
              <w:ind w:left="1030"/>
              <w:spacing w:after="0"/>
              <w:rPr>
                <w:sz w:val="20"/>
                <w:szCs w:val="20"/>
                <w:color w:val="auto"/>
              </w:rPr>
            </w:pPr>
            <w:r>
              <w:rPr>
                <w:rFonts w:ascii="Arial" w:cs="Arial" w:eastAsia="Arial" w:hAnsi="Arial"/>
                <w:sz w:val="18"/>
                <w:szCs w:val="18"/>
                <w:color w:val="auto"/>
              </w:rPr>
              <w:t>$ 40.60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700" w:right="60" w:firstLine="402"/>
        <w:spacing w:after="0" w:line="239" w:lineRule="auto"/>
        <w:rPr>
          <w:sz w:val="20"/>
          <w:szCs w:val="20"/>
          <w:color w:val="auto"/>
        </w:rPr>
      </w:pPr>
      <w:r>
        <w:rPr>
          <w:rFonts w:ascii="Arial" w:cs="Arial" w:eastAsia="Arial" w:hAnsi="Arial"/>
          <w:sz w:val="18"/>
          <w:szCs w:val="18"/>
          <w:color w:val="auto"/>
        </w:rPr>
        <w:t>On June 22, 2005, the Company announced that its Board of Directors had approved the establishment of a quarterly cash dividend. The $0.50 per share (adjusted for the 2-for-1 stock split distributed November 9, 2005) annual dividend has been paid in quarterly increments since the fourth quarter of fiscal 2005. In addition, the Company paid a special one-time cash dividend of $ 8.00 per share on March 5, 2007. The payment of future dividends, if any, on the common shares will be determined by the Board of Directors of Scotts Miracle-Gro in light of conditions then existing, including the Company’s earnings, financial condition and capital requirements, restrictions in financing agreements, business conditions and other factors. Future dividend payments are currently restricted to $ 55 million annually under our existing credit facilities. See discussion regarding the recapitalization plan executed in the second quarter of fiscal 2007 in “ITEM 7. MANAGEMENT’S DISCUSSION AND ANALYSIS OF FINANCIAL CONDITION AND RESULTS OF OPERATIONS — Executive Summary.” See “NOTE 11. DEBT” to the Consolidated Financial Statements included in this Annual Report on Form 10-K for further discussion regarding the restrictions on dividend payments.</w:t>
      </w:r>
    </w:p>
    <w:p>
      <w:pPr>
        <w:spacing w:after="0" w:line="83" w:lineRule="exact"/>
        <w:rPr>
          <w:sz w:val="20"/>
          <w:szCs w:val="20"/>
          <w:color w:val="auto"/>
        </w:rPr>
      </w:pPr>
    </w:p>
    <w:p>
      <w:pPr>
        <w:ind w:left="700" w:right="200" w:firstLine="402"/>
        <w:spacing w:after="0" w:line="276" w:lineRule="auto"/>
        <w:rPr>
          <w:sz w:val="20"/>
          <w:szCs w:val="20"/>
          <w:color w:val="auto"/>
        </w:rPr>
      </w:pPr>
      <w:r>
        <w:rPr>
          <w:rFonts w:ascii="Arial" w:cs="Arial" w:eastAsia="Arial" w:hAnsi="Arial"/>
          <w:sz w:val="18"/>
          <w:szCs w:val="18"/>
          <w:color w:val="auto"/>
        </w:rPr>
        <w:t>As of November 21, 2008, there were approximately 29,000 shareholders, including holders of record and our estimate of beneficial holders.</w:t>
      </w:r>
    </w:p>
    <w:p>
      <w:pPr>
        <w:spacing w:after="0" w:line="51" w:lineRule="exact"/>
        <w:rPr>
          <w:sz w:val="20"/>
          <w:szCs w:val="20"/>
          <w:color w:val="auto"/>
        </w:rPr>
      </w:pPr>
    </w:p>
    <w:p>
      <w:pPr>
        <w:ind w:left="700" w:right="300" w:firstLine="402"/>
        <w:spacing w:after="0" w:line="276" w:lineRule="auto"/>
        <w:rPr>
          <w:sz w:val="20"/>
          <w:szCs w:val="20"/>
          <w:color w:val="auto"/>
        </w:rPr>
      </w:pPr>
      <w:r>
        <w:rPr>
          <w:rFonts w:ascii="Arial" w:cs="Arial" w:eastAsia="Arial" w:hAnsi="Arial"/>
          <w:sz w:val="18"/>
          <w:szCs w:val="18"/>
          <w:color w:val="auto"/>
        </w:rPr>
        <w:t>The following table shows the purchases of common shares of Scotts Miracle-Gro (“Common Shares”) made by or on behalf of Scotts Miracle-Gro or any “affiliated purchaser” (as defined in Rule 10b-18(a)(3)</w:t>
      </w:r>
    </w:p>
    <w:p>
      <w:pPr>
        <w:spacing w:after="0" w:line="8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1"/>
          <w:szCs w:val="11"/>
          <w:b w:val="1"/>
          <w:bCs w:val="1"/>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-78105</wp:posOffset>
            </wp:positionV>
            <wp:extent cx="19748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240" w:top="415" w:right="91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hyperlink w:anchor="page6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700" w:right="500"/>
        <w:spacing w:after="0" w:line="276" w:lineRule="auto"/>
        <w:rPr>
          <w:sz w:val="20"/>
          <w:szCs w:val="20"/>
          <w:color w:val="auto"/>
        </w:rPr>
      </w:pPr>
      <w:r>
        <w:rPr>
          <w:rFonts w:ascii="Arial" w:cs="Arial" w:eastAsia="Arial" w:hAnsi="Arial"/>
          <w:sz w:val="18"/>
          <w:szCs w:val="18"/>
          <w:color w:val="auto"/>
        </w:rPr>
        <w:t>under the Securities Exchange Act of 1934, as amended) of Scotts Miracle-Gro for each of the three fiscal months in the quarter ended September 30, 2008:</w:t>
      </w:r>
    </w:p>
    <w:p>
      <w:pPr>
        <w:spacing w:after="0" w:line="69" w:lineRule="exact"/>
        <w:rPr>
          <w:sz w:val="20"/>
          <w:szCs w:val="20"/>
          <w:color w:val="auto"/>
        </w:rPr>
      </w:pPr>
    </w:p>
    <w:tbl>
      <w:tblPr>
        <w:tblLayout w:type="fixed"/>
        <w:tblInd w:w="70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880" w:type="dxa"/>
            <w:vAlign w:val="bottom"/>
            <w:gridSpan w:val="2"/>
          </w:tcPr>
          <w:p>
            <w:pPr>
              <w:jc w:val="center"/>
              <w:ind w:right="400"/>
              <w:spacing w:after="0"/>
              <w:rPr>
                <w:sz w:val="20"/>
                <w:szCs w:val="20"/>
                <w:color w:val="auto"/>
              </w:rPr>
            </w:pPr>
            <w:r>
              <w:rPr>
                <w:rFonts w:ascii="Arial" w:cs="Arial" w:eastAsia="Arial" w:hAnsi="Arial"/>
                <w:sz w:val="16"/>
                <w:szCs w:val="16"/>
                <w:color w:val="auto"/>
              </w:rPr>
              <w:t>Total Number of</w:t>
            </w: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880" w:type="dxa"/>
            <w:vAlign w:val="bottom"/>
            <w:gridSpan w:val="2"/>
          </w:tcPr>
          <w:p>
            <w:pPr>
              <w:jc w:val="center"/>
              <w:ind w:right="400"/>
              <w:spacing w:after="0"/>
              <w:rPr>
                <w:sz w:val="20"/>
                <w:szCs w:val="20"/>
                <w:color w:val="auto"/>
              </w:rPr>
            </w:pPr>
            <w:r>
              <w:rPr>
                <w:rFonts w:ascii="Arial" w:cs="Arial" w:eastAsia="Arial" w:hAnsi="Arial"/>
                <w:sz w:val="16"/>
                <w:szCs w:val="16"/>
                <w:color w:val="auto"/>
                <w:w w:val="99"/>
              </w:rPr>
              <w:t>Common Shares</w:t>
            </w: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color w:val="auto"/>
              </w:rPr>
              <w:t>Maximum Number of</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880" w:type="dxa"/>
            <w:vAlign w:val="bottom"/>
            <w:gridSpan w:val="2"/>
          </w:tcPr>
          <w:p>
            <w:pPr>
              <w:jc w:val="center"/>
              <w:ind w:right="400"/>
              <w:spacing w:after="0"/>
              <w:rPr>
                <w:sz w:val="20"/>
                <w:szCs w:val="20"/>
                <w:color w:val="auto"/>
              </w:rPr>
            </w:pPr>
            <w:r>
              <w:rPr>
                <w:rFonts w:ascii="Arial" w:cs="Arial" w:eastAsia="Arial" w:hAnsi="Arial"/>
                <w:sz w:val="16"/>
                <w:szCs w:val="16"/>
                <w:color w:val="auto"/>
              </w:rPr>
              <w:t>Purchased as</w:t>
            </w:r>
          </w:p>
        </w:tc>
        <w:tc>
          <w:tcPr>
            <w:tcW w:w="1700" w:type="dxa"/>
            <w:vAlign w:val="bottom"/>
            <w:gridSpan w:val="2"/>
          </w:tcPr>
          <w:p>
            <w:pPr>
              <w:jc w:val="right"/>
              <w:ind w:right="100"/>
              <w:spacing w:after="0"/>
              <w:rPr>
                <w:sz w:val="20"/>
                <w:szCs w:val="20"/>
                <w:color w:val="auto"/>
              </w:rPr>
            </w:pPr>
            <w:r>
              <w:rPr>
                <w:rFonts w:ascii="Arial" w:cs="Arial" w:eastAsia="Arial" w:hAnsi="Arial"/>
                <w:sz w:val="16"/>
                <w:szCs w:val="16"/>
                <w:color w:val="auto"/>
              </w:rPr>
              <w:t>Common Shares That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99"/>
              </w:rPr>
              <w:t>Total Number of</w:t>
            </w:r>
          </w:p>
        </w:tc>
        <w:tc>
          <w:tcPr>
            <w:tcW w:w="5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880" w:type="dxa"/>
            <w:vAlign w:val="bottom"/>
            <w:gridSpan w:val="2"/>
          </w:tcPr>
          <w:p>
            <w:pPr>
              <w:jc w:val="center"/>
              <w:ind w:right="440"/>
              <w:spacing w:after="0"/>
              <w:rPr>
                <w:sz w:val="20"/>
                <w:szCs w:val="20"/>
                <w:color w:val="auto"/>
              </w:rPr>
            </w:pPr>
            <w:r>
              <w:rPr>
                <w:rFonts w:ascii="Arial" w:cs="Arial" w:eastAsia="Arial" w:hAnsi="Arial"/>
                <w:sz w:val="16"/>
                <w:szCs w:val="16"/>
                <w:color w:val="auto"/>
              </w:rPr>
              <w:t>Part of Publicly</w:t>
            </w: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color w:val="auto"/>
              </w:rPr>
              <w:t>May Yet Be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rPr>
              <w:t>Common Shares</w:t>
            </w:r>
          </w:p>
        </w:tc>
        <w:tc>
          <w:tcPr>
            <w:tcW w:w="2200" w:type="dxa"/>
            <w:vAlign w:val="bottom"/>
            <w:gridSpan w:val="2"/>
          </w:tcPr>
          <w:p>
            <w:pPr>
              <w:ind w:left="400"/>
              <w:spacing w:after="0"/>
              <w:rPr>
                <w:sz w:val="20"/>
                <w:szCs w:val="20"/>
                <w:color w:val="auto"/>
              </w:rPr>
            </w:pPr>
            <w:r>
              <w:rPr>
                <w:rFonts w:ascii="Arial" w:cs="Arial" w:eastAsia="Arial" w:hAnsi="Arial"/>
                <w:sz w:val="16"/>
                <w:szCs w:val="16"/>
                <w:color w:val="auto"/>
              </w:rPr>
              <w:t>Average Price Paid</w:t>
            </w:r>
          </w:p>
        </w:tc>
        <w:tc>
          <w:tcPr>
            <w:tcW w:w="1880" w:type="dxa"/>
            <w:vAlign w:val="bottom"/>
            <w:gridSpan w:val="2"/>
          </w:tcPr>
          <w:p>
            <w:pPr>
              <w:jc w:val="center"/>
              <w:ind w:right="380"/>
              <w:spacing w:after="0"/>
              <w:rPr>
                <w:sz w:val="20"/>
                <w:szCs w:val="20"/>
                <w:color w:val="auto"/>
              </w:rPr>
            </w:pPr>
            <w:r>
              <w:rPr>
                <w:rFonts w:ascii="Arial" w:cs="Arial" w:eastAsia="Arial" w:hAnsi="Arial"/>
                <w:sz w:val="16"/>
                <w:szCs w:val="16"/>
                <w:color w:val="auto"/>
              </w:rPr>
              <w:t>Announced Plans or</w:t>
            </w: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color w:val="auto"/>
              </w:rPr>
              <w:t>Purchased Under the</w:t>
            </w:r>
          </w:p>
        </w:tc>
        <w:tc>
          <w:tcPr>
            <w:tcW w:w="0" w:type="dxa"/>
            <w:vAlign w:val="bottom"/>
          </w:tcPr>
          <w:p>
            <w:pPr>
              <w:spacing w:after="0"/>
              <w:rPr>
                <w:sz w:val="1"/>
                <w:szCs w:val="1"/>
                <w:color w:val="auto"/>
              </w:rPr>
            </w:pPr>
          </w:p>
        </w:tc>
      </w:tr>
      <w:tr>
        <w:trPr>
          <w:trHeight w:val="220"/>
        </w:trPr>
        <w:tc>
          <w:tcPr>
            <w:tcW w:w="3020" w:type="dxa"/>
            <w:vAlign w:val="bottom"/>
            <w:gridSpan w:val="3"/>
          </w:tcPr>
          <w:p>
            <w:pPr>
              <w:spacing w:after="0"/>
              <w:rPr>
                <w:sz w:val="20"/>
                <w:szCs w:val="20"/>
                <w:color w:val="auto"/>
              </w:rPr>
            </w:pPr>
            <w:r>
              <w:rPr>
                <w:rFonts w:ascii="Arial" w:cs="Arial" w:eastAsia="Arial" w:hAnsi="Arial"/>
                <w:sz w:val="16"/>
                <w:szCs w:val="16"/>
                <w:color w:val="auto"/>
              </w:rPr>
              <w:t>Period</w:t>
            </w:r>
          </w:p>
        </w:tc>
        <w:tc>
          <w:tcPr>
            <w:tcW w:w="1240" w:type="dxa"/>
            <w:vAlign w:val="bottom"/>
          </w:tcPr>
          <w:p>
            <w:pPr>
              <w:jc w:val="center"/>
              <w:spacing w:after="0"/>
              <w:rPr>
                <w:sz w:val="20"/>
                <w:szCs w:val="20"/>
                <w:color w:val="auto"/>
              </w:rPr>
            </w:pPr>
            <w:r>
              <w:rPr>
                <w:rFonts w:ascii="Arial" w:cs="Arial" w:eastAsia="Arial" w:hAnsi="Arial"/>
                <w:sz w:val="16"/>
                <w:szCs w:val="16"/>
                <w:color w:val="auto"/>
              </w:rPr>
              <w:t>Purchased(1)</w:t>
            </w:r>
          </w:p>
        </w:tc>
        <w:tc>
          <w:tcPr>
            <w:tcW w:w="2200" w:type="dxa"/>
            <w:vAlign w:val="bottom"/>
            <w:gridSpan w:val="2"/>
          </w:tcPr>
          <w:p>
            <w:pPr>
              <w:ind w:left="380"/>
              <w:spacing w:after="0"/>
              <w:rPr>
                <w:sz w:val="20"/>
                <w:szCs w:val="20"/>
                <w:color w:val="auto"/>
              </w:rPr>
            </w:pPr>
            <w:r>
              <w:rPr>
                <w:rFonts w:ascii="Arial" w:cs="Arial" w:eastAsia="Arial" w:hAnsi="Arial"/>
                <w:sz w:val="16"/>
                <w:szCs w:val="16"/>
                <w:color w:val="auto"/>
              </w:rPr>
              <w:t>per Common Share</w:t>
            </w:r>
          </w:p>
        </w:tc>
        <w:tc>
          <w:tcPr>
            <w:tcW w:w="1880" w:type="dxa"/>
            <w:vAlign w:val="bottom"/>
            <w:gridSpan w:val="2"/>
          </w:tcPr>
          <w:p>
            <w:pPr>
              <w:jc w:val="center"/>
              <w:ind w:right="380"/>
              <w:spacing w:after="0"/>
              <w:rPr>
                <w:sz w:val="20"/>
                <w:szCs w:val="20"/>
                <w:color w:val="auto"/>
              </w:rPr>
            </w:pPr>
            <w:r>
              <w:rPr>
                <w:rFonts w:ascii="Arial" w:cs="Arial" w:eastAsia="Arial" w:hAnsi="Arial"/>
                <w:sz w:val="16"/>
                <w:szCs w:val="16"/>
                <w:color w:val="auto"/>
              </w:rPr>
              <w:t>Programs</w:t>
            </w: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color w:val="auto"/>
              </w:rPr>
              <w:t>Plans or Programs</w:t>
            </w:r>
          </w:p>
        </w:tc>
        <w:tc>
          <w:tcPr>
            <w:tcW w:w="0" w:type="dxa"/>
            <w:vAlign w:val="bottom"/>
          </w:tcPr>
          <w:p>
            <w:pPr>
              <w:spacing w:after="0"/>
              <w:rPr>
                <w:sz w:val="1"/>
                <w:szCs w:val="1"/>
                <w:color w:val="auto"/>
              </w:rPr>
            </w:pPr>
          </w:p>
        </w:tc>
      </w:tr>
      <w:tr>
        <w:trPr>
          <w:trHeight w:val="49"/>
        </w:trPr>
        <w:tc>
          <w:tcPr>
            <w:tcW w:w="20" w:type="dxa"/>
            <w:vAlign w:val="bottom"/>
            <w:vMerge w:val="restart"/>
          </w:tcPr>
          <w:p>
            <w:pPr>
              <w:spacing w:after="0"/>
              <w:rPr>
                <w:sz w:val="4"/>
                <w:szCs w:val="4"/>
                <w:color w:val="auto"/>
              </w:rPr>
            </w:pPr>
          </w:p>
        </w:tc>
        <w:tc>
          <w:tcPr>
            <w:tcW w:w="1180" w:type="dxa"/>
            <w:vAlign w:val="bottom"/>
            <w:tcBorders>
              <w:top w:val="single" w:sz="8" w:color="auto"/>
            </w:tcBorders>
          </w:tcPr>
          <w:p>
            <w:pPr>
              <w:spacing w:after="0"/>
              <w:rPr>
                <w:sz w:val="4"/>
                <w:szCs w:val="4"/>
                <w:color w:val="auto"/>
              </w:rPr>
            </w:pPr>
          </w:p>
        </w:tc>
        <w:tc>
          <w:tcPr>
            <w:tcW w:w="1820" w:type="dxa"/>
            <w:vAlign w:val="bottom"/>
            <w:tcBorders>
              <w:top w:val="single" w:sz="8" w:color="auto"/>
            </w:tcBorders>
          </w:tcPr>
          <w:p>
            <w:pPr>
              <w:spacing w:after="0"/>
              <w:rPr>
                <w:sz w:val="4"/>
                <w:szCs w:val="4"/>
                <w:color w:val="auto"/>
              </w:rPr>
            </w:pPr>
          </w:p>
        </w:tc>
        <w:tc>
          <w:tcPr>
            <w:tcW w:w="1240" w:type="dxa"/>
            <w:vAlign w:val="bottom"/>
            <w:tcBorders>
              <w:top w:val="single" w:sz="8" w:color="auto"/>
            </w:tcBorders>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1620" w:type="dxa"/>
            <w:vAlign w:val="bottom"/>
            <w:tcBorders>
              <w:top w:val="single" w:sz="8" w:color="auto"/>
            </w:tcBorders>
          </w:tcPr>
          <w:p>
            <w:pPr>
              <w:spacing w:after="0"/>
              <w:rPr>
                <w:sz w:val="4"/>
                <w:szCs w:val="4"/>
                <w:color w:val="auto"/>
              </w:rPr>
            </w:pPr>
          </w:p>
        </w:tc>
        <w:tc>
          <w:tcPr>
            <w:tcW w:w="1500" w:type="dxa"/>
            <w:vAlign w:val="bottom"/>
            <w:tcBorders>
              <w:top w:val="single" w:sz="8" w:color="auto"/>
            </w:tcBorders>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16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June 29 through July 26, 2008</w:t>
            </w: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798</w:t>
            </w:r>
          </w:p>
        </w:tc>
        <w:tc>
          <w:tcPr>
            <w:tcW w:w="580" w:type="dxa"/>
            <w:vAlign w:val="bottom"/>
            <w:shd w:val="clear" w:color="auto" w:fill="CCEEFF"/>
          </w:tcPr>
          <w:p>
            <w:pPr>
              <w:ind w:left="380"/>
              <w:spacing w:after="0" w:line="202" w:lineRule="exact"/>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19.02</w:t>
            </w:r>
          </w:p>
        </w:tc>
        <w:tc>
          <w:tcPr>
            <w:tcW w:w="1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w:t>
            </w:r>
          </w:p>
        </w:tc>
        <w:tc>
          <w:tcPr>
            <w:tcW w:w="38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0" w:type="dxa"/>
            <w:vAlign w:val="bottom"/>
            <w:gridSpan w:val="2"/>
          </w:tcPr>
          <w:p>
            <w:pPr>
              <w:spacing w:after="0" w:line="202" w:lineRule="exact"/>
              <w:rPr>
                <w:sz w:val="20"/>
                <w:szCs w:val="20"/>
                <w:color w:val="auto"/>
              </w:rPr>
            </w:pPr>
            <w:r>
              <w:rPr>
                <w:rFonts w:ascii="Arial" w:cs="Arial" w:eastAsia="Arial" w:hAnsi="Arial"/>
                <w:sz w:val="18"/>
                <w:szCs w:val="18"/>
                <w:color w:val="auto"/>
              </w:rPr>
              <w:t>July 27 through August 23, 2008</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0</w:t>
            </w:r>
          </w:p>
        </w:tc>
        <w:tc>
          <w:tcPr>
            <w:tcW w:w="580" w:type="dxa"/>
            <w:vAlign w:val="bottom"/>
          </w:tcPr>
          <w:p>
            <w:pPr>
              <w:spacing w:after="0"/>
              <w:rPr>
                <w:sz w:val="17"/>
                <w:szCs w:val="17"/>
                <w:color w:val="auto"/>
              </w:rPr>
            </w:pPr>
          </w:p>
        </w:tc>
        <w:tc>
          <w:tcPr>
            <w:tcW w:w="162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Not applicable</w:t>
            </w:r>
          </w:p>
        </w:tc>
        <w:tc>
          <w:tcPr>
            <w:tcW w:w="188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Not applicable</w:t>
            </w:r>
          </w:p>
        </w:tc>
        <w:tc>
          <w:tcPr>
            <w:tcW w:w="17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00" w:type="dxa"/>
            <w:vAlign w:val="bottom"/>
            <w:gridSpan w:val="2"/>
            <w:shd w:val="clear" w:color="auto" w:fill="CCEEFF"/>
          </w:tcPr>
          <w:p>
            <w:pPr>
              <w:spacing w:after="0" w:line="180" w:lineRule="exact"/>
              <w:rPr>
                <w:sz w:val="20"/>
                <w:szCs w:val="20"/>
                <w:color w:val="auto"/>
              </w:rPr>
            </w:pPr>
            <w:r>
              <w:rPr>
                <w:rFonts w:ascii="Arial" w:cs="Arial" w:eastAsia="Arial" w:hAnsi="Arial"/>
                <w:sz w:val="18"/>
                <w:szCs w:val="18"/>
                <w:color w:val="auto"/>
              </w:rPr>
              <w:t>August 24 through September 30,</w:t>
            </w:r>
          </w:p>
        </w:tc>
        <w:tc>
          <w:tcPr>
            <w:tcW w:w="12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1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2008</w:t>
            </w:r>
          </w:p>
        </w:tc>
        <w:tc>
          <w:tcPr>
            <w:tcW w:w="18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25.63</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8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10"/>
        </w:trPr>
        <w:tc>
          <w:tcPr>
            <w:tcW w:w="3020" w:type="dxa"/>
            <w:vAlign w:val="bottom"/>
            <w:gridSpan w:val="3"/>
          </w:tcPr>
          <w:p>
            <w:pPr>
              <w:spacing w:after="0"/>
              <w:rPr>
                <w:sz w:val="20"/>
                <w:szCs w:val="20"/>
                <w:color w:val="auto"/>
              </w:rPr>
            </w:pPr>
            <w:r>
              <w:rPr>
                <w:rFonts w:ascii="Arial" w:cs="Arial" w:eastAsia="Arial" w:hAnsi="Arial"/>
                <w:sz w:val="18"/>
                <w:szCs w:val="18"/>
                <w:color w:val="auto"/>
              </w:rPr>
              <w:t>Total</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1,623</w:t>
            </w:r>
          </w:p>
        </w:tc>
        <w:tc>
          <w:tcPr>
            <w:tcW w:w="580" w:type="dxa"/>
            <w:vAlign w:val="bottom"/>
          </w:tcPr>
          <w:p>
            <w:pPr>
              <w:ind w:left="38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310"/>
              <w:spacing w:after="0"/>
              <w:rPr>
                <w:sz w:val="20"/>
                <w:szCs w:val="20"/>
                <w:color w:val="auto"/>
              </w:rPr>
            </w:pPr>
            <w:r>
              <w:rPr>
                <w:rFonts w:ascii="Arial" w:cs="Arial" w:eastAsia="Arial" w:hAnsi="Arial"/>
                <w:sz w:val="18"/>
                <w:szCs w:val="18"/>
                <w:color w:val="auto"/>
              </w:rPr>
              <w:t>22.98</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38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Not applicable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8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1000" w:right="20" w:hanging="298"/>
        <w:spacing w:after="0" w:line="23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Amounts in this column represent Common Shares purchased by the trustee of the rabbi trust established by the Company as permitted pursuant to the terms of The Scotts Company LLC Executive Retirement Plan (the “ERP”). The ERP is an unfunded, non-qualified deferred compensation plan which, among other things, provides eligible employees the opportunity to defer compensation above specified statutory limits applicable to The Scotts Company LLC Retirement Savings Plan and with respect to any Executive Incentive Pay (as defined in the ERP) awarded to such eligible employees. Pursuant to the terms of the ERP, each eligible employee has the right to elect an investment fund, including a fund consisting of Common Shares (the “Scotts Miracle-Gro Common Stock Fund”), against which amounts allocated to such employee’s account under the ERP will be benchmarked (all ERP accounts are bookkeeping accounts only and do not represent a claim against specific assets of the Company). Amounts allocated to employee accounts under the ERP represent deferred compensation obligations of the Company. The Company established the rabbi trust in order to assist the Company in discharging such deferred compensation obligations. When an eligible employee elects to benchmark some or all of the amounts allocated to such employee’s account against the Scotts Miracle-Gro Common Stock Fund, the trustee of the rabbi trust purchases the number of Common Shares equivalent to the amount so benchmarked. All Common Shares purchased by the trustee are purchased on the open market and are held in the rabbi trust until such time as they are distributed pursuant to the terms of the ERP. All assets of the rabbi trust, including any Common Shares purchased by the trustee, remain, at all times, assets of the Company, subject to the claims of its creditors. The terms of the ERP do not provide for a specified limit on the number of Common Shares that may be purchased by the trustee of the rabbi trust.</w:t>
      </w:r>
    </w:p>
    <w:p>
      <w:pPr>
        <w:spacing w:after="0" w:line="75" w:lineRule="exact"/>
        <w:rPr>
          <w:rFonts w:ascii="Arial" w:cs="Arial" w:eastAsia="Arial" w:hAnsi="Arial"/>
          <w:sz w:val="18"/>
          <w:szCs w:val="18"/>
          <w:color w:val="auto"/>
        </w:rPr>
      </w:pPr>
    </w:p>
    <w:p>
      <w:pPr>
        <w:ind w:left="1000" w:right="320"/>
        <w:spacing w:after="0" w:line="276" w:lineRule="auto"/>
        <w:rPr>
          <w:rFonts w:ascii="Arial" w:cs="Arial" w:eastAsia="Arial" w:hAnsi="Arial"/>
          <w:sz w:val="18"/>
          <w:szCs w:val="18"/>
          <w:color w:val="auto"/>
        </w:rPr>
      </w:pPr>
      <w:r>
        <w:rPr>
          <w:rFonts w:ascii="Arial" w:cs="Arial" w:eastAsia="Arial" w:hAnsi="Arial"/>
          <w:sz w:val="18"/>
          <w:szCs w:val="18"/>
          <w:color w:val="auto"/>
        </w:rPr>
        <w:t>None of the Common Shares purchased during the three fiscal months in the quarter ended September 30, 2008 were purchased pursuant to a publicly announced plan or program.</w:t>
      </w:r>
    </w:p>
    <w:p>
      <w:pPr>
        <w:spacing w:after="0" w:line="161"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Recent Sales of Unregistered Securities</w:t>
      </w:r>
    </w:p>
    <w:p>
      <w:pPr>
        <w:spacing w:after="0" w:line="124" w:lineRule="exact"/>
        <w:rPr>
          <w:sz w:val="20"/>
          <w:szCs w:val="20"/>
          <w:color w:val="auto"/>
        </w:rPr>
      </w:pPr>
    </w:p>
    <w:p>
      <w:pPr>
        <w:jc w:val="both"/>
        <w:ind w:left="700" w:right="260" w:firstLine="402"/>
        <w:spacing w:after="0" w:line="257" w:lineRule="auto"/>
        <w:rPr>
          <w:sz w:val="20"/>
          <w:szCs w:val="20"/>
          <w:color w:val="auto"/>
        </w:rPr>
      </w:pPr>
      <w:r>
        <w:rPr>
          <w:rFonts w:ascii="Arial" w:cs="Arial" w:eastAsia="Arial" w:hAnsi="Arial"/>
          <w:sz w:val="17"/>
          <w:szCs w:val="17"/>
          <w:color w:val="auto"/>
        </w:rPr>
        <w:t>The Company has determined that, during a period between August 6, 2008 and October 16, 2008, the trustee of The Scotts Company LLC Retirement Savings Plan (the “RSP”) allocated to certain RSP participants’ accounts a total of 84,701 Common Shares that were not registered in accordance with the Securities Act of 1933, as amended (the “Securities Act”).</w:t>
      </w:r>
    </w:p>
    <w:p>
      <w:pPr>
        <w:spacing w:after="0" w:line="2" w:lineRule="exact"/>
        <w:rPr>
          <w:sz w:val="20"/>
          <w:szCs w:val="20"/>
          <w:color w:val="auto"/>
        </w:rPr>
      </w:pPr>
    </w:p>
    <w:p>
      <w:pPr>
        <w:jc w:val="both"/>
        <w:ind w:left="700" w:right="120"/>
        <w:spacing w:after="0" w:line="254" w:lineRule="auto"/>
        <w:rPr>
          <w:sz w:val="20"/>
          <w:szCs w:val="20"/>
          <w:color w:val="auto"/>
        </w:rPr>
      </w:pPr>
      <w:r>
        <w:rPr>
          <w:rFonts w:ascii="Arial" w:cs="Arial" w:eastAsia="Arial" w:hAnsi="Arial"/>
          <w:sz w:val="17"/>
          <w:szCs w:val="17"/>
          <w:color w:val="auto"/>
        </w:rPr>
        <w:t>The RSP is a qualified defined contribution plan that enables participants to defer some portion of their current compensation for later distribution pursuant to the terms of the RSP and to direct that such deferrals and other contributions made on such participants’ behalves be invested in one or more investment funds administered pursuant to the terms of the RSP, including the Scotts Miracle-Gro Common Stock Fund. The Securities Act requires Scotts Miracle-Gro to register Common Shares for use in connection with the RSP prior to such Common Shares being allocated to the accounts of those RSP participants who elect to invest some or all of their deferral and other contribution amounts in the Scotts Miracle-Gro Common Stock Fund.</w:t>
      </w:r>
    </w:p>
    <w:p>
      <w:pPr>
        <w:spacing w:after="0" w:line="74" w:lineRule="exact"/>
        <w:rPr>
          <w:sz w:val="20"/>
          <w:szCs w:val="20"/>
          <w:color w:val="auto"/>
        </w:rPr>
      </w:pPr>
    </w:p>
    <w:p>
      <w:pPr>
        <w:ind w:left="700" w:right="260" w:firstLine="402"/>
        <w:spacing w:after="0" w:line="255" w:lineRule="auto"/>
        <w:rPr>
          <w:sz w:val="20"/>
          <w:szCs w:val="20"/>
          <w:color w:val="auto"/>
        </w:rPr>
      </w:pPr>
      <w:r>
        <w:rPr>
          <w:rFonts w:ascii="Arial" w:cs="Arial" w:eastAsia="Arial" w:hAnsi="Arial"/>
          <w:sz w:val="18"/>
          <w:szCs w:val="18"/>
          <w:color w:val="auto"/>
        </w:rPr>
        <w:t>To satisfy obligations under the RSP with respect to amounts invested in the Scotts Miracle-Gro Common Stock Fund, the trustee of the RSP purchases previously issued Common Shares on the open market. Although Common Shares purchased on the open market were registered with the Securities and</w:t>
      </w:r>
    </w:p>
    <w:p>
      <w:pPr>
        <w:spacing w:after="0" w:line="9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1"/>
          <w:szCs w:val="11"/>
          <w:b w:val="1"/>
          <w:bCs w:val="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-78105</wp:posOffset>
            </wp:positionV>
            <wp:extent cx="19748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240" w:top="415" w:right="91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hyperlink w:anchor="page6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700"/>
        <w:spacing w:after="0" w:line="239" w:lineRule="auto"/>
        <w:rPr>
          <w:sz w:val="20"/>
          <w:szCs w:val="20"/>
          <w:color w:val="auto"/>
        </w:rPr>
      </w:pPr>
      <w:r>
        <w:rPr>
          <w:rFonts w:ascii="Arial" w:cs="Arial" w:eastAsia="Arial" w:hAnsi="Arial"/>
          <w:sz w:val="18"/>
          <w:szCs w:val="18"/>
          <w:color w:val="auto"/>
        </w:rPr>
        <w:t>Exchange Commission (the “SEC”) in accordance with the Securities Act at the time they were originally issued, such registration was effective only with respect to the original issuance of the Common Shares, and, unless an exemption from the registration requirements of the Securities Act is available, the purchased Common Shares must again be registered under the Securities Act before they can be allocated to participant accounts under the RSP. While Scotts Miracle-Gro had previously filed two Registration Statements on Form S-8 with the SEC in order to register Common Shares for use in connection with the RSP, the trustee of the RSP had allocated all available registered Common Shares to RSP participant accounts by August 6, 2008. Accordingly, Common Shares allocated to RSP participant accounts between August 6, 2008 and October 16, 2008 were not registered in accordance with the Securities Act. On October 16, 2008, Scotts Miracle-Gro filed a third Registration Statement on Form S-8 with the SEC in order to register an additional 2,500,000 Common Shares for use in connection with the RSP, and all Common Shares allocated to the RSP participant accounts after that date were registered.</w:t>
      </w:r>
    </w:p>
    <w:p>
      <w:pPr>
        <w:spacing w:after="0" w:line="83" w:lineRule="exact"/>
        <w:rPr>
          <w:sz w:val="20"/>
          <w:szCs w:val="20"/>
          <w:color w:val="auto"/>
        </w:rPr>
      </w:pPr>
    </w:p>
    <w:p>
      <w:pPr>
        <w:ind w:left="700" w:right="120" w:firstLine="402"/>
        <w:spacing w:after="0" w:line="245" w:lineRule="auto"/>
        <w:rPr>
          <w:sz w:val="20"/>
          <w:szCs w:val="20"/>
          <w:color w:val="auto"/>
        </w:rPr>
      </w:pPr>
      <w:r>
        <w:rPr>
          <w:rFonts w:ascii="Arial" w:cs="Arial" w:eastAsia="Arial" w:hAnsi="Arial"/>
          <w:sz w:val="18"/>
          <w:szCs w:val="18"/>
          <w:color w:val="auto"/>
        </w:rPr>
        <w:t>Because the Common Shares allocated to RSP participant accounts between August 6, 2008 and October 16, 2008 were not registered, those RSP participants to whose accounts Common Shares were allocated during that period may have a right to rescind purchases made on their behalf through the RSP. Given an average daily closing price of $24.50 per Common Share during the period at issue, and a closing price of $26.38 per Common Share on November 21, 2008, the Company does not intend to make a rescission offer to participants in the RSP.</w:t>
      </w:r>
    </w:p>
    <w:p>
      <w:pPr>
        <w:spacing w:after="0" w:line="11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1"/>
          <w:szCs w:val="11"/>
          <w:b w:val="1"/>
          <w:bCs w:val="1"/>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-78105</wp:posOffset>
            </wp:positionV>
            <wp:extent cx="19748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20"/>
          </w:cols>
          <w:pgMar w:left="240" w:top="415" w:right="9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hyperlink w:anchor="page64">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700"/>
        <w:spacing w:after="0"/>
        <w:tabs>
          <w:tab w:leader="none" w:pos="1480" w:val="left"/>
        </w:tabs>
        <w:rPr>
          <w:sz w:val="20"/>
          <w:szCs w:val="20"/>
          <w:color w:val="auto"/>
        </w:rPr>
      </w:pPr>
      <w:r>
        <w:rPr>
          <w:rFonts w:ascii="Arial" w:cs="Arial" w:eastAsia="Arial" w:hAnsi="Arial"/>
          <w:sz w:val="18"/>
          <w:szCs w:val="18"/>
          <w:b w:val="1"/>
          <w:bCs w:val="1"/>
          <w:u w:val="single" w:color="auto"/>
          <w:color w:val="auto"/>
        </w:rPr>
        <w:t>ITEM 6.</w:t>
      </w:r>
      <w:r>
        <w:rPr>
          <w:sz w:val="20"/>
          <w:szCs w:val="20"/>
          <w:color w:val="auto"/>
        </w:rPr>
        <w:tab/>
      </w:r>
      <w:r>
        <w:rPr>
          <w:rFonts w:ascii="Arial" w:cs="Arial" w:eastAsia="Arial" w:hAnsi="Arial"/>
          <w:sz w:val="17"/>
          <w:szCs w:val="17"/>
          <w:b w:val="1"/>
          <w:bCs w:val="1"/>
          <w:u w:val="single" w:color="auto"/>
          <w:color w:val="auto"/>
        </w:rPr>
        <w:t>SELECTED FINANCIAL DATA</w:t>
      </w:r>
    </w:p>
    <w:p>
      <w:pPr>
        <w:spacing w:after="0" w:line="333"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Five-Year Summary(1)</w:t>
      </w:r>
    </w:p>
    <w:p>
      <w:pPr>
        <w:spacing w:after="0" w:line="15"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For the fiscal year ended September 30,</w:t>
      </w:r>
    </w:p>
    <w:p>
      <w:pPr>
        <w:ind w:left="4040"/>
        <w:spacing w:after="0"/>
        <w:rPr>
          <w:sz w:val="20"/>
          <w:szCs w:val="20"/>
          <w:color w:val="auto"/>
        </w:rPr>
      </w:pPr>
      <w:r>
        <w:rPr>
          <w:rFonts w:ascii="Arial" w:cs="Arial" w:eastAsia="Arial" w:hAnsi="Arial"/>
          <w:sz w:val="18"/>
          <w:szCs w:val="18"/>
          <w:b w:val="1"/>
          <w:bCs w:val="1"/>
          <w:color w:val="auto"/>
        </w:rPr>
        <w:t>(in millions, except per share amounts)</w:t>
      </w:r>
    </w:p>
    <w:p>
      <w:pPr>
        <w:spacing w:after="0" w:line="113" w:lineRule="exact"/>
        <w:rPr>
          <w:sz w:val="20"/>
          <w:szCs w:val="20"/>
          <w:color w:val="auto"/>
        </w:rPr>
      </w:pPr>
    </w:p>
    <w:tbl>
      <w:tblPr>
        <w:tblLayout w:type="fixed"/>
        <w:tblInd w:w="70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36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2008</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2007</w:t>
            </w:r>
          </w:p>
        </w:tc>
        <w:tc>
          <w:tcPr>
            <w:tcW w:w="1240" w:type="dxa"/>
            <w:vAlign w:val="bottom"/>
            <w:tcBorders>
              <w:bottom w:val="single" w:sz="8" w:color="auto"/>
            </w:tcBorders>
            <w:gridSpan w:val="2"/>
          </w:tcPr>
          <w:p>
            <w:pPr>
              <w:jc w:val="right"/>
              <w:ind w:right="319"/>
              <w:spacing w:after="0"/>
              <w:rPr>
                <w:sz w:val="20"/>
                <w:szCs w:val="20"/>
                <w:color w:val="auto"/>
              </w:rPr>
            </w:pPr>
            <w:r>
              <w:rPr>
                <w:rFonts w:ascii="Arial" w:cs="Arial" w:eastAsia="Arial" w:hAnsi="Arial"/>
                <w:sz w:val="16"/>
                <w:szCs w:val="16"/>
                <w:color w:val="auto"/>
              </w:rPr>
              <w:t>2006(2)</w:t>
            </w:r>
          </w:p>
        </w:tc>
        <w:tc>
          <w:tcPr>
            <w:tcW w:w="1260" w:type="dxa"/>
            <w:vAlign w:val="bottom"/>
            <w:tcBorders>
              <w:bottom w:val="single" w:sz="8" w:color="auto"/>
            </w:tcBorders>
            <w:gridSpan w:val="2"/>
          </w:tcPr>
          <w:p>
            <w:pPr>
              <w:jc w:val="right"/>
              <w:ind w:right="339"/>
              <w:spacing w:after="0"/>
              <w:rPr>
                <w:sz w:val="20"/>
                <w:szCs w:val="20"/>
                <w:color w:val="auto"/>
              </w:rPr>
            </w:pPr>
            <w:r>
              <w:rPr>
                <w:rFonts w:ascii="Arial" w:cs="Arial" w:eastAsia="Arial" w:hAnsi="Arial"/>
                <w:sz w:val="16"/>
                <w:szCs w:val="16"/>
                <w:color w:val="auto"/>
              </w:rPr>
              <w:t>2005(2)</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2004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vMerge w:val="restart"/>
          </w:tcPr>
          <w:p>
            <w:pPr>
              <w:spacing w:after="0"/>
              <w:rPr>
                <w:sz w:val="4"/>
                <w:szCs w:val="4"/>
                <w:color w:val="auto"/>
              </w:rPr>
            </w:pPr>
          </w:p>
        </w:tc>
        <w:tc>
          <w:tcPr>
            <w:tcW w:w="3660" w:type="dxa"/>
            <w:vAlign w:val="bottom"/>
          </w:tcPr>
          <w:p>
            <w:pPr>
              <w:spacing w:after="0"/>
              <w:rPr>
                <w:sz w:val="4"/>
                <w:szCs w:val="4"/>
                <w:color w:val="auto"/>
              </w:rPr>
            </w:pPr>
          </w:p>
        </w:tc>
        <w:tc>
          <w:tcPr>
            <w:tcW w:w="380" w:type="dxa"/>
            <w:vAlign w:val="bottom"/>
          </w:tcPr>
          <w:p>
            <w:pPr>
              <w:spacing w:after="0"/>
              <w:rPr>
                <w:sz w:val="4"/>
                <w:szCs w:val="4"/>
                <w:color w:val="auto"/>
              </w:rPr>
            </w:pPr>
          </w:p>
        </w:tc>
        <w:tc>
          <w:tcPr>
            <w:tcW w:w="920" w:type="dxa"/>
            <w:vAlign w:val="bottom"/>
          </w:tcPr>
          <w:p>
            <w:pPr>
              <w:spacing w:after="0"/>
              <w:rPr>
                <w:sz w:val="4"/>
                <w:szCs w:val="4"/>
                <w:color w:val="auto"/>
              </w:rPr>
            </w:pPr>
          </w:p>
        </w:tc>
        <w:tc>
          <w:tcPr>
            <w:tcW w:w="320" w:type="dxa"/>
            <w:vAlign w:val="bottom"/>
          </w:tcPr>
          <w:p>
            <w:pPr>
              <w:spacing w:after="0"/>
              <w:rPr>
                <w:sz w:val="4"/>
                <w:szCs w:val="4"/>
                <w:color w:val="auto"/>
              </w:rPr>
            </w:pPr>
          </w:p>
        </w:tc>
        <w:tc>
          <w:tcPr>
            <w:tcW w:w="92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20" w:type="dxa"/>
            <w:vAlign w:val="bottom"/>
          </w:tcPr>
          <w:p>
            <w:pPr>
              <w:spacing w:after="0"/>
              <w:rPr>
                <w:sz w:val="4"/>
                <w:szCs w:val="4"/>
                <w:color w:val="auto"/>
              </w:rPr>
            </w:pPr>
          </w:p>
        </w:tc>
        <w:tc>
          <w:tcPr>
            <w:tcW w:w="320" w:type="dxa"/>
            <w:vAlign w:val="bottom"/>
          </w:tcPr>
          <w:p>
            <w:pPr>
              <w:spacing w:after="0"/>
              <w:rPr>
                <w:sz w:val="4"/>
                <w:szCs w:val="4"/>
                <w:color w:val="auto"/>
              </w:rPr>
            </w:pPr>
          </w:p>
        </w:tc>
        <w:tc>
          <w:tcPr>
            <w:tcW w:w="9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6"/>
                <w:szCs w:val="16"/>
                <w:color w:val="auto"/>
              </w:rPr>
              <w:t>OPERATING RESULTS(3):</w:t>
            </w:r>
          </w:p>
        </w:tc>
        <w:tc>
          <w:tcPr>
            <w:tcW w:w="3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60" w:type="dxa"/>
            <w:vAlign w:val="bottom"/>
          </w:tcPr>
          <w:p>
            <w:pPr>
              <w:ind w:left="140"/>
              <w:spacing w:after="0"/>
              <w:rPr>
                <w:sz w:val="20"/>
                <w:szCs w:val="20"/>
                <w:color w:val="auto"/>
              </w:rPr>
            </w:pPr>
            <w:r>
              <w:rPr>
                <w:rFonts w:ascii="Arial" w:cs="Arial" w:eastAsia="Arial" w:hAnsi="Arial"/>
                <w:sz w:val="16"/>
                <w:szCs w:val="16"/>
                <w:color w:val="auto"/>
              </w:rPr>
              <w:t>Net sales</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79"/>
              <w:spacing w:after="0"/>
              <w:rPr>
                <w:sz w:val="20"/>
                <w:szCs w:val="20"/>
                <w:color w:val="auto"/>
              </w:rPr>
            </w:pPr>
            <w:r>
              <w:rPr>
                <w:rFonts w:ascii="Arial" w:cs="Arial" w:eastAsia="Arial" w:hAnsi="Arial"/>
                <w:sz w:val="16"/>
                <w:szCs w:val="16"/>
                <w:color w:val="auto"/>
              </w:rPr>
              <w:t>2,981.8</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79"/>
              <w:spacing w:after="0"/>
              <w:rPr>
                <w:sz w:val="20"/>
                <w:szCs w:val="20"/>
                <w:color w:val="auto"/>
              </w:rPr>
            </w:pPr>
            <w:r>
              <w:rPr>
                <w:rFonts w:ascii="Arial" w:cs="Arial" w:eastAsia="Arial" w:hAnsi="Arial"/>
                <w:sz w:val="16"/>
                <w:szCs w:val="16"/>
                <w:color w:val="auto"/>
              </w:rPr>
              <w:t>2,871.8</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79"/>
              <w:spacing w:after="0"/>
              <w:rPr>
                <w:sz w:val="20"/>
                <w:szCs w:val="20"/>
                <w:color w:val="auto"/>
              </w:rPr>
            </w:pPr>
            <w:r>
              <w:rPr>
                <w:rFonts w:ascii="Arial" w:cs="Arial" w:eastAsia="Arial" w:hAnsi="Arial"/>
                <w:sz w:val="16"/>
                <w:szCs w:val="16"/>
                <w:color w:val="auto"/>
                <w:w w:val="97"/>
              </w:rPr>
              <w:t>2,697.1</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99"/>
              <w:spacing w:after="0"/>
              <w:rPr>
                <w:sz w:val="20"/>
                <w:szCs w:val="20"/>
                <w:color w:val="auto"/>
              </w:rPr>
            </w:pPr>
            <w:r>
              <w:rPr>
                <w:rFonts w:ascii="Arial" w:cs="Arial" w:eastAsia="Arial" w:hAnsi="Arial"/>
                <w:sz w:val="16"/>
                <w:szCs w:val="16"/>
                <w:color w:val="auto"/>
                <w:w w:val="97"/>
              </w:rPr>
              <w:t>2,369.3</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19"/>
              <w:spacing w:after="0"/>
              <w:rPr>
                <w:sz w:val="20"/>
                <w:szCs w:val="20"/>
                <w:color w:val="auto"/>
              </w:rPr>
            </w:pPr>
            <w:r>
              <w:rPr>
                <w:rFonts w:ascii="Arial" w:cs="Arial" w:eastAsia="Arial" w:hAnsi="Arial"/>
                <w:sz w:val="16"/>
                <w:szCs w:val="16"/>
                <w:color w:val="auto"/>
                <w:w w:val="97"/>
              </w:rPr>
              <w:t>2,106.5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Gross profit</w:t>
            </w:r>
          </w:p>
        </w:tc>
        <w:tc>
          <w:tcPr>
            <w:tcW w:w="3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939.6</w:t>
            </w: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1,004.5</w:t>
            </w: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955.9</w:t>
            </w: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860.4</w:t>
            </w: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792.4</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60" w:type="dxa"/>
            <w:vAlign w:val="bottom"/>
          </w:tcPr>
          <w:p>
            <w:pPr>
              <w:ind w:left="140"/>
              <w:spacing w:after="0"/>
              <w:rPr>
                <w:sz w:val="20"/>
                <w:szCs w:val="20"/>
                <w:color w:val="auto"/>
              </w:rPr>
            </w:pPr>
            <w:r>
              <w:rPr>
                <w:rFonts w:ascii="Arial" w:cs="Arial" w:eastAsia="Arial" w:hAnsi="Arial"/>
                <w:sz w:val="16"/>
                <w:szCs w:val="16"/>
                <w:color w:val="auto"/>
              </w:rPr>
              <w:t>Income from operations</w:t>
            </w:r>
          </w:p>
        </w:tc>
        <w:tc>
          <w:tcPr>
            <w:tcW w:w="380" w:type="dxa"/>
            <w:vAlign w:val="bottom"/>
          </w:tcPr>
          <w:p>
            <w:pPr>
              <w:spacing w:after="0"/>
              <w:rPr>
                <w:sz w:val="16"/>
                <w:szCs w:val="16"/>
                <w:color w:val="auto"/>
              </w:rPr>
            </w:pPr>
          </w:p>
        </w:tc>
        <w:tc>
          <w:tcPr>
            <w:tcW w:w="920" w:type="dxa"/>
            <w:vAlign w:val="bottom"/>
          </w:tcPr>
          <w:p>
            <w:pPr>
              <w:jc w:val="right"/>
              <w:ind w:right="279"/>
              <w:spacing w:after="0"/>
              <w:rPr>
                <w:sz w:val="20"/>
                <w:szCs w:val="20"/>
                <w:color w:val="auto"/>
              </w:rPr>
            </w:pPr>
            <w:r>
              <w:rPr>
                <w:rFonts w:ascii="Arial" w:cs="Arial" w:eastAsia="Arial" w:hAnsi="Arial"/>
                <w:sz w:val="16"/>
                <w:szCs w:val="16"/>
                <w:color w:val="auto"/>
              </w:rPr>
              <w:t>98.0</w:t>
            </w:r>
          </w:p>
        </w:tc>
        <w:tc>
          <w:tcPr>
            <w:tcW w:w="320" w:type="dxa"/>
            <w:vAlign w:val="bottom"/>
          </w:tcPr>
          <w:p>
            <w:pPr>
              <w:spacing w:after="0"/>
              <w:rPr>
                <w:sz w:val="16"/>
                <w:szCs w:val="16"/>
                <w:color w:val="auto"/>
              </w:rPr>
            </w:pPr>
          </w:p>
        </w:tc>
        <w:tc>
          <w:tcPr>
            <w:tcW w:w="920" w:type="dxa"/>
            <w:vAlign w:val="bottom"/>
          </w:tcPr>
          <w:p>
            <w:pPr>
              <w:jc w:val="right"/>
              <w:ind w:right="279"/>
              <w:spacing w:after="0"/>
              <w:rPr>
                <w:sz w:val="20"/>
                <w:szCs w:val="20"/>
                <w:color w:val="auto"/>
              </w:rPr>
            </w:pPr>
            <w:r>
              <w:rPr>
                <w:rFonts w:ascii="Arial" w:cs="Arial" w:eastAsia="Arial" w:hAnsi="Arial"/>
                <w:sz w:val="16"/>
                <w:szCs w:val="16"/>
                <w:color w:val="auto"/>
              </w:rPr>
              <w:t>277.1</w:t>
            </w:r>
          </w:p>
        </w:tc>
        <w:tc>
          <w:tcPr>
            <w:tcW w:w="340" w:type="dxa"/>
            <w:vAlign w:val="bottom"/>
          </w:tcPr>
          <w:p>
            <w:pPr>
              <w:spacing w:after="0"/>
              <w:rPr>
                <w:sz w:val="16"/>
                <w:szCs w:val="16"/>
                <w:color w:val="auto"/>
              </w:rPr>
            </w:pPr>
          </w:p>
        </w:tc>
        <w:tc>
          <w:tcPr>
            <w:tcW w:w="900" w:type="dxa"/>
            <w:vAlign w:val="bottom"/>
          </w:tcPr>
          <w:p>
            <w:pPr>
              <w:jc w:val="right"/>
              <w:ind w:right="279"/>
              <w:spacing w:after="0"/>
              <w:rPr>
                <w:sz w:val="20"/>
                <w:szCs w:val="20"/>
                <w:color w:val="auto"/>
              </w:rPr>
            </w:pPr>
            <w:r>
              <w:rPr>
                <w:rFonts w:ascii="Arial" w:cs="Arial" w:eastAsia="Arial" w:hAnsi="Arial"/>
                <w:sz w:val="16"/>
                <w:szCs w:val="16"/>
                <w:color w:val="auto"/>
              </w:rPr>
              <w:t>252.5</w:t>
            </w:r>
          </w:p>
        </w:tc>
        <w:tc>
          <w:tcPr>
            <w:tcW w:w="340" w:type="dxa"/>
            <w:vAlign w:val="bottom"/>
          </w:tcPr>
          <w:p>
            <w:pPr>
              <w:spacing w:after="0"/>
              <w:rPr>
                <w:sz w:val="16"/>
                <w:szCs w:val="16"/>
                <w:color w:val="auto"/>
              </w:rPr>
            </w:pPr>
          </w:p>
        </w:tc>
        <w:tc>
          <w:tcPr>
            <w:tcW w:w="920" w:type="dxa"/>
            <w:vAlign w:val="bottom"/>
          </w:tcPr>
          <w:p>
            <w:pPr>
              <w:jc w:val="right"/>
              <w:ind w:right="299"/>
              <w:spacing w:after="0"/>
              <w:rPr>
                <w:sz w:val="20"/>
                <w:szCs w:val="20"/>
                <w:color w:val="auto"/>
              </w:rPr>
            </w:pPr>
            <w:r>
              <w:rPr>
                <w:rFonts w:ascii="Arial" w:cs="Arial" w:eastAsia="Arial" w:hAnsi="Arial"/>
                <w:sz w:val="16"/>
                <w:szCs w:val="16"/>
                <w:color w:val="auto"/>
              </w:rPr>
              <w:t>200.9</w:t>
            </w:r>
          </w:p>
        </w:tc>
        <w:tc>
          <w:tcPr>
            <w:tcW w:w="320" w:type="dxa"/>
            <w:vAlign w:val="bottom"/>
          </w:tcPr>
          <w:p>
            <w:pPr>
              <w:spacing w:after="0"/>
              <w:rPr>
                <w:sz w:val="16"/>
                <w:szCs w:val="16"/>
                <w:color w:val="auto"/>
              </w:rPr>
            </w:pPr>
          </w:p>
        </w:tc>
        <w:tc>
          <w:tcPr>
            <w:tcW w:w="940" w:type="dxa"/>
            <w:vAlign w:val="bottom"/>
          </w:tcPr>
          <w:p>
            <w:pPr>
              <w:jc w:val="right"/>
              <w:ind w:right="319"/>
              <w:spacing w:after="0"/>
              <w:rPr>
                <w:sz w:val="20"/>
                <w:szCs w:val="20"/>
                <w:color w:val="auto"/>
              </w:rPr>
            </w:pPr>
            <w:r>
              <w:rPr>
                <w:rFonts w:ascii="Arial" w:cs="Arial" w:eastAsia="Arial" w:hAnsi="Arial"/>
                <w:sz w:val="16"/>
                <w:szCs w:val="16"/>
                <w:color w:val="auto"/>
              </w:rPr>
              <w:t>252.8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60" w:type="dxa"/>
            <w:vAlign w:val="bottom"/>
            <w:shd w:val="clear" w:color="auto" w:fill="CCEEFF"/>
          </w:tcPr>
          <w:p>
            <w:pPr>
              <w:ind w:left="140"/>
              <w:spacing w:after="0" w:line="171" w:lineRule="exact"/>
              <w:rPr>
                <w:sz w:val="20"/>
                <w:szCs w:val="20"/>
                <w:color w:val="auto"/>
              </w:rPr>
            </w:pPr>
            <w:r>
              <w:rPr>
                <w:rFonts w:ascii="Arial" w:cs="Arial" w:eastAsia="Arial" w:hAnsi="Arial"/>
                <w:sz w:val="16"/>
                <w:szCs w:val="16"/>
                <w:color w:val="auto"/>
              </w:rPr>
              <w:t>Income (loss) from continuing operations (net</w:t>
            </w:r>
          </w:p>
        </w:tc>
        <w:tc>
          <w:tcPr>
            <w:tcW w:w="3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6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of tax)</w:t>
            </w: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(10.9)</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113.4</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132.7</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100.4</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100.5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60" w:type="dxa"/>
            <w:vAlign w:val="bottom"/>
          </w:tcPr>
          <w:p>
            <w:pPr>
              <w:ind w:left="140"/>
              <w:spacing w:after="0"/>
              <w:rPr>
                <w:sz w:val="20"/>
                <w:szCs w:val="20"/>
                <w:color w:val="auto"/>
              </w:rPr>
            </w:pPr>
            <w:r>
              <w:rPr>
                <w:rFonts w:ascii="Arial" w:cs="Arial" w:eastAsia="Arial" w:hAnsi="Arial"/>
                <w:sz w:val="16"/>
                <w:szCs w:val="16"/>
                <w:color w:val="auto"/>
              </w:rPr>
              <w:t>Net income (loss)</w:t>
            </w:r>
          </w:p>
        </w:tc>
        <w:tc>
          <w:tcPr>
            <w:tcW w:w="380" w:type="dxa"/>
            <w:vAlign w:val="bottom"/>
          </w:tcPr>
          <w:p>
            <w:pPr>
              <w:spacing w:after="0"/>
              <w:rPr>
                <w:sz w:val="16"/>
                <w:szCs w:val="16"/>
                <w:color w:val="auto"/>
              </w:rPr>
            </w:pPr>
          </w:p>
        </w:tc>
        <w:tc>
          <w:tcPr>
            <w:tcW w:w="920" w:type="dxa"/>
            <w:vAlign w:val="bottom"/>
          </w:tcPr>
          <w:p>
            <w:pPr>
              <w:jc w:val="right"/>
              <w:ind w:right="239"/>
              <w:spacing w:after="0"/>
              <w:rPr>
                <w:sz w:val="20"/>
                <w:szCs w:val="20"/>
                <w:color w:val="auto"/>
              </w:rPr>
            </w:pPr>
            <w:r>
              <w:rPr>
                <w:rFonts w:ascii="Arial" w:cs="Arial" w:eastAsia="Arial" w:hAnsi="Arial"/>
                <w:sz w:val="16"/>
                <w:szCs w:val="16"/>
                <w:color w:val="auto"/>
              </w:rPr>
              <w:t>(10.9)</w:t>
            </w:r>
          </w:p>
        </w:tc>
        <w:tc>
          <w:tcPr>
            <w:tcW w:w="320" w:type="dxa"/>
            <w:vAlign w:val="bottom"/>
          </w:tcPr>
          <w:p>
            <w:pPr>
              <w:spacing w:after="0"/>
              <w:rPr>
                <w:sz w:val="16"/>
                <w:szCs w:val="16"/>
                <w:color w:val="auto"/>
              </w:rPr>
            </w:pPr>
          </w:p>
        </w:tc>
        <w:tc>
          <w:tcPr>
            <w:tcW w:w="920" w:type="dxa"/>
            <w:vAlign w:val="bottom"/>
          </w:tcPr>
          <w:p>
            <w:pPr>
              <w:jc w:val="right"/>
              <w:ind w:right="279"/>
              <w:spacing w:after="0"/>
              <w:rPr>
                <w:sz w:val="20"/>
                <w:szCs w:val="20"/>
                <w:color w:val="auto"/>
              </w:rPr>
            </w:pPr>
            <w:r>
              <w:rPr>
                <w:rFonts w:ascii="Arial" w:cs="Arial" w:eastAsia="Arial" w:hAnsi="Arial"/>
                <w:sz w:val="16"/>
                <w:szCs w:val="16"/>
                <w:color w:val="auto"/>
              </w:rPr>
              <w:t>113.4</w:t>
            </w:r>
          </w:p>
        </w:tc>
        <w:tc>
          <w:tcPr>
            <w:tcW w:w="340" w:type="dxa"/>
            <w:vAlign w:val="bottom"/>
          </w:tcPr>
          <w:p>
            <w:pPr>
              <w:spacing w:after="0"/>
              <w:rPr>
                <w:sz w:val="16"/>
                <w:szCs w:val="16"/>
                <w:color w:val="auto"/>
              </w:rPr>
            </w:pPr>
          </w:p>
        </w:tc>
        <w:tc>
          <w:tcPr>
            <w:tcW w:w="900" w:type="dxa"/>
            <w:vAlign w:val="bottom"/>
          </w:tcPr>
          <w:p>
            <w:pPr>
              <w:jc w:val="right"/>
              <w:ind w:right="279"/>
              <w:spacing w:after="0"/>
              <w:rPr>
                <w:sz w:val="20"/>
                <w:szCs w:val="20"/>
                <w:color w:val="auto"/>
              </w:rPr>
            </w:pPr>
            <w:r>
              <w:rPr>
                <w:rFonts w:ascii="Arial" w:cs="Arial" w:eastAsia="Arial" w:hAnsi="Arial"/>
                <w:sz w:val="16"/>
                <w:szCs w:val="16"/>
                <w:color w:val="auto"/>
              </w:rPr>
              <w:t>132.7</w:t>
            </w:r>
          </w:p>
        </w:tc>
        <w:tc>
          <w:tcPr>
            <w:tcW w:w="340" w:type="dxa"/>
            <w:vAlign w:val="bottom"/>
          </w:tcPr>
          <w:p>
            <w:pPr>
              <w:spacing w:after="0"/>
              <w:rPr>
                <w:sz w:val="16"/>
                <w:szCs w:val="16"/>
                <w:color w:val="auto"/>
              </w:rPr>
            </w:pPr>
          </w:p>
        </w:tc>
        <w:tc>
          <w:tcPr>
            <w:tcW w:w="920" w:type="dxa"/>
            <w:vAlign w:val="bottom"/>
          </w:tcPr>
          <w:p>
            <w:pPr>
              <w:jc w:val="right"/>
              <w:ind w:right="299"/>
              <w:spacing w:after="0"/>
              <w:rPr>
                <w:sz w:val="20"/>
                <w:szCs w:val="20"/>
                <w:color w:val="auto"/>
              </w:rPr>
            </w:pPr>
            <w:r>
              <w:rPr>
                <w:rFonts w:ascii="Arial" w:cs="Arial" w:eastAsia="Arial" w:hAnsi="Arial"/>
                <w:sz w:val="16"/>
                <w:szCs w:val="16"/>
                <w:color w:val="auto"/>
              </w:rPr>
              <w:t>100.6</w:t>
            </w:r>
          </w:p>
        </w:tc>
        <w:tc>
          <w:tcPr>
            <w:tcW w:w="320" w:type="dxa"/>
            <w:vAlign w:val="bottom"/>
          </w:tcPr>
          <w:p>
            <w:pPr>
              <w:spacing w:after="0"/>
              <w:rPr>
                <w:sz w:val="16"/>
                <w:szCs w:val="16"/>
                <w:color w:val="auto"/>
              </w:rPr>
            </w:pPr>
          </w:p>
        </w:tc>
        <w:tc>
          <w:tcPr>
            <w:tcW w:w="940" w:type="dxa"/>
            <w:vAlign w:val="bottom"/>
          </w:tcPr>
          <w:p>
            <w:pPr>
              <w:jc w:val="right"/>
              <w:ind w:right="319"/>
              <w:spacing w:after="0"/>
              <w:rPr>
                <w:sz w:val="20"/>
                <w:szCs w:val="20"/>
                <w:color w:val="auto"/>
              </w:rPr>
            </w:pPr>
            <w:r>
              <w:rPr>
                <w:rFonts w:ascii="Arial" w:cs="Arial" w:eastAsia="Arial" w:hAnsi="Arial"/>
                <w:sz w:val="16"/>
                <w:szCs w:val="16"/>
                <w:color w:val="auto"/>
              </w:rPr>
              <w:t>100.9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Depreciation and amortization</w:t>
            </w:r>
          </w:p>
        </w:tc>
        <w:tc>
          <w:tcPr>
            <w:tcW w:w="3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70.3</w:t>
            </w: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67.5</w:t>
            </w: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67.0</w:t>
            </w: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67.2</w:t>
            </w: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57.7</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60" w:type="dxa"/>
            <w:vAlign w:val="bottom"/>
          </w:tcPr>
          <w:p>
            <w:pPr>
              <w:spacing w:after="0"/>
              <w:rPr>
                <w:sz w:val="20"/>
                <w:szCs w:val="20"/>
                <w:color w:val="auto"/>
              </w:rPr>
            </w:pPr>
            <w:r>
              <w:rPr>
                <w:rFonts w:ascii="Arial" w:cs="Arial" w:eastAsia="Arial" w:hAnsi="Arial"/>
                <w:sz w:val="16"/>
                <w:szCs w:val="16"/>
                <w:color w:val="auto"/>
              </w:rPr>
              <w:t>FINANCIAL POSITION:</w:t>
            </w: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Working capital</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366.8</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412.7</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445.8</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301.6</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396.7</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60" w:type="dxa"/>
            <w:vAlign w:val="bottom"/>
          </w:tcPr>
          <w:p>
            <w:pPr>
              <w:ind w:left="140"/>
              <w:spacing w:after="0"/>
              <w:rPr>
                <w:sz w:val="20"/>
                <w:szCs w:val="20"/>
                <w:color w:val="auto"/>
              </w:rPr>
            </w:pPr>
            <w:r>
              <w:rPr>
                <w:rFonts w:ascii="Arial" w:cs="Arial" w:eastAsia="Arial" w:hAnsi="Arial"/>
                <w:sz w:val="16"/>
                <w:szCs w:val="16"/>
                <w:color w:val="auto"/>
              </w:rPr>
              <w:t>Current ratio</w:t>
            </w:r>
          </w:p>
        </w:tc>
        <w:tc>
          <w:tcPr>
            <w:tcW w:w="380" w:type="dxa"/>
            <w:vAlign w:val="bottom"/>
          </w:tcPr>
          <w:p>
            <w:pPr>
              <w:spacing w:after="0"/>
              <w:rPr>
                <w:sz w:val="16"/>
                <w:szCs w:val="16"/>
                <w:color w:val="auto"/>
              </w:rPr>
            </w:pPr>
          </w:p>
        </w:tc>
        <w:tc>
          <w:tcPr>
            <w:tcW w:w="920" w:type="dxa"/>
            <w:vAlign w:val="bottom"/>
          </w:tcPr>
          <w:p>
            <w:pPr>
              <w:jc w:val="right"/>
              <w:ind w:right="279"/>
              <w:spacing w:after="0"/>
              <w:rPr>
                <w:sz w:val="20"/>
                <w:szCs w:val="20"/>
                <w:color w:val="auto"/>
              </w:rPr>
            </w:pPr>
            <w:r>
              <w:rPr>
                <w:rFonts w:ascii="Arial" w:cs="Arial" w:eastAsia="Arial" w:hAnsi="Arial"/>
                <w:sz w:val="16"/>
                <w:szCs w:val="16"/>
                <w:color w:val="auto"/>
              </w:rPr>
              <w:t>1.5</w:t>
            </w:r>
          </w:p>
        </w:tc>
        <w:tc>
          <w:tcPr>
            <w:tcW w:w="320" w:type="dxa"/>
            <w:vAlign w:val="bottom"/>
          </w:tcPr>
          <w:p>
            <w:pPr>
              <w:spacing w:after="0"/>
              <w:rPr>
                <w:sz w:val="16"/>
                <w:szCs w:val="16"/>
                <w:color w:val="auto"/>
              </w:rPr>
            </w:pPr>
          </w:p>
        </w:tc>
        <w:tc>
          <w:tcPr>
            <w:tcW w:w="920" w:type="dxa"/>
            <w:vAlign w:val="bottom"/>
          </w:tcPr>
          <w:p>
            <w:pPr>
              <w:jc w:val="right"/>
              <w:ind w:right="279"/>
              <w:spacing w:after="0"/>
              <w:rPr>
                <w:sz w:val="20"/>
                <w:szCs w:val="20"/>
                <w:color w:val="auto"/>
              </w:rPr>
            </w:pPr>
            <w:r>
              <w:rPr>
                <w:rFonts w:ascii="Arial" w:cs="Arial" w:eastAsia="Arial" w:hAnsi="Arial"/>
                <w:sz w:val="16"/>
                <w:szCs w:val="16"/>
                <w:color w:val="auto"/>
              </w:rPr>
              <w:t>1.7</w:t>
            </w:r>
          </w:p>
        </w:tc>
        <w:tc>
          <w:tcPr>
            <w:tcW w:w="340" w:type="dxa"/>
            <w:vAlign w:val="bottom"/>
          </w:tcPr>
          <w:p>
            <w:pPr>
              <w:spacing w:after="0"/>
              <w:rPr>
                <w:sz w:val="16"/>
                <w:szCs w:val="16"/>
                <w:color w:val="auto"/>
              </w:rPr>
            </w:pPr>
          </w:p>
        </w:tc>
        <w:tc>
          <w:tcPr>
            <w:tcW w:w="900" w:type="dxa"/>
            <w:vAlign w:val="bottom"/>
          </w:tcPr>
          <w:p>
            <w:pPr>
              <w:jc w:val="right"/>
              <w:ind w:right="279"/>
              <w:spacing w:after="0"/>
              <w:rPr>
                <w:sz w:val="20"/>
                <w:szCs w:val="20"/>
                <w:color w:val="auto"/>
              </w:rPr>
            </w:pPr>
            <w:r>
              <w:rPr>
                <w:rFonts w:ascii="Arial" w:cs="Arial" w:eastAsia="Arial" w:hAnsi="Arial"/>
                <w:sz w:val="16"/>
                <w:szCs w:val="16"/>
                <w:color w:val="auto"/>
              </w:rPr>
              <w:t>1.9</w:t>
            </w:r>
          </w:p>
        </w:tc>
        <w:tc>
          <w:tcPr>
            <w:tcW w:w="340" w:type="dxa"/>
            <w:vAlign w:val="bottom"/>
          </w:tcPr>
          <w:p>
            <w:pPr>
              <w:spacing w:after="0"/>
              <w:rPr>
                <w:sz w:val="16"/>
                <w:szCs w:val="16"/>
                <w:color w:val="auto"/>
              </w:rPr>
            </w:pPr>
          </w:p>
        </w:tc>
        <w:tc>
          <w:tcPr>
            <w:tcW w:w="920" w:type="dxa"/>
            <w:vAlign w:val="bottom"/>
          </w:tcPr>
          <w:p>
            <w:pPr>
              <w:jc w:val="right"/>
              <w:ind w:right="299"/>
              <w:spacing w:after="0"/>
              <w:rPr>
                <w:sz w:val="20"/>
                <w:szCs w:val="20"/>
                <w:color w:val="auto"/>
              </w:rPr>
            </w:pPr>
            <w:r>
              <w:rPr>
                <w:rFonts w:ascii="Arial" w:cs="Arial" w:eastAsia="Arial" w:hAnsi="Arial"/>
                <w:sz w:val="16"/>
                <w:szCs w:val="16"/>
                <w:color w:val="auto"/>
              </w:rPr>
              <w:t>1.6</w:t>
            </w:r>
          </w:p>
        </w:tc>
        <w:tc>
          <w:tcPr>
            <w:tcW w:w="320" w:type="dxa"/>
            <w:vAlign w:val="bottom"/>
          </w:tcPr>
          <w:p>
            <w:pPr>
              <w:spacing w:after="0"/>
              <w:rPr>
                <w:sz w:val="16"/>
                <w:szCs w:val="16"/>
                <w:color w:val="auto"/>
              </w:rPr>
            </w:pPr>
          </w:p>
        </w:tc>
        <w:tc>
          <w:tcPr>
            <w:tcW w:w="940" w:type="dxa"/>
            <w:vAlign w:val="bottom"/>
          </w:tcPr>
          <w:p>
            <w:pPr>
              <w:jc w:val="right"/>
              <w:ind w:right="319"/>
              <w:spacing w:after="0"/>
              <w:rPr>
                <w:sz w:val="20"/>
                <w:szCs w:val="20"/>
                <w:color w:val="auto"/>
              </w:rPr>
            </w:pPr>
            <w:r>
              <w:rPr>
                <w:rFonts w:ascii="Arial" w:cs="Arial" w:eastAsia="Arial" w:hAnsi="Arial"/>
                <w:sz w:val="16"/>
                <w:szCs w:val="16"/>
                <w:color w:val="auto"/>
              </w:rPr>
              <w:t>1.9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Property, plant and equipment, net</w:t>
            </w:r>
          </w:p>
        </w:tc>
        <w:tc>
          <w:tcPr>
            <w:tcW w:w="3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344.1</w:t>
            </w: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365.9</w:t>
            </w: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367.6</w:t>
            </w: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337.0</w:t>
            </w: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328.0</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60" w:type="dxa"/>
            <w:vAlign w:val="bottom"/>
          </w:tcPr>
          <w:p>
            <w:pPr>
              <w:ind w:left="140"/>
              <w:spacing w:after="0"/>
              <w:rPr>
                <w:sz w:val="20"/>
                <w:szCs w:val="20"/>
                <w:color w:val="auto"/>
              </w:rPr>
            </w:pPr>
            <w:r>
              <w:rPr>
                <w:rFonts w:ascii="Arial" w:cs="Arial" w:eastAsia="Arial" w:hAnsi="Arial"/>
                <w:sz w:val="16"/>
                <w:szCs w:val="16"/>
                <w:color w:val="auto"/>
              </w:rPr>
              <w:t>Total assets</w:t>
            </w:r>
          </w:p>
        </w:tc>
        <w:tc>
          <w:tcPr>
            <w:tcW w:w="380" w:type="dxa"/>
            <w:vAlign w:val="bottom"/>
          </w:tcPr>
          <w:p>
            <w:pPr>
              <w:spacing w:after="0"/>
              <w:rPr>
                <w:sz w:val="16"/>
                <w:szCs w:val="16"/>
                <w:color w:val="auto"/>
              </w:rPr>
            </w:pPr>
          </w:p>
        </w:tc>
        <w:tc>
          <w:tcPr>
            <w:tcW w:w="920" w:type="dxa"/>
            <w:vAlign w:val="bottom"/>
          </w:tcPr>
          <w:p>
            <w:pPr>
              <w:jc w:val="right"/>
              <w:ind w:right="279"/>
              <w:spacing w:after="0"/>
              <w:rPr>
                <w:sz w:val="20"/>
                <w:szCs w:val="20"/>
                <w:color w:val="auto"/>
              </w:rPr>
            </w:pPr>
            <w:r>
              <w:rPr>
                <w:rFonts w:ascii="Arial" w:cs="Arial" w:eastAsia="Arial" w:hAnsi="Arial"/>
                <w:sz w:val="16"/>
                <w:szCs w:val="16"/>
                <w:color w:val="auto"/>
              </w:rPr>
              <w:t>2,156.3</w:t>
            </w:r>
          </w:p>
        </w:tc>
        <w:tc>
          <w:tcPr>
            <w:tcW w:w="320" w:type="dxa"/>
            <w:vAlign w:val="bottom"/>
          </w:tcPr>
          <w:p>
            <w:pPr>
              <w:spacing w:after="0"/>
              <w:rPr>
                <w:sz w:val="16"/>
                <w:szCs w:val="16"/>
                <w:color w:val="auto"/>
              </w:rPr>
            </w:pPr>
          </w:p>
        </w:tc>
        <w:tc>
          <w:tcPr>
            <w:tcW w:w="920" w:type="dxa"/>
            <w:vAlign w:val="bottom"/>
          </w:tcPr>
          <w:p>
            <w:pPr>
              <w:jc w:val="right"/>
              <w:ind w:right="279"/>
              <w:spacing w:after="0"/>
              <w:rPr>
                <w:sz w:val="20"/>
                <w:szCs w:val="20"/>
                <w:color w:val="auto"/>
              </w:rPr>
            </w:pPr>
            <w:r>
              <w:rPr>
                <w:rFonts w:ascii="Arial" w:cs="Arial" w:eastAsia="Arial" w:hAnsi="Arial"/>
                <w:sz w:val="16"/>
                <w:szCs w:val="16"/>
                <w:color w:val="auto"/>
              </w:rPr>
              <w:t>2,277.2</w:t>
            </w:r>
          </w:p>
        </w:tc>
        <w:tc>
          <w:tcPr>
            <w:tcW w:w="340" w:type="dxa"/>
            <w:vAlign w:val="bottom"/>
          </w:tcPr>
          <w:p>
            <w:pPr>
              <w:spacing w:after="0"/>
              <w:rPr>
                <w:sz w:val="16"/>
                <w:szCs w:val="16"/>
                <w:color w:val="auto"/>
              </w:rPr>
            </w:pPr>
          </w:p>
        </w:tc>
        <w:tc>
          <w:tcPr>
            <w:tcW w:w="900" w:type="dxa"/>
            <w:vAlign w:val="bottom"/>
          </w:tcPr>
          <w:p>
            <w:pPr>
              <w:jc w:val="right"/>
              <w:ind w:right="279"/>
              <w:spacing w:after="0"/>
              <w:rPr>
                <w:sz w:val="20"/>
                <w:szCs w:val="20"/>
                <w:color w:val="auto"/>
              </w:rPr>
            </w:pPr>
            <w:r>
              <w:rPr>
                <w:rFonts w:ascii="Arial" w:cs="Arial" w:eastAsia="Arial" w:hAnsi="Arial"/>
                <w:sz w:val="16"/>
                <w:szCs w:val="16"/>
                <w:color w:val="auto"/>
                <w:w w:val="97"/>
              </w:rPr>
              <w:t>2,217.6</w:t>
            </w:r>
          </w:p>
        </w:tc>
        <w:tc>
          <w:tcPr>
            <w:tcW w:w="340" w:type="dxa"/>
            <w:vAlign w:val="bottom"/>
          </w:tcPr>
          <w:p>
            <w:pPr>
              <w:spacing w:after="0"/>
              <w:rPr>
                <w:sz w:val="16"/>
                <w:szCs w:val="16"/>
                <w:color w:val="auto"/>
              </w:rPr>
            </w:pPr>
          </w:p>
        </w:tc>
        <w:tc>
          <w:tcPr>
            <w:tcW w:w="920" w:type="dxa"/>
            <w:vAlign w:val="bottom"/>
          </w:tcPr>
          <w:p>
            <w:pPr>
              <w:jc w:val="right"/>
              <w:ind w:right="299"/>
              <w:spacing w:after="0"/>
              <w:rPr>
                <w:sz w:val="20"/>
                <w:szCs w:val="20"/>
                <w:color w:val="auto"/>
              </w:rPr>
            </w:pPr>
            <w:r>
              <w:rPr>
                <w:rFonts w:ascii="Arial" w:cs="Arial" w:eastAsia="Arial" w:hAnsi="Arial"/>
                <w:sz w:val="16"/>
                <w:szCs w:val="16"/>
                <w:color w:val="auto"/>
                <w:w w:val="97"/>
              </w:rPr>
              <w:t>2,018.9</w:t>
            </w:r>
          </w:p>
        </w:tc>
        <w:tc>
          <w:tcPr>
            <w:tcW w:w="320" w:type="dxa"/>
            <w:vAlign w:val="bottom"/>
          </w:tcPr>
          <w:p>
            <w:pPr>
              <w:spacing w:after="0"/>
              <w:rPr>
                <w:sz w:val="16"/>
                <w:szCs w:val="16"/>
                <w:color w:val="auto"/>
              </w:rPr>
            </w:pPr>
          </w:p>
        </w:tc>
        <w:tc>
          <w:tcPr>
            <w:tcW w:w="940" w:type="dxa"/>
            <w:vAlign w:val="bottom"/>
          </w:tcPr>
          <w:p>
            <w:pPr>
              <w:jc w:val="right"/>
              <w:ind w:right="319"/>
              <w:spacing w:after="0"/>
              <w:rPr>
                <w:sz w:val="20"/>
                <w:szCs w:val="20"/>
                <w:color w:val="auto"/>
              </w:rPr>
            </w:pPr>
            <w:r>
              <w:rPr>
                <w:rFonts w:ascii="Arial" w:cs="Arial" w:eastAsia="Arial" w:hAnsi="Arial"/>
                <w:sz w:val="16"/>
                <w:szCs w:val="16"/>
                <w:color w:val="auto"/>
                <w:w w:val="97"/>
              </w:rPr>
              <w:t>2,047.8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debt to total book capitalization(4)</w:t>
            </w:r>
          </w:p>
        </w:tc>
        <w:tc>
          <w:tcPr>
            <w:tcW w:w="3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69.6%</w:t>
            </w: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70.0%</w:t>
            </w: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30.8%</w:t>
            </w: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27.7%</w:t>
            </w: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41.9%</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60" w:type="dxa"/>
            <w:vAlign w:val="bottom"/>
          </w:tcPr>
          <w:p>
            <w:pPr>
              <w:ind w:left="140"/>
              <w:spacing w:after="0"/>
              <w:rPr>
                <w:sz w:val="20"/>
                <w:szCs w:val="20"/>
                <w:color w:val="auto"/>
              </w:rPr>
            </w:pPr>
            <w:r>
              <w:rPr>
                <w:rFonts w:ascii="Arial" w:cs="Arial" w:eastAsia="Arial" w:hAnsi="Arial"/>
                <w:sz w:val="16"/>
                <w:szCs w:val="16"/>
                <w:color w:val="auto"/>
              </w:rPr>
              <w:t>Total debt</w:t>
            </w:r>
          </w:p>
        </w:tc>
        <w:tc>
          <w:tcPr>
            <w:tcW w:w="380" w:type="dxa"/>
            <w:vAlign w:val="bottom"/>
          </w:tcPr>
          <w:p>
            <w:pPr>
              <w:spacing w:after="0"/>
              <w:rPr>
                <w:sz w:val="16"/>
                <w:szCs w:val="16"/>
                <w:color w:val="auto"/>
              </w:rPr>
            </w:pPr>
          </w:p>
        </w:tc>
        <w:tc>
          <w:tcPr>
            <w:tcW w:w="920" w:type="dxa"/>
            <w:vAlign w:val="bottom"/>
          </w:tcPr>
          <w:p>
            <w:pPr>
              <w:jc w:val="right"/>
              <w:ind w:right="279"/>
              <w:spacing w:after="0"/>
              <w:rPr>
                <w:sz w:val="20"/>
                <w:szCs w:val="20"/>
                <w:color w:val="auto"/>
              </w:rPr>
            </w:pPr>
            <w:r>
              <w:rPr>
                <w:rFonts w:ascii="Arial" w:cs="Arial" w:eastAsia="Arial" w:hAnsi="Arial"/>
                <w:sz w:val="16"/>
                <w:szCs w:val="16"/>
                <w:color w:val="auto"/>
              </w:rPr>
              <w:t>999.5</w:t>
            </w:r>
          </w:p>
        </w:tc>
        <w:tc>
          <w:tcPr>
            <w:tcW w:w="320" w:type="dxa"/>
            <w:vAlign w:val="bottom"/>
          </w:tcPr>
          <w:p>
            <w:pPr>
              <w:spacing w:after="0"/>
              <w:rPr>
                <w:sz w:val="16"/>
                <w:szCs w:val="16"/>
                <w:color w:val="auto"/>
              </w:rPr>
            </w:pPr>
          </w:p>
        </w:tc>
        <w:tc>
          <w:tcPr>
            <w:tcW w:w="920" w:type="dxa"/>
            <w:vAlign w:val="bottom"/>
          </w:tcPr>
          <w:p>
            <w:pPr>
              <w:jc w:val="right"/>
              <w:ind w:right="279"/>
              <w:spacing w:after="0"/>
              <w:rPr>
                <w:sz w:val="20"/>
                <w:szCs w:val="20"/>
                <w:color w:val="auto"/>
              </w:rPr>
            </w:pPr>
            <w:r>
              <w:rPr>
                <w:rFonts w:ascii="Arial" w:cs="Arial" w:eastAsia="Arial" w:hAnsi="Arial"/>
                <w:sz w:val="16"/>
                <w:szCs w:val="16"/>
                <w:color w:val="auto"/>
              </w:rPr>
              <w:t>1,117.8</w:t>
            </w:r>
          </w:p>
        </w:tc>
        <w:tc>
          <w:tcPr>
            <w:tcW w:w="340" w:type="dxa"/>
            <w:vAlign w:val="bottom"/>
          </w:tcPr>
          <w:p>
            <w:pPr>
              <w:spacing w:after="0"/>
              <w:rPr>
                <w:sz w:val="16"/>
                <w:szCs w:val="16"/>
                <w:color w:val="auto"/>
              </w:rPr>
            </w:pPr>
          </w:p>
        </w:tc>
        <w:tc>
          <w:tcPr>
            <w:tcW w:w="900" w:type="dxa"/>
            <w:vAlign w:val="bottom"/>
          </w:tcPr>
          <w:p>
            <w:pPr>
              <w:jc w:val="right"/>
              <w:ind w:right="279"/>
              <w:spacing w:after="0"/>
              <w:rPr>
                <w:sz w:val="20"/>
                <w:szCs w:val="20"/>
                <w:color w:val="auto"/>
              </w:rPr>
            </w:pPr>
            <w:r>
              <w:rPr>
                <w:rFonts w:ascii="Arial" w:cs="Arial" w:eastAsia="Arial" w:hAnsi="Arial"/>
                <w:sz w:val="16"/>
                <w:szCs w:val="16"/>
                <w:color w:val="auto"/>
              </w:rPr>
              <w:t>481.2</w:t>
            </w:r>
          </w:p>
        </w:tc>
        <w:tc>
          <w:tcPr>
            <w:tcW w:w="340" w:type="dxa"/>
            <w:vAlign w:val="bottom"/>
          </w:tcPr>
          <w:p>
            <w:pPr>
              <w:spacing w:after="0"/>
              <w:rPr>
                <w:sz w:val="16"/>
                <w:szCs w:val="16"/>
                <w:color w:val="auto"/>
              </w:rPr>
            </w:pPr>
          </w:p>
        </w:tc>
        <w:tc>
          <w:tcPr>
            <w:tcW w:w="920" w:type="dxa"/>
            <w:vAlign w:val="bottom"/>
          </w:tcPr>
          <w:p>
            <w:pPr>
              <w:jc w:val="right"/>
              <w:ind w:right="299"/>
              <w:spacing w:after="0"/>
              <w:rPr>
                <w:sz w:val="20"/>
                <w:szCs w:val="20"/>
                <w:color w:val="auto"/>
              </w:rPr>
            </w:pPr>
            <w:r>
              <w:rPr>
                <w:rFonts w:ascii="Arial" w:cs="Arial" w:eastAsia="Arial" w:hAnsi="Arial"/>
                <w:sz w:val="16"/>
                <w:szCs w:val="16"/>
                <w:color w:val="auto"/>
              </w:rPr>
              <w:t>393.5</w:t>
            </w:r>
          </w:p>
        </w:tc>
        <w:tc>
          <w:tcPr>
            <w:tcW w:w="320" w:type="dxa"/>
            <w:vAlign w:val="bottom"/>
          </w:tcPr>
          <w:p>
            <w:pPr>
              <w:spacing w:after="0"/>
              <w:rPr>
                <w:sz w:val="16"/>
                <w:szCs w:val="16"/>
                <w:color w:val="auto"/>
              </w:rPr>
            </w:pPr>
          </w:p>
        </w:tc>
        <w:tc>
          <w:tcPr>
            <w:tcW w:w="940" w:type="dxa"/>
            <w:vAlign w:val="bottom"/>
          </w:tcPr>
          <w:p>
            <w:pPr>
              <w:jc w:val="right"/>
              <w:ind w:right="319"/>
              <w:spacing w:after="0"/>
              <w:rPr>
                <w:sz w:val="20"/>
                <w:szCs w:val="20"/>
                <w:color w:val="auto"/>
              </w:rPr>
            </w:pPr>
            <w:r>
              <w:rPr>
                <w:rFonts w:ascii="Arial" w:cs="Arial" w:eastAsia="Arial" w:hAnsi="Arial"/>
                <w:sz w:val="16"/>
                <w:szCs w:val="16"/>
                <w:color w:val="auto"/>
              </w:rPr>
              <w:t>630.6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shareholders’ equity</w:t>
            </w:r>
          </w:p>
        </w:tc>
        <w:tc>
          <w:tcPr>
            <w:tcW w:w="3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436.7</w:t>
            </w: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479.3</w:t>
            </w: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97"/>
              </w:rPr>
              <w:t>1,081.7</w:t>
            </w: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97"/>
              </w:rPr>
              <w:t>1,026.2</w:t>
            </w: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874.6</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60" w:type="dxa"/>
            <w:vAlign w:val="bottom"/>
          </w:tcPr>
          <w:p>
            <w:pPr>
              <w:spacing w:after="0"/>
              <w:rPr>
                <w:sz w:val="20"/>
                <w:szCs w:val="20"/>
                <w:color w:val="auto"/>
              </w:rPr>
            </w:pPr>
            <w:r>
              <w:rPr>
                <w:rFonts w:ascii="Arial" w:cs="Arial" w:eastAsia="Arial" w:hAnsi="Arial"/>
                <w:sz w:val="16"/>
                <w:szCs w:val="16"/>
                <w:color w:val="auto"/>
              </w:rPr>
              <w:t>CASH FLOWS:</w:t>
            </w: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flows from operating activities</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200.9</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246.6</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182.4</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226.7</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214.2</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60" w:type="dxa"/>
            <w:vAlign w:val="bottom"/>
          </w:tcPr>
          <w:p>
            <w:pPr>
              <w:ind w:left="140"/>
              <w:spacing w:after="0"/>
              <w:rPr>
                <w:sz w:val="20"/>
                <w:szCs w:val="20"/>
                <w:color w:val="auto"/>
              </w:rPr>
            </w:pPr>
            <w:r>
              <w:rPr>
                <w:rFonts w:ascii="Arial" w:cs="Arial" w:eastAsia="Arial" w:hAnsi="Arial"/>
                <w:sz w:val="16"/>
                <w:szCs w:val="16"/>
                <w:color w:val="auto"/>
              </w:rPr>
              <w:t>Investments in property, plant and equipment</w:t>
            </w:r>
          </w:p>
        </w:tc>
        <w:tc>
          <w:tcPr>
            <w:tcW w:w="380" w:type="dxa"/>
            <w:vAlign w:val="bottom"/>
          </w:tcPr>
          <w:p>
            <w:pPr>
              <w:spacing w:after="0"/>
              <w:rPr>
                <w:sz w:val="16"/>
                <w:szCs w:val="16"/>
                <w:color w:val="auto"/>
              </w:rPr>
            </w:pPr>
          </w:p>
        </w:tc>
        <w:tc>
          <w:tcPr>
            <w:tcW w:w="920" w:type="dxa"/>
            <w:vAlign w:val="bottom"/>
          </w:tcPr>
          <w:p>
            <w:pPr>
              <w:jc w:val="right"/>
              <w:ind w:right="279"/>
              <w:spacing w:after="0"/>
              <w:rPr>
                <w:sz w:val="20"/>
                <w:szCs w:val="20"/>
                <w:color w:val="auto"/>
              </w:rPr>
            </w:pPr>
            <w:r>
              <w:rPr>
                <w:rFonts w:ascii="Arial" w:cs="Arial" w:eastAsia="Arial" w:hAnsi="Arial"/>
                <w:sz w:val="16"/>
                <w:szCs w:val="16"/>
                <w:color w:val="auto"/>
              </w:rPr>
              <w:t>56.1</w:t>
            </w:r>
          </w:p>
        </w:tc>
        <w:tc>
          <w:tcPr>
            <w:tcW w:w="320" w:type="dxa"/>
            <w:vAlign w:val="bottom"/>
          </w:tcPr>
          <w:p>
            <w:pPr>
              <w:spacing w:after="0"/>
              <w:rPr>
                <w:sz w:val="16"/>
                <w:szCs w:val="16"/>
                <w:color w:val="auto"/>
              </w:rPr>
            </w:pPr>
          </w:p>
        </w:tc>
        <w:tc>
          <w:tcPr>
            <w:tcW w:w="920" w:type="dxa"/>
            <w:vAlign w:val="bottom"/>
          </w:tcPr>
          <w:p>
            <w:pPr>
              <w:jc w:val="right"/>
              <w:ind w:right="279"/>
              <w:spacing w:after="0"/>
              <w:rPr>
                <w:sz w:val="20"/>
                <w:szCs w:val="20"/>
                <w:color w:val="auto"/>
              </w:rPr>
            </w:pPr>
            <w:r>
              <w:rPr>
                <w:rFonts w:ascii="Arial" w:cs="Arial" w:eastAsia="Arial" w:hAnsi="Arial"/>
                <w:sz w:val="16"/>
                <w:szCs w:val="16"/>
                <w:color w:val="auto"/>
              </w:rPr>
              <w:t>54.0</w:t>
            </w:r>
          </w:p>
        </w:tc>
        <w:tc>
          <w:tcPr>
            <w:tcW w:w="340" w:type="dxa"/>
            <w:vAlign w:val="bottom"/>
          </w:tcPr>
          <w:p>
            <w:pPr>
              <w:spacing w:after="0"/>
              <w:rPr>
                <w:sz w:val="16"/>
                <w:szCs w:val="16"/>
                <w:color w:val="auto"/>
              </w:rPr>
            </w:pPr>
          </w:p>
        </w:tc>
        <w:tc>
          <w:tcPr>
            <w:tcW w:w="900" w:type="dxa"/>
            <w:vAlign w:val="bottom"/>
          </w:tcPr>
          <w:p>
            <w:pPr>
              <w:jc w:val="right"/>
              <w:ind w:right="279"/>
              <w:spacing w:after="0"/>
              <w:rPr>
                <w:sz w:val="20"/>
                <w:szCs w:val="20"/>
                <w:color w:val="auto"/>
              </w:rPr>
            </w:pPr>
            <w:r>
              <w:rPr>
                <w:rFonts w:ascii="Arial" w:cs="Arial" w:eastAsia="Arial" w:hAnsi="Arial"/>
                <w:sz w:val="16"/>
                <w:szCs w:val="16"/>
                <w:color w:val="auto"/>
              </w:rPr>
              <w:t>57.0</w:t>
            </w:r>
          </w:p>
        </w:tc>
        <w:tc>
          <w:tcPr>
            <w:tcW w:w="340" w:type="dxa"/>
            <w:vAlign w:val="bottom"/>
          </w:tcPr>
          <w:p>
            <w:pPr>
              <w:spacing w:after="0"/>
              <w:rPr>
                <w:sz w:val="16"/>
                <w:szCs w:val="16"/>
                <w:color w:val="auto"/>
              </w:rPr>
            </w:pPr>
          </w:p>
        </w:tc>
        <w:tc>
          <w:tcPr>
            <w:tcW w:w="920" w:type="dxa"/>
            <w:vAlign w:val="bottom"/>
          </w:tcPr>
          <w:p>
            <w:pPr>
              <w:jc w:val="right"/>
              <w:ind w:right="299"/>
              <w:spacing w:after="0"/>
              <w:rPr>
                <w:sz w:val="20"/>
                <w:szCs w:val="20"/>
                <w:color w:val="auto"/>
              </w:rPr>
            </w:pPr>
            <w:r>
              <w:rPr>
                <w:rFonts w:ascii="Arial" w:cs="Arial" w:eastAsia="Arial" w:hAnsi="Arial"/>
                <w:sz w:val="16"/>
                <w:szCs w:val="16"/>
                <w:color w:val="auto"/>
              </w:rPr>
              <w:t>40.4</w:t>
            </w:r>
          </w:p>
        </w:tc>
        <w:tc>
          <w:tcPr>
            <w:tcW w:w="320" w:type="dxa"/>
            <w:vAlign w:val="bottom"/>
          </w:tcPr>
          <w:p>
            <w:pPr>
              <w:spacing w:after="0"/>
              <w:rPr>
                <w:sz w:val="16"/>
                <w:szCs w:val="16"/>
                <w:color w:val="auto"/>
              </w:rPr>
            </w:pPr>
          </w:p>
        </w:tc>
        <w:tc>
          <w:tcPr>
            <w:tcW w:w="940" w:type="dxa"/>
            <w:vAlign w:val="bottom"/>
          </w:tcPr>
          <w:p>
            <w:pPr>
              <w:jc w:val="right"/>
              <w:ind w:right="319"/>
              <w:spacing w:after="0"/>
              <w:rPr>
                <w:sz w:val="20"/>
                <w:szCs w:val="20"/>
                <w:color w:val="auto"/>
              </w:rPr>
            </w:pPr>
            <w:r>
              <w:rPr>
                <w:rFonts w:ascii="Arial" w:cs="Arial" w:eastAsia="Arial" w:hAnsi="Arial"/>
                <w:sz w:val="16"/>
                <w:szCs w:val="16"/>
                <w:color w:val="auto"/>
              </w:rPr>
              <w:t>35.1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Investments in intellectual property</w:t>
            </w:r>
          </w:p>
        </w:tc>
        <w:tc>
          <w:tcPr>
            <w:tcW w:w="3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4.1</w:t>
            </w: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60" w:type="dxa"/>
            <w:vAlign w:val="bottom"/>
          </w:tcPr>
          <w:p>
            <w:pPr>
              <w:ind w:left="140"/>
              <w:spacing w:after="0" w:line="171" w:lineRule="exact"/>
              <w:rPr>
                <w:sz w:val="20"/>
                <w:szCs w:val="20"/>
                <w:color w:val="auto"/>
              </w:rPr>
            </w:pPr>
            <w:r>
              <w:rPr>
                <w:rFonts w:ascii="Arial" w:cs="Arial" w:eastAsia="Arial" w:hAnsi="Arial"/>
                <w:sz w:val="16"/>
                <w:szCs w:val="16"/>
                <w:color w:val="auto"/>
              </w:rPr>
              <w:t>Investments in acquisitions, including seller</w:t>
            </w: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660" w:type="dxa"/>
            <w:vAlign w:val="bottom"/>
          </w:tcPr>
          <w:p>
            <w:pPr>
              <w:ind w:left="300"/>
              <w:spacing w:after="0"/>
              <w:rPr>
                <w:sz w:val="20"/>
                <w:szCs w:val="20"/>
                <w:color w:val="auto"/>
              </w:rPr>
            </w:pPr>
            <w:r>
              <w:rPr>
                <w:rFonts w:ascii="Arial" w:cs="Arial" w:eastAsia="Arial" w:hAnsi="Arial"/>
                <w:sz w:val="16"/>
                <w:szCs w:val="16"/>
                <w:color w:val="auto"/>
              </w:rPr>
              <w:t>note payments</w:t>
            </w:r>
          </w:p>
        </w:tc>
        <w:tc>
          <w:tcPr>
            <w:tcW w:w="380" w:type="dxa"/>
            <w:vAlign w:val="bottom"/>
          </w:tcPr>
          <w:p>
            <w:pPr>
              <w:spacing w:after="0"/>
              <w:rPr>
                <w:sz w:val="18"/>
                <w:szCs w:val="18"/>
                <w:color w:val="auto"/>
              </w:rPr>
            </w:pPr>
          </w:p>
        </w:tc>
        <w:tc>
          <w:tcPr>
            <w:tcW w:w="920" w:type="dxa"/>
            <w:vAlign w:val="bottom"/>
          </w:tcPr>
          <w:p>
            <w:pPr>
              <w:jc w:val="right"/>
              <w:ind w:right="279"/>
              <w:spacing w:after="0"/>
              <w:rPr>
                <w:sz w:val="20"/>
                <w:szCs w:val="20"/>
                <w:color w:val="auto"/>
              </w:rPr>
            </w:pPr>
            <w:r>
              <w:rPr>
                <w:rFonts w:ascii="Arial" w:cs="Arial" w:eastAsia="Arial" w:hAnsi="Arial"/>
                <w:sz w:val="16"/>
                <w:szCs w:val="16"/>
                <w:color w:val="auto"/>
              </w:rPr>
              <w:t>2.7</w:t>
            </w:r>
          </w:p>
        </w:tc>
        <w:tc>
          <w:tcPr>
            <w:tcW w:w="320" w:type="dxa"/>
            <w:vAlign w:val="bottom"/>
          </w:tcPr>
          <w:p>
            <w:pPr>
              <w:spacing w:after="0"/>
              <w:rPr>
                <w:sz w:val="18"/>
                <w:szCs w:val="18"/>
                <w:color w:val="auto"/>
              </w:rPr>
            </w:pPr>
          </w:p>
        </w:tc>
        <w:tc>
          <w:tcPr>
            <w:tcW w:w="920" w:type="dxa"/>
            <w:vAlign w:val="bottom"/>
          </w:tcPr>
          <w:p>
            <w:pPr>
              <w:jc w:val="right"/>
              <w:ind w:right="279"/>
              <w:spacing w:after="0"/>
              <w:rPr>
                <w:sz w:val="20"/>
                <w:szCs w:val="20"/>
                <w:color w:val="auto"/>
              </w:rPr>
            </w:pPr>
            <w:r>
              <w:rPr>
                <w:rFonts w:ascii="Arial" w:cs="Arial" w:eastAsia="Arial" w:hAnsi="Arial"/>
                <w:sz w:val="16"/>
                <w:szCs w:val="16"/>
                <w:color w:val="auto"/>
              </w:rPr>
              <w:t>21.4</w:t>
            </w:r>
          </w:p>
        </w:tc>
        <w:tc>
          <w:tcPr>
            <w:tcW w:w="340" w:type="dxa"/>
            <w:vAlign w:val="bottom"/>
          </w:tcPr>
          <w:p>
            <w:pPr>
              <w:spacing w:after="0"/>
              <w:rPr>
                <w:sz w:val="18"/>
                <w:szCs w:val="18"/>
                <w:color w:val="auto"/>
              </w:rPr>
            </w:pPr>
          </w:p>
        </w:tc>
        <w:tc>
          <w:tcPr>
            <w:tcW w:w="900" w:type="dxa"/>
            <w:vAlign w:val="bottom"/>
          </w:tcPr>
          <w:p>
            <w:pPr>
              <w:jc w:val="right"/>
              <w:ind w:right="279"/>
              <w:spacing w:after="0"/>
              <w:rPr>
                <w:sz w:val="20"/>
                <w:szCs w:val="20"/>
                <w:color w:val="auto"/>
              </w:rPr>
            </w:pPr>
            <w:r>
              <w:rPr>
                <w:rFonts w:ascii="Arial" w:cs="Arial" w:eastAsia="Arial" w:hAnsi="Arial"/>
                <w:sz w:val="16"/>
                <w:szCs w:val="16"/>
                <w:color w:val="auto"/>
              </w:rPr>
              <w:t>122.9</w:t>
            </w:r>
          </w:p>
        </w:tc>
        <w:tc>
          <w:tcPr>
            <w:tcW w:w="340" w:type="dxa"/>
            <w:vAlign w:val="bottom"/>
          </w:tcPr>
          <w:p>
            <w:pPr>
              <w:spacing w:after="0"/>
              <w:rPr>
                <w:sz w:val="18"/>
                <w:szCs w:val="18"/>
                <w:color w:val="auto"/>
              </w:rPr>
            </w:pPr>
          </w:p>
        </w:tc>
        <w:tc>
          <w:tcPr>
            <w:tcW w:w="920" w:type="dxa"/>
            <w:vAlign w:val="bottom"/>
          </w:tcPr>
          <w:p>
            <w:pPr>
              <w:jc w:val="right"/>
              <w:ind w:right="299"/>
              <w:spacing w:after="0"/>
              <w:rPr>
                <w:sz w:val="20"/>
                <w:szCs w:val="20"/>
                <w:color w:val="auto"/>
              </w:rPr>
            </w:pPr>
            <w:r>
              <w:rPr>
                <w:rFonts w:ascii="Arial" w:cs="Arial" w:eastAsia="Arial" w:hAnsi="Arial"/>
                <w:sz w:val="16"/>
                <w:szCs w:val="16"/>
                <w:color w:val="auto"/>
              </w:rPr>
              <w:t>84.6</w:t>
            </w:r>
          </w:p>
        </w:tc>
        <w:tc>
          <w:tcPr>
            <w:tcW w:w="320" w:type="dxa"/>
            <w:vAlign w:val="bottom"/>
          </w:tcPr>
          <w:p>
            <w:pPr>
              <w:spacing w:after="0"/>
              <w:rPr>
                <w:sz w:val="18"/>
                <w:szCs w:val="18"/>
                <w:color w:val="auto"/>
              </w:rPr>
            </w:pPr>
          </w:p>
        </w:tc>
        <w:tc>
          <w:tcPr>
            <w:tcW w:w="940" w:type="dxa"/>
            <w:vAlign w:val="bottom"/>
          </w:tcPr>
          <w:p>
            <w:pPr>
              <w:jc w:val="right"/>
              <w:ind w:right="319"/>
              <w:spacing w:after="0"/>
              <w:rPr>
                <w:sz w:val="20"/>
                <w:szCs w:val="20"/>
                <w:color w:val="auto"/>
              </w:rPr>
            </w:pPr>
            <w:r>
              <w:rPr>
                <w:rFonts w:ascii="Arial" w:cs="Arial" w:eastAsia="Arial" w:hAnsi="Arial"/>
                <w:sz w:val="16"/>
                <w:szCs w:val="16"/>
                <w:color w:val="auto"/>
              </w:rPr>
              <w:t>20.5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6"/>
                <w:szCs w:val="16"/>
                <w:color w:val="auto"/>
              </w:rPr>
              <w:t>PER SHARE DATA:</w:t>
            </w:r>
          </w:p>
        </w:tc>
        <w:tc>
          <w:tcPr>
            <w:tcW w:w="3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60" w:type="dxa"/>
            <w:vAlign w:val="bottom"/>
          </w:tcPr>
          <w:p>
            <w:pPr>
              <w:ind w:left="140"/>
              <w:spacing w:after="0"/>
              <w:rPr>
                <w:sz w:val="20"/>
                <w:szCs w:val="20"/>
                <w:color w:val="auto"/>
              </w:rPr>
            </w:pPr>
            <w:r>
              <w:rPr>
                <w:rFonts w:ascii="Arial" w:cs="Arial" w:eastAsia="Arial" w:hAnsi="Arial"/>
                <w:sz w:val="16"/>
                <w:szCs w:val="16"/>
                <w:color w:val="auto"/>
              </w:rPr>
              <w:t>Basic earnings (loss) per common share</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39"/>
              <w:spacing w:after="0"/>
              <w:rPr>
                <w:sz w:val="20"/>
                <w:szCs w:val="20"/>
                <w:color w:val="auto"/>
              </w:rPr>
            </w:pPr>
            <w:r>
              <w:rPr>
                <w:rFonts w:ascii="Arial" w:cs="Arial" w:eastAsia="Arial" w:hAnsi="Arial"/>
                <w:sz w:val="16"/>
                <w:szCs w:val="16"/>
                <w:color w:val="auto"/>
              </w:rPr>
              <w:t>(0.17)</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79"/>
              <w:spacing w:after="0"/>
              <w:rPr>
                <w:sz w:val="20"/>
                <w:szCs w:val="20"/>
                <w:color w:val="auto"/>
              </w:rPr>
            </w:pPr>
            <w:r>
              <w:rPr>
                <w:rFonts w:ascii="Arial" w:cs="Arial" w:eastAsia="Arial" w:hAnsi="Arial"/>
                <w:sz w:val="16"/>
                <w:szCs w:val="16"/>
                <w:color w:val="auto"/>
              </w:rPr>
              <w:t>1.74</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79"/>
              <w:spacing w:after="0"/>
              <w:rPr>
                <w:sz w:val="20"/>
                <w:szCs w:val="20"/>
                <w:color w:val="auto"/>
              </w:rPr>
            </w:pPr>
            <w:r>
              <w:rPr>
                <w:rFonts w:ascii="Arial" w:cs="Arial" w:eastAsia="Arial" w:hAnsi="Arial"/>
                <w:sz w:val="16"/>
                <w:szCs w:val="16"/>
                <w:color w:val="auto"/>
              </w:rPr>
              <w:t>1.97</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99"/>
              <w:spacing w:after="0"/>
              <w:rPr>
                <w:sz w:val="20"/>
                <w:szCs w:val="20"/>
                <w:color w:val="auto"/>
              </w:rPr>
            </w:pPr>
            <w:r>
              <w:rPr>
                <w:rFonts w:ascii="Arial" w:cs="Arial" w:eastAsia="Arial" w:hAnsi="Arial"/>
                <w:sz w:val="16"/>
                <w:szCs w:val="16"/>
                <w:color w:val="auto"/>
              </w:rPr>
              <w:t>1.51</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19"/>
              <w:spacing w:after="0"/>
              <w:rPr>
                <w:sz w:val="20"/>
                <w:szCs w:val="20"/>
                <w:color w:val="auto"/>
              </w:rPr>
            </w:pPr>
            <w:r>
              <w:rPr>
                <w:rFonts w:ascii="Arial" w:cs="Arial" w:eastAsia="Arial" w:hAnsi="Arial"/>
                <w:sz w:val="16"/>
                <w:szCs w:val="16"/>
                <w:color w:val="auto"/>
              </w:rPr>
              <w:t>1.56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Diluted earnings (loss) per common share</w:t>
            </w:r>
          </w:p>
        </w:tc>
        <w:tc>
          <w:tcPr>
            <w:tcW w:w="3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(0.17)</w:t>
            </w: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1.69</w:t>
            </w: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1.91</w:t>
            </w: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1.47</w:t>
            </w: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1.52</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60" w:type="dxa"/>
            <w:vAlign w:val="bottom"/>
          </w:tcPr>
          <w:p>
            <w:pPr>
              <w:ind w:left="140"/>
              <w:spacing w:after="0"/>
              <w:rPr>
                <w:sz w:val="20"/>
                <w:szCs w:val="20"/>
                <w:color w:val="auto"/>
              </w:rPr>
            </w:pPr>
            <w:r>
              <w:rPr>
                <w:rFonts w:ascii="Arial" w:cs="Arial" w:eastAsia="Arial" w:hAnsi="Arial"/>
                <w:sz w:val="16"/>
                <w:szCs w:val="16"/>
                <w:color w:val="auto"/>
              </w:rPr>
              <w:t>Total cash dividends paid</w:t>
            </w:r>
          </w:p>
        </w:tc>
        <w:tc>
          <w:tcPr>
            <w:tcW w:w="380" w:type="dxa"/>
            <w:vAlign w:val="bottom"/>
          </w:tcPr>
          <w:p>
            <w:pPr>
              <w:spacing w:after="0"/>
              <w:rPr>
                <w:sz w:val="16"/>
                <w:szCs w:val="16"/>
                <w:color w:val="auto"/>
              </w:rPr>
            </w:pPr>
          </w:p>
        </w:tc>
        <w:tc>
          <w:tcPr>
            <w:tcW w:w="920" w:type="dxa"/>
            <w:vAlign w:val="bottom"/>
          </w:tcPr>
          <w:p>
            <w:pPr>
              <w:jc w:val="right"/>
              <w:ind w:right="279"/>
              <w:spacing w:after="0"/>
              <w:rPr>
                <w:sz w:val="20"/>
                <w:szCs w:val="20"/>
                <w:color w:val="auto"/>
              </w:rPr>
            </w:pPr>
            <w:r>
              <w:rPr>
                <w:rFonts w:ascii="Arial" w:cs="Arial" w:eastAsia="Arial" w:hAnsi="Arial"/>
                <w:sz w:val="16"/>
                <w:szCs w:val="16"/>
                <w:color w:val="auto"/>
              </w:rPr>
              <w:t>32.5</w:t>
            </w:r>
          </w:p>
        </w:tc>
        <w:tc>
          <w:tcPr>
            <w:tcW w:w="320" w:type="dxa"/>
            <w:vAlign w:val="bottom"/>
          </w:tcPr>
          <w:p>
            <w:pPr>
              <w:spacing w:after="0"/>
              <w:rPr>
                <w:sz w:val="16"/>
                <w:szCs w:val="16"/>
                <w:color w:val="auto"/>
              </w:rPr>
            </w:pPr>
          </w:p>
        </w:tc>
        <w:tc>
          <w:tcPr>
            <w:tcW w:w="920" w:type="dxa"/>
            <w:vAlign w:val="bottom"/>
          </w:tcPr>
          <w:p>
            <w:pPr>
              <w:jc w:val="right"/>
              <w:ind w:right="279"/>
              <w:spacing w:after="0"/>
              <w:rPr>
                <w:sz w:val="20"/>
                <w:szCs w:val="20"/>
                <w:color w:val="auto"/>
              </w:rPr>
            </w:pPr>
            <w:r>
              <w:rPr>
                <w:rFonts w:ascii="Arial" w:cs="Arial" w:eastAsia="Arial" w:hAnsi="Arial"/>
                <w:sz w:val="16"/>
                <w:szCs w:val="16"/>
                <w:color w:val="auto"/>
              </w:rPr>
              <w:t>543.6</w:t>
            </w:r>
          </w:p>
        </w:tc>
        <w:tc>
          <w:tcPr>
            <w:tcW w:w="340" w:type="dxa"/>
            <w:vAlign w:val="bottom"/>
          </w:tcPr>
          <w:p>
            <w:pPr>
              <w:spacing w:after="0"/>
              <w:rPr>
                <w:sz w:val="16"/>
                <w:szCs w:val="16"/>
                <w:color w:val="auto"/>
              </w:rPr>
            </w:pPr>
          </w:p>
        </w:tc>
        <w:tc>
          <w:tcPr>
            <w:tcW w:w="900" w:type="dxa"/>
            <w:vAlign w:val="bottom"/>
          </w:tcPr>
          <w:p>
            <w:pPr>
              <w:jc w:val="right"/>
              <w:ind w:right="279"/>
              <w:spacing w:after="0"/>
              <w:rPr>
                <w:sz w:val="20"/>
                <w:szCs w:val="20"/>
                <w:color w:val="auto"/>
              </w:rPr>
            </w:pPr>
            <w:r>
              <w:rPr>
                <w:rFonts w:ascii="Arial" w:cs="Arial" w:eastAsia="Arial" w:hAnsi="Arial"/>
                <w:sz w:val="16"/>
                <w:szCs w:val="16"/>
                <w:color w:val="auto"/>
              </w:rPr>
              <w:t>33.5</w:t>
            </w:r>
          </w:p>
        </w:tc>
        <w:tc>
          <w:tcPr>
            <w:tcW w:w="340" w:type="dxa"/>
            <w:vAlign w:val="bottom"/>
          </w:tcPr>
          <w:p>
            <w:pPr>
              <w:spacing w:after="0"/>
              <w:rPr>
                <w:sz w:val="16"/>
                <w:szCs w:val="16"/>
                <w:color w:val="auto"/>
              </w:rPr>
            </w:pPr>
          </w:p>
        </w:tc>
        <w:tc>
          <w:tcPr>
            <w:tcW w:w="920" w:type="dxa"/>
            <w:vAlign w:val="bottom"/>
          </w:tcPr>
          <w:p>
            <w:pPr>
              <w:jc w:val="right"/>
              <w:ind w:right="299"/>
              <w:spacing w:after="0"/>
              <w:rPr>
                <w:sz w:val="20"/>
                <w:szCs w:val="20"/>
                <w:color w:val="auto"/>
              </w:rPr>
            </w:pPr>
            <w:r>
              <w:rPr>
                <w:rFonts w:ascii="Arial" w:cs="Arial" w:eastAsia="Arial" w:hAnsi="Arial"/>
                <w:sz w:val="16"/>
                <w:szCs w:val="16"/>
                <w:color w:val="auto"/>
              </w:rPr>
              <w:t>8.6</w:t>
            </w:r>
          </w:p>
        </w:tc>
        <w:tc>
          <w:tcPr>
            <w:tcW w:w="320" w:type="dxa"/>
            <w:vAlign w:val="bottom"/>
          </w:tcPr>
          <w:p>
            <w:pPr>
              <w:spacing w:after="0"/>
              <w:rPr>
                <w:sz w:val="16"/>
                <w:szCs w:val="16"/>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Dividends per share(5)(6)</w:t>
            </w:r>
          </w:p>
        </w:tc>
        <w:tc>
          <w:tcPr>
            <w:tcW w:w="3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0.50</w:t>
            </w: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8.50</w:t>
            </w: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0.50</w:t>
            </w: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0.125</w:t>
            </w:r>
          </w:p>
        </w:tc>
        <w:tc>
          <w:tcPr>
            <w:tcW w:w="3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60" w:type="dxa"/>
            <w:vAlign w:val="bottom"/>
          </w:tcPr>
          <w:p>
            <w:pPr>
              <w:ind w:left="140"/>
              <w:spacing w:after="0"/>
              <w:rPr>
                <w:sz w:val="20"/>
                <w:szCs w:val="20"/>
                <w:color w:val="auto"/>
              </w:rPr>
            </w:pPr>
            <w:r>
              <w:rPr>
                <w:rFonts w:ascii="Arial" w:cs="Arial" w:eastAsia="Arial" w:hAnsi="Arial"/>
                <w:sz w:val="16"/>
                <w:szCs w:val="16"/>
                <w:color w:val="auto"/>
              </w:rPr>
              <w:t>Stock price at year-end(6)</w:t>
            </w:r>
          </w:p>
        </w:tc>
        <w:tc>
          <w:tcPr>
            <w:tcW w:w="380" w:type="dxa"/>
            <w:vAlign w:val="bottom"/>
          </w:tcPr>
          <w:p>
            <w:pPr>
              <w:spacing w:after="0"/>
              <w:rPr>
                <w:sz w:val="16"/>
                <w:szCs w:val="16"/>
                <w:color w:val="auto"/>
              </w:rPr>
            </w:pPr>
          </w:p>
        </w:tc>
        <w:tc>
          <w:tcPr>
            <w:tcW w:w="920" w:type="dxa"/>
            <w:vAlign w:val="bottom"/>
          </w:tcPr>
          <w:p>
            <w:pPr>
              <w:jc w:val="right"/>
              <w:ind w:right="279"/>
              <w:spacing w:after="0"/>
              <w:rPr>
                <w:sz w:val="20"/>
                <w:szCs w:val="20"/>
                <w:color w:val="auto"/>
              </w:rPr>
            </w:pPr>
            <w:r>
              <w:rPr>
                <w:rFonts w:ascii="Arial" w:cs="Arial" w:eastAsia="Arial" w:hAnsi="Arial"/>
                <w:sz w:val="16"/>
                <w:szCs w:val="16"/>
                <w:color w:val="auto"/>
              </w:rPr>
              <w:t>23.64</w:t>
            </w:r>
          </w:p>
        </w:tc>
        <w:tc>
          <w:tcPr>
            <w:tcW w:w="320" w:type="dxa"/>
            <w:vAlign w:val="bottom"/>
          </w:tcPr>
          <w:p>
            <w:pPr>
              <w:spacing w:after="0"/>
              <w:rPr>
                <w:sz w:val="16"/>
                <w:szCs w:val="16"/>
                <w:color w:val="auto"/>
              </w:rPr>
            </w:pPr>
          </w:p>
        </w:tc>
        <w:tc>
          <w:tcPr>
            <w:tcW w:w="920" w:type="dxa"/>
            <w:vAlign w:val="bottom"/>
          </w:tcPr>
          <w:p>
            <w:pPr>
              <w:jc w:val="right"/>
              <w:ind w:right="279"/>
              <w:spacing w:after="0"/>
              <w:rPr>
                <w:sz w:val="20"/>
                <w:szCs w:val="20"/>
                <w:color w:val="auto"/>
              </w:rPr>
            </w:pPr>
            <w:r>
              <w:rPr>
                <w:rFonts w:ascii="Arial" w:cs="Arial" w:eastAsia="Arial" w:hAnsi="Arial"/>
                <w:sz w:val="16"/>
                <w:szCs w:val="16"/>
                <w:color w:val="auto"/>
              </w:rPr>
              <w:t>42.75</w:t>
            </w:r>
          </w:p>
        </w:tc>
        <w:tc>
          <w:tcPr>
            <w:tcW w:w="340" w:type="dxa"/>
            <w:vAlign w:val="bottom"/>
          </w:tcPr>
          <w:p>
            <w:pPr>
              <w:spacing w:after="0"/>
              <w:rPr>
                <w:sz w:val="16"/>
                <w:szCs w:val="16"/>
                <w:color w:val="auto"/>
              </w:rPr>
            </w:pPr>
          </w:p>
        </w:tc>
        <w:tc>
          <w:tcPr>
            <w:tcW w:w="900" w:type="dxa"/>
            <w:vAlign w:val="bottom"/>
          </w:tcPr>
          <w:p>
            <w:pPr>
              <w:jc w:val="right"/>
              <w:ind w:right="279"/>
              <w:spacing w:after="0"/>
              <w:rPr>
                <w:sz w:val="20"/>
                <w:szCs w:val="20"/>
                <w:color w:val="auto"/>
              </w:rPr>
            </w:pPr>
            <w:r>
              <w:rPr>
                <w:rFonts w:ascii="Arial" w:cs="Arial" w:eastAsia="Arial" w:hAnsi="Arial"/>
                <w:sz w:val="16"/>
                <w:szCs w:val="16"/>
                <w:color w:val="auto"/>
              </w:rPr>
              <w:t>44.49</w:t>
            </w:r>
          </w:p>
        </w:tc>
        <w:tc>
          <w:tcPr>
            <w:tcW w:w="340" w:type="dxa"/>
            <w:vAlign w:val="bottom"/>
          </w:tcPr>
          <w:p>
            <w:pPr>
              <w:spacing w:after="0"/>
              <w:rPr>
                <w:sz w:val="16"/>
                <w:szCs w:val="16"/>
                <w:color w:val="auto"/>
              </w:rPr>
            </w:pPr>
          </w:p>
        </w:tc>
        <w:tc>
          <w:tcPr>
            <w:tcW w:w="920" w:type="dxa"/>
            <w:vAlign w:val="bottom"/>
          </w:tcPr>
          <w:p>
            <w:pPr>
              <w:jc w:val="right"/>
              <w:ind w:right="299"/>
              <w:spacing w:after="0"/>
              <w:rPr>
                <w:sz w:val="20"/>
                <w:szCs w:val="20"/>
                <w:color w:val="auto"/>
              </w:rPr>
            </w:pPr>
            <w:r>
              <w:rPr>
                <w:rFonts w:ascii="Arial" w:cs="Arial" w:eastAsia="Arial" w:hAnsi="Arial"/>
                <w:sz w:val="16"/>
                <w:szCs w:val="16"/>
                <w:color w:val="auto"/>
              </w:rPr>
              <w:t>43.97</w:t>
            </w:r>
          </w:p>
        </w:tc>
        <w:tc>
          <w:tcPr>
            <w:tcW w:w="320" w:type="dxa"/>
            <w:vAlign w:val="bottom"/>
          </w:tcPr>
          <w:p>
            <w:pPr>
              <w:spacing w:after="0"/>
              <w:rPr>
                <w:sz w:val="16"/>
                <w:szCs w:val="16"/>
                <w:color w:val="auto"/>
              </w:rPr>
            </w:pPr>
          </w:p>
        </w:tc>
        <w:tc>
          <w:tcPr>
            <w:tcW w:w="940" w:type="dxa"/>
            <w:vAlign w:val="bottom"/>
          </w:tcPr>
          <w:p>
            <w:pPr>
              <w:jc w:val="right"/>
              <w:ind w:right="319"/>
              <w:spacing w:after="0"/>
              <w:rPr>
                <w:sz w:val="20"/>
                <w:szCs w:val="20"/>
                <w:color w:val="auto"/>
              </w:rPr>
            </w:pPr>
            <w:r>
              <w:rPr>
                <w:rFonts w:ascii="Arial" w:cs="Arial" w:eastAsia="Arial" w:hAnsi="Arial"/>
                <w:sz w:val="16"/>
                <w:szCs w:val="16"/>
                <w:color w:val="auto"/>
              </w:rPr>
              <w:t>32.08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 price range — High(6)</w:t>
            </w:r>
          </w:p>
        </w:tc>
        <w:tc>
          <w:tcPr>
            <w:tcW w:w="3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46.90</w:t>
            </w: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57.45</w:t>
            </w: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50.47</w:t>
            </w: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43.97</w:t>
            </w: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34.28</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60" w:type="dxa"/>
            <w:vAlign w:val="bottom"/>
          </w:tcPr>
          <w:p>
            <w:pPr>
              <w:ind w:left="140"/>
              <w:spacing w:after="0"/>
              <w:rPr>
                <w:sz w:val="20"/>
                <w:szCs w:val="20"/>
                <w:color w:val="auto"/>
              </w:rPr>
            </w:pPr>
            <w:r>
              <w:rPr>
                <w:rFonts w:ascii="Arial" w:cs="Arial" w:eastAsia="Arial" w:hAnsi="Arial"/>
                <w:sz w:val="16"/>
                <w:szCs w:val="16"/>
                <w:color w:val="auto"/>
              </w:rPr>
              <w:t>Stock price range — Low(6)</w:t>
            </w:r>
          </w:p>
        </w:tc>
        <w:tc>
          <w:tcPr>
            <w:tcW w:w="380" w:type="dxa"/>
            <w:vAlign w:val="bottom"/>
          </w:tcPr>
          <w:p>
            <w:pPr>
              <w:spacing w:after="0"/>
              <w:rPr>
                <w:sz w:val="16"/>
                <w:szCs w:val="16"/>
                <w:color w:val="auto"/>
              </w:rPr>
            </w:pPr>
          </w:p>
        </w:tc>
        <w:tc>
          <w:tcPr>
            <w:tcW w:w="920" w:type="dxa"/>
            <w:vAlign w:val="bottom"/>
          </w:tcPr>
          <w:p>
            <w:pPr>
              <w:jc w:val="right"/>
              <w:ind w:right="279"/>
              <w:spacing w:after="0"/>
              <w:rPr>
                <w:sz w:val="20"/>
                <w:szCs w:val="20"/>
                <w:color w:val="auto"/>
              </w:rPr>
            </w:pPr>
            <w:r>
              <w:rPr>
                <w:rFonts w:ascii="Arial" w:cs="Arial" w:eastAsia="Arial" w:hAnsi="Arial"/>
                <w:sz w:val="16"/>
                <w:szCs w:val="16"/>
                <w:color w:val="auto"/>
              </w:rPr>
              <w:t>16.12</w:t>
            </w:r>
          </w:p>
        </w:tc>
        <w:tc>
          <w:tcPr>
            <w:tcW w:w="320" w:type="dxa"/>
            <w:vAlign w:val="bottom"/>
          </w:tcPr>
          <w:p>
            <w:pPr>
              <w:spacing w:after="0"/>
              <w:rPr>
                <w:sz w:val="16"/>
                <w:szCs w:val="16"/>
                <w:color w:val="auto"/>
              </w:rPr>
            </w:pPr>
          </w:p>
        </w:tc>
        <w:tc>
          <w:tcPr>
            <w:tcW w:w="920" w:type="dxa"/>
            <w:vAlign w:val="bottom"/>
          </w:tcPr>
          <w:p>
            <w:pPr>
              <w:jc w:val="right"/>
              <w:ind w:right="279"/>
              <w:spacing w:after="0"/>
              <w:rPr>
                <w:sz w:val="20"/>
                <w:szCs w:val="20"/>
                <w:color w:val="auto"/>
              </w:rPr>
            </w:pPr>
            <w:r>
              <w:rPr>
                <w:rFonts w:ascii="Arial" w:cs="Arial" w:eastAsia="Arial" w:hAnsi="Arial"/>
                <w:sz w:val="16"/>
                <w:szCs w:val="16"/>
                <w:color w:val="auto"/>
              </w:rPr>
              <w:t>40.57</w:t>
            </w:r>
          </w:p>
        </w:tc>
        <w:tc>
          <w:tcPr>
            <w:tcW w:w="340" w:type="dxa"/>
            <w:vAlign w:val="bottom"/>
          </w:tcPr>
          <w:p>
            <w:pPr>
              <w:spacing w:after="0"/>
              <w:rPr>
                <w:sz w:val="16"/>
                <w:szCs w:val="16"/>
                <w:color w:val="auto"/>
              </w:rPr>
            </w:pPr>
          </w:p>
        </w:tc>
        <w:tc>
          <w:tcPr>
            <w:tcW w:w="900" w:type="dxa"/>
            <w:vAlign w:val="bottom"/>
          </w:tcPr>
          <w:p>
            <w:pPr>
              <w:jc w:val="right"/>
              <w:ind w:right="279"/>
              <w:spacing w:after="0"/>
              <w:rPr>
                <w:sz w:val="20"/>
                <w:szCs w:val="20"/>
                <w:color w:val="auto"/>
              </w:rPr>
            </w:pPr>
            <w:r>
              <w:rPr>
                <w:rFonts w:ascii="Arial" w:cs="Arial" w:eastAsia="Arial" w:hAnsi="Arial"/>
                <w:sz w:val="16"/>
                <w:szCs w:val="16"/>
                <w:color w:val="auto"/>
              </w:rPr>
              <w:t>37.22</w:t>
            </w:r>
          </w:p>
        </w:tc>
        <w:tc>
          <w:tcPr>
            <w:tcW w:w="340" w:type="dxa"/>
            <w:vAlign w:val="bottom"/>
          </w:tcPr>
          <w:p>
            <w:pPr>
              <w:spacing w:after="0"/>
              <w:rPr>
                <w:sz w:val="16"/>
                <w:szCs w:val="16"/>
                <w:color w:val="auto"/>
              </w:rPr>
            </w:pPr>
          </w:p>
        </w:tc>
        <w:tc>
          <w:tcPr>
            <w:tcW w:w="920" w:type="dxa"/>
            <w:vAlign w:val="bottom"/>
          </w:tcPr>
          <w:p>
            <w:pPr>
              <w:jc w:val="right"/>
              <w:ind w:right="299"/>
              <w:spacing w:after="0"/>
              <w:rPr>
                <w:sz w:val="20"/>
                <w:szCs w:val="20"/>
                <w:color w:val="auto"/>
              </w:rPr>
            </w:pPr>
            <w:r>
              <w:rPr>
                <w:rFonts w:ascii="Arial" w:cs="Arial" w:eastAsia="Arial" w:hAnsi="Arial"/>
                <w:sz w:val="16"/>
                <w:szCs w:val="16"/>
                <w:color w:val="auto"/>
              </w:rPr>
              <w:t>30.95</w:t>
            </w:r>
          </w:p>
        </w:tc>
        <w:tc>
          <w:tcPr>
            <w:tcW w:w="320" w:type="dxa"/>
            <w:vAlign w:val="bottom"/>
          </w:tcPr>
          <w:p>
            <w:pPr>
              <w:spacing w:after="0"/>
              <w:rPr>
                <w:sz w:val="16"/>
                <w:szCs w:val="16"/>
                <w:color w:val="auto"/>
              </w:rPr>
            </w:pPr>
          </w:p>
        </w:tc>
        <w:tc>
          <w:tcPr>
            <w:tcW w:w="940" w:type="dxa"/>
            <w:vAlign w:val="bottom"/>
          </w:tcPr>
          <w:p>
            <w:pPr>
              <w:jc w:val="right"/>
              <w:ind w:right="319"/>
              <w:spacing w:after="0"/>
              <w:rPr>
                <w:sz w:val="20"/>
                <w:szCs w:val="20"/>
                <w:color w:val="auto"/>
              </w:rPr>
            </w:pPr>
            <w:r>
              <w:rPr>
                <w:rFonts w:ascii="Arial" w:cs="Arial" w:eastAsia="Arial" w:hAnsi="Arial"/>
                <w:sz w:val="16"/>
                <w:szCs w:val="16"/>
                <w:color w:val="auto"/>
              </w:rPr>
              <w:t>27.63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6"/>
                <w:szCs w:val="16"/>
                <w:color w:val="auto"/>
              </w:rPr>
              <w:t>OTHER:</w:t>
            </w:r>
          </w:p>
        </w:tc>
        <w:tc>
          <w:tcPr>
            <w:tcW w:w="3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60" w:type="dxa"/>
            <w:vAlign w:val="bottom"/>
          </w:tcPr>
          <w:p>
            <w:pPr>
              <w:ind w:left="140"/>
              <w:spacing w:after="0"/>
              <w:rPr>
                <w:sz w:val="20"/>
                <w:szCs w:val="20"/>
                <w:color w:val="auto"/>
              </w:rPr>
            </w:pPr>
            <w:r>
              <w:rPr>
                <w:rFonts w:ascii="Arial" w:cs="Arial" w:eastAsia="Arial" w:hAnsi="Arial"/>
                <w:sz w:val="16"/>
                <w:szCs w:val="16"/>
                <w:color w:val="auto"/>
              </w:rPr>
              <w:t>Adjusted EBITDA(7)</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79"/>
              <w:spacing w:after="0"/>
              <w:rPr>
                <w:sz w:val="20"/>
                <w:szCs w:val="20"/>
                <w:color w:val="auto"/>
              </w:rPr>
            </w:pPr>
            <w:r>
              <w:rPr>
                <w:rFonts w:ascii="Arial" w:cs="Arial" w:eastAsia="Arial" w:hAnsi="Arial"/>
                <w:sz w:val="16"/>
                <w:szCs w:val="16"/>
                <w:color w:val="auto"/>
              </w:rPr>
              <w:t>318.4</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79"/>
              <w:spacing w:after="0"/>
              <w:rPr>
                <w:sz w:val="20"/>
                <w:szCs w:val="20"/>
                <w:color w:val="auto"/>
              </w:rPr>
            </w:pPr>
            <w:r>
              <w:rPr>
                <w:rFonts w:ascii="Arial" w:cs="Arial" w:eastAsia="Arial" w:hAnsi="Arial"/>
                <w:sz w:val="16"/>
                <w:szCs w:val="16"/>
                <w:color w:val="auto"/>
              </w:rPr>
              <w:t>382.6</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79"/>
              <w:spacing w:after="0"/>
              <w:rPr>
                <w:sz w:val="20"/>
                <w:szCs w:val="20"/>
                <w:color w:val="auto"/>
              </w:rPr>
            </w:pPr>
            <w:r>
              <w:rPr>
                <w:rFonts w:ascii="Arial" w:cs="Arial" w:eastAsia="Arial" w:hAnsi="Arial"/>
                <w:sz w:val="16"/>
                <w:szCs w:val="16"/>
                <w:color w:val="auto"/>
              </w:rPr>
              <w:t>385.9</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99"/>
              <w:spacing w:after="0"/>
              <w:rPr>
                <w:sz w:val="20"/>
                <w:szCs w:val="20"/>
                <w:color w:val="auto"/>
              </w:rPr>
            </w:pPr>
            <w:r>
              <w:rPr>
                <w:rFonts w:ascii="Arial" w:cs="Arial" w:eastAsia="Arial" w:hAnsi="Arial"/>
                <w:sz w:val="16"/>
                <w:szCs w:val="16"/>
                <w:color w:val="auto"/>
              </w:rPr>
              <w:t>291.5</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19"/>
              <w:spacing w:after="0"/>
              <w:rPr>
                <w:sz w:val="20"/>
                <w:szCs w:val="20"/>
                <w:color w:val="auto"/>
              </w:rPr>
            </w:pPr>
            <w:r>
              <w:rPr>
                <w:rFonts w:ascii="Arial" w:cs="Arial" w:eastAsia="Arial" w:hAnsi="Arial"/>
                <w:sz w:val="16"/>
                <w:szCs w:val="16"/>
                <w:color w:val="auto"/>
              </w:rPr>
              <w:t>310.5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60" w:type="dxa"/>
            <w:vAlign w:val="bottom"/>
            <w:shd w:val="clear" w:color="auto" w:fill="CCEEFF"/>
          </w:tcPr>
          <w:p>
            <w:pPr>
              <w:ind w:left="140"/>
              <w:spacing w:after="0" w:line="171" w:lineRule="exact"/>
              <w:rPr>
                <w:sz w:val="20"/>
                <w:szCs w:val="20"/>
                <w:color w:val="auto"/>
              </w:rPr>
            </w:pPr>
            <w:r>
              <w:rPr>
                <w:rFonts w:ascii="Arial" w:cs="Arial" w:eastAsia="Arial" w:hAnsi="Arial"/>
                <w:sz w:val="16"/>
                <w:szCs w:val="16"/>
                <w:color w:val="auto"/>
              </w:rPr>
              <w:t>Interest coverage (Adjusted EBITDA/interest</w:t>
            </w:r>
          </w:p>
        </w:tc>
        <w:tc>
          <w:tcPr>
            <w:tcW w:w="3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6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expense)(7)</w:t>
            </w: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3.9</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5.4</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9.7</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7.0</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60" w:type="dxa"/>
            <w:vAlign w:val="bottom"/>
          </w:tcPr>
          <w:p>
            <w:pPr>
              <w:ind w:left="140"/>
              <w:spacing w:after="0" w:line="171" w:lineRule="exact"/>
              <w:rPr>
                <w:sz w:val="20"/>
                <w:szCs w:val="20"/>
                <w:color w:val="auto"/>
              </w:rPr>
            </w:pPr>
            <w:r>
              <w:rPr>
                <w:rFonts w:ascii="Arial" w:cs="Arial" w:eastAsia="Arial" w:hAnsi="Arial"/>
                <w:sz w:val="16"/>
                <w:szCs w:val="16"/>
                <w:color w:val="auto"/>
              </w:rPr>
              <w:t>Weighted average common shares</w:t>
            </w: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660" w:type="dxa"/>
            <w:vAlign w:val="bottom"/>
          </w:tcPr>
          <w:p>
            <w:pPr>
              <w:ind w:left="300"/>
              <w:spacing w:after="0"/>
              <w:rPr>
                <w:sz w:val="20"/>
                <w:szCs w:val="20"/>
                <w:color w:val="auto"/>
              </w:rPr>
            </w:pPr>
            <w:r>
              <w:rPr>
                <w:rFonts w:ascii="Arial" w:cs="Arial" w:eastAsia="Arial" w:hAnsi="Arial"/>
                <w:sz w:val="16"/>
                <w:szCs w:val="16"/>
                <w:color w:val="auto"/>
              </w:rPr>
              <w:t>outstanding</w:t>
            </w:r>
          </w:p>
        </w:tc>
        <w:tc>
          <w:tcPr>
            <w:tcW w:w="380" w:type="dxa"/>
            <w:vAlign w:val="bottom"/>
          </w:tcPr>
          <w:p>
            <w:pPr>
              <w:spacing w:after="0"/>
              <w:rPr>
                <w:sz w:val="18"/>
                <w:szCs w:val="18"/>
                <w:color w:val="auto"/>
              </w:rPr>
            </w:pPr>
          </w:p>
        </w:tc>
        <w:tc>
          <w:tcPr>
            <w:tcW w:w="920" w:type="dxa"/>
            <w:vAlign w:val="bottom"/>
          </w:tcPr>
          <w:p>
            <w:pPr>
              <w:jc w:val="right"/>
              <w:ind w:right="279"/>
              <w:spacing w:after="0"/>
              <w:rPr>
                <w:sz w:val="20"/>
                <w:szCs w:val="20"/>
                <w:color w:val="auto"/>
              </w:rPr>
            </w:pPr>
            <w:r>
              <w:rPr>
                <w:rFonts w:ascii="Arial" w:cs="Arial" w:eastAsia="Arial" w:hAnsi="Arial"/>
                <w:sz w:val="16"/>
                <w:szCs w:val="16"/>
                <w:color w:val="auto"/>
              </w:rPr>
              <w:t>64.5</w:t>
            </w:r>
          </w:p>
        </w:tc>
        <w:tc>
          <w:tcPr>
            <w:tcW w:w="320" w:type="dxa"/>
            <w:vAlign w:val="bottom"/>
          </w:tcPr>
          <w:p>
            <w:pPr>
              <w:spacing w:after="0"/>
              <w:rPr>
                <w:sz w:val="18"/>
                <w:szCs w:val="18"/>
                <w:color w:val="auto"/>
              </w:rPr>
            </w:pPr>
          </w:p>
        </w:tc>
        <w:tc>
          <w:tcPr>
            <w:tcW w:w="920" w:type="dxa"/>
            <w:vAlign w:val="bottom"/>
          </w:tcPr>
          <w:p>
            <w:pPr>
              <w:jc w:val="right"/>
              <w:ind w:right="279"/>
              <w:spacing w:after="0"/>
              <w:rPr>
                <w:sz w:val="20"/>
                <w:szCs w:val="20"/>
                <w:color w:val="auto"/>
              </w:rPr>
            </w:pPr>
            <w:r>
              <w:rPr>
                <w:rFonts w:ascii="Arial" w:cs="Arial" w:eastAsia="Arial" w:hAnsi="Arial"/>
                <w:sz w:val="16"/>
                <w:szCs w:val="16"/>
                <w:color w:val="auto"/>
              </w:rPr>
              <w:t>65.2</w:t>
            </w:r>
          </w:p>
        </w:tc>
        <w:tc>
          <w:tcPr>
            <w:tcW w:w="340" w:type="dxa"/>
            <w:vAlign w:val="bottom"/>
          </w:tcPr>
          <w:p>
            <w:pPr>
              <w:spacing w:after="0"/>
              <w:rPr>
                <w:sz w:val="18"/>
                <w:szCs w:val="18"/>
                <w:color w:val="auto"/>
              </w:rPr>
            </w:pPr>
          </w:p>
        </w:tc>
        <w:tc>
          <w:tcPr>
            <w:tcW w:w="900" w:type="dxa"/>
            <w:vAlign w:val="bottom"/>
          </w:tcPr>
          <w:p>
            <w:pPr>
              <w:jc w:val="right"/>
              <w:ind w:right="279"/>
              <w:spacing w:after="0"/>
              <w:rPr>
                <w:sz w:val="20"/>
                <w:szCs w:val="20"/>
                <w:color w:val="auto"/>
              </w:rPr>
            </w:pPr>
            <w:r>
              <w:rPr>
                <w:rFonts w:ascii="Arial" w:cs="Arial" w:eastAsia="Arial" w:hAnsi="Arial"/>
                <w:sz w:val="16"/>
                <w:szCs w:val="16"/>
                <w:color w:val="auto"/>
              </w:rPr>
              <w:t>67.5</w:t>
            </w:r>
          </w:p>
        </w:tc>
        <w:tc>
          <w:tcPr>
            <w:tcW w:w="340" w:type="dxa"/>
            <w:vAlign w:val="bottom"/>
          </w:tcPr>
          <w:p>
            <w:pPr>
              <w:spacing w:after="0"/>
              <w:rPr>
                <w:sz w:val="18"/>
                <w:szCs w:val="18"/>
                <w:color w:val="auto"/>
              </w:rPr>
            </w:pPr>
          </w:p>
        </w:tc>
        <w:tc>
          <w:tcPr>
            <w:tcW w:w="920" w:type="dxa"/>
            <w:vAlign w:val="bottom"/>
          </w:tcPr>
          <w:p>
            <w:pPr>
              <w:jc w:val="right"/>
              <w:ind w:right="299"/>
              <w:spacing w:after="0"/>
              <w:rPr>
                <w:sz w:val="20"/>
                <w:szCs w:val="20"/>
                <w:color w:val="auto"/>
              </w:rPr>
            </w:pPr>
            <w:r>
              <w:rPr>
                <w:rFonts w:ascii="Arial" w:cs="Arial" w:eastAsia="Arial" w:hAnsi="Arial"/>
                <w:sz w:val="16"/>
                <w:szCs w:val="16"/>
                <w:color w:val="auto"/>
              </w:rPr>
              <w:t>66.8</w:t>
            </w:r>
          </w:p>
        </w:tc>
        <w:tc>
          <w:tcPr>
            <w:tcW w:w="320" w:type="dxa"/>
            <w:vAlign w:val="bottom"/>
          </w:tcPr>
          <w:p>
            <w:pPr>
              <w:spacing w:after="0"/>
              <w:rPr>
                <w:sz w:val="18"/>
                <w:szCs w:val="18"/>
                <w:color w:val="auto"/>
              </w:rPr>
            </w:pPr>
          </w:p>
        </w:tc>
        <w:tc>
          <w:tcPr>
            <w:tcW w:w="940" w:type="dxa"/>
            <w:vAlign w:val="bottom"/>
          </w:tcPr>
          <w:p>
            <w:pPr>
              <w:jc w:val="right"/>
              <w:ind w:right="319"/>
              <w:spacing w:after="0"/>
              <w:rPr>
                <w:sz w:val="20"/>
                <w:szCs w:val="20"/>
                <w:color w:val="auto"/>
              </w:rPr>
            </w:pPr>
            <w:r>
              <w:rPr>
                <w:rFonts w:ascii="Arial" w:cs="Arial" w:eastAsia="Arial" w:hAnsi="Arial"/>
                <w:sz w:val="16"/>
                <w:szCs w:val="16"/>
                <w:color w:val="auto"/>
              </w:rPr>
              <w:t>64.7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60" w:type="dxa"/>
            <w:vAlign w:val="bottom"/>
            <w:shd w:val="clear" w:color="auto" w:fill="CCEEFF"/>
          </w:tcPr>
          <w:p>
            <w:pPr>
              <w:ind w:left="140"/>
              <w:spacing w:after="0" w:line="171" w:lineRule="exact"/>
              <w:rPr>
                <w:sz w:val="20"/>
                <w:szCs w:val="20"/>
                <w:color w:val="auto"/>
              </w:rPr>
            </w:pPr>
            <w:r>
              <w:rPr>
                <w:rFonts w:ascii="Arial" w:cs="Arial" w:eastAsia="Arial" w:hAnsi="Arial"/>
                <w:sz w:val="16"/>
                <w:szCs w:val="16"/>
                <w:color w:val="auto"/>
              </w:rPr>
              <w:t>Common shares and dilutive potential</w:t>
            </w:r>
          </w:p>
        </w:tc>
        <w:tc>
          <w:tcPr>
            <w:tcW w:w="3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common shares used in diluted EPS</w:t>
            </w:r>
          </w:p>
        </w:tc>
        <w:tc>
          <w:tcPr>
            <w:tcW w:w="3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6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calculation</w:t>
            </w: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64.5</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67.0</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69.4</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68.6</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66.6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85725</wp:posOffset>
            </wp:positionV>
            <wp:extent cx="76327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73" w:lineRule="exact"/>
        <w:rPr>
          <w:sz w:val="20"/>
          <w:szCs w:val="20"/>
          <w:color w:val="auto"/>
        </w:rPr>
      </w:pPr>
    </w:p>
    <w:p>
      <w:pPr>
        <w:ind w:left="1000" w:right="120" w:hanging="298"/>
        <w:spacing w:after="0" w:line="255"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common share and per share information presented in the above five-year summary have been adjusted to reflect the 2-for-1 stock split of the common shares which was distributed on November 9, 2005 to shareholders of record on November 2, 2005.</w:t>
      </w:r>
    </w:p>
    <w:p>
      <w:pPr>
        <w:spacing w:after="0" w:line="1" w:lineRule="exact"/>
        <w:rPr>
          <w:rFonts w:ascii="Arial" w:cs="Arial" w:eastAsia="Arial" w:hAnsi="Arial"/>
          <w:sz w:val="18"/>
          <w:szCs w:val="18"/>
          <w:color w:val="auto"/>
        </w:rPr>
      </w:pPr>
    </w:p>
    <w:p>
      <w:pPr>
        <w:ind w:left="1000" w:right="460" w:hanging="298"/>
        <w:spacing w:after="0" w:line="276"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Fiscal 2006 includes Rod McLellan Company, Gutwein &amp; Co., Inc. and certain brands and assets acquired from Turf-Seed, Inc. and Landmark Seed Company from the dates of acquisition. Fiscal 2005</w:t>
      </w:r>
    </w:p>
    <w:p>
      <w:pPr>
        <w:spacing w:after="0" w:line="7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1"/>
          <w:szCs w:val="11"/>
          <w:b w:val="1"/>
          <w:bCs w:val="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-78105</wp:posOffset>
            </wp:positionV>
            <wp:extent cx="19748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240" w:top="415" w:right="91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hyperlink w:anchor="page6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000" w:right="600"/>
        <w:spacing w:after="0" w:line="266" w:lineRule="auto"/>
        <w:rPr>
          <w:sz w:val="20"/>
          <w:szCs w:val="20"/>
          <w:color w:val="auto"/>
        </w:rPr>
      </w:pPr>
      <w:r>
        <w:rPr>
          <w:rFonts w:ascii="Arial" w:cs="Arial" w:eastAsia="Arial" w:hAnsi="Arial"/>
          <w:sz w:val="18"/>
          <w:szCs w:val="18"/>
          <w:color w:val="auto"/>
        </w:rPr>
        <w:t>includes Smith &amp; Hawken</w:t>
      </w:r>
      <w:r>
        <w:rPr>
          <w:rFonts w:ascii="Arial" w:cs="Arial" w:eastAsia="Arial" w:hAnsi="Arial"/>
          <w:sz w:val="15"/>
          <w:szCs w:val="15"/>
          <w:color w:val="auto"/>
        </w:rPr>
        <w:t>®</w:t>
      </w:r>
      <w:r>
        <w:rPr>
          <w:rFonts w:ascii="Arial" w:cs="Arial" w:eastAsia="Arial" w:hAnsi="Arial"/>
          <w:sz w:val="18"/>
          <w:szCs w:val="18"/>
          <w:color w:val="auto"/>
        </w:rPr>
        <w:t xml:space="preserve"> from the October 2, 2004 date of acquisition. See further discussion of acquisitions in “NOTE 8. ACQUISITIONS” to the Consolidated Financial Statements included in this Annual Report on Form 10-K.</w:t>
      </w:r>
    </w:p>
    <w:p>
      <w:pPr>
        <w:spacing w:after="0" w:line="1" w:lineRule="exact"/>
        <w:rPr>
          <w:sz w:val="20"/>
          <w:szCs w:val="20"/>
          <w:color w:val="auto"/>
        </w:rPr>
      </w:pPr>
    </w:p>
    <w:p>
      <w:pPr>
        <w:ind w:left="1000" w:right="160" w:hanging="298"/>
        <w:spacing w:after="0" w:line="276"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Operating results include the following items segregated by lines affected as set forth on the Consolidated Statements of Operations included with the Consolidated Financial Statements included in this Annual Report on Form 10-K.</w:t>
      </w:r>
    </w:p>
    <w:p>
      <w:pPr>
        <w:spacing w:after="0" w:line="64" w:lineRule="exact"/>
        <w:rPr>
          <w:sz w:val="20"/>
          <w:szCs w:val="20"/>
          <w:color w:val="auto"/>
        </w:rPr>
      </w:pPr>
    </w:p>
    <w:tbl>
      <w:tblPr>
        <w:tblLayout w:type="fixed"/>
        <w:tblInd w:w="70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5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140" w:type="dxa"/>
            <w:vAlign w:val="bottom"/>
            <w:gridSpan w:val="6"/>
          </w:tcPr>
          <w:p>
            <w:pPr>
              <w:ind w:left="360"/>
              <w:spacing w:after="0"/>
              <w:rPr>
                <w:sz w:val="20"/>
                <w:szCs w:val="20"/>
                <w:color w:val="auto"/>
              </w:rPr>
            </w:pPr>
            <w:r>
              <w:rPr>
                <w:rFonts w:ascii="Arial" w:cs="Arial" w:eastAsia="Arial" w:hAnsi="Arial"/>
                <w:sz w:val="18"/>
                <w:szCs w:val="18"/>
                <w:color w:val="auto"/>
              </w:rPr>
              <w:t>For the Fiscal Year Ended 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2008</w:t>
            </w:r>
          </w:p>
        </w:tc>
        <w:tc>
          <w:tcPr>
            <w:tcW w:w="8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2007</w:t>
            </w:r>
          </w:p>
        </w:tc>
        <w:tc>
          <w:tcPr>
            <w:tcW w:w="8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2006</w:t>
            </w:r>
          </w:p>
        </w:tc>
        <w:tc>
          <w:tcPr>
            <w:tcW w:w="9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2005</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5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60" w:type="dxa"/>
            <w:vAlign w:val="bottom"/>
          </w:tcPr>
          <w:p>
            <w:pPr>
              <w:spacing w:after="0"/>
              <w:rPr>
                <w:sz w:val="4"/>
                <w:szCs w:val="4"/>
                <w:color w:val="auto"/>
              </w:rPr>
            </w:pPr>
          </w:p>
        </w:tc>
        <w:tc>
          <w:tcPr>
            <w:tcW w:w="840" w:type="dxa"/>
            <w:vAlign w:val="bottom"/>
          </w:tcPr>
          <w:p>
            <w:pPr>
              <w:spacing w:after="0"/>
              <w:rPr>
                <w:sz w:val="4"/>
                <w:szCs w:val="4"/>
                <w:color w:val="auto"/>
              </w:rPr>
            </w:pPr>
          </w:p>
        </w:tc>
        <w:tc>
          <w:tcPr>
            <w:tcW w:w="9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5700" w:type="dxa"/>
            <w:vAlign w:val="bottom"/>
            <w:shd w:val="clear" w:color="auto" w:fill="CCEEFF"/>
          </w:tcPr>
          <w:p>
            <w:pPr>
              <w:spacing w:after="0" w:line="180" w:lineRule="exact"/>
              <w:rPr>
                <w:sz w:val="20"/>
                <w:szCs w:val="20"/>
                <w:color w:val="auto"/>
              </w:rPr>
            </w:pPr>
            <w:r>
              <w:rPr>
                <w:rFonts w:ascii="Arial" w:cs="Arial" w:eastAsia="Arial" w:hAnsi="Arial"/>
                <w:sz w:val="18"/>
                <w:szCs w:val="18"/>
                <w:color w:val="auto"/>
              </w:rPr>
              <w:t>Net sales includes the following relating to the Roundup</w:t>
            </w:r>
            <w:r>
              <w:rPr>
                <w:rFonts w:ascii="Arial" w:cs="Arial" w:eastAsia="Arial" w:hAnsi="Arial"/>
                <w:sz w:val="15"/>
                <w:szCs w:val="15"/>
                <w:color w:val="auto"/>
              </w:rPr>
              <w:t>®</w:t>
            </w:r>
            <w:r>
              <w:rPr>
                <w:rFonts w:ascii="Arial" w:cs="Arial" w:eastAsia="Arial" w:hAnsi="Arial"/>
                <w:sz w:val="18"/>
                <w:szCs w:val="18"/>
                <w:color w:val="auto"/>
              </w:rPr>
              <w:t xml:space="preserve"> Marketing</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Agreement: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00" w:type="dxa"/>
            <w:vAlign w:val="bottom"/>
          </w:tcPr>
          <w:p>
            <w:pPr>
              <w:ind w:left="160"/>
              <w:spacing w:after="0" w:line="202" w:lineRule="exact"/>
              <w:rPr>
                <w:sz w:val="20"/>
                <w:szCs w:val="20"/>
                <w:color w:val="auto"/>
              </w:rPr>
            </w:pPr>
            <w:r>
              <w:rPr>
                <w:rFonts w:ascii="Arial" w:cs="Arial" w:eastAsia="Arial" w:hAnsi="Arial"/>
                <w:sz w:val="18"/>
                <w:szCs w:val="18"/>
                <w:color w:val="auto"/>
              </w:rPr>
              <w:t>Net commission income, excluding the deferred contribution charge</w:t>
            </w:r>
          </w:p>
        </w:tc>
        <w:tc>
          <w:tcPr>
            <w:tcW w:w="94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$ 44.3</w:t>
            </w:r>
          </w:p>
        </w:tc>
        <w:tc>
          <w:tcPr>
            <w:tcW w:w="8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$41.9</w:t>
            </w:r>
          </w:p>
        </w:tc>
        <w:tc>
          <w:tcPr>
            <w:tcW w:w="8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$39.9</w:t>
            </w:r>
          </w:p>
        </w:tc>
        <w:tc>
          <w:tcPr>
            <w:tcW w:w="96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$ 40.4</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$28.5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700" w:type="dxa"/>
            <w:vAlign w:val="bottom"/>
            <w:shd w:val="clear" w:color="auto" w:fill="CCEEFF"/>
          </w:tcPr>
          <w:p>
            <w:pPr>
              <w:ind w:left="160"/>
              <w:spacing w:after="0" w:line="180" w:lineRule="exact"/>
              <w:rPr>
                <w:sz w:val="20"/>
                <w:szCs w:val="20"/>
                <w:color w:val="auto"/>
              </w:rPr>
            </w:pPr>
            <w:r>
              <w:rPr>
                <w:rFonts w:ascii="Arial" w:cs="Arial" w:eastAsia="Arial" w:hAnsi="Arial"/>
                <w:sz w:val="18"/>
                <w:szCs w:val="18"/>
                <w:color w:val="auto"/>
              </w:rPr>
              <w:t>Reimbursements associated with the Roundup</w:t>
            </w:r>
            <w:r>
              <w:rPr>
                <w:rFonts w:ascii="Arial" w:cs="Arial" w:eastAsia="Arial" w:hAnsi="Arial"/>
                <w:sz w:val="15"/>
                <w:szCs w:val="15"/>
                <w:color w:val="auto"/>
              </w:rPr>
              <w:t>®</w:t>
            </w:r>
            <w:r>
              <w:rPr>
                <w:rFonts w:ascii="Arial" w:cs="Arial" w:eastAsia="Arial" w:hAnsi="Arial"/>
                <w:sz w:val="18"/>
                <w:szCs w:val="18"/>
                <w:color w:val="auto"/>
              </w:rPr>
              <w:t xml:space="preserve"> Marketing</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Agreement</w:t>
            </w:r>
          </w:p>
        </w:tc>
        <w:tc>
          <w:tcPr>
            <w:tcW w:w="9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58.0</w:t>
            </w:r>
          </w:p>
        </w:tc>
        <w:tc>
          <w:tcPr>
            <w:tcW w:w="8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47.7</w:t>
            </w:r>
          </w:p>
        </w:tc>
        <w:tc>
          <w:tcPr>
            <w:tcW w:w="8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37.6</w:t>
            </w:r>
          </w:p>
        </w:tc>
        <w:tc>
          <w:tcPr>
            <w:tcW w:w="9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40.7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00" w:type="dxa"/>
            <w:vAlign w:val="bottom"/>
          </w:tcPr>
          <w:p>
            <w:pPr>
              <w:ind w:left="160"/>
              <w:spacing w:after="0" w:line="202" w:lineRule="exact"/>
              <w:rPr>
                <w:sz w:val="20"/>
                <w:szCs w:val="20"/>
                <w:color w:val="auto"/>
              </w:rPr>
            </w:pPr>
            <w:r>
              <w:rPr>
                <w:rFonts w:ascii="Arial" w:cs="Arial" w:eastAsia="Arial" w:hAnsi="Arial"/>
                <w:sz w:val="18"/>
                <w:szCs w:val="18"/>
                <w:color w:val="auto"/>
              </w:rPr>
              <w:t>Deferred contribution charge</w:t>
            </w:r>
          </w:p>
        </w:tc>
        <w:tc>
          <w:tcPr>
            <w:tcW w:w="180" w:type="dxa"/>
            <w:vAlign w:val="bottom"/>
          </w:tcPr>
          <w:p>
            <w:pPr>
              <w:spacing w:after="0"/>
              <w:rPr>
                <w:sz w:val="17"/>
                <w:szCs w:val="17"/>
                <w:color w:val="auto"/>
              </w:rPr>
            </w:pPr>
          </w:p>
        </w:tc>
        <w:tc>
          <w:tcPr>
            <w:tcW w:w="7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90"/>
              <w:spacing w:after="0" w:line="202" w:lineRule="exact"/>
              <w:rPr>
                <w:sz w:val="20"/>
                <w:szCs w:val="20"/>
                <w:color w:val="auto"/>
              </w:rPr>
            </w:pPr>
            <w:r>
              <w:rPr>
                <w:rFonts w:ascii="Arial" w:cs="Arial" w:eastAsia="Arial" w:hAnsi="Arial"/>
                <w:sz w:val="18"/>
                <w:szCs w:val="18"/>
                <w:color w:val="auto"/>
              </w:rPr>
              <w:t>(45.7)</w:t>
            </w:r>
          </w:p>
        </w:tc>
        <w:tc>
          <w:tcPr>
            <w:tcW w:w="7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sales includes:</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00" w:type="dxa"/>
            <w:vAlign w:val="bottom"/>
          </w:tcPr>
          <w:p>
            <w:pPr>
              <w:ind w:left="160"/>
              <w:spacing w:after="0" w:line="202" w:lineRule="exact"/>
              <w:rPr>
                <w:sz w:val="20"/>
                <w:szCs w:val="20"/>
                <w:color w:val="auto"/>
              </w:rPr>
            </w:pPr>
            <w:r>
              <w:rPr>
                <w:rFonts w:ascii="Arial" w:cs="Arial" w:eastAsia="Arial" w:hAnsi="Arial"/>
                <w:sz w:val="18"/>
                <w:szCs w:val="18"/>
                <w:color w:val="auto"/>
              </w:rPr>
              <w:t>Costs associated with the Roundup</w:t>
            </w:r>
            <w:r>
              <w:rPr>
                <w:rFonts w:ascii="Arial" w:cs="Arial" w:eastAsia="Arial" w:hAnsi="Arial"/>
                <w:sz w:val="15"/>
                <w:szCs w:val="15"/>
                <w:color w:val="auto"/>
              </w:rPr>
              <w:t>®</w:t>
            </w:r>
            <w:r>
              <w:rPr>
                <w:rFonts w:ascii="Arial" w:cs="Arial" w:eastAsia="Arial" w:hAnsi="Arial"/>
                <w:sz w:val="18"/>
                <w:szCs w:val="18"/>
                <w:color w:val="auto"/>
              </w:rPr>
              <w:t xml:space="preserve"> Marketing Agreement</w:t>
            </w:r>
          </w:p>
        </w:tc>
        <w:tc>
          <w:tcPr>
            <w:tcW w:w="94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58.0</w:t>
            </w:r>
          </w:p>
        </w:tc>
        <w:tc>
          <w:tcPr>
            <w:tcW w:w="8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47.7</w:t>
            </w:r>
          </w:p>
        </w:tc>
        <w:tc>
          <w:tcPr>
            <w:tcW w:w="8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37.6</w:t>
            </w:r>
          </w:p>
        </w:tc>
        <w:tc>
          <w:tcPr>
            <w:tcW w:w="96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40.7</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40.1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Impairment, restructuring, and other charges (income)</w:t>
            </w:r>
          </w:p>
        </w:tc>
        <w:tc>
          <w:tcPr>
            <w:tcW w:w="940" w:type="dxa"/>
            <w:vAlign w:val="bottom"/>
            <w:gridSpan w:val="2"/>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15.1</w:t>
            </w:r>
          </w:p>
        </w:tc>
        <w:tc>
          <w:tcPr>
            <w:tcW w:w="86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0.1</w:t>
            </w:r>
          </w:p>
        </w:tc>
        <w:tc>
          <w:tcPr>
            <w:tcW w:w="96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(0.3)</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00" w:type="dxa"/>
            <w:vAlign w:val="bottom"/>
          </w:tcPr>
          <w:p>
            <w:pPr>
              <w:ind w:left="160"/>
              <w:spacing w:after="0" w:line="202" w:lineRule="exact"/>
              <w:rPr>
                <w:sz w:val="20"/>
                <w:szCs w:val="20"/>
                <w:color w:val="auto"/>
              </w:rPr>
            </w:pPr>
            <w:r>
              <w:rPr>
                <w:rFonts w:ascii="Arial" w:cs="Arial" w:eastAsia="Arial" w:hAnsi="Arial"/>
                <w:sz w:val="18"/>
                <w:szCs w:val="18"/>
                <w:color w:val="auto"/>
              </w:rPr>
              <w:t>Product registration and recall matters</w:t>
            </w:r>
          </w:p>
        </w:tc>
        <w:tc>
          <w:tcPr>
            <w:tcW w:w="94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27.2</w:t>
            </w:r>
          </w:p>
        </w:tc>
        <w:tc>
          <w:tcPr>
            <w:tcW w:w="8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Selling, general and administrative includes:</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00" w:type="dxa"/>
            <w:vAlign w:val="bottom"/>
          </w:tcPr>
          <w:p>
            <w:pPr>
              <w:ind w:left="160"/>
              <w:spacing w:after="0" w:line="202" w:lineRule="exact"/>
              <w:rPr>
                <w:sz w:val="20"/>
                <w:szCs w:val="20"/>
                <w:color w:val="auto"/>
              </w:rPr>
            </w:pPr>
            <w:r>
              <w:rPr>
                <w:rFonts w:ascii="Arial" w:cs="Arial" w:eastAsia="Arial" w:hAnsi="Arial"/>
                <w:sz w:val="18"/>
                <w:szCs w:val="18"/>
                <w:color w:val="auto"/>
              </w:rPr>
              <w:t>Restructuring and other charges</w:t>
            </w:r>
          </w:p>
        </w:tc>
        <w:tc>
          <w:tcPr>
            <w:tcW w:w="180" w:type="dxa"/>
            <w:vAlign w:val="bottom"/>
          </w:tcPr>
          <w:p>
            <w:pPr>
              <w:spacing w:after="0"/>
              <w:rPr>
                <w:sz w:val="17"/>
                <w:szCs w:val="17"/>
                <w:color w:val="auto"/>
              </w:rPr>
            </w:pPr>
          </w:p>
        </w:tc>
        <w:tc>
          <w:tcPr>
            <w:tcW w:w="7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2.7</w:t>
            </w:r>
          </w:p>
        </w:tc>
        <w:tc>
          <w:tcPr>
            <w:tcW w:w="8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9.3</w:t>
            </w:r>
          </w:p>
        </w:tc>
        <w:tc>
          <w:tcPr>
            <w:tcW w:w="96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9.8</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9.1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Impairment charges</w:t>
            </w:r>
          </w:p>
        </w:tc>
        <w:tc>
          <w:tcPr>
            <w:tcW w:w="940" w:type="dxa"/>
            <w:vAlign w:val="bottom"/>
            <w:gridSpan w:val="2"/>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121.7</w:t>
            </w:r>
          </w:p>
        </w:tc>
        <w:tc>
          <w:tcPr>
            <w:tcW w:w="86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35.3</w:t>
            </w:r>
          </w:p>
        </w:tc>
        <w:tc>
          <w:tcPr>
            <w:tcW w:w="84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66.4</w:t>
            </w:r>
          </w:p>
        </w:tc>
        <w:tc>
          <w:tcPr>
            <w:tcW w:w="96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23.4</w:t>
            </w:r>
          </w:p>
        </w:tc>
        <w:tc>
          <w:tcPr>
            <w:tcW w:w="7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00" w:type="dxa"/>
            <w:vAlign w:val="bottom"/>
          </w:tcPr>
          <w:p>
            <w:pPr>
              <w:ind w:left="160"/>
              <w:spacing w:after="0" w:line="202" w:lineRule="exact"/>
              <w:rPr>
                <w:sz w:val="20"/>
                <w:szCs w:val="20"/>
                <w:color w:val="auto"/>
              </w:rPr>
            </w:pPr>
            <w:r>
              <w:rPr>
                <w:rFonts w:ascii="Arial" w:cs="Arial" w:eastAsia="Arial" w:hAnsi="Arial"/>
                <w:sz w:val="18"/>
                <w:szCs w:val="18"/>
                <w:color w:val="auto"/>
              </w:rPr>
              <w:t>Product registration and recall matters</w:t>
            </w:r>
          </w:p>
        </w:tc>
        <w:tc>
          <w:tcPr>
            <w:tcW w:w="94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12.7</w:t>
            </w:r>
          </w:p>
        </w:tc>
        <w:tc>
          <w:tcPr>
            <w:tcW w:w="8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 includes:</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Costs related to refinancings</w:t>
            </w:r>
          </w:p>
        </w:tc>
        <w:tc>
          <w:tcPr>
            <w:tcW w:w="180" w:type="dxa"/>
            <w:vAlign w:val="bottom"/>
          </w:tcPr>
          <w:p>
            <w:pPr>
              <w:spacing w:after="0"/>
              <w:rPr>
                <w:sz w:val="21"/>
                <w:szCs w:val="21"/>
                <w:color w:val="auto"/>
              </w:rPr>
            </w:pPr>
          </w:p>
        </w:tc>
        <w:tc>
          <w:tcPr>
            <w:tcW w:w="7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18.3</w:t>
            </w: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1.3</w:t>
            </w:r>
          </w:p>
        </w:tc>
        <w:tc>
          <w:tcPr>
            <w:tcW w:w="620" w:type="dxa"/>
            <w:vAlign w:val="bottom"/>
          </w:tcPr>
          <w:p>
            <w:pPr>
              <w:jc w:val="right"/>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ind w:left="1000" w:right="300" w:hanging="298"/>
        <w:spacing w:after="0" w:line="266"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total debt to total book capitalization percentage is calculated by dividing total debt by total debt plus shareholders’ equity.</w:t>
      </w:r>
    </w:p>
    <w:p>
      <w:pPr>
        <w:ind w:left="1000" w:hanging="29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 began paying a quarterly dividend of 12.5 cents per share in the fourth quarter of fiscal 2005.</w:t>
      </w:r>
    </w:p>
    <w:p>
      <w:pPr>
        <w:spacing w:after="0" w:line="49" w:lineRule="exact"/>
        <w:rPr>
          <w:rFonts w:ascii="Arial" w:cs="Arial" w:eastAsia="Arial" w:hAnsi="Arial"/>
          <w:sz w:val="18"/>
          <w:szCs w:val="18"/>
          <w:color w:val="auto"/>
        </w:rPr>
      </w:pPr>
    </w:p>
    <w:p>
      <w:pPr>
        <w:ind w:left="1000" w:right="320" w:hanging="298"/>
        <w:spacing w:after="0" w:line="266"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 paid a special one-time cash dividend of $8.00 per share on March 5, 2007. Stock prices have not been adjusted for this special one-time cash dividend.</w:t>
      </w:r>
    </w:p>
    <w:p>
      <w:pPr>
        <w:ind w:left="1000" w:right="100" w:hanging="298"/>
        <w:spacing w:after="0" w:line="239"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Given our significant borrowings, we view our credit facilities as material to our ability to fund operations, particularly in light of our seasonality. Please refer to “ITEM 1A. RISK FACTORS — Debt” in this Annual Report on Form 10-K for a more complete discussion of the risks associated with the Company’s debt and our credit facilities and related covenants. Our ability to generate cash flows sufficient to cover our debt service costs is essential to our ability to maintain our borrowing capacity. We believe that Adjusted EBITDA provides additional information for determining our ability to meet debt service requirements. The presentation of Adjusted EBITDA herein is intended to be consistent with the calculation of that measure as required by our borrowing arrangements, and used to calculate a leverage ratio (maximum of 4.25 at September 30, 2008) and an interest coverage ratio (minimum of 3.25 for the year ended September 30, 2008). The Company’s leverage ratio was 3.97 at September 30, 2008 and our interest coverage ratio was 3.87 for the year ended September 30, 2008.</w:t>
      </w:r>
    </w:p>
    <w:p>
      <w:pPr>
        <w:spacing w:after="0" w:line="18" w:lineRule="exact"/>
        <w:rPr>
          <w:rFonts w:ascii="Arial" w:cs="Arial" w:eastAsia="Arial" w:hAnsi="Arial"/>
          <w:sz w:val="18"/>
          <w:szCs w:val="18"/>
          <w:color w:val="auto"/>
        </w:rPr>
      </w:pPr>
    </w:p>
    <w:p>
      <w:pPr>
        <w:ind w:left="1000" w:right="100"/>
        <w:spacing w:after="0" w:line="243" w:lineRule="auto"/>
        <w:rPr>
          <w:rFonts w:ascii="Arial" w:cs="Arial" w:eastAsia="Arial" w:hAnsi="Arial"/>
          <w:sz w:val="18"/>
          <w:szCs w:val="18"/>
          <w:color w:val="auto"/>
        </w:rPr>
      </w:pPr>
      <w:r>
        <w:rPr>
          <w:rFonts w:ascii="Arial" w:cs="Arial" w:eastAsia="Arial" w:hAnsi="Arial"/>
          <w:sz w:val="18"/>
          <w:szCs w:val="18"/>
          <w:color w:val="auto"/>
        </w:rPr>
        <w:t>In accordance with the terms of our credit facilities, Adjusted EBITDA is defined as net income before interest, taxes, depreciation and amortization, as well as certain other items such as the impact of discontinued operations, the cumulative effect of changes in accounting, costs associated with debt refinancings, and other non-recurring, non-cash items effecting net income. Adjusted EBITDA does not represent and should not be considered as an alternative to net income or cash flow from operations as determined by accounting principles generally accepted in the United States, and Adjusted EBITDA does not necessarily indicate whether cash flow will be sufficient to meet cash requirements. Interest</w:t>
      </w:r>
    </w:p>
    <w:p>
      <w:pPr>
        <w:spacing w:after="0" w:line="11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1"/>
          <w:szCs w:val="11"/>
          <w:b w:val="1"/>
          <w:bCs w:val="1"/>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-78105</wp:posOffset>
            </wp:positionV>
            <wp:extent cx="19748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240" w:top="415" w:right="91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hyperlink w:anchor="page6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coverage is calculated as Adjusted EBITDA divided by interest expense excluding costs related to refinancings.</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 numeric reconciliation of net income (loss) to Adjusted EBITDA is as follows:</w:t>
      </w:r>
    </w:p>
    <w:p>
      <w:pPr>
        <w:spacing w:after="0" w:line="140" w:lineRule="exact"/>
        <w:rPr>
          <w:sz w:val="20"/>
          <w:szCs w:val="20"/>
          <w:color w:val="auto"/>
        </w:rPr>
      </w:pPr>
    </w:p>
    <w:tbl>
      <w:tblPr>
        <w:tblLayout w:type="fixed"/>
        <w:tblInd w:w="70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49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color w:val="auto"/>
              </w:rPr>
              <w:t>2008</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color w:val="auto"/>
              </w:rPr>
              <w:t>2007</w:t>
            </w:r>
          </w:p>
        </w:tc>
        <w:tc>
          <w:tcPr>
            <w:tcW w:w="96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color w:val="auto"/>
              </w:rPr>
              <w:t>2006</w:t>
            </w:r>
          </w:p>
        </w:tc>
        <w:tc>
          <w:tcPr>
            <w:tcW w:w="96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color w:val="auto"/>
              </w:rPr>
              <w:t>2005</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4960" w:type="dxa"/>
            <w:vAlign w:val="bottom"/>
          </w:tcPr>
          <w:p>
            <w:pPr>
              <w:spacing w:after="0"/>
              <w:rPr>
                <w:sz w:val="4"/>
                <w:szCs w:val="4"/>
                <w:color w:val="auto"/>
              </w:rPr>
            </w:pPr>
          </w:p>
        </w:tc>
        <w:tc>
          <w:tcPr>
            <w:tcW w:w="5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(loss)</w:t>
            </w:r>
          </w:p>
        </w:tc>
        <w:tc>
          <w:tcPr>
            <w:tcW w:w="130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 (10.9)</w:t>
            </w: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$ 113.4</w:t>
            </w:r>
          </w:p>
        </w:tc>
        <w:tc>
          <w:tcPr>
            <w:tcW w:w="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$132.7</w:t>
            </w:r>
          </w:p>
        </w:tc>
        <w:tc>
          <w:tcPr>
            <w:tcW w:w="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$100.6</w:t>
            </w:r>
          </w:p>
        </w:tc>
        <w:tc>
          <w:tcPr>
            <w:tcW w:w="2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$100.9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tcPr>
          <w:p>
            <w:pPr>
              <w:spacing w:after="0" w:line="202" w:lineRule="exact"/>
              <w:rPr>
                <w:sz w:val="20"/>
                <w:szCs w:val="20"/>
                <w:color w:val="auto"/>
              </w:rPr>
            </w:pPr>
            <w:r>
              <w:rPr>
                <w:rFonts w:ascii="Arial" w:cs="Arial" w:eastAsia="Arial" w:hAnsi="Arial"/>
                <w:sz w:val="18"/>
                <w:szCs w:val="18"/>
                <w:color w:val="auto"/>
              </w:rPr>
              <w:t>Interest</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82.2</w:t>
            </w:r>
          </w:p>
        </w:tc>
        <w:tc>
          <w:tcPr>
            <w:tcW w:w="220" w:type="dxa"/>
            <w:vAlign w:val="bottom"/>
          </w:tcPr>
          <w:p>
            <w:pPr>
              <w:spacing w:after="0"/>
              <w:rPr>
                <w:sz w:val="17"/>
                <w:szCs w:val="17"/>
                <w:color w:val="auto"/>
              </w:rPr>
            </w:pP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70.7</w:t>
            </w: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39.6</w:t>
            </w: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41.5</w:t>
            </w:r>
          </w:p>
        </w:tc>
        <w:tc>
          <w:tcPr>
            <w:tcW w:w="220" w:type="dxa"/>
            <w:vAlign w:val="bottom"/>
          </w:tcPr>
          <w:p>
            <w:pPr>
              <w:spacing w:after="0"/>
              <w:rPr>
                <w:sz w:val="17"/>
                <w:szCs w:val="17"/>
                <w:color w:val="auto"/>
              </w:rPr>
            </w:pP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48.8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taxes</w:t>
            </w: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26.7</w:t>
            </w: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74.7</w:t>
            </w:r>
          </w:p>
        </w:tc>
        <w:tc>
          <w:tcPr>
            <w:tcW w:w="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80.2</w:t>
            </w:r>
          </w:p>
        </w:tc>
        <w:tc>
          <w:tcPr>
            <w:tcW w:w="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57.7</w:t>
            </w:r>
          </w:p>
        </w:tc>
        <w:tc>
          <w:tcPr>
            <w:tcW w:w="2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58.0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tcPr>
          <w:p>
            <w:pPr>
              <w:spacing w:after="0" w:line="202" w:lineRule="exact"/>
              <w:rPr>
                <w:sz w:val="20"/>
                <w:szCs w:val="20"/>
                <w:color w:val="auto"/>
              </w:rPr>
            </w:pPr>
            <w:r>
              <w:rPr>
                <w:rFonts w:ascii="Arial" w:cs="Arial" w:eastAsia="Arial" w:hAnsi="Arial"/>
                <w:sz w:val="18"/>
                <w:szCs w:val="18"/>
                <w:color w:val="auto"/>
              </w:rPr>
              <w:t>Deprecation and amortization</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70.3</w:t>
            </w:r>
          </w:p>
        </w:tc>
        <w:tc>
          <w:tcPr>
            <w:tcW w:w="220" w:type="dxa"/>
            <w:vAlign w:val="bottom"/>
          </w:tcPr>
          <w:p>
            <w:pPr>
              <w:spacing w:after="0"/>
              <w:rPr>
                <w:sz w:val="17"/>
                <w:szCs w:val="17"/>
                <w:color w:val="auto"/>
              </w:rPr>
            </w:pP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67.5</w:t>
            </w: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67.0</w:t>
            </w: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67.2</w:t>
            </w:r>
          </w:p>
        </w:tc>
        <w:tc>
          <w:tcPr>
            <w:tcW w:w="220" w:type="dxa"/>
            <w:vAlign w:val="bottom"/>
          </w:tcPr>
          <w:p>
            <w:pPr>
              <w:spacing w:after="0"/>
              <w:rPr>
                <w:sz w:val="17"/>
                <w:szCs w:val="17"/>
                <w:color w:val="auto"/>
              </w:rPr>
            </w:pP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57.7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on impairment and other charges</w:t>
            </w: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136.8</w:t>
            </w: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38.0</w:t>
            </w:r>
          </w:p>
        </w:tc>
        <w:tc>
          <w:tcPr>
            <w:tcW w:w="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66.4</w:t>
            </w:r>
          </w:p>
        </w:tc>
        <w:tc>
          <w:tcPr>
            <w:tcW w:w="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23.4</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tcPr>
          <w:p>
            <w:pPr>
              <w:spacing w:after="0" w:line="202" w:lineRule="exact"/>
              <w:rPr>
                <w:sz w:val="20"/>
                <w:szCs w:val="20"/>
                <w:color w:val="auto"/>
              </w:rPr>
            </w:pPr>
            <w:r>
              <w:rPr>
                <w:rFonts w:ascii="Arial" w:cs="Arial" w:eastAsia="Arial" w:hAnsi="Arial"/>
                <w:sz w:val="18"/>
                <w:szCs w:val="18"/>
                <w:color w:val="auto"/>
              </w:rPr>
              <w:t>Product registration and recall matters, non-cash portion</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13.3</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7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Costs related to refinancings</w:t>
            </w:r>
          </w:p>
        </w:tc>
        <w:tc>
          <w:tcPr>
            <w:tcW w:w="5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18.3</w:t>
            </w:r>
          </w:p>
        </w:tc>
        <w:tc>
          <w:tcPr>
            <w:tcW w:w="4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1.3</w:t>
            </w: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45.5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tcPr>
          <w:p>
            <w:pPr>
              <w:spacing w:after="0" w:line="202" w:lineRule="exact"/>
              <w:rPr>
                <w:sz w:val="20"/>
                <w:szCs w:val="20"/>
                <w:color w:val="auto"/>
              </w:rPr>
            </w:pPr>
            <w:r>
              <w:rPr>
                <w:rFonts w:ascii="Arial" w:cs="Arial" w:eastAsia="Arial" w:hAnsi="Arial"/>
                <w:sz w:val="18"/>
                <w:szCs w:val="18"/>
                <w:color w:val="auto"/>
              </w:rPr>
              <w:t>Discontinued operations</w:t>
            </w:r>
          </w:p>
        </w:tc>
        <w:tc>
          <w:tcPr>
            <w:tcW w:w="520" w:type="dxa"/>
            <w:vAlign w:val="bottom"/>
          </w:tcPr>
          <w:p>
            <w:pPr>
              <w:spacing w:after="0"/>
              <w:rPr>
                <w:sz w:val="17"/>
                <w:szCs w:val="17"/>
                <w:color w:val="auto"/>
              </w:rPr>
            </w:pPr>
          </w:p>
        </w:tc>
        <w:tc>
          <w:tcPr>
            <w:tcW w:w="7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(0.2)</w:t>
            </w:r>
          </w:p>
        </w:tc>
        <w:tc>
          <w:tcPr>
            <w:tcW w:w="84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Adjusted EBITDA</w:t>
            </w: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318.4</w:t>
            </w: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$ 382.6</w:t>
            </w:r>
          </w:p>
        </w:tc>
        <w:tc>
          <w:tcPr>
            <w:tcW w:w="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385.9</w:t>
            </w:r>
          </w:p>
        </w:tc>
        <w:tc>
          <w:tcPr>
            <w:tcW w:w="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291.5</w:t>
            </w:r>
          </w:p>
        </w:tc>
        <w:tc>
          <w:tcPr>
            <w:tcW w:w="2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310.5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ind w:left="700"/>
        <w:spacing w:after="0"/>
        <w:rPr>
          <w:sz w:val="20"/>
          <w:szCs w:val="20"/>
          <w:color w:val="auto"/>
        </w:rPr>
      </w:pPr>
      <w:r>
        <w:rPr>
          <w:rFonts w:ascii="Arial" w:cs="Arial" w:eastAsia="Arial" w:hAnsi="Arial"/>
          <w:sz w:val="18"/>
          <w:szCs w:val="18"/>
          <w:b w:val="1"/>
          <w:bCs w:val="1"/>
          <w:u w:val="single" w:color="auto"/>
          <w:color w:val="auto"/>
        </w:rPr>
        <w:t>ITEM 7. MANAGEMENT’S DISCUSSION AND ANALYSIS OF FINANCIAL CONDITION AND RESULTS OF OPERATIONS</w:t>
      </w:r>
    </w:p>
    <w:p>
      <w:pPr>
        <w:spacing w:after="0" w:line="119" w:lineRule="exact"/>
        <w:rPr>
          <w:sz w:val="20"/>
          <w:szCs w:val="20"/>
          <w:color w:val="auto"/>
        </w:rPr>
      </w:pPr>
    </w:p>
    <w:p>
      <w:pPr>
        <w:ind w:left="700" w:right="100" w:firstLine="402"/>
        <w:spacing w:after="0" w:line="248" w:lineRule="auto"/>
        <w:rPr>
          <w:sz w:val="20"/>
          <w:szCs w:val="20"/>
          <w:color w:val="auto"/>
        </w:rPr>
      </w:pPr>
      <w:r>
        <w:rPr>
          <w:rFonts w:ascii="Arial" w:cs="Arial" w:eastAsia="Arial" w:hAnsi="Arial"/>
          <w:sz w:val="18"/>
          <w:szCs w:val="18"/>
          <w:color w:val="auto"/>
        </w:rPr>
        <w:t>The purpose of this discussion is to provide an understanding of the financial condition and results of operations of The Scotts Miracle-Gro Company (“Scotts Miracle-Gro”) and its subsidiaries (collectively the “Company”), by focusing on changes in certain key measures from year-to-year. Management’s Discussion and Analysis (“MD&amp;A”) is divided into the following sections:</w:t>
      </w:r>
    </w:p>
    <w:p>
      <w:pPr>
        <w:spacing w:after="0" w:line="76" w:lineRule="exact"/>
        <w:rPr>
          <w:sz w:val="20"/>
          <w:szCs w:val="20"/>
          <w:color w:val="auto"/>
        </w:rPr>
      </w:pPr>
    </w:p>
    <w:p>
      <w:pPr>
        <w:ind w:left="1300" w:hanging="202"/>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Executive summary</w:t>
      </w:r>
    </w:p>
    <w:p>
      <w:pPr>
        <w:spacing w:after="0" w:line="103" w:lineRule="exact"/>
        <w:rPr>
          <w:rFonts w:ascii="Arial" w:cs="Arial" w:eastAsia="Arial" w:hAnsi="Arial"/>
          <w:sz w:val="18"/>
          <w:szCs w:val="18"/>
          <w:color w:val="auto"/>
        </w:rPr>
      </w:pPr>
    </w:p>
    <w:p>
      <w:pPr>
        <w:ind w:left="1300" w:hanging="202"/>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103" w:lineRule="exact"/>
        <w:rPr>
          <w:rFonts w:ascii="Arial" w:cs="Arial" w:eastAsia="Arial" w:hAnsi="Arial"/>
          <w:sz w:val="18"/>
          <w:szCs w:val="18"/>
          <w:color w:val="auto"/>
        </w:rPr>
      </w:pPr>
    </w:p>
    <w:p>
      <w:pPr>
        <w:ind w:left="1300" w:hanging="202"/>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Management’s outlook</w:t>
      </w:r>
    </w:p>
    <w:p>
      <w:pPr>
        <w:spacing w:after="0" w:line="103" w:lineRule="exact"/>
        <w:rPr>
          <w:rFonts w:ascii="Arial" w:cs="Arial" w:eastAsia="Arial" w:hAnsi="Arial"/>
          <w:sz w:val="18"/>
          <w:szCs w:val="18"/>
          <w:color w:val="auto"/>
        </w:rPr>
      </w:pPr>
    </w:p>
    <w:p>
      <w:pPr>
        <w:ind w:left="1300" w:hanging="202"/>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103" w:lineRule="exact"/>
        <w:rPr>
          <w:rFonts w:ascii="Arial" w:cs="Arial" w:eastAsia="Arial" w:hAnsi="Arial"/>
          <w:sz w:val="18"/>
          <w:szCs w:val="18"/>
          <w:color w:val="auto"/>
        </w:rPr>
      </w:pPr>
    </w:p>
    <w:p>
      <w:pPr>
        <w:ind w:left="1300" w:hanging="202"/>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22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Executive Summary</w:t>
      </w:r>
    </w:p>
    <w:p>
      <w:pPr>
        <w:spacing w:after="0" w:line="119" w:lineRule="exact"/>
        <w:rPr>
          <w:sz w:val="20"/>
          <w:szCs w:val="20"/>
          <w:color w:val="auto"/>
        </w:rPr>
      </w:pPr>
    </w:p>
    <w:p>
      <w:pPr>
        <w:ind w:left="700" w:right="20" w:firstLine="402"/>
        <w:spacing w:after="0" w:line="255" w:lineRule="auto"/>
        <w:rPr>
          <w:sz w:val="20"/>
          <w:szCs w:val="20"/>
          <w:color w:val="auto"/>
        </w:rPr>
      </w:pPr>
      <w:r>
        <w:rPr>
          <w:rFonts w:ascii="Arial" w:cs="Arial" w:eastAsia="Arial" w:hAnsi="Arial"/>
          <w:sz w:val="17"/>
          <w:szCs w:val="17"/>
          <w:color w:val="auto"/>
        </w:rPr>
        <w:t>We are dedicated to delivering strong, consistent financial results and outstanding shareholder returns by providing products of superior quality and value in order to enhance consumers’ outdoor living environments. We are a leading manufacturer and marketer of consumer branded products for lawn and garden care and professional horticulture in North America and Europe. We are Monsanto’s exclusive agent for the marketing and distribution of consumer Roundup</w:t>
      </w:r>
      <w:r>
        <w:rPr>
          <w:rFonts w:ascii="Arial" w:cs="Arial" w:eastAsia="Arial" w:hAnsi="Arial"/>
          <w:sz w:val="14"/>
          <w:szCs w:val="14"/>
          <w:color w:val="auto"/>
        </w:rPr>
        <w:t>®</w:t>
      </w:r>
      <w:r>
        <w:rPr>
          <w:rFonts w:ascii="Arial" w:cs="Arial" w:eastAsia="Arial" w:hAnsi="Arial"/>
          <w:sz w:val="17"/>
          <w:szCs w:val="17"/>
          <w:color w:val="auto"/>
        </w:rPr>
        <w:t xml:space="preserve"> non-selective herbicide products within the United States and other contractually specified countries. We have a presence in similar consumer branded and professional horticulture products in Australia, the Far East, Latin America and South America. In the United States, we operate Scotts LawnService</w:t>
      </w:r>
      <w:r>
        <w:rPr>
          <w:rFonts w:ascii="Arial" w:cs="Arial" w:eastAsia="Arial" w:hAnsi="Arial"/>
          <w:sz w:val="14"/>
          <w:szCs w:val="14"/>
          <w:color w:val="auto"/>
        </w:rPr>
        <w:t>®</w:t>
      </w:r>
      <w:r>
        <w:rPr>
          <w:rFonts w:ascii="Arial" w:cs="Arial" w:eastAsia="Arial" w:hAnsi="Arial"/>
          <w:sz w:val="17"/>
          <w:szCs w:val="17"/>
          <w:color w:val="auto"/>
        </w:rPr>
        <w:t>, the second largest residential lawn care service business, and Smith &amp; Hawken</w:t>
      </w:r>
      <w:r>
        <w:rPr>
          <w:rFonts w:ascii="Arial" w:cs="Arial" w:eastAsia="Arial" w:hAnsi="Arial"/>
          <w:sz w:val="14"/>
          <w:szCs w:val="14"/>
          <w:color w:val="auto"/>
        </w:rPr>
        <w:t>®</w:t>
      </w:r>
      <w:r>
        <w:rPr>
          <w:rFonts w:ascii="Arial" w:cs="Arial" w:eastAsia="Arial" w:hAnsi="Arial"/>
          <w:sz w:val="17"/>
          <w:szCs w:val="17"/>
          <w:color w:val="auto"/>
        </w:rPr>
        <w:t>, a leading brand in the outdoor living and garden lifestyle category. In fiscal 2008, our operations were divided into the following reportable segments: Global Consumer, Global Professional, Scotts LawnService</w:t>
      </w:r>
      <w:r>
        <w:rPr>
          <w:rFonts w:ascii="Arial" w:cs="Arial" w:eastAsia="Arial" w:hAnsi="Arial"/>
          <w:sz w:val="14"/>
          <w:szCs w:val="14"/>
          <w:color w:val="auto"/>
        </w:rPr>
        <w:t>®</w:t>
      </w:r>
      <w:r>
        <w:rPr>
          <w:rFonts w:ascii="Arial" w:cs="Arial" w:eastAsia="Arial" w:hAnsi="Arial"/>
          <w:sz w:val="17"/>
          <w:szCs w:val="17"/>
          <w:color w:val="auto"/>
        </w:rPr>
        <w:t xml:space="preserve"> and Corporate &amp; Other. The Corporate &amp; Other segment consists of the Smith &amp; Hawken</w:t>
      </w:r>
      <w:r>
        <w:rPr>
          <w:rFonts w:ascii="Arial" w:cs="Arial" w:eastAsia="Arial" w:hAnsi="Arial"/>
          <w:sz w:val="14"/>
          <w:szCs w:val="14"/>
          <w:color w:val="auto"/>
        </w:rPr>
        <w:t>®</w:t>
      </w:r>
      <w:r>
        <w:rPr>
          <w:rFonts w:ascii="Arial" w:cs="Arial" w:eastAsia="Arial" w:hAnsi="Arial"/>
          <w:sz w:val="17"/>
          <w:szCs w:val="17"/>
          <w:color w:val="auto"/>
        </w:rPr>
        <w:t xml:space="preserve"> business and corporate general and administrative expenses.</w:t>
      </w:r>
    </w:p>
    <w:p>
      <w:pPr>
        <w:spacing w:after="0" w:line="70" w:lineRule="exact"/>
        <w:rPr>
          <w:sz w:val="20"/>
          <w:szCs w:val="20"/>
          <w:color w:val="auto"/>
        </w:rPr>
      </w:pPr>
    </w:p>
    <w:p>
      <w:pPr>
        <w:ind w:left="700" w:right="200" w:firstLine="402"/>
        <w:spacing w:after="0" w:line="241" w:lineRule="auto"/>
        <w:rPr>
          <w:sz w:val="20"/>
          <w:szCs w:val="20"/>
          <w:color w:val="auto"/>
        </w:rPr>
      </w:pPr>
      <w:r>
        <w:rPr>
          <w:rFonts w:ascii="Arial" w:cs="Arial" w:eastAsia="Arial" w:hAnsi="Arial"/>
          <w:sz w:val="18"/>
          <w:szCs w:val="18"/>
          <w:color w:val="auto"/>
        </w:rPr>
        <w:t>As a leading consumer branded lawn and garden company, our marketing efforts are largely focused on building brand and product level awareness to inspire consumers and create retail demand. We have successfully applied this consumer marketing focus for a number of years, consistently investing approximately 5% of our annual net sales in advertising to support and promote our products and brands. We continually explore new and innovative ways to communicate with consumers. We believe that we receive a significant return on these marketing expenditures and anticipate a similar level of advertising and marketing investments in the future, with the continuing objective of driving category growth and increasing market share.</w:t>
      </w:r>
    </w:p>
    <w:p>
      <w:pPr>
        <w:spacing w:after="0" w:line="11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1"/>
          <w:szCs w:val="11"/>
          <w:b w:val="1"/>
          <w:bCs w:val="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-78105</wp:posOffset>
            </wp:positionV>
            <wp:extent cx="19748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240" w:top="415" w:right="91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hyperlink w:anchor="page6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700" w:right="120" w:firstLine="402"/>
        <w:spacing w:after="0" w:line="255" w:lineRule="auto"/>
        <w:rPr>
          <w:sz w:val="20"/>
          <w:szCs w:val="20"/>
          <w:color w:val="auto"/>
        </w:rPr>
      </w:pPr>
      <w:r>
        <w:rPr>
          <w:rFonts w:ascii="Arial" w:cs="Arial" w:eastAsia="Arial" w:hAnsi="Arial"/>
          <w:sz w:val="18"/>
          <w:szCs w:val="18"/>
          <w:color w:val="auto"/>
        </w:rPr>
        <w:t>Our sales are susceptible to global weather conditions. For instance, periods of wet weather can adversely impact sales of certain products, while increasing demand for other products. We believe that our diversified product line provides some mitigation to this risk. We also believe that our broad geographic diversification further reduces this risk.</w:t>
      </w:r>
    </w:p>
    <w:p>
      <w:pPr>
        <w:spacing w:after="0" w:line="79"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600" w:type="dxa"/>
            <w:vAlign w:val="bottom"/>
          </w:tcPr>
          <w:p>
            <w:pPr>
              <w:spacing w:after="0"/>
              <w:rPr>
                <w:sz w:val="17"/>
                <w:szCs w:val="17"/>
                <w:color w:val="auto"/>
              </w:rPr>
            </w:pPr>
          </w:p>
        </w:tc>
        <w:tc>
          <w:tcPr>
            <w:tcW w:w="2420" w:type="dxa"/>
            <w:vAlign w:val="bottom"/>
            <w:gridSpan w:val="4"/>
          </w:tcPr>
          <w:p>
            <w:pPr>
              <w:jc w:val="center"/>
              <w:ind w:right="180"/>
              <w:spacing w:after="0"/>
              <w:rPr>
                <w:sz w:val="20"/>
                <w:szCs w:val="20"/>
                <w:color w:val="auto"/>
              </w:rPr>
            </w:pPr>
            <w:r>
              <w:rPr>
                <w:rFonts w:ascii="Arial" w:cs="Arial" w:eastAsia="Arial" w:hAnsi="Arial"/>
                <w:sz w:val="18"/>
                <w:szCs w:val="18"/>
                <w:color w:val="auto"/>
                <w:w w:val="99"/>
              </w:rPr>
              <w:t>Percent of Net Sales</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60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by Quarter</w:t>
            </w:r>
          </w:p>
        </w:tc>
        <w:tc>
          <w:tcPr>
            <w:tcW w:w="56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2008</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2007</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7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First Quarter</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10.4%</w:t>
            </w:r>
          </w:p>
        </w:tc>
        <w:tc>
          <w:tcPr>
            <w:tcW w:w="104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9.5%</w:t>
            </w:r>
          </w:p>
        </w:tc>
        <w:tc>
          <w:tcPr>
            <w:tcW w:w="7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tcPr>
          <w:p>
            <w:pPr>
              <w:spacing w:after="0" w:line="202" w:lineRule="exact"/>
              <w:rPr>
                <w:sz w:val="20"/>
                <w:szCs w:val="20"/>
                <w:color w:val="auto"/>
              </w:rPr>
            </w:pPr>
            <w:r>
              <w:rPr>
                <w:rFonts w:ascii="Arial" w:cs="Arial" w:eastAsia="Arial" w:hAnsi="Arial"/>
                <w:sz w:val="18"/>
                <w:szCs w:val="18"/>
                <w:color w:val="auto"/>
              </w:rPr>
              <w:t>Second Quarter</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32.1%</w:t>
            </w:r>
          </w:p>
        </w:tc>
        <w:tc>
          <w:tcPr>
            <w:tcW w:w="10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34.6%</w:t>
            </w:r>
          </w:p>
        </w:tc>
        <w:tc>
          <w:tcPr>
            <w:tcW w:w="7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Third Quarter</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39.3%</w:t>
            </w:r>
          </w:p>
        </w:tc>
        <w:tc>
          <w:tcPr>
            <w:tcW w:w="104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38.2%</w:t>
            </w:r>
          </w:p>
        </w:tc>
        <w:tc>
          <w:tcPr>
            <w:tcW w:w="7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Fourth Quarter</w:t>
            </w:r>
          </w:p>
        </w:tc>
        <w:tc>
          <w:tcPr>
            <w:tcW w:w="640" w:type="dxa"/>
            <w:vAlign w:val="bottom"/>
          </w:tcPr>
          <w:p>
            <w:pPr>
              <w:jc w:val="right"/>
              <w:spacing w:after="0"/>
              <w:rPr>
                <w:sz w:val="20"/>
                <w:szCs w:val="20"/>
                <w:color w:val="auto"/>
              </w:rPr>
            </w:pPr>
            <w:r>
              <w:rPr>
                <w:rFonts w:ascii="Arial" w:cs="Arial" w:eastAsia="Arial" w:hAnsi="Arial"/>
                <w:sz w:val="18"/>
                <w:szCs w:val="18"/>
                <w:color w:val="auto"/>
              </w:rPr>
              <w:t>18.2%</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17.7%</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700" w:right="220" w:firstLine="402"/>
        <w:spacing w:after="0" w:line="248" w:lineRule="auto"/>
        <w:rPr>
          <w:sz w:val="20"/>
          <w:szCs w:val="20"/>
          <w:color w:val="auto"/>
        </w:rPr>
      </w:pPr>
      <w:r>
        <w:rPr>
          <w:rFonts w:ascii="Arial" w:cs="Arial" w:eastAsia="Arial" w:hAnsi="Arial"/>
          <w:sz w:val="18"/>
          <w:szCs w:val="18"/>
          <w:color w:val="auto"/>
        </w:rPr>
        <w:t>Due to the nature of our lawn and garden business, significant portions of our products ship to our retail customers during the second and third fiscal quarters. Our annual sales are further concentrated in the second and third fiscal quarters by retailers who increasingly rely on our ability to deliver products “in season” when consumers buy our products, thereby reducing their inventories.</w:t>
      </w:r>
    </w:p>
    <w:p>
      <w:pPr>
        <w:spacing w:after="0" w:line="76" w:lineRule="exact"/>
        <w:rPr>
          <w:sz w:val="20"/>
          <w:szCs w:val="20"/>
          <w:color w:val="auto"/>
        </w:rPr>
      </w:pPr>
    </w:p>
    <w:p>
      <w:pPr>
        <w:ind w:left="700" w:right="100" w:firstLine="402"/>
        <w:spacing w:after="0" w:line="241" w:lineRule="auto"/>
        <w:rPr>
          <w:sz w:val="20"/>
          <w:szCs w:val="20"/>
          <w:color w:val="auto"/>
        </w:rPr>
      </w:pPr>
      <w:r>
        <w:rPr>
          <w:rFonts w:ascii="Arial" w:cs="Arial" w:eastAsia="Arial" w:hAnsi="Arial"/>
          <w:sz w:val="18"/>
          <w:szCs w:val="18"/>
          <w:color w:val="auto"/>
        </w:rPr>
        <w:t>Management focuses on a variety of key indicators and operating metrics to monitor the health and performance of our business. These metrics include consumer purchases (point-of-sale data), market share, net sales (including volume, pricing, product mix and foreign exchange movements), gross profit margins, income from operations, net income and earnings per share. To the extent applicable, these measures are evaluated with and without impairment, restructuring and other charges, which management believes are not indicative of the ongoing earnings capabilities of our businesses. We also focus on measures to optimize cash flow and return on invested capital, including the management of working capital and capital expenditures.</w:t>
      </w:r>
    </w:p>
    <w:p>
      <w:pPr>
        <w:spacing w:after="0" w:line="8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Given the Company’s historical performance and consistent cash flows, the Company has undertaken a number of</w:t>
      </w:r>
    </w:p>
    <w:p>
      <w:pPr>
        <w:spacing w:after="0" w:line="1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actions over the past several years to return cash to our shareholders. We began paying a quarterly cash dividend of 12.5</w:t>
      </w:r>
    </w:p>
    <w:p>
      <w:pPr>
        <w:ind w:left="700"/>
        <w:spacing w:after="0" w:line="234" w:lineRule="auto"/>
        <w:rPr>
          <w:sz w:val="20"/>
          <w:szCs w:val="20"/>
          <w:color w:val="auto"/>
        </w:rPr>
      </w:pPr>
      <w:r>
        <w:rPr>
          <w:rFonts w:ascii="Arial" w:cs="Arial" w:eastAsia="Arial" w:hAnsi="Arial"/>
          <w:sz w:val="18"/>
          <w:szCs w:val="18"/>
          <w:color w:val="auto"/>
        </w:rPr>
        <w:t>cents per share in the fourth quarter of fiscal 2005. In fiscal 2006, the Company launched a five-year, $500 million share</w:t>
      </w:r>
    </w:p>
    <w:p>
      <w:pPr>
        <w:ind w:left="700"/>
        <w:spacing w:after="0" w:line="235" w:lineRule="auto"/>
        <w:rPr>
          <w:sz w:val="20"/>
          <w:szCs w:val="20"/>
          <w:color w:val="auto"/>
        </w:rPr>
      </w:pPr>
      <w:r>
        <w:rPr>
          <w:rFonts w:ascii="Arial" w:cs="Arial" w:eastAsia="Arial" w:hAnsi="Arial"/>
          <w:sz w:val="18"/>
          <w:szCs w:val="18"/>
          <w:color w:val="auto"/>
        </w:rPr>
        <w:t>repurchase program pursuant to which we repurchased 2.0 million common shares for an aggregate purchase price of</w:t>
      </w:r>
    </w:p>
    <w:p>
      <w:pPr>
        <w:ind w:left="700"/>
        <w:spacing w:after="0" w:line="235" w:lineRule="auto"/>
        <w:rPr>
          <w:sz w:val="20"/>
          <w:szCs w:val="20"/>
          <w:color w:val="auto"/>
        </w:rPr>
      </w:pPr>
      <w:r>
        <w:rPr>
          <w:rFonts w:ascii="Arial" w:cs="Arial" w:eastAsia="Arial" w:hAnsi="Arial"/>
          <w:sz w:val="18"/>
          <w:szCs w:val="18"/>
          <w:color w:val="auto"/>
        </w:rPr>
        <w:t>$87.9 million during fiscal 2006. In December 2006, the Company announced a recapitalization plan to return $750 million to</w:t>
      </w:r>
    </w:p>
    <w:p>
      <w:pPr>
        <w:ind w:left="700"/>
        <w:spacing w:after="0" w:line="235" w:lineRule="auto"/>
        <w:rPr>
          <w:sz w:val="20"/>
          <w:szCs w:val="20"/>
          <w:color w:val="auto"/>
        </w:rPr>
      </w:pPr>
      <w:r>
        <w:rPr>
          <w:rFonts w:ascii="Arial" w:cs="Arial" w:eastAsia="Arial" w:hAnsi="Arial"/>
          <w:sz w:val="18"/>
          <w:szCs w:val="18"/>
          <w:color w:val="auto"/>
        </w:rPr>
        <w:t>the Company’s shareholders. This plan expanded and accelerated the previously announced five-year, $500 million share</w:t>
      </w:r>
    </w:p>
    <w:p>
      <w:pPr>
        <w:ind w:left="700"/>
        <w:spacing w:after="0" w:line="235" w:lineRule="auto"/>
        <w:rPr>
          <w:sz w:val="20"/>
          <w:szCs w:val="20"/>
          <w:color w:val="auto"/>
        </w:rPr>
      </w:pPr>
      <w:r>
        <w:rPr>
          <w:rFonts w:ascii="Arial" w:cs="Arial" w:eastAsia="Arial" w:hAnsi="Arial"/>
          <w:sz w:val="18"/>
          <w:szCs w:val="18"/>
          <w:color w:val="auto"/>
        </w:rPr>
        <w:t>repurchase program (which was canceled). Pursuant to the recapitalization plan, in February 2007, the Company repurchased</w:t>
      </w:r>
    </w:p>
    <w:p>
      <w:pPr>
        <w:ind w:left="700"/>
        <w:spacing w:after="0" w:line="235" w:lineRule="auto"/>
        <w:rPr>
          <w:sz w:val="20"/>
          <w:szCs w:val="20"/>
          <w:color w:val="auto"/>
        </w:rPr>
      </w:pPr>
      <w:r>
        <w:rPr>
          <w:rFonts w:ascii="Arial" w:cs="Arial" w:eastAsia="Arial" w:hAnsi="Arial"/>
          <w:sz w:val="18"/>
          <w:szCs w:val="18"/>
          <w:color w:val="auto"/>
        </w:rPr>
        <w:t>4.5 million of the Company’s common shares for an aggregate purchase price of $245.5 million ($54.50 per share) and paid a</w:t>
      </w:r>
    </w:p>
    <w:p>
      <w:pPr>
        <w:ind w:left="700"/>
        <w:spacing w:after="0"/>
        <w:rPr>
          <w:sz w:val="20"/>
          <w:szCs w:val="20"/>
          <w:color w:val="auto"/>
        </w:rPr>
      </w:pPr>
      <w:r>
        <w:rPr>
          <w:rFonts w:ascii="Arial" w:cs="Arial" w:eastAsia="Arial" w:hAnsi="Arial"/>
          <w:sz w:val="18"/>
          <w:szCs w:val="18"/>
          <w:color w:val="auto"/>
        </w:rPr>
        <w:t>special one-time cash dividend of $8.00 per share ($508 million in the aggregate) in early March 2007.</w:t>
      </w:r>
    </w:p>
    <w:p>
      <w:pPr>
        <w:spacing w:after="0" w:line="95" w:lineRule="exact"/>
        <w:rPr>
          <w:sz w:val="20"/>
          <w:szCs w:val="20"/>
          <w:color w:val="auto"/>
        </w:rPr>
      </w:pPr>
    </w:p>
    <w:p>
      <w:pPr>
        <w:ind w:left="700" w:right="60" w:firstLine="402"/>
        <w:spacing w:after="0" w:line="254" w:lineRule="auto"/>
        <w:rPr>
          <w:sz w:val="20"/>
          <w:szCs w:val="20"/>
          <w:color w:val="auto"/>
        </w:rPr>
      </w:pPr>
      <w:r>
        <w:rPr>
          <w:rFonts w:ascii="Arial" w:cs="Arial" w:eastAsia="Arial" w:hAnsi="Arial"/>
          <w:sz w:val="18"/>
          <w:szCs w:val="18"/>
          <w:color w:val="auto"/>
        </w:rPr>
        <w:t>In order to fund this recapitalization, the Company entered into credit facilities totaling $2.15 billion and terminated its prior credit facility. Please refer to “NOTE 11. DEBT” to the Consolidated Financial Statements included in this Annual Report on Form 10-K for further information as to the credit facilities and the repayment and termination of the Company’s prior credit facility and the Company’s 6</w:t>
      </w:r>
      <w:r>
        <w:rPr>
          <w:rFonts w:ascii="Arial" w:cs="Arial" w:eastAsia="Arial" w:hAnsi="Arial"/>
          <w:sz w:val="25"/>
          <w:szCs w:val="25"/>
          <w:color w:val="auto"/>
          <w:vertAlign w:val="superscript"/>
        </w:rPr>
        <w:t>5</w:t>
      </w:r>
      <w:r>
        <w:rPr>
          <w:rFonts w:ascii="Arial" w:cs="Arial" w:eastAsia="Arial" w:hAnsi="Arial"/>
          <w:sz w:val="18"/>
          <w:szCs w:val="18"/>
          <w:color w:val="auto"/>
        </w:rPr>
        <w:t>/</w:t>
      </w:r>
      <w:r>
        <w:rPr>
          <w:rFonts w:ascii="Arial" w:cs="Arial" w:eastAsia="Arial" w:hAnsi="Arial"/>
          <w:sz w:val="12"/>
          <w:szCs w:val="12"/>
          <w:color w:val="auto"/>
        </w:rPr>
        <w:t>8</w:t>
      </w:r>
      <w:r>
        <w:rPr>
          <w:rFonts w:ascii="Arial" w:cs="Arial" w:eastAsia="Arial" w:hAnsi="Arial"/>
          <w:sz w:val="18"/>
          <w:szCs w:val="18"/>
          <w:color w:val="auto"/>
        </w:rPr>
        <w:t>% senior subordinated notes.</w:t>
      </w:r>
    </w:p>
    <w:p>
      <w:pPr>
        <w:spacing w:after="0" w:line="81"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Product Registration and Recall Matters</w:t>
      </w:r>
    </w:p>
    <w:p>
      <w:pPr>
        <w:spacing w:after="0" w:line="124" w:lineRule="exact"/>
        <w:rPr>
          <w:sz w:val="20"/>
          <w:szCs w:val="20"/>
          <w:color w:val="auto"/>
        </w:rPr>
      </w:pPr>
    </w:p>
    <w:p>
      <w:pPr>
        <w:ind w:left="700" w:right="20" w:firstLine="402"/>
        <w:spacing w:after="0" w:line="239" w:lineRule="auto"/>
        <w:rPr>
          <w:sz w:val="20"/>
          <w:szCs w:val="20"/>
          <w:color w:val="auto"/>
        </w:rPr>
      </w:pPr>
      <w:r>
        <w:rPr>
          <w:rFonts w:ascii="Arial" w:cs="Arial" w:eastAsia="Arial" w:hAnsi="Arial"/>
          <w:sz w:val="18"/>
          <w:szCs w:val="18"/>
          <w:color w:val="auto"/>
        </w:rPr>
        <w:t>In April 2008, the Company learned that a former associate apparently deliberately circumvented the Company’s policies and U.S. Environmental Protection Agency (“U.S. EPA”) regulations under the Federal Insecticide, Fungicide, and Rodenticide Act of 1947, as amended (“FIFRA”), by failing to obtain valid registrations for products and/or causing invalid product registration forms to be submitted to regulators. Since that time, the Company has been cooperating with the U.S. EPA in its civil investigation into pesticide product registration issues involving the Company and with the U.S. EPA and the</w:t>
      </w:r>
    </w:p>
    <w:p>
      <w:pPr>
        <w:spacing w:after="0" w:line="4" w:lineRule="exact"/>
        <w:rPr>
          <w:sz w:val="20"/>
          <w:szCs w:val="20"/>
          <w:color w:val="auto"/>
        </w:rPr>
      </w:pPr>
    </w:p>
    <w:p>
      <w:pPr>
        <w:ind w:left="700" w:right="80"/>
        <w:spacing w:after="0" w:line="239" w:lineRule="auto"/>
        <w:rPr>
          <w:sz w:val="20"/>
          <w:szCs w:val="20"/>
          <w:color w:val="auto"/>
        </w:rPr>
      </w:pPr>
      <w:r>
        <w:rPr>
          <w:rFonts w:ascii="Arial" w:cs="Arial" w:eastAsia="Arial" w:hAnsi="Arial"/>
          <w:sz w:val="18"/>
          <w:szCs w:val="18"/>
          <w:color w:val="auto"/>
        </w:rPr>
        <w:t>U.S. Department of Justice (the “U.S. DOJ”) in a related criminal investigation. In late April of 2008, in connection with the U.S. EPA’s investigation, the Company was required to conduct a consumer-level recall of certain consumer lawn and garden products and a Scotts LawnService</w:t>
      </w:r>
      <w:r>
        <w:rPr>
          <w:rFonts w:ascii="Arial" w:cs="Arial" w:eastAsia="Arial" w:hAnsi="Arial"/>
          <w:sz w:val="15"/>
          <w:szCs w:val="15"/>
          <w:color w:val="auto"/>
        </w:rPr>
        <w:t>®</w:t>
      </w:r>
      <w:r>
        <w:rPr>
          <w:rFonts w:ascii="Arial" w:cs="Arial" w:eastAsia="Arial" w:hAnsi="Arial"/>
          <w:sz w:val="18"/>
          <w:szCs w:val="18"/>
          <w:color w:val="auto"/>
        </w:rPr>
        <w:t xml:space="preserve"> product. Subsequently, the Company and the U.S. EPA agreed upon a Compliance Review Plan for conducting a comprehensive, independent review of the Company’s product registration records. Pursuant to the Compliance Review Plan, an independent third-party firm,</w:t>
      </w:r>
    </w:p>
    <w:p>
      <w:pPr>
        <w:spacing w:after="0" w:line="11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1"/>
          <w:szCs w:val="11"/>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-78105</wp:posOffset>
            </wp:positionV>
            <wp:extent cx="19748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240" w:top="415" w:right="91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hyperlink w:anchor="page6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700"/>
        <w:spacing w:after="0" w:line="255" w:lineRule="auto"/>
        <w:rPr>
          <w:sz w:val="20"/>
          <w:szCs w:val="20"/>
          <w:color w:val="auto"/>
        </w:rPr>
      </w:pPr>
      <w:r>
        <w:rPr>
          <w:rFonts w:ascii="Arial" w:cs="Arial" w:eastAsia="Arial" w:hAnsi="Arial"/>
          <w:sz w:val="17"/>
          <w:szCs w:val="17"/>
          <w:color w:val="auto"/>
        </w:rPr>
        <w:t>Quality Associates Incorporated (“QAI”), has been reviewing all of the Company’s U.S. pesticide product registration records, some of which are historical in nature and no longer support sales of the Company’s products. The Company has identified approximately 132 of the registrations under review as relating to products for which there was sales activity in the period generally representing the Company’s 2008 fiscal year (“Active Registrations”). These Active Registrations supported products which accounted for approximately $680 million of the Company’s net sales in the period. The U.S. EPA investigation and QAI review process identified several issues affecting Active Registrations which resulted in the issuance of a number of Stop Sale, Use or Removal Orders by the U.S. EPA and caused the Company to temporarily suspend sales and shipments of affected products. In addition, as the QAI review process or the Company’s internal review has identified a FIFRA registration issue or a potential FIFRA registration issue (some of which appear unrelated to the former associate), the Company has endeavored to stop selling or distributing the affected products until the issue could be resolved with the U.S. EPA.</w:t>
      </w:r>
    </w:p>
    <w:p>
      <w:pPr>
        <w:spacing w:after="0" w:line="70" w:lineRule="exact"/>
        <w:rPr>
          <w:sz w:val="20"/>
          <w:szCs w:val="20"/>
          <w:color w:val="auto"/>
        </w:rPr>
      </w:pPr>
    </w:p>
    <w:p>
      <w:pPr>
        <w:ind w:left="700" w:right="40" w:firstLine="402"/>
        <w:spacing w:after="0" w:line="243" w:lineRule="auto"/>
        <w:rPr>
          <w:sz w:val="20"/>
          <w:szCs w:val="20"/>
          <w:color w:val="auto"/>
        </w:rPr>
      </w:pPr>
      <w:r>
        <w:rPr>
          <w:rFonts w:ascii="Arial" w:cs="Arial" w:eastAsia="Arial" w:hAnsi="Arial"/>
          <w:sz w:val="18"/>
          <w:szCs w:val="18"/>
          <w:color w:val="auto"/>
        </w:rPr>
        <w:t>To date, QAI has completed a review of the registration records for substantially all of the Company’s Active Registrations. Based on such review, and with the cooperation and prompt attention of the U.S. EPA, the Company believes it has restored the ability to sell and distribute products representing over 90% of the sales associated with Active Registrations; and the Company is hopeful that it will be able to satisfactorily resolve most, if not all, of the remaining issues prior to the start of the 2009 lawn and garden season. The QAI review process is expected to continue with a focus on reviewing advertising and related promotional support of our registered pesticide products.</w:t>
      </w:r>
    </w:p>
    <w:p>
      <w:pPr>
        <w:spacing w:after="0" w:line="80" w:lineRule="exact"/>
        <w:rPr>
          <w:sz w:val="20"/>
          <w:szCs w:val="20"/>
          <w:color w:val="auto"/>
        </w:rPr>
      </w:pPr>
    </w:p>
    <w:p>
      <w:pPr>
        <w:ind w:left="700" w:right="40" w:firstLine="402"/>
        <w:spacing w:after="0"/>
        <w:rPr>
          <w:sz w:val="20"/>
          <w:szCs w:val="20"/>
          <w:color w:val="auto"/>
        </w:rPr>
      </w:pPr>
      <w:r>
        <w:rPr>
          <w:rFonts w:ascii="Arial" w:cs="Arial" w:eastAsia="Arial" w:hAnsi="Arial"/>
          <w:sz w:val="18"/>
          <w:szCs w:val="18"/>
          <w:color w:val="auto"/>
        </w:rPr>
        <w:t>While the Company believes it has made substantial progress toward completing the FIFRA compliance review process, the process continues and may result in future state or federal action with respect to additional product registration issues. Until such investigation is complete, the Company cannot fully quantify the extent of additional issues. Furthermore, the Company may be subject to civil or criminal fines and/or penalties or private rights of action at the state and/or federal level as a result of the product registration issues. At this time, management cannot reasonably determine the scope or magnitude of possible liabilities that could result from known or potential additional product registration issues, and no reserves for these claims have been established as of September 30, 2008. However, it is possible that such fines, penalties and/or judgments could be material and have an adverse effect on the Company’s financial condition, results of operations and cash flows.</w:t>
      </w:r>
    </w:p>
    <w:p>
      <w:pPr>
        <w:spacing w:after="0" w:line="86" w:lineRule="exact"/>
        <w:rPr>
          <w:sz w:val="20"/>
          <w:szCs w:val="20"/>
          <w:color w:val="auto"/>
        </w:rPr>
      </w:pPr>
    </w:p>
    <w:p>
      <w:pPr>
        <w:ind w:left="700" w:right="20" w:firstLine="402"/>
        <w:spacing w:after="0" w:line="243" w:lineRule="auto"/>
        <w:rPr>
          <w:sz w:val="20"/>
          <w:szCs w:val="20"/>
          <w:color w:val="auto"/>
        </w:rPr>
      </w:pPr>
      <w:r>
        <w:rPr>
          <w:rFonts w:ascii="Arial" w:cs="Arial" w:eastAsia="Arial" w:hAnsi="Arial"/>
          <w:sz w:val="18"/>
          <w:szCs w:val="18"/>
          <w:color w:val="auto"/>
        </w:rPr>
        <w:t>On September 26, 2008, the Company, doing business as Scotts LawnService</w:t>
      </w:r>
      <w:r>
        <w:rPr>
          <w:rFonts w:ascii="Arial" w:cs="Arial" w:eastAsia="Arial" w:hAnsi="Arial"/>
          <w:sz w:val="15"/>
          <w:szCs w:val="15"/>
          <w:color w:val="auto"/>
        </w:rPr>
        <w:t>®</w:t>
      </w:r>
      <w:r>
        <w:rPr>
          <w:rFonts w:ascii="Arial" w:cs="Arial" w:eastAsia="Arial" w:hAnsi="Arial"/>
          <w:sz w:val="18"/>
          <w:szCs w:val="18"/>
          <w:color w:val="auto"/>
        </w:rPr>
        <w:t>, was named as a defendant in a purported class action filed in the U.S. District Court for the Eastern District of Michigan relating to certain pesticide products. In the suit, Mark Baumkel, on behalf of himself and the purported classes, seeks an unspecified amount of damages, plus costs and attorney fees, for alleged claims involving breach of contract, unjust enrichment and violation of the Michigan consumer protection act. Given the preliminary stages of the proceedings, no reserves have been booked at this time, and the Company intends to vigorously contest the plaintiff’s assertions.</w:t>
      </w:r>
    </w:p>
    <w:p>
      <w:pPr>
        <w:spacing w:after="0" w:line="80" w:lineRule="exact"/>
        <w:rPr>
          <w:sz w:val="20"/>
          <w:szCs w:val="20"/>
          <w:color w:val="auto"/>
        </w:rPr>
      </w:pPr>
    </w:p>
    <w:p>
      <w:pPr>
        <w:ind w:left="700" w:right="420" w:firstLine="402"/>
        <w:spacing w:after="0" w:line="245" w:lineRule="auto"/>
        <w:rPr>
          <w:sz w:val="20"/>
          <w:szCs w:val="20"/>
          <w:color w:val="auto"/>
        </w:rPr>
      </w:pPr>
      <w:r>
        <w:rPr>
          <w:rFonts w:ascii="Arial" w:cs="Arial" w:eastAsia="Arial" w:hAnsi="Arial"/>
          <w:sz w:val="18"/>
          <w:szCs w:val="18"/>
          <w:color w:val="auto"/>
        </w:rPr>
        <w:t>In addition, in fiscal 2008 the Company conducted a voluntary recall of most of its wild bird food products due to a formulation issue. The wild bird food products had been treated with pest control additives to avoid insect infestation, especially at retail stores. While the pest control additives had been labeled for use on certain stored grains that can be processed for human and/or animal consumption, they were not labeled for use on wild bird food products. This voluntary recall was completed prior to the end of fiscal 2008.</w:t>
      </w:r>
    </w:p>
    <w:p>
      <w:pPr>
        <w:spacing w:after="0" w:line="78" w:lineRule="exact"/>
        <w:rPr>
          <w:sz w:val="20"/>
          <w:szCs w:val="20"/>
          <w:color w:val="auto"/>
        </w:rPr>
      </w:pPr>
    </w:p>
    <w:p>
      <w:pPr>
        <w:ind w:left="700" w:right="40" w:firstLine="402"/>
        <w:spacing w:after="0" w:line="243" w:lineRule="auto"/>
        <w:rPr>
          <w:sz w:val="20"/>
          <w:szCs w:val="20"/>
          <w:color w:val="auto"/>
        </w:rPr>
      </w:pPr>
      <w:r>
        <w:rPr>
          <w:rFonts w:ascii="Arial" w:cs="Arial" w:eastAsia="Arial" w:hAnsi="Arial"/>
          <w:sz w:val="18"/>
          <w:szCs w:val="18"/>
          <w:color w:val="auto"/>
        </w:rPr>
        <w:t>As a result of these registration and recall matters, the Company has reversed sales associated with estimated returns of affected products, recorded an impairment estimate for affected inventory and recorded other registration and recall-related costs. The cumulative impact of these adjustments reduced income from operations by $51.1 million for the fiscal year ended September 30, 2008. While the Company continues to evaluate the financial impact of the registration and recall matters, the Company currently expects total fiscal year 2008 and 2009 costs related to the recalls and known registration issues to be limited to approximately $65 million, exclusive of potential fines, penalties and/or judgments.</w:t>
      </w:r>
    </w:p>
    <w:p>
      <w:pPr>
        <w:spacing w:after="0" w:line="80" w:lineRule="exact"/>
        <w:rPr>
          <w:sz w:val="20"/>
          <w:szCs w:val="20"/>
          <w:color w:val="auto"/>
        </w:rPr>
      </w:pPr>
    </w:p>
    <w:p>
      <w:pPr>
        <w:ind w:left="700" w:right="120" w:firstLine="402"/>
        <w:spacing w:after="0" w:line="248" w:lineRule="auto"/>
        <w:rPr>
          <w:sz w:val="20"/>
          <w:szCs w:val="20"/>
          <w:color w:val="auto"/>
        </w:rPr>
      </w:pPr>
      <w:r>
        <w:rPr>
          <w:rFonts w:ascii="Arial" w:cs="Arial" w:eastAsia="Arial" w:hAnsi="Arial"/>
          <w:sz w:val="18"/>
          <w:szCs w:val="18"/>
          <w:color w:val="auto"/>
        </w:rPr>
        <w:t>Scotts Miracle-Gro is committed to providing its customers and consumers with products of superior quality and value to enhance their lawns, gardens and overall outdoor living environments. We believe consumers have come to trust our brands based on the superior quality and value they deliver, and that trust is highly valued. We are also committed to conducting business with the highest degree of ethical</w:t>
      </w:r>
    </w:p>
    <w:p>
      <w:pPr>
        <w:spacing w:after="0" w:line="11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1"/>
          <w:szCs w:val="11"/>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-78105</wp:posOffset>
            </wp:positionV>
            <wp:extent cx="19748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240" w:top="415" w:right="91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hyperlink w:anchor="page6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700" w:right="820"/>
        <w:spacing w:after="0" w:line="306" w:lineRule="auto"/>
        <w:rPr>
          <w:sz w:val="20"/>
          <w:szCs w:val="20"/>
          <w:color w:val="auto"/>
        </w:rPr>
      </w:pPr>
      <w:r>
        <w:rPr>
          <w:rFonts w:ascii="Arial" w:cs="Arial" w:eastAsia="Arial" w:hAnsi="Arial"/>
          <w:sz w:val="17"/>
          <w:szCs w:val="17"/>
          <w:color w:val="auto"/>
        </w:rPr>
        <w:t>standards and in adherence to the law. While we are disappointed in these recent events, we believe we have made significant progress in addressing the issues and restoring customer and consumer confidence in our products.</w:t>
      </w:r>
    </w:p>
    <w:p>
      <w:pPr>
        <w:spacing w:after="0" w:line="139"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Results of Operations</w:t>
      </w:r>
    </w:p>
    <w:p>
      <w:pPr>
        <w:spacing w:after="0" w:line="124" w:lineRule="exact"/>
        <w:rPr>
          <w:sz w:val="20"/>
          <w:szCs w:val="20"/>
          <w:color w:val="auto"/>
        </w:rPr>
      </w:pPr>
    </w:p>
    <w:p>
      <w:pPr>
        <w:ind w:left="700" w:right="300" w:firstLine="402"/>
        <w:spacing w:after="0" w:line="276" w:lineRule="auto"/>
        <w:rPr>
          <w:sz w:val="20"/>
          <w:szCs w:val="20"/>
          <w:color w:val="auto"/>
        </w:rPr>
      </w:pPr>
      <w:r>
        <w:rPr>
          <w:rFonts w:ascii="Arial" w:cs="Arial" w:eastAsia="Arial" w:hAnsi="Arial"/>
          <w:sz w:val="18"/>
          <w:szCs w:val="18"/>
          <w:color w:val="auto"/>
        </w:rPr>
        <w:t>The following table sets forth the components of income and expense as a percentage of net sales for the three years ended September 30, 2008:</w:t>
      </w:r>
    </w:p>
    <w:p>
      <w:pPr>
        <w:spacing w:after="0" w:line="64" w:lineRule="exact"/>
        <w:rPr>
          <w:sz w:val="20"/>
          <w:szCs w:val="20"/>
          <w:color w:val="auto"/>
        </w:rPr>
      </w:pPr>
    </w:p>
    <w:tbl>
      <w:tblPr>
        <w:tblLayout w:type="fixed"/>
        <w:tblInd w:w="70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58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2008</w:t>
            </w:r>
          </w:p>
        </w:tc>
        <w:tc>
          <w:tcPr>
            <w:tcW w:w="12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2007</w:t>
            </w:r>
          </w:p>
        </w:tc>
        <w:tc>
          <w:tcPr>
            <w:tcW w:w="11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2006</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58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1780" w:type="dxa"/>
            <w:vAlign w:val="bottom"/>
            <w:gridSpan w:val="2"/>
            <w:shd w:val="clear" w:color="auto" w:fill="CCEEFF"/>
          </w:tcPr>
          <w:p>
            <w:pPr>
              <w:jc w:val="right"/>
              <w:ind w:right="1060"/>
              <w:spacing w:after="0" w:line="202" w:lineRule="exact"/>
              <w:rPr>
                <w:sz w:val="20"/>
                <w:szCs w:val="20"/>
                <w:color w:val="auto"/>
              </w:rPr>
            </w:pPr>
            <w:r>
              <w:rPr>
                <w:rFonts w:ascii="Arial" w:cs="Arial" w:eastAsia="Arial" w:hAnsi="Arial"/>
                <w:sz w:val="18"/>
                <w:szCs w:val="18"/>
                <w:color w:val="auto"/>
              </w:rPr>
              <w:t>100.0%</w:t>
            </w:r>
          </w:p>
        </w:tc>
        <w:tc>
          <w:tcPr>
            <w:tcW w:w="1720" w:type="dxa"/>
            <w:vAlign w:val="bottom"/>
            <w:gridSpan w:val="2"/>
            <w:shd w:val="clear" w:color="auto" w:fill="CCEEFF"/>
          </w:tcPr>
          <w:p>
            <w:pPr>
              <w:jc w:val="right"/>
              <w:ind w:right="1000"/>
              <w:spacing w:after="0" w:line="202" w:lineRule="exact"/>
              <w:rPr>
                <w:sz w:val="20"/>
                <w:szCs w:val="20"/>
                <w:color w:val="auto"/>
              </w:rPr>
            </w:pPr>
            <w:r>
              <w:rPr>
                <w:rFonts w:ascii="Arial" w:cs="Arial" w:eastAsia="Arial" w:hAnsi="Arial"/>
                <w:sz w:val="18"/>
                <w:szCs w:val="18"/>
                <w:color w:val="auto"/>
              </w:rPr>
              <w:t>100.0%</w:t>
            </w:r>
          </w:p>
        </w:tc>
        <w:tc>
          <w:tcPr>
            <w:tcW w:w="7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Pr>
          <w:p>
            <w:pPr>
              <w:spacing w:after="0" w:line="202" w:lineRule="exact"/>
              <w:rPr>
                <w:sz w:val="20"/>
                <w:szCs w:val="20"/>
                <w:color w:val="auto"/>
              </w:rPr>
            </w:pPr>
            <w:r>
              <w:rPr>
                <w:rFonts w:ascii="Arial" w:cs="Arial" w:eastAsia="Arial" w:hAnsi="Arial"/>
                <w:sz w:val="18"/>
                <w:szCs w:val="18"/>
                <w:color w:val="auto"/>
              </w:rPr>
              <w:t>Cost of sales</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67.1</w:t>
            </w:r>
          </w:p>
        </w:tc>
        <w:tc>
          <w:tcPr>
            <w:tcW w:w="12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65.0</w:t>
            </w:r>
          </w:p>
        </w:tc>
        <w:tc>
          <w:tcPr>
            <w:tcW w:w="116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64.6</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sales — impairment, restructuring and other charges</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0.5</w:t>
            </w:r>
          </w:p>
        </w:tc>
        <w:tc>
          <w:tcPr>
            <w:tcW w:w="122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116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Pr>
          <w:p>
            <w:pPr>
              <w:spacing w:after="0" w:line="202" w:lineRule="exact"/>
              <w:rPr>
                <w:sz w:val="20"/>
                <w:szCs w:val="20"/>
                <w:color w:val="auto"/>
              </w:rPr>
            </w:pPr>
            <w:r>
              <w:rPr>
                <w:rFonts w:ascii="Arial" w:cs="Arial" w:eastAsia="Arial" w:hAnsi="Arial"/>
                <w:sz w:val="18"/>
                <w:szCs w:val="18"/>
                <w:color w:val="auto"/>
              </w:rPr>
              <w:t>Cost of sales — product registration and recall matters</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0.9</w:t>
            </w:r>
          </w:p>
        </w:tc>
        <w:tc>
          <w:tcPr>
            <w:tcW w:w="1220" w:type="dxa"/>
            <w:vAlign w:val="bottom"/>
          </w:tcPr>
          <w:p>
            <w:pPr>
              <w:spacing w:after="0"/>
              <w:rPr>
                <w:sz w:val="18"/>
                <w:szCs w:val="18"/>
                <w:color w:val="auto"/>
              </w:rPr>
            </w:pPr>
          </w:p>
        </w:tc>
        <w:tc>
          <w:tcPr>
            <w:tcW w:w="1720" w:type="dxa"/>
            <w:vAlign w:val="bottom"/>
            <w:gridSpan w:val="2"/>
          </w:tcPr>
          <w:p>
            <w:pPr>
              <w:jc w:val="right"/>
              <w:ind w:right="116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profit</w:t>
            </w:r>
          </w:p>
        </w:tc>
        <w:tc>
          <w:tcPr>
            <w:tcW w:w="5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31.5</w:t>
            </w:r>
          </w:p>
        </w:tc>
        <w:tc>
          <w:tcPr>
            <w:tcW w:w="1220" w:type="dxa"/>
            <w:vAlign w:val="bottom"/>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35.0</w:t>
            </w:r>
          </w:p>
        </w:tc>
        <w:tc>
          <w:tcPr>
            <w:tcW w:w="1160" w:type="dxa"/>
            <w:vAlign w:val="bottom"/>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35.4</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5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Selling, general and administrative</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24.1</w:t>
            </w:r>
          </w:p>
        </w:tc>
        <w:tc>
          <w:tcPr>
            <w:tcW w:w="12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24.4</w:t>
            </w:r>
          </w:p>
        </w:tc>
        <w:tc>
          <w:tcPr>
            <w:tcW w:w="11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23.6</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Pr>
          <w:p>
            <w:pPr>
              <w:ind w:left="160"/>
              <w:spacing w:after="0" w:line="202" w:lineRule="exact"/>
              <w:rPr>
                <w:sz w:val="20"/>
                <w:szCs w:val="20"/>
                <w:color w:val="auto"/>
              </w:rPr>
            </w:pPr>
            <w:r>
              <w:rPr>
                <w:rFonts w:ascii="Arial" w:cs="Arial" w:eastAsia="Arial" w:hAnsi="Arial"/>
                <w:sz w:val="18"/>
                <w:szCs w:val="18"/>
                <w:color w:val="auto"/>
              </w:rPr>
              <w:t>SG&amp;A — impairment, restructuring and other charges</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4.1</w:t>
            </w:r>
          </w:p>
        </w:tc>
        <w:tc>
          <w:tcPr>
            <w:tcW w:w="1220" w:type="dxa"/>
            <w:vAlign w:val="bottom"/>
          </w:tcPr>
          <w:p>
            <w:pPr>
              <w:spacing w:after="0"/>
              <w:rPr>
                <w:sz w:val="17"/>
                <w:szCs w:val="17"/>
                <w:color w:val="auto"/>
              </w:rPr>
            </w:pPr>
          </w:p>
        </w:tc>
        <w:tc>
          <w:tcPr>
            <w:tcW w:w="1720" w:type="dxa"/>
            <w:vAlign w:val="bottom"/>
            <w:gridSpan w:val="2"/>
          </w:tcPr>
          <w:p>
            <w:pPr>
              <w:jc w:val="right"/>
              <w:ind w:right="1160"/>
              <w:spacing w:after="0" w:line="202" w:lineRule="exact"/>
              <w:rPr>
                <w:sz w:val="20"/>
                <w:szCs w:val="20"/>
                <w:color w:val="auto"/>
              </w:rPr>
            </w:pPr>
            <w:r>
              <w:rPr>
                <w:rFonts w:ascii="Arial" w:cs="Arial" w:eastAsia="Arial" w:hAnsi="Arial"/>
                <w:sz w:val="18"/>
                <w:szCs w:val="18"/>
                <w:color w:val="auto"/>
              </w:rPr>
              <w:t>1.4</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2.8</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SG&amp;A — product registration and recall matters</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0.4</w:t>
            </w:r>
          </w:p>
        </w:tc>
        <w:tc>
          <w:tcPr>
            <w:tcW w:w="122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116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Pr>
          <w:p>
            <w:pPr>
              <w:ind w:left="160"/>
              <w:spacing w:after="0" w:line="202" w:lineRule="exact"/>
              <w:rPr>
                <w:sz w:val="20"/>
                <w:szCs w:val="20"/>
                <w:color w:val="auto"/>
              </w:rPr>
            </w:pPr>
            <w:r>
              <w:rPr>
                <w:rFonts w:ascii="Arial" w:cs="Arial" w:eastAsia="Arial" w:hAnsi="Arial"/>
                <w:sz w:val="18"/>
                <w:szCs w:val="18"/>
                <w:color w:val="auto"/>
              </w:rPr>
              <w:t>Other income, net</w:t>
            </w:r>
          </w:p>
        </w:tc>
        <w:tc>
          <w:tcPr>
            <w:tcW w:w="1780" w:type="dxa"/>
            <w:vAlign w:val="bottom"/>
            <w:gridSpan w:val="2"/>
          </w:tcPr>
          <w:p>
            <w:pPr>
              <w:jc w:val="right"/>
              <w:ind w:right="1160"/>
              <w:spacing w:after="0" w:line="202" w:lineRule="exact"/>
              <w:rPr>
                <w:sz w:val="20"/>
                <w:szCs w:val="20"/>
                <w:color w:val="auto"/>
              </w:rPr>
            </w:pPr>
            <w:r>
              <w:rPr>
                <w:rFonts w:ascii="Arial" w:cs="Arial" w:eastAsia="Arial" w:hAnsi="Arial"/>
                <w:sz w:val="18"/>
                <w:szCs w:val="18"/>
                <w:color w:val="auto"/>
              </w:rPr>
              <w:t>(0.4)</w:t>
            </w:r>
          </w:p>
        </w:tc>
        <w:tc>
          <w:tcPr>
            <w:tcW w:w="1720" w:type="dxa"/>
            <w:vAlign w:val="bottom"/>
            <w:gridSpan w:val="2"/>
          </w:tcPr>
          <w:p>
            <w:pPr>
              <w:jc w:val="right"/>
              <w:ind w:right="1100"/>
              <w:spacing w:after="0" w:line="202" w:lineRule="exact"/>
              <w:rPr>
                <w:sz w:val="20"/>
                <w:szCs w:val="20"/>
                <w:color w:val="auto"/>
              </w:rPr>
            </w:pPr>
            <w:r>
              <w:rPr>
                <w:rFonts w:ascii="Arial" w:cs="Arial" w:eastAsia="Arial" w:hAnsi="Arial"/>
                <w:sz w:val="18"/>
                <w:szCs w:val="18"/>
                <w:color w:val="auto"/>
              </w:rPr>
              <w:t>(0.4)</w:t>
            </w:r>
          </w:p>
        </w:tc>
        <w:tc>
          <w:tcPr>
            <w:tcW w:w="7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from operations</w:t>
            </w:r>
          </w:p>
        </w:tc>
        <w:tc>
          <w:tcPr>
            <w:tcW w:w="5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3.3</w:t>
            </w:r>
          </w:p>
        </w:tc>
        <w:tc>
          <w:tcPr>
            <w:tcW w:w="1220" w:type="dxa"/>
            <w:vAlign w:val="bottom"/>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9.6</w:t>
            </w:r>
          </w:p>
        </w:tc>
        <w:tc>
          <w:tcPr>
            <w:tcW w:w="1160" w:type="dxa"/>
            <w:vAlign w:val="bottom"/>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9.4</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Pr>
          <w:p>
            <w:pPr>
              <w:spacing w:after="0" w:line="202" w:lineRule="exact"/>
              <w:rPr>
                <w:sz w:val="20"/>
                <w:szCs w:val="20"/>
                <w:color w:val="auto"/>
              </w:rPr>
            </w:pPr>
            <w:r>
              <w:rPr>
                <w:rFonts w:ascii="Arial" w:cs="Arial" w:eastAsia="Arial" w:hAnsi="Arial"/>
                <w:sz w:val="18"/>
                <w:szCs w:val="18"/>
                <w:color w:val="auto"/>
              </w:rPr>
              <w:t>Costs related to refinancings</w:t>
            </w:r>
          </w:p>
        </w:tc>
        <w:tc>
          <w:tcPr>
            <w:tcW w:w="1780" w:type="dxa"/>
            <w:vAlign w:val="bottom"/>
            <w:gridSpan w:val="2"/>
          </w:tcPr>
          <w:p>
            <w:pPr>
              <w:jc w:val="right"/>
              <w:ind w:right="1220"/>
              <w:spacing w:after="0" w:line="202" w:lineRule="exact"/>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160"/>
              <w:spacing w:after="0" w:line="202" w:lineRule="exact"/>
              <w:rPr>
                <w:sz w:val="20"/>
                <w:szCs w:val="20"/>
                <w:color w:val="auto"/>
              </w:rPr>
            </w:pPr>
            <w:r>
              <w:rPr>
                <w:rFonts w:ascii="Arial" w:cs="Arial" w:eastAsia="Arial" w:hAnsi="Arial"/>
                <w:sz w:val="18"/>
                <w:szCs w:val="18"/>
                <w:color w:val="auto"/>
              </w:rPr>
              <w:t>0.6</w:t>
            </w:r>
          </w:p>
        </w:tc>
        <w:tc>
          <w:tcPr>
            <w:tcW w:w="7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w:t>
            </w:r>
          </w:p>
        </w:tc>
        <w:tc>
          <w:tcPr>
            <w:tcW w:w="122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1160"/>
              <w:spacing w:after="0" w:line="202" w:lineRule="exact"/>
              <w:rPr>
                <w:sz w:val="20"/>
                <w:szCs w:val="20"/>
                <w:color w:val="auto"/>
              </w:rPr>
            </w:pPr>
            <w:r>
              <w:rPr>
                <w:rFonts w:ascii="Arial" w:cs="Arial" w:eastAsia="Arial" w:hAnsi="Arial"/>
                <w:sz w:val="18"/>
                <w:szCs w:val="18"/>
                <w:color w:val="auto"/>
              </w:rPr>
              <w:t>2.5</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82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220" w:type="dxa"/>
            <w:vAlign w:val="bottom"/>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160" w:type="dxa"/>
            <w:vAlign w:val="bottom"/>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taxes</w:t>
            </w: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0.9</w:t>
            </w:r>
          </w:p>
        </w:tc>
        <w:tc>
          <w:tcPr>
            <w:tcW w:w="122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w:t>
            </w:r>
          </w:p>
        </w:tc>
        <w:tc>
          <w:tcPr>
            <w:tcW w:w="116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82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780" w:type="dxa"/>
            <w:vAlign w:val="bottom"/>
            <w:gridSpan w:val="2"/>
          </w:tcPr>
          <w:p>
            <w:pPr>
              <w:jc w:val="right"/>
              <w:ind w:right="1000"/>
              <w:spacing w:after="0"/>
              <w:rPr>
                <w:sz w:val="20"/>
                <w:szCs w:val="20"/>
                <w:color w:val="auto"/>
              </w:rPr>
            </w:pPr>
            <w:r>
              <w:rPr>
                <w:rFonts w:ascii="Arial" w:cs="Arial" w:eastAsia="Arial" w:hAnsi="Arial"/>
                <w:sz w:val="18"/>
                <w:szCs w:val="18"/>
                <w:color w:val="auto"/>
              </w:rPr>
              <w:t>(0.4)%</w:t>
            </w:r>
          </w:p>
        </w:tc>
        <w:tc>
          <w:tcPr>
            <w:tcW w:w="1720" w:type="dxa"/>
            <w:vAlign w:val="bottom"/>
            <w:gridSpan w:val="2"/>
          </w:tcPr>
          <w:p>
            <w:pPr>
              <w:jc w:val="right"/>
              <w:ind w:right="1000"/>
              <w:spacing w:after="0"/>
              <w:rPr>
                <w:sz w:val="20"/>
                <w:szCs w:val="20"/>
                <w:color w:val="auto"/>
              </w:rPr>
            </w:pPr>
            <w:r>
              <w:rPr>
                <w:rFonts w:ascii="Arial" w:cs="Arial" w:eastAsia="Arial" w:hAnsi="Arial"/>
                <w:sz w:val="18"/>
                <w:szCs w:val="18"/>
                <w:color w:val="auto"/>
              </w:rPr>
              <w:t>3.9%</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Net Sales</w:t>
      </w:r>
    </w:p>
    <w:p>
      <w:pPr>
        <w:spacing w:after="0" w:line="124" w:lineRule="exact"/>
        <w:rPr>
          <w:sz w:val="20"/>
          <w:szCs w:val="20"/>
          <w:color w:val="auto"/>
        </w:rPr>
      </w:pPr>
    </w:p>
    <w:p>
      <w:pPr>
        <w:ind w:left="700" w:right="400" w:firstLine="402"/>
        <w:spacing w:after="0" w:line="255" w:lineRule="auto"/>
        <w:rPr>
          <w:sz w:val="20"/>
          <w:szCs w:val="20"/>
          <w:color w:val="auto"/>
        </w:rPr>
      </w:pPr>
      <w:r>
        <w:rPr>
          <w:rFonts w:ascii="Arial" w:cs="Arial" w:eastAsia="Arial" w:hAnsi="Arial"/>
          <w:sz w:val="18"/>
          <w:szCs w:val="18"/>
          <w:color w:val="auto"/>
        </w:rPr>
        <w:t>Consolidated net sales for fiscal 2008 increased 3.8% to $2.98 billion from $2.87 billion in fiscal 2007, while for fiscal 2007, net sales increased 6.3% to $2.87 billion from $2.70 billion in fiscal 2006. Significantly impacting the rate of sales growth in both years were the following items:</w:t>
      </w:r>
    </w:p>
    <w:p>
      <w:pPr>
        <w:spacing w:after="0" w:line="83" w:lineRule="exact"/>
        <w:rPr>
          <w:sz w:val="20"/>
          <w:szCs w:val="20"/>
          <w:color w:val="auto"/>
        </w:rPr>
      </w:pPr>
    </w:p>
    <w:tbl>
      <w:tblPr>
        <w:tblLayout w:type="fixed"/>
        <w:tblInd w:w="70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81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2008</w:t>
            </w:r>
          </w:p>
        </w:tc>
        <w:tc>
          <w:tcPr>
            <w:tcW w:w="8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2007</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8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sales growth</w:t>
            </w:r>
          </w:p>
        </w:tc>
        <w:tc>
          <w:tcPr>
            <w:tcW w:w="128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3.8%</w:t>
            </w:r>
          </w:p>
        </w:tc>
        <w:tc>
          <w:tcPr>
            <w:tcW w:w="6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20" w:type="dxa"/>
            <w:vAlign w:val="bottom"/>
          </w:tcPr>
          <w:p>
            <w:pPr>
              <w:spacing w:after="0" w:line="202" w:lineRule="exact"/>
              <w:rPr>
                <w:sz w:val="20"/>
                <w:szCs w:val="20"/>
                <w:color w:val="auto"/>
              </w:rPr>
            </w:pPr>
            <w:r>
              <w:rPr>
                <w:rFonts w:ascii="Arial" w:cs="Arial" w:eastAsia="Arial" w:hAnsi="Arial"/>
                <w:sz w:val="18"/>
                <w:szCs w:val="18"/>
                <w:color w:val="auto"/>
              </w:rPr>
              <w:t>Acquisitions</w:t>
            </w:r>
          </w:p>
        </w:tc>
        <w:tc>
          <w:tcPr>
            <w:tcW w:w="1280" w:type="dxa"/>
            <w:vAlign w:val="bottom"/>
            <w:gridSpan w:val="2"/>
          </w:tcPr>
          <w:p>
            <w:pPr>
              <w:jc w:val="right"/>
              <w:ind w:right="780"/>
              <w:spacing w:after="0" w:line="202" w:lineRule="exact"/>
              <w:rPr>
                <w:sz w:val="20"/>
                <w:szCs w:val="20"/>
                <w:color w:val="auto"/>
              </w:rPr>
            </w:pPr>
            <w:r>
              <w:rPr>
                <w:rFonts w:ascii="Arial" w:cs="Arial" w:eastAsia="Arial" w:hAnsi="Arial"/>
                <w:sz w:val="18"/>
                <w:szCs w:val="18"/>
                <w:color w:val="auto"/>
              </w:rPr>
              <w:t>(0.3)</w:t>
            </w:r>
          </w:p>
        </w:tc>
        <w:tc>
          <w:tcPr>
            <w:tcW w:w="6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 exchange rates</w:t>
            </w:r>
          </w:p>
        </w:tc>
        <w:tc>
          <w:tcPr>
            <w:tcW w:w="1280" w:type="dxa"/>
            <w:vAlign w:val="bottom"/>
            <w:gridSpan w:val="2"/>
            <w:shd w:val="clear" w:color="auto" w:fill="CCEEFF"/>
          </w:tcPr>
          <w:p>
            <w:pPr>
              <w:jc w:val="right"/>
              <w:ind w:right="780"/>
              <w:spacing w:after="0" w:line="202" w:lineRule="exact"/>
              <w:rPr>
                <w:sz w:val="20"/>
                <w:szCs w:val="20"/>
                <w:color w:val="auto"/>
              </w:rPr>
            </w:pPr>
            <w:r>
              <w:rPr>
                <w:rFonts w:ascii="Arial" w:cs="Arial" w:eastAsia="Arial" w:hAnsi="Arial"/>
                <w:sz w:val="18"/>
                <w:szCs w:val="18"/>
                <w:color w:val="auto"/>
              </w:rPr>
              <w:t>(2.0)</w:t>
            </w:r>
          </w:p>
        </w:tc>
        <w:tc>
          <w:tcPr>
            <w:tcW w:w="6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20" w:type="dxa"/>
            <w:vAlign w:val="bottom"/>
          </w:tcPr>
          <w:p>
            <w:pPr>
              <w:spacing w:after="0" w:line="202" w:lineRule="exact"/>
              <w:rPr>
                <w:sz w:val="20"/>
                <w:szCs w:val="20"/>
                <w:color w:val="auto"/>
              </w:rPr>
            </w:pPr>
            <w:r>
              <w:rPr>
                <w:rFonts w:ascii="Arial" w:cs="Arial" w:eastAsia="Arial" w:hAnsi="Arial"/>
                <w:sz w:val="18"/>
                <w:szCs w:val="18"/>
                <w:color w:val="auto"/>
              </w:rPr>
              <w:t>Product recall matters — returns</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0.8</w:t>
            </w:r>
          </w:p>
        </w:tc>
        <w:tc>
          <w:tcPr>
            <w:tcW w:w="840" w:type="dxa"/>
            <w:vAlign w:val="bottom"/>
          </w:tcPr>
          <w:p>
            <w:pPr>
              <w:spacing w:after="0"/>
              <w:rPr>
                <w:sz w:val="17"/>
                <w:szCs w:val="17"/>
                <w:color w:val="auto"/>
              </w:rPr>
            </w:pPr>
          </w:p>
        </w:tc>
        <w:tc>
          <w:tcPr>
            <w:tcW w:w="6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8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Adjusted net sales growth</w:t>
            </w:r>
          </w:p>
        </w:tc>
        <w:tc>
          <w:tcPr>
            <w:tcW w:w="128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2.3%</w:t>
            </w:r>
          </w:p>
        </w:tc>
        <w:tc>
          <w:tcPr>
            <w:tcW w:w="6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ind w:left="700" w:right="40" w:firstLine="402"/>
        <w:spacing w:after="0" w:line="243" w:lineRule="auto"/>
        <w:rPr>
          <w:sz w:val="20"/>
          <w:szCs w:val="20"/>
          <w:color w:val="auto"/>
        </w:rPr>
      </w:pPr>
      <w:r>
        <w:rPr>
          <w:rFonts w:ascii="Arial" w:cs="Arial" w:eastAsia="Arial" w:hAnsi="Arial"/>
          <w:sz w:val="18"/>
          <w:szCs w:val="18"/>
          <w:color w:val="auto"/>
        </w:rPr>
        <w:t>Excluding the impact of pricing, Global Consumer adjusted net sales declined by 2.5% for the year. We believe this was a result of a number of factors, including the overall economic climate in the United States, as well as unfavorable early spring weather conditions. Adjusted net sales in our Global Professional segment grew 9.3% excluding the impact of pricing, driven by strong demand for the proprietary technology used in that segment. Despite a reduction in customer count, Scotts LawnService</w:t>
      </w:r>
      <w:r>
        <w:rPr>
          <w:rFonts w:ascii="Arial" w:cs="Arial" w:eastAsia="Arial" w:hAnsi="Arial"/>
          <w:sz w:val="15"/>
          <w:szCs w:val="15"/>
          <w:color w:val="auto"/>
        </w:rPr>
        <w:t>®</w:t>
      </w:r>
      <w:r>
        <w:rPr>
          <w:rFonts w:ascii="Arial" w:cs="Arial" w:eastAsia="Arial" w:hAnsi="Arial"/>
          <w:sz w:val="18"/>
          <w:szCs w:val="18"/>
          <w:color w:val="auto"/>
        </w:rPr>
        <w:t xml:space="preserve"> experienced adjusted net sales growth of 1.2%, excluding the impact of pricing. Corporate &amp; Other adjusted net sales decreased 13.8%, primarily driven by declines across all channels of the Smith &amp; Hawken</w:t>
      </w:r>
      <w:r>
        <w:rPr>
          <w:rFonts w:ascii="Arial" w:cs="Arial" w:eastAsia="Arial" w:hAnsi="Arial"/>
          <w:sz w:val="15"/>
          <w:szCs w:val="15"/>
          <w:color w:val="auto"/>
        </w:rPr>
        <w:t>®</w:t>
      </w:r>
      <w:r>
        <w:rPr>
          <w:rFonts w:ascii="Arial" w:cs="Arial" w:eastAsia="Arial" w:hAnsi="Arial"/>
          <w:sz w:val="18"/>
          <w:szCs w:val="18"/>
          <w:color w:val="auto"/>
        </w:rPr>
        <w:t xml:space="preserve"> business.</w:t>
      </w:r>
    </w:p>
    <w:p>
      <w:pPr>
        <w:spacing w:after="0" w:line="80" w:lineRule="exact"/>
        <w:rPr>
          <w:sz w:val="20"/>
          <w:szCs w:val="20"/>
          <w:color w:val="auto"/>
        </w:rPr>
      </w:pPr>
    </w:p>
    <w:p>
      <w:pPr>
        <w:ind w:left="700" w:right="60" w:firstLine="402"/>
        <w:spacing w:after="0" w:line="248" w:lineRule="auto"/>
        <w:rPr>
          <w:sz w:val="20"/>
          <w:szCs w:val="20"/>
          <w:color w:val="auto"/>
        </w:rPr>
      </w:pPr>
      <w:r>
        <w:rPr>
          <w:rFonts w:ascii="Arial" w:cs="Arial" w:eastAsia="Arial" w:hAnsi="Arial"/>
          <w:sz w:val="18"/>
          <w:szCs w:val="18"/>
          <w:color w:val="auto"/>
        </w:rPr>
        <w:t>The adjusted net sales increase of 3.4% in fiscal 2007 was reflective of the weather related challenges in the largest part of our business, the Global Consumer segment. Extreme cold and wet weather in April 2007 discouraged consumer usage during this key retail selling period, and these lost opportunities were not recovered as the weather improved later in the spring. While we saw strong growth in the gardening</w:t>
      </w:r>
    </w:p>
    <w:p>
      <w:pPr>
        <w:spacing w:after="0" w:line="11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1"/>
          <w:szCs w:val="11"/>
          <w:b w:val="1"/>
          <w:bCs w:val="1"/>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-78105</wp:posOffset>
            </wp:positionV>
            <wp:extent cx="19748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240" w:top="415" w:right="91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hyperlink w:anchor="page6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700" w:right="300"/>
        <w:spacing w:after="0" w:line="277" w:lineRule="auto"/>
        <w:rPr>
          <w:sz w:val="20"/>
          <w:szCs w:val="20"/>
          <w:color w:val="auto"/>
        </w:rPr>
      </w:pPr>
      <w:r>
        <w:rPr>
          <w:rFonts w:ascii="Arial" w:cs="Arial" w:eastAsia="Arial" w:hAnsi="Arial"/>
          <w:sz w:val="18"/>
          <w:szCs w:val="18"/>
          <w:color w:val="auto"/>
        </w:rPr>
        <w:t>category, in our Scotts LawnService</w:t>
      </w:r>
      <w:r>
        <w:rPr>
          <w:rFonts w:ascii="Arial" w:cs="Arial" w:eastAsia="Arial" w:hAnsi="Arial"/>
          <w:sz w:val="15"/>
          <w:szCs w:val="15"/>
          <w:color w:val="auto"/>
        </w:rPr>
        <w:t>®</w:t>
      </w:r>
      <w:r>
        <w:rPr>
          <w:rFonts w:ascii="Arial" w:cs="Arial" w:eastAsia="Arial" w:hAnsi="Arial"/>
          <w:sz w:val="18"/>
          <w:szCs w:val="18"/>
          <w:color w:val="auto"/>
        </w:rPr>
        <w:t xml:space="preserve"> business, and in our Global Professional segment, the adverse impact of weather on the important lawns business in North America overshadowed these successes.</w:t>
      </w:r>
    </w:p>
    <w:p>
      <w:pPr>
        <w:spacing w:after="0" w:line="160"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Gross Profit</w:t>
      </w:r>
    </w:p>
    <w:p>
      <w:pPr>
        <w:spacing w:after="0" w:line="124" w:lineRule="exact"/>
        <w:rPr>
          <w:sz w:val="20"/>
          <w:szCs w:val="20"/>
          <w:color w:val="auto"/>
        </w:rPr>
      </w:pPr>
    </w:p>
    <w:p>
      <w:pPr>
        <w:ind w:left="700" w:right="120" w:firstLine="402"/>
        <w:spacing w:after="0" w:line="248" w:lineRule="auto"/>
        <w:rPr>
          <w:sz w:val="20"/>
          <w:szCs w:val="20"/>
          <w:color w:val="auto"/>
        </w:rPr>
      </w:pPr>
      <w:r>
        <w:rPr>
          <w:rFonts w:ascii="Arial" w:cs="Arial" w:eastAsia="Arial" w:hAnsi="Arial"/>
          <w:sz w:val="18"/>
          <w:szCs w:val="18"/>
          <w:color w:val="auto"/>
        </w:rPr>
        <w:t>As a percentage of net sales, gross profit was 31.5% of net sales for fiscal 2008 compared to 35.0% for fiscal 2007. The decrease in gross profit margin percentage was primarily driven by increased commodity costs, which unfavorably impacted all operating segments. Product registration and recall matters and impairment charges unfavorably impacted gross profit rates for fiscal 2008 by 90 basis points and 50 basis points, respectively.</w:t>
      </w:r>
    </w:p>
    <w:p>
      <w:pPr>
        <w:spacing w:after="0" w:line="76" w:lineRule="exact"/>
        <w:rPr>
          <w:sz w:val="20"/>
          <w:szCs w:val="20"/>
          <w:color w:val="auto"/>
        </w:rPr>
      </w:pPr>
    </w:p>
    <w:p>
      <w:pPr>
        <w:ind w:left="700" w:right="80" w:firstLine="402"/>
        <w:spacing w:after="0" w:line="245" w:lineRule="auto"/>
        <w:rPr>
          <w:sz w:val="20"/>
          <w:szCs w:val="20"/>
          <w:color w:val="auto"/>
        </w:rPr>
      </w:pPr>
      <w:r>
        <w:rPr>
          <w:rFonts w:ascii="Arial" w:cs="Arial" w:eastAsia="Arial" w:hAnsi="Arial"/>
          <w:sz w:val="18"/>
          <w:szCs w:val="18"/>
          <w:color w:val="auto"/>
        </w:rPr>
        <w:t>As a percentage of net sales, gross profit was 35.0% of net sales for fiscal 2007 compared to 35.4% for fiscal 2006. This decline in gross profit was driven primarily by the Global Consumer segment, due almost entirely to unfavorable product mix. Strong net sales growth in the lower margin wild bird food and growing media businesses, coupled with a net sales decline in our higher margin lawns business, were the drivers behind this decrease. Offsetting this decline were gross profit improvements in our Scotts LawnService</w:t>
      </w:r>
      <w:r>
        <w:rPr>
          <w:rFonts w:ascii="Arial" w:cs="Arial" w:eastAsia="Arial" w:hAnsi="Arial"/>
          <w:sz w:val="15"/>
          <w:szCs w:val="15"/>
          <w:color w:val="auto"/>
        </w:rPr>
        <w:t>®</w:t>
      </w:r>
      <w:r>
        <w:rPr>
          <w:rFonts w:ascii="Arial" w:cs="Arial" w:eastAsia="Arial" w:hAnsi="Arial"/>
          <w:sz w:val="18"/>
          <w:szCs w:val="18"/>
          <w:color w:val="auto"/>
        </w:rPr>
        <w:t>, Smith &amp; Hawken</w:t>
      </w:r>
      <w:r>
        <w:rPr>
          <w:rFonts w:ascii="Arial" w:cs="Arial" w:eastAsia="Arial" w:hAnsi="Arial"/>
          <w:sz w:val="15"/>
          <w:szCs w:val="15"/>
          <w:color w:val="auto"/>
        </w:rPr>
        <w:t>®</w:t>
      </w:r>
      <w:r>
        <w:rPr>
          <w:rFonts w:ascii="Arial" w:cs="Arial" w:eastAsia="Arial" w:hAnsi="Arial"/>
          <w:sz w:val="18"/>
          <w:szCs w:val="18"/>
          <w:color w:val="auto"/>
        </w:rPr>
        <w:t xml:space="preserve"> and the Global Professional businesses.</w:t>
      </w:r>
    </w:p>
    <w:p>
      <w:pPr>
        <w:spacing w:after="0" w:line="189" w:lineRule="exact"/>
        <w:rPr>
          <w:sz w:val="20"/>
          <w:szCs w:val="20"/>
          <w:color w:val="auto"/>
        </w:rPr>
      </w:pPr>
    </w:p>
    <w:tbl>
      <w:tblPr>
        <w:tblLayout w:type="fixed"/>
        <w:tblInd w:w="700" w:type="dxa"/>
        <w:tblCellMar>
          <w:top w:w="0" w:type="dxa"/>
          <w:left w:w="0" w:type="dxa"/>
          <w:bottom w:w="0" w:type="dxa"/>
          <w:right w:w="0" w:type="dxa"/>
        </w:tblCellMar>
      </w:tblPr>
      <w:tr>
        <w:trPr>
          <w:trHeight w:val="229"/>
        </w:trPr>
        <w:tc>
          <w:tcPr>
            <w:tcW w:w="5760" w:type="dxa"/>
            <w:vAlign w:val="bottom"/>
            <w:gridSpan w:val="2"/>
          </w:tcPr>
          <w:p>
            <w:pPr>
              <w:spacing w:after="0"/>
              <w:rPr>
                <w:sz w:val="20"/>
                <w:szCs w:val="20"/>
                <w:color w:val="auto"/>
              </w:rPr>
            </w:pPr>
            <w:r>
              <w:rPr>
                <w:rFonts w:ascii="Arial" w:cs="Arial" w:eastAsia="Arial" w:hAnsi="Arial"/>
                <w:sz w:val="16"/>
                <w:szCs w:val="16"/>
                <w:b w:val="1"/>
                <w:bCs w:val="1"/>
                <w:color w:val="auto"/>
              </w:rPr>
              <w:t>Selling, General and Administrative Expenses (in millions)</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2"/>
        </w:trPr>
        <w:tc>
          <w:tcPr>
            <w:tcW w:w="20" w:type="dxa"/>
            <w:vAlign w:val="bottom"/>
          </w:tcPr>
          <w:p>
            <w:pPr>
              <w:spacing w:after="0"/>
              <w:rPr>
                <w:sz w:val="24"/>
                <w:szCs w:val="24"/>
                <w:color w:val="auto"/>
              </w:rPr>
            </w:pPr>
          </w:p>
        </w:tc>
        <w:tc>
          <w:tcPr>
            <w:tcW w:w="57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2008</w:t>
            </w:r>
          </w:p>
        </w:tc>
        <w:tc>
          <w:tcPr>
            <w:tcW w:w="6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2007</w:t>
            </w:r>
          </w:p>
        </w:tc>
        <w:tc>
          <w:tcPr>
            <w:tcW w:w="6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2006</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574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80" w:type="dxa"/>
            <w:vAlign w:val="bottom"/>
          </w:tcPr>
          <w:p>
            <w:pPr>
              <w:spacing w:after="0"/>
              <w:rPr>
                <w:sz w:val="4"/>
                <w:szCs w:val="4"/>
                <w:color w:val="auto"/>
              </w:rPr>
            </w:pPr>
          </w:p>
        </w:tc>
        <w:tc>
          <w:tcPr>
            <w:tcW w:w="5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80" w:type="dxa"/>
            <w:vAlign w:val="bottom"/>
          </w:tcPr>
          <w:p>
            <w:pPr>
              <w:spacing w:after="0"/>
              <w:rPr>
                <w:sz w:val="4"/>
                <w:szCs w:val="4"/>
                <w:color w:val="auto"/>
              </w:rPr>
            </w:pPr>
          </w:p>
        </w:tc>
        <w:tc>
          <w:tcPr>
            <w:tcW w:w="5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Advertising</w:t>
            </w:r>
          </w:p>
        </w:tc>
        <w:tc>
          <w:tcPr>
            <w:tcW w:w="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$142.4</w:t>
            </w:r>
          </w:p>
        </w:tc>
        <w:tc>
          <w:tcPr>
            <w:tcW w:w="6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$150.9</w:t>
            </w:r>
          </w:p>
        </w:tc>
        <w:tc>
          <w:tcPr>
            <w:tcW w:w="6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$137.3</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40" w:type="dxa"/>
            <w:vAlign w:val="bottom"/>
          </w:tcPr>
          <w:p>
            <w:pPr>
              <w:spacing w:after="0" w:line="202" w:lineRule="exact"/>
              <w:rPr>
                <w:sz w:val="20"/>
                <w:szCs w:val="20"/>
                <w:color w:val="auto"/>
              </w:rPr>
            </w:pPr>
            <w:r>
              <w:rPr>
                <w:rFonts w:ascii="Arial" w:cs="Arial" w:eastAsia="Arial" w:hAnsi="Arial"/>
                <w:sz w:val="18"/>
                <w:szCs w:val="18"/>
                <w:color w:val="auto"/>
              </w:rPr>
              <w:t>Advertising as a percentage of net sales</w:t>
            </w:r>
          </w:p>
        </w:tc>
        <w:tc>
          <w:tcPr>
            <w:tcW w:w="1260" w:type="dxa"/>
            <w:vAlign w:val="bottom"/>
            <w:gridSpan w:val="3"/>
          </w:tcPr>
          <w:p>
            <w:pPr>
              <w:jc w:val="right"/>
              <w:ind w:right="520"/>
              <w:spacing w:after="0" w:line="202" w:lineRule="exact"/>
              <w:rPr>
                <w:sz w:val="20"/>
                <w:szCs w:val="20"/>
                <w:color w:val="auto"/>
              </w:rPr>
            </w:pPr>
            <w:r>
              <w:rPr>
                <w:rFonts w:ascii="Arial" w:cs="Arial" w:eastAsia="Arial" w:hAnsi="Arial"/>
                <w:sz w:val="18"/>
                <w:szCs w:val="18"/>
                <w:color w:val="auto"/>
              </w:rPr>
              <w:t>4.8%</w:t>
            </w:r>
          </w:p>
        </w:tc>
        <w:tc>
          <w:tcPr>
            <w:tcW w:w="1760" w:type="dxa"/>
            <w:vAlign w:val="bottom"/>
            <w:gridSpan w:val="3"/>
          </w:tcPr>
          <w:p>
            <w:pPr>
              <w:jc w:val="right"/>
              <w:ind w:right="520"/>
              <w:spacing w:after="0" w:line="202" w:lineRule="exact"/>
              <w:rPr>
                <w:sz w:val="20"/>
                <w:szCs w:val="20"/>
                <w:color w:val="auto"/>
              </w:rPr>
            </w:pPr>
            <w:r>
              <w:rPr>
                <w:rFonts w:ascii="Arial" w:cs="Arial" w:eastAsia="Arial" w:hAnsi="Arial"/>
                <w:sz w:val="18"/>
                <w:szCs w:val="18"/>
                <w:color w:val="auto"/>
              </w:rPr>
              <w:t>5.3%</w:t>
            </w:r>
          </w:p>
        </w:tc>
        <w:tc>
          <w:tcPr>
            <w:tcW w:w="126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SG&amp;A</w:t>
            </w:r>
          </w:p>
        </w:tc>
        <w:tc>
          <w:tcPr>
            <w:tcW w:w="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$547.1</w:t>
            </w:r>
          </w:p>
        </w:tc>
        <w:tc>
          <w:tcPr>
            <w:tcW w:w="6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$519.2</w:t>
            </w:r>
          </w:p>
        </w:tc>
        <w:tc>
          <w:tcPr>
            <w:tcW w:w="6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$468.7</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40" w:type="dxa"/>
            <w:vAlign w:val="bottom"/>
          </w:tcPr>
          <w:p>
            <w:pPr>
              <w:spacing w:after="0" w:line="202" w:lineRule="exact"/>
              <w:rPr>
                <w:sz w:val="20"/>
                <w:szCs w:val="20"/>
                <w:color w:val="auto"/>
              </w:rPr>
            </w:pPr>
            <w:r>
              <w:rPr>
                <w:rFonts w:ascii="Arial" w:cs="Arial" w:eastAsia="Arial" w:hAnsi="Arial"/>
                <w:sz w:val="18"/>
                <w:szCs w:val="18"/>
                <w:color w:val="auto"/>
              </w:rPr>
              <w:t>Stock-based compensation</w:t>
            </w:r>
          </w:p>
        </w:tc>
        <w:tc>
          <w:tcPr>
            <w:tcW w:w="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12.5</w:t>
            </w:r>
          </w:p>
        </w:tc>
        <w:tc>
          <w:tcPr>
            <w:tcW w:w="680" w:type="dxa"/>
            <w:vAlign w:val="bottom"/>
          </w:tcPr>
          <w:p>
            <w:pPr>
              <w:spacing w:after="0"/>
              <w:rPr>
                <w:sz w:val="17"/>
                <w:szCs w:val="17"/>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15.5</w:t>
            </w:r>
          </w:p>
        </w:tc>
        <w:tc>
          <w:tcPr>
            <w:tcW w:w="680" w:type="dxa"/>
            <w:vAlign w:val="bottom"/>
          </w:tcPr>
          <w:p>
            <w:pPr>
              <w:spacing w:after="0"/>
              <w:rPr>
                <w:sz w:val="17"/>
                <w:szCs w:val="17"/>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15.7</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Amortization of intangibles</w:t>
            </w:r>
          </w:p>
        </w:tc>
        <w:tc>
          <w:tcPr>
            <w:tcW w:w="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15.6</w:t>
            </w:r>
          </w:p>
        </w:tc>
        <w:tc>
          <w:tcPr>
            <w:tcW w:w="6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15.3</w:t>
            </w:r>
          </w:p>
        </w:tc>
        <w:tc>
          <w:tcPr>
            <w:tcW w:w="6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15.2</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717.6</w:t>
            </w: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700.9</w:t>
            </w: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636.9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ind w:left="700" w:right="20" w:firstLine="402"/>
        <w:spacing w:after="0" w:line="241" w:lineRule="auto"/>
        <w:rPr>
          <w:sz w:val="20"/>
          <w:szCs w:val="20"/>
          <w:color w:val="auto"/>
        </w:rPr>
      </w:pPr>
      <w:r>
        <w:rPr>
          <w:rFonts w:ascii="Arial" w:cs="Arial" w:eastAsia="Arial" w:hAnsi="Arial"/>
          <w:sz w:val="18"/>
          <w:szCs w:val="18"/>
          <w:color w:val="auto"/>
        </w:rPr>
        <w:t>Advertising expenses in fiscal 2008 were $142.4 million, a decrease of $8.5 million or 5.6% from fiscal 2007. Fiscal 2007 advertising expenses were $150.9 million, an increase of $13.6 million or 9.9% from fiscal 2006. On a percentage of net sales basis, advertising expenses were 4.8% of net sales in fiscal 2008, 5.3% in fiscal 2007 and 5.1% in fiscal 2006. The fiscal 2008 decrease as a percent of net sales was principally the result of a shift from media to consumer promotions and other trade expense, the costs of which are netted against sales rather than classified as SG&amp;A. The fiscal 2007 increase as a percent of net sales was due to an effort to drive consumer interest and reinvigorate the lawns category following weak net sales performance in April 2007.</w:t>
      </w:r>
    </w:p>
    <w:p>
      <w:pPr>
        <w:spacing w:after="0" w:line="85" w:lineRule="exact"/>
        <w:rPr>
          <w:sz w:val="20"/>
          <w:szCs w:val="20"/>
          <w:color w:val="auto"/>
        </w:rPr>
      </w:pPr>
    </w:p>
    <w:p>
      <w:pPr>
        <w:ind w:left="700" w:right="200" w:firstLine="402"/>
        <w:spacing w:after="0" w:line="239" w:lineRule="auto"/>
        <w:rPr>
          <w:sz w:val="20"/>
          <w:szCs w:val="20"/>
          <w:color w:val="auto"/>
        </w:rPr>
      </w:pPr>
      <w:r>
        <w:rPr>
          <w:rFonts w:ascii="Arial" w:cs="Arial" w:eastAsia="Arial" w:hAnsi="Arial"/>
          <w:sz w:val="18"/>
          <w:szCs w:val="18"/>
          <w:color w:val="auto"/>
        </w:rPr>
        <w:t>In fiscal 2008, other SG&amp;A spending increased $27.9 million or 5.4% from fiscal 2007. The Company’s increased investments were focused principally within the sales force, research and development and marketing areas ($14.2 million). The increase from fiscal 2007 to fiscal 2008 was largely driven by increased investments within the North America portion of the Global Consumer segment. The adverse impact of foreign exchange rates on spending outside of the United States represented the majority of the remaining increase ($11.3 million). In fiscal 2007, other SG&amp;A spending increased</w:t>
      </w:r>
    </w:p>
    <w:p>
      <w:pPr>
        <w:ind w:left="700"/>
        <w:spacing w:after="0"/>
        <w:rPr>
          <w:sz w:val="20"/>
          <w:szCs w:val="20"/>
          <w:color w:val="auto"/>
        </w:rPr>
      </w:pPr>
      <w:r>
        <w:rPr>
          <w:rFonts w:ascii="Arial" w:cs="Arial" w:eastAsia="Arial" w:hAnsi="Arial"/>
          <w:sz w:val="18"/>
          <w:szCs w:val="18"/>
          <w:color w:val="auto"/>
        </w:rPr>
        <w:t>$50.5 million or 10.8% from fiscal 2006. An increase in Scotts LawnService</w:t>
      </w:r>
      <w:r>
        <w:rPr>
          <w:rFonts w:ascii="Arial" w:cs="Arial" w:eastAsia="Arial" w:hAnsi="Arial"/>
          <w:sz w:val="15"/>
          <w:szCs w:val="15"/>
          <w:color w:val="auto"/>
        </w:rPr>
        <w:t>®</w:t>
      </w:r>
      <w:r>
        <w:rPr>
          <w:rFonts w:ascii="Arial" w:cs="Arial" w:eastAsia="Arial" w:hAnsi="Arial"/>
          <w:sz w:val="18"/>
          <w:szCs w:val="18"/>
          <w:color w:val="auto"/>
        </w:rPr>
        <w:t xml:space="preserve"> infrastructure ($20.4 million), the adverse effect</w:t>
      </w:r>
    </w:p>
    <w:p>
      <w:pPr>
        <w:ind w:left="700"/>
        <w:spacing w:after="0" w:line="234" w:lineRule="auto"/>
        <w:rPr>
          <w:sz w:val="20"/>
          <w:szCs w:val="20"/>
          <w:color w:val="auto"/>
        </w:rPr>
      </w:pPr>
      <w:r>
        <w:rPr>
          <w:rFonts w:ascii="Arial" w:cs="Arial" w:eastAsia="Arial" w:hAnsi="Arial"/>
          <w:sz w:val="18"/>
          <w:szCs w:val="18"/>
          <w:color w:val="auto"/>
        </w:rPr>
        <w:t>of foreign exchange rates on spending outside the United States ($11.3 million), and a nonrecurring benefit in fiscal 2006</w:t>
      </w:r>
    </w:p>
    <w:p>
      <w:pPr>
        <w:ind w:left="700"/>
        <w:spacing w:after="0" w:line="235" w:lineRule="auto"/>
        <w:rPr>
          <w:sz w:val="20"/>
          <w:szCs w:val="20"/>
          <w:color w:val="auto"/>
        </w:rPr>
      </w:pPr>
      <w:r>
        <w:rPr>
          <w:rFonts w:ascii="Arial" w:cs="Arial" w:eastAsia="Arial" w:hAnsi="Arial"/>
          <w:sz w:val="18"/>
          <w:szCs w:val="18"/>
          <w:color w:val="auto"/>
        </w:rPr>
        <w:t>($10.1 million) for an insurance recovery relating to past legal costs incurred in our defense of lawsuits regarding our use of</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vermiculite were the primarily drivers behind the increase from fiscal 2006 to fiscal 2007.</w:t>
      </w:r>
    </w:p>
    <w:p>
      <w:pPr>
        <w:spacing w:after="0" w:line="95" w:lineRule="exact"/>
        <w:rPr>
          <w:sz w:val="20"/>
          <w:szCs w:val="20"/>
          <w:color w:val="auto"/>
        </w:rPr>
      </w:pPr>
    </w:p>
    <w:p>
      <w:pPr>
        <w:ind w:left="700" w:right="180" w:firstLine="402"/>
        <w:spacing w:after="0" w:line="241" w:lineRule="auto"/>
        <w:rPr>
          <w:sz w:val="20"/>
          <w:szCs w:val="20"/>
          <w:color w:val="auto"/>
        </w:rPr>
      </w:pPr>
      <w:r>
        <w:rPr>
          <w:rFonts w:ascii="Arial" w:cs="Arial" w:eastAsia="Arial" w:hAnsi="Arial"/>
          <w:sz w:val="18"/>
          <w:szCs w:val="18"/>
          <w:color w:val="auto"/>
        </w:rPr>
        <w:t>The majority of our stock-based awards vest over three years, with the associated expense recognized ratably over the vesting period. The decrease in stock-based compensation expense in fiscal 2008 as compared to fiscal 2007 was primarily attributable to a change in the Board of Directors equity compensation plan effective in February 2008, which resulted in the majority of associated expense being recognized ratably over the Board of Directors’ service period, compared to previous years’ grants where the associated expense was recorded entirely in the year of the grant. Additionally, the decrease in the Company’s share price during fiscal 2008 resulted in a reduction of expense for the equity awards that are expensed based on the Company’s share price.</w:t>
      </w:r>
    </w:p>
    <w:p>
      <w:pPr>
        <w:spacing w:after="0" w:line="11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1"/>
          <w:szCs w:val="11"/>
          <w:b w:val="1"/>
          <w:bCs w:val="1"/>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-78105</wp:posOffset>
            </wp:positionV>
            <wp:extent cx="19748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240" w:top="415" w:right="91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hyperlink w:anchor="page6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700" w:right="420" w:firstLine="402"/>
        <w:spacing w:after="0" w:line="276" w:lineRule="auto"/>
        <w:rPr>
          <w:sz w:val="20"/>
          <w:szCs w:val="20"/>
          <w:color w:val="auto"/>
        </w:rPr>
      </w:pPr>
      <w:r>
        <w:rPr>
          <w:rFonts w:ascii="Arial" w:cs="Arial" w:eastAsia="Arial" w:hAnsi="Arial"/>
          <w:sz w:val="18"/>
          <w:szCs w:val="18"/>
          <w:color w:val="auto"/>
        </w:rPr>
        <w:t>Amortization expense of $15.6 million in fiscal 2008 is comparable to $15.3 million in fiscal 2007 and $15.2 million in fiscal 2006.</w:t>
      </w:r>
    </w:p>
    <w:p>
      <w:pPr>
        <w:spacing w:after="0" w:line="161" w:lineRule="exact"/>
        <w:rPr>
          <w:sz w:val="20"/>
          <w:szCs w:val="20"/>
          <w:color w:val="auto"/>
        </w:rPr>
      </w:pPr>
    </w:p>
    <w:tbl>
      <w:tblPr>
        <w:tblLayout w:type="fixed"/>
        <w:tblInd w:w="700" w:type="dxa"/>
        <w:tblCellMar>
          <w:top w:w="0" w:type="dxa"/>
          <w:left w:w="0" w:type="dxa"/>
          <w:bottom w:w="0" w:type="dxa"/>
          <w:right w:w="0" w:type="dxa"/>
        </w:tblCellMar>
      </w:tblPr>
      <w:tr>
        <w:trPr>
          <w:trHeight w:val="229"/>
        </w:trPr>
        <w:tc>
          <w:tcPr>
            <w:tcW w:w="6100" w:type="dxa"/>
            <w:vAlign w:val="bottom"/>
            <w:gridSpan w:val="2"/>
          </w:tcPr>
          <w:p>
            <w:pPr>
              <w:spacing w:after="0"/>
              <w:rPr>
                <w:sz w:val="20"/>
                <w:szCs w:val="20"/>
                <w:color w:val="auto"/>
              </w:rPr>
            </w:pPr>
            <w:r>
              <w:rPr>
                <w:rFonts w:ascii="Arial" w:cs="Arial" w:eastAsia="Arial" w:hAnsi="Arial"/>
                <w:sz w:val="16"/>
                <w:szCs w:val="16"/>
                <w:b w:val="1"/>
                <w:bCs w:val="1"/>
                <w:color w:val="auto"/>
              </w:rPr>
              <w:t>Impairment, Restructuring and Other Charges (in millions)</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2"/>
        </w:trPr>
        <w:tc>
          <w:tcPr>
            <w:tcW w:w="20" w:type="dxa"/>
            <w:vAlign w:val="bottom"/>
          </w:tcPr>
          <w:p>
            <w:pPr>
              <w:spacing w:after="0"/>
              <w:rPr>
                <w:sz w:val="24"/>
                <w:szCs w:val="24"/>
                <w:color w:val="auto"/>
              </w:rPr>
            </w:pPr>
          </w:p>
        </w:tc>
        <w:tc>
          <w:tcPr>
            <w:tcW w:w="60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2008</w:t>
            </w:r>
          </w:p>
        </w:tc>
        <w:tc>
          <w:tcPr>
            <w:tcW w:w="6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2007</w:t>
            </w: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608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 and intangible asset impairment</w:t>
            </w:r>
          </w:p>
        </w:tc>
        <w:tc>
          <w:tcPr>
            <w:tcW w:w="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$120.0</w:t>
            </w:r>
          </w:p>
        </w:tc>
        <w:tc>
          <w:tcPr>
            <w:tcW w:w="6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$35.3</w:t>
            </w:r>
          </w:p>
        </w:tc>
        <w:tc>
          <w:tcPr>
            <w:tcW w:w="1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$66.4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80" w:type="dxa"/>
            <w:vAlign w:val="bottom"/>
          </w:tcPr>
          <w:p>
            <w:pPr>
              <w:spacing w:after="0" w:line="202" w:lineRule="exact"/>
              <w:rPr>
                <w:sz w:val="20"/>
                <w:szCs w:val="20"/>
                <w:color w:val="auto"/>
              </w:rPr>
            </w:pPr>
            <w:r>
              <w:rPr>
                <w:rFonts w:ascii="Arial" w:cs="Arial" w:eastAsia="Arial" w:hAnsi="Arial"/>
                <w:sz w:val="18"/>
                <w:szCs w:val="18"/>
                <w:color w:val="auto"/>
              </w:rPr>
              <w:t>Property, plant and equipment impairment</w:t>
            </w:r>
          </w:p>
        </w:tc>
        <w:tc>
          <w:tcPr>
            <w:tcW w:w="1160" w:type="dxa"/>
            <w:vAlign w:val="bottom"/>
            <w:gridSpan w:val="3"/>
          </w:tcPr>
          <w:p>
            <w:pPr>
              <w:jc w:val="right"/>
              <w:ind w:right="600"/>
              <w:spacing w:after="0" w:line="202" w:lineRule="exact"/>
              <w:rPr>
                <w:sz w:val="20"/>
                <w:szCs w:val="20"/>
                <w:color w:val="auto"/>
              </w:rPr>
            </w:pPr>
            <w:r>
              <w:rPr>
                <w:rFonts w:ascii="Arial" w:cs="Arial" w:eastAsia="Arial" w:hAnsi="Arial"/>
                <w:sz w:val="18"/>
                <w:szCs w:val="18"/>
                <w:color w:val="auto"/>
              </w:rPr>
              <w:t>1.7</w:t>
            </w:r>
          </w:p>
        </w:tc>
        <w:tc>
          <w:tcPr>
            <w:tcW w:w="58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spacing w:after="0"/>
              <w:rPr>
                <w:sz w:val="17"/>
                <w:szCs w:val="17"/>
                <w:color w:val="auto"/>
              </w:rPr>
            </w:pPr>
          </w:p>
        </w:tc>
        <w:tc>
          <w:tcPr>
            <w:tcW w:w="5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SG&amp;A — product registration and recall matters</w:t>
            </w:r>
          </w:p>
        </w:tc>
        <w:tc>
          <w:tcPr>
            <w:tcW w:w="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12.7</w:t>
            </w:r>
          </w:p>
        </w:tc>
        <w:tc>
          <w:tcPr>
            <w:tcW w:w="6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80" w:type="dxa"/>
            <w:vAlign w:val="bottom"/>
          </w:tcPr>
          <w:p>
            <w:pPr>
              <w:spacing w:after="0" w:line="202" w:lineRule="exact"/>
              <w:rPr>
                <w:sz w:val="20"/>
                <w:szCs w:val="20"/>
                <w:color w:val="auto"/>
              </w:rPr>
            </w:pPr>
            <w:r>
              <w:rPr>
                <w:rFonts w:ascii="Arial" w:cs="Arial" w:eastAsia="Arial" w:hAnsi="Arial"/>
                <w:sz w:val="18"/>
                <w:szCs w:val="18"/>
                <w:color w:val="auto"/>
              </w:rPr>
              <w:t>Restructuring — severance and related</w:t>
            </w:r>
          </w:p>
        </w:tc>
        <w:tc>
          <w:tcPr>
            <w:tcW w:w="20" w:type="dxa"/>
            <w:vAlign w:val="bottom"/>
          </w:tcPr>
          <w:p>
            <w:pPr>
              <w:spacing w:after="0"/>
              <w:rPr>
                <w:sz w:val="17"/>
                <w:szCs w:val="17"/>
                <w:color w:val="auto"/>
              </w:rPr>
            </w:pPr>
          </w:p>
        </w:tc>
        <w:tc>
          <w:tcPr>
            <w:tcW w:w="114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2.7</w:t>
            </w:r>
          </w:p>
        </w:tc>
        <w:tc>
          <w:tcPr>
            <w:tcW w:w="11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134.4</w:t>
            </w: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38.0</w:t>
            </w:r>
          </w:p>
        </w:tc>
        <w:tc>
          <w:tcPr>
            <w:tcW w:w="118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75.7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ind w:left="700" w:right="120" w:firstLine="402"/>
        <w:spacing w:after="0" w:line="243" w:lineRule="auto"/>
        <w:rPr>
          <w:sz w:val="20"/>
          <w:szCs w:val="20"/>
          <w:color w:val="auto"/>
        </w:rPr>
      </w:pPr>
      <w:r>
        <w:rPr>
          <w:rFonts w:ascii="Arial" w:cs="Arial" w:eastAsia="Arial" w:hAnsi="Arial"/>
          <w:sz w:val="18"/>
          <w:szCs w:val="18"/>
          <w:color w:val="auto"/>
        </w:rPr>
        <w:t>During the third quarter of fiscal 2007, the Company changed the timing of its SFAS 142, “Goodwill and Other Intangible Assets” annual goodwill impairment testing from the last day of our first fiscal quarter to the first day of our fourth fiscal quarter. Moving the timing of our annual goodwill impairment testing better aligns with the seasonal nature of our business and the timing of our annual strategic planning process. In addition, the Company also changed the date of its annual indefinite life intangible impairment testing to the first day of our fourth fiscal quarter. Management engages an independent valuation firm to assist in its impairment assessment reviews.</w:t>
      </w:r>
    </w:p>
    <w:p>
      <w:pPr>
        <w:spacing w:after="0" w:line="80" w:lineRule="exact"/>
        <w:rPr>
          <w:sz w:val="20"/>
          <w:szCs w:val="20"/>
          <w:color w:val="auto"/>
        </w:rPr>
      </w:pPr>
    </w:p>
    <w:p>
      <w:pPr>
        <w:ind w:left="700" w:right="80" w:firstLine="402"/>
        <w:spacing w:after="0" w:line="245" w:lineRule="auto"/>
        <w:rPr>
          <w:sz w:val="20"/>
          <w:szCs w:val="20"/>
          <w:color w:val="auto"/>
        </w:rPr>
      </w:pPr>
      <w:r>
        <w:rPr>
          <w:rFonts w:ascii="Arial" w:cs="Arial" w:eastAsia="Arial" w:hAnsi="Arial"/>
          <w:sz w:val="18"/>
          <w:szCs w:val="18"/>
          <w:color w:val="auto"/>
        </w:rPr>
        <w:t>As a result of a significant decline in the market value of the Company’s common shares during the latter half of the third fiscal quarter ended June 28, 2008, the Company’s market value of invested capital was approximately 60% of the comparable impairment metric used in our fourth quarter fiscal 2007 annual impairment testing. Management determined this was an indicator of possible goodwill impairment and, therefore, interim impairment testing was performed as of June 28, 2008.</w:t>
      </w:r>
    </w:p>
    <w:p>
      <w:pPr>
        <w:spacing w:after="0" w:line="78" w:lineRule="exact"/>
        <w:rPr>
          <w:sz w:val="20"/>
          <w:szCs w:val="20"/>
          <w:color w:val="auto"/>
        </w:rPr>
      </w:pPr>
    </w:p>
    <w:p>
      <w:pPr>
        <w:ind w:left="700" w:right="40" w:firstLine="402"/>
        <w:spacing w:after="0"/>
        <w:rPr>
          <w:sz w:val="20"/>
          <w:szCs w:val="20"/>
          <w:color w:val="auto"/>
        </w:rPr>
      </w:pPr>
      <w:r>
        <w:rPr>
          <w:rFonts w:ascii="Arial" w:cs="Arial" w:eastAsia="Arial" w:hAnsi="Arial"/>
          <w:sz w:val="18"/>
          <w:szCs w:val="18"/>
          <w:color w:val="auto"/>
        </w:rPr>
        <w:t>The Company’s third quarter fiscal 2008 interim impairment review resulted in a non-cash charge of $123.3 million to reflect the decline in the fair value of certain goodwill and other assets evidenced by the decline in the Company’s common shares. No further adjustments to the goodwill portion of this impairment charge were required as a result of the completion of the SFAS 142 Step 2 evaluation in the fourth quarter of fiscal 2008. However, an additional impairment charge of $13.5 million was recorded in the fourth quarter of fiscal 2008, primarily related to leasehold improvements of Smith &amp; Hawken</w:t>
      </w:r>
      <w:r>
        <w:rPr>
          <w:rFonts w:ascii="Arial" w:cs="Arial" w:eastAsia="Arial" w:hAnsi="Arial"/>
          <w:sz w:val="15"/>
          <w:szCs w:val="15"/>
          <w:color w:val="auto"/>
        </w:rPr>
        <w:t>®</w:t>
      </w:r>
      <w:r>
        <w:rPr>
          <w:rFonts w:ascii="Arial" w:cs="Arial" w:eastAsia="Arial" w:hAnsi="Arial"/>
          <w:sz w:val="18"/>
          <w:szCs w:val="18"/>
          <w:color w:val="auto"/>
        </w:rPr>
        <w:t>. In total, the fiscal 2008 impairment charges comprise $80.8 million for goodwill, $19.0 million related to indefinite-lived tradenames and $37.0 million for SFAS 144 long-lived assets. Of the $37.0 million impairment charge recorded for SFAS 144 long-lived assets, $15.1 million was recorded in cost of sales. On a reportable segment basis, $ 64.5 million of the impairment was in Global Consumer, $38.4 million was in Global Professional, with the remaining $33.9 million in Corporate &amp; Other.</w:t>
      </w:r>
    </w:p>
    <w:p>
      <w:pPr>
        <w:spacing w:after="0" w:line="82" w:lineRule="exact"/>
        <w:rPr>
          <w:sz w:val="20"/>
          <w:szCs w:val="20"/>
          <w:color w:val="auto"/>
        </w:rPr>
      </w:pPr>
    </w:p>
    <w:p>
      <w:pPr>
        <w:ind w:left="700" w:right="480" w:firstLine="402"/>
        <w:spacing w:after="0" w:line="276" w:lineRule="auto"/>
        <w:rPr>
          <w:sz w:val="20"/>
          <w:szCs w:val="20"/>
          <w:color w:val="auto"/>
        </w:rPr>
      </w:pPr>
      <w:r>
        <w:rPr>
          <w:rFonts w:ascii="Arial" w:cs="Arial" w:eastAsia="Arial" w:hAnsi="Arial"/>
          <w:sz w:val="18"/>
          <w:szCs w:val="18"/>
          <w:color w:val="auto"/>
        </w:rPr>
        <w:t>The Company recorded $12.7 million of SG&amp;A-related product registration and recall costs during fiscal 2008 which primarily relate to third-party compliance review, legal and consulting fees.</w:t>
      </w:r>
    </w:p>
    <w:p>
      <w:pPr>
        <w:spacing w:after="0" w:line="51" w:lineRule="exact"/>
        <w:rPr>
          <w:sz w:val="20"/>
          <w:szCs w:val="20"/>
          <w:color w:val="auto"/>
        </w:rPr>
      </w:pPr>
    </w:p>
    <w:p>
      <w:pPr>
        <w:ind w:left="700" w:firstLine="402"/>
        <w:spacing w:after="0" w:line="238" w:lineRule="auto"/>
        <w:rPr>
          <w:sz w:val="20"/>
          <w:szCs w:val="20"/>
          <w:color w:val="auto"/>
        </w:rPr>
      </w:pPr>
      <w:r>
        <w:rPr>
          <w:rFonts w:ascii="Arial" w:cs="Arial" w:eastAsia="Arial" w:hAnsi="Arial"/>
          <w:sz w:val="18"/>
          <w:szCs w:val="18"/>
          <w:color w:val="auto"/>
        </w:rPr>
        <w:t>Our fourth quarter fiscal 2007 impairment review resulted in a non-cash goodwill and intangible asset impairment charge of $35.3 million. Partially as a result of the disappointing 2007 lawn and garden season, management completed a comprehensive strategic update of its business initiatives in the fourth quarter of fiscal 2007. One outcome of this update was a decision to increase the focus of Company resources on our core consumer lawn and garden do-it-yourself businesses. This process also involved a re-evaluation of the strategy and cash flow projections surrounding our Smith &amp; Hawken</w:t>
      </w:r>
      <w:r>
        <w:rPr>
          <w:rFonts w:ascii="Arial" w:cs="Arial" w:eastAsia="Arial" w:hAnsi="Arial"/>
          <w:sz w:val="15"/>
          <w:szCs w:val="15"/>
          <w:color w:val="auto"/>
        </w:rPr>
        <w:t>®</w:t>
      </w:r>
      <w:r>
        <w:rPr>
          <w:rFonts w:ascii="Arial" w:cs="Arial" w:eastAsia="Arial" w:hAnsi="Arial"/>
          <w:sz w:val="18"/>
          <w:szCs w:val="18"/>
          <w:color w:val="auto"/>
        </w:rPr>
        <w:t xml:space="preserve"> business, which has consistently performed below expectations since it was acquired in early fiscal 2005. We revised our Smith &amp; Hawken</w:t>
      </w:r>
      <w:r>
        <w:rPr>
          <w:rFonts w:ascii="Arial" w:cs="Arial" w:eastAsia="Arial" w:hAnsi="Arial"/>
          <w:sz w:val="15"/>
          <w:szCs w:val="15"/>
          <w:color w:val="auto"/>
        </w:rPr>
        <w:t>®</w:t>
      </w:r>
      <w:r>
        <w:rPr>
          <w:rFonts w:ascii="Arial" w:cs="Arial" w:eastAsia="Arial" w:hAnsi="Arial"/>
          <w:sz w:val="18"/>
          <w:szCs w:val="18"/>
          <w:color w:val="auto"/>
        </w:rPr>
        <w:t xml:space="preserve"> strategy to reflect a scaled back retail expansion plan, with an increased focus on aggressively expanding the wholesale aspect of this business. This resulted in a decrease in our prior cash flow projections for this business, resulting in a $24.6 million goodwill impairment charge and a $4.6 million impairment charge for an indefinite-lived tradename. The Company finalized the fourth quarter fiscal 2007 SFAS 142 impairment evaluation of the Smith &amp; Hawken</w:t>
      </w:r>
      <w:r>
        <w:rPr>
          <w:rFonts w:ascii="Arial" w:cs="Arial" w:eastAsia="Arial" w:hAnsi="Arial"/>
          <w:sz w:val="15"/>
          <w:szCs w:val="15"/>
          <w:color w:val="auto"/>
        </w:rPr>
        <w:t>®</w:t>
      </w:r>
      <w:r>
        <w:rPr>
          <w:rFonts w:ascii="Arial" w:cs="Arial" w:eastAsia="Arial" w:hAnsi="Arial"/>
          <w:sz w:val="18"/>
          <w:szCs w:val="18"/>
          <w:color w:val="auto"/>
        </w:rPr>
        <w:t xml:space="preserve"> goodwill during the first quarter of fiscal 2008 and there was no change to the related impairment charge recorded in the fourth quarter of fiscal 2007.</w:t>
      </w:r>
    </w:p>
    <w:p>
      <w:pPr>
        <w:spacing w:after="0" w:line="12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1"/>
          <w:szCs w:val="11"/>
          <w:b w:val="1"/>
          <w:bCs w:val="1"/>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-78105</wp:posOffset>
            </wp:positionV>
            <wp:extent cx="19748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240" w:top="415" w:right="91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hyperlink w:anchor="page6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700" w:right="160" w:firstLine="402"/>
        <w:spacing w:after="0" w:line="239" w:lineRule="auto"/>
        <w:rPr>
          <w:sz w:val="20"/>
          <w:szCs w:val="20"/>
          <w:color w:val="auto"/>
        </w:rPr>
      </w:pPr>
      <w:r>
        <w:rPr>
          <w:rFonts w:ascii="Arial" w:cs="Arial" w:eastAsia="Arial" w:hAnsi="Arial"/>
          <w:sz w:val="18"/>
          <w:szCs w:val="18"/>
          <w:color w:val="auto"/>
        </w:rPr>
        <w:t>Our fiscal 2007 fourth quarter strategic update also encompassed other areas. We remain strongly committed to the development of turfgrass varieties that could one day require less mowing, less water and fewer treatments to resist insects, weeds and disease. Our efforts to develop such turfgrass varieties include conventional breeding programs as well as research and development involving biotechnology. Our efforts to develop turfgrass varieties involving biotechnology have yielded positive results; however, the required regulatory approval process is taking longer than anticipated, impacting our ability to commercialize our innovations. As a result of our fiscal 2007 fourth quarter strategic update, we recorded a</w:t>
      </w:r>
    </w:p>
    <w:p>
      <w:pPr>
        <w:spacing w:after="0" w:line="1" w:lineRule="exact"/>
        <w:rPr>
          <w:sz w:val="20"/>
          <w:szCs w:val="20"/>
          <w:color w:val="auto"/>
        </w:rPr>
      </w:pPr>
    </w:p>
    <w:p>
      <w:pPr>
        <w:ind w:left="700" w:right="40"/>
        <w:spacing w:after="0" w:line="251" w:lineRule="auto"/>
        <w:rPr>
          <w:sz w:val="20"/>
          <w:szCs w:val="20"/>
          <w:color w:val="auto"/>
        </w:rPr>
      </w:pPr>
      <w:r>
        <w:rPr>
          <w:rFonts w:ascii="Arial" w:cs="Arial" w:eastAsia="Arial" w:hAnsi="Arial"/>
          <w:sz w:val="18"/>
          <w:szCs w:val="18"/>
          <w:color w:val="auto"/>
        </w:rPr>
        <w:t>$2.2 million goodwill impairment charge related to our turfgrass biotechnology program. Similarly, a strategic update of certain information technology initiatives in our Scotts LawnService</w:t>
      </w:r>
      <w:r>
        <w:rPr>
          <w:rFonts w:ascii="Arial" w:cs="Arial" w:eastAsia="Arial" w:hAnsi="Arial"/>
          <w:sz w:val="15"/>
          <w:szCs w:val="15"/>
          <w:color w:val="auto"/>
        </w:rPr>
        <w:t>®</w:t>
      </w:r>
      <w:r>
        <w:rPr>
          <w:rFonts w:ascii="Arial" w:cs="Arial" w:eastAsia="Arial" w:hAnsi="Arial"/>
          <w:sz w:val="18"/>
          <w:szCs w:val="18"/>
          <w:color w:val="auto"/>
        </w:rPr>
        <w:t xml:space="preserve"> segment resulted in a $3.9 million impairment charge.</w:t>
      </w:r>
    </w:p>
    <w:p>
      <w:pPr>
        <w:spacing w:after="0" w:line="72" w:lineRule="exact"/>
        <w:rPr>
          <w:sz w:val="20"/>
          <w:szCs w:val="20"/>
          <w:color w:val="auto"/>
        </w:rPr>
      </w:pPr>
    </w:p>
    <w:p>
      <w:pPr>
        <w:ind w:left="700" w:right="320" w:firstLine="402"/>
        <w:spacing w:after="0" w:line="248" w:lineRule="auto"/>
        <w:rPr>
          <w:sz w:val="20"/>
          <w:szCs w:val="20"/>
          <w:color w:val="auto"/>
        </w:rPr>
      </w:pPr>
      <w:r>
        <w:rPr>
          <w:rFonts w:ascii="Arial" w:cs="Arial" w:eastAsia="Arial" w:hAnsi="Arial"/>
          <w:sz w:val="18"/>
          <w:szCs w:val="18"/>
          <w:color w:val="auto"/>
        </w:rPr>
        <w:t>Other charges in fiscal 2007 related to ongoing monitoring and remediation costs associated with our turfgrass biotechnology program. Restructuring activities in fiscal 2006 related primarily to organizational reductions associated with Project Excellence, initiated in the third quarter of fiscal 2005. As a result of this program, approximately 110 associates accepted early retirement or were severed during fiscal 2006.</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Other Income, net</w:t>
      </w:r>
    </w:p>
    <w:p>
      <w:pPr>
        <w:spacing w:after="0" w:line="124" w:lineRule="exact"/>
        <w:rPr>
          <w:sz w:val="20"/>
          <w:szCs w:val="20"/>
          <w:color w:val="auto"/>
        </w:rPr>
      </w:pPr>
    </w:p>
    <w:p>
      <w:pPr>
        <w:jc w:val="both"/>
        <w:ind w:left="700" w:right="100" w:firstLine="402"/>
        <w:spacing w:after="0" w:line="255" w:lineRule="auto"/>
        <w:rPr>
          <w:sz w:val="20"/>
          <w:szCs w:val="20"/>
          <w:color w:val="auto"/>
        </w:rPr>
      </w:pPr>
      <w:r>
        <w:rPr>
          <w:rFonts w:ascii="Arial" w:cs="Arial" w:eastAsia="Arial" w:hAnsi="Arial"/>
          <w:sz w:val="18"/>
          <w:szCs w:val="18"/>
          <w:color w:val="auto"/>
        </w:rPr>
        <w:t>Other income, net was $10.4 million for fiscal 2008, $11.5 million for fiscal 2007 and $9.2 million for fiscal 2006. Royalty income was the most significant component of other income, approximating $9.6 million, $9.9 million and $6.8 million in fiscal 2008, 2007 and 2006, respectively.</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Income from Operations</w:t>
      </w:r>
    </w:p>
    <w:p>
      <w:pPr>
        <w:spacing w:after="0" w:line="124"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Income from operations in fiscal 2008 was $98.0 million compared to $277.1 million in fiscal 2007, a decrease of</w:t>
      </w:r>
    </w:p>
    <w:p>
      <w:pPr>
        <w:spacing w:after="0" w:line="1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$179.1 million. Fiscal 2008 was negatively impacted by impairment charges ($136.8 million) and product registration and</w:t>
      </w:r>
    </w:p>
    <w:p>
      <w:pPr>
        <w:ind w:left="700"/>
        <w:spacing w:after="0" w:line="234" w:lineRule="auto"/>
        <w:rPr>
          <w:sz w:val="20"/>
          <w:szCs w:val="20"/>
          <w:color w:val="auto"/>
        </w:rPr>
      </w:pPr>
      <w:r>
        <w:rPr>
          <w:rFonts w:ascii="Arial" w:cs="Arial" w:eastAsia="Arial" w:hAnsi="Arial"/>
          <w:sz w:val="18"/>
          <w:szCs w:val="18"/>
          <w:color w:val="auto"/>
        </w:rPr>
        <w:t>recall costs ($51.1 million) that, when excluded, result in income from operations of $285.9 million. Fiscal 2007 was negatively</w:t>
      </w:r>
    </w:p>
    <w:p>
      <w:pPr>
        <w:ind w:left="700"/>
        <w:spacing w:after="0" w:line="235" w:lineRule="auto"/>
        <w:rPr>
          <w:sz w:val="20"/>
          <w:szCs w:val="20"/>
          <w:color w:val="auto"/>
        </w:rPr>
      </w:pPr>
      <w:r>
        <w:rPr>
          <w:rFonts w:ascii="Arial" w:cs="Arial" w:eastAsia="Arial" w:hAnsi="Arial"/>
          <w:sz w:val="18"/>
          <w:szCs w:val="18"/>
          <w:color w:val="auto"/>
        </w:rPr>
        <w:t>impacted by impairment and other charges ($38.0 million) that, when excluded, result in income from operations of</w:t>
      </w:r>
    </w:p>
    <w:p>
      <w:pPr>
        <w:spacing w:after="0" w:line="1" w:lineRule="exact"/>
        <w:rPr>
          <w:sz w:val="20"/>
          <w:szCs w:val="20"/>
          <w:color w:val="auto"/>
        </w:rPr>
      </w:pPr>
    </w:p>
    <w:p>
      <w:pPr>
        <w:ind w:left="700" w:right="80"/>
        <w:spacing w:after="0" w:line="242" w:lineRule="auto"/>
        <w:rPr>
          <w:sz w:val="20"/>
          <w:szCs w:val="20"/>
          <w:color w:val="auto"/>
        </w:rPr>
      </w:pPr>
      <w:r>
        <w:rPr>
          <w:rFonts w:ascii="Arial" w:cs="Arial" w:eastAsia="Arial" w:hAnsi="Arial"/>
          <w:sz w:val="18"/>
          <w:szCs w:val="18"/>
          <w:color w:val="auto"/>
        </w:rPr>
        <w:t>$315.1 million. Excluding the impairment and other charges and product registration and recall costs, income from operations declined by $29.2 million in 2008, primarily driven by increased commodity costs which more than offset price increases passed onto our customers.</w:t>
      </w:r>
    </w:p>
    <w:p>
      <w:pPr>
        <w:spacing w:after="0" w:line="8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Income from operations in fiscal 2007 was $277.1 million compared to $252.5 million in fiscal 2006, an increase of</w:t>
      </w:r>
    </w:p>
    <w:p>
      <w:pPr>
        <w:spacing w:after="0" w:line="18" w:lineRule="exact"/>
        <w:rPr>
          <w:sz w:val="20"/>
          <w:szCs w:val="20"/>
          <w:color w:val="auto"/>
        </w:rPr>
      </w:pPr>
    </w:p>
    <w:p>
      <w:pPr>
        <w:ind w:left="700"/>
        <w:spacing w:after="0"/>
        <w:rPr>
          <w:sz w:val="20"/>
          <w:szCs w:val="20"/>
          <w:color w:val="auto"/>
        </w:rPr>
      </w:pPr>
      <w:r>
        <w:rPr>
          <w:rFonts w:ascii="Arial" w:cs="Arial" w:eastAsia="Arial" w:hAnsi="Arial"/>
          <w:sz w:val="17"/>
          <w:szCs w:val="17"/>
          <w:color w:val="auto"/>
        </w:rPr>
        <w:t>$24.6 million. Both years were negatively impacted by impairment, restructuring and other charges that, when excluded, result</w:t>
      </w:r>
    </w:p>
    <w:p>
      <w:pPr>
        <w:spacing w:after="0" w:line="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 a decline of $13.1 million of income from operations in fiscal 2007 as compared to fiscal 2006. The adverse effects of</w:t>
      </w:r>
    </w:p>
    <w:p>
      <w:pPr>
        <w:ind w:left="700"/>
        <w:spacing w:after="0" w:line="234" w:lineRule="auto"/>
        <w:rPr>
          <w:sz w:val="20"/>
          <w:szCs w:val="20"/>
          <w:color w:val="auto"/>
        </w:rPr>
      </w:pPr>
      <w:r>
        <w:rPr>
          <w:rFonts w:ascii="Arial" w:cs="Arial" w:eastAsia="Arial" w:hAnsi="Arial"/>
          <w:sz w:val="18"/>
          <w:szCs w:val="18"/>
          <w:color w:val="auto"/>
        </w:rPr>
        <w:t>weather on net sales growth coupled with a 40 basis point decline in gross profit and SG&amp;A spending increases were the</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drivers behind this decline.</w:t>
      </w:r>
    </w:p>
    <w:p>
      <w:pPr>
        <w:spacing w:after="0" w:line="206"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Interest Expense and Refinancing Activities</w:t>
      </w:r>
    </w:p>
    <w:p>
      <w:pPr>
        <w:spacing w:after="0" w:line="124" w:lineRule="exact"/>
        <w:rPr>
          <w:sz w:val="20"/>
          <w:szCs w:val="20"/>
          <w:color w:val="auto"/>
        </w:rPr>
      </w:pPr>
    </w:p>
    <w:p>
      <w:pPr>
        <w:ind w:left="700" w:right="60" w:firstLine="402"/>
        <w:spacing w:after="0" w:line="248" w:lineRule="auto"/>
        <w:rPr>
          <w:sz w:val="20"/>
          <w:szCs w:val="20"/>
          <w:color w:val="auto"/>
        </w:rPr>
      </w:pPr>
      <w:r>
        <w:rPr>
          <w:rFonts w:ascii="Arial" w:cs="Arial" w:eastAsia="Arial" w:hAnsi="Arial"/>
          <w:sz w:val="18"/>
          <w:szCs w:val="18"/>
          <w:color w:val="auto"/>
        </w:rPr>
        <w:t>Interest expense in fiscal 2008 was $82.2 million compared to $70.7 million and $ 39.6 million in fiscal 2007 and 2006, respectively. The increase in interest expense is primarily attributable to an increase in borrowings resulting from the recapitalization transactions that were consummated during the second quarter of fiscal 2007. We also recorded $18.3 million in costs in fiscal 2007 related to the refinancing undertaken to facilitate the recapitalization transactions.</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Income Taxes</w:t>
      </w:r>
    </w:p>
    <w:p>
      <w:pPr>
        <w:spacing w:after="0" w:line="124"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effective tax rate for fiscal 2008 was 168.6% compared to 39.7% in fiscal 2007 and 37.7% in fiscal 2006. The</w:t>
      </w:r>
    </w:p>
    <w:p>
      <w:pPr>
        <w:spacing w:after="0" w:line="1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increase in the effective tax rate for fiscal 2008 and fiscal 2007 was due to goodwill impairment charges ($80.8 million,</w:t>
      </w:r>
    </w:p>
    <w:p>
      <w:pPr>
        <w:ind w:left="700"/>
        <w:spacing w:after="0" w:line="234" w:lineRule="auto"/>
        <w:rPr>
          <w:sz w:val="20"/>
          <w:szCs w:val="20"/>
          <w:color w:val="auto"/>
        </w:rPr>
      </w:pPr>
      <w:r>
        <w:rPr>
          <w:rFonts w:ascii="Arial" w:cs="Arial" w:eastAsia="Arial" w:hAnsi="Arial"/>
          <w:sz w:val="18"/>
          <w:szCs w:val="18"/>
          <w:color w:val="auto"/>
        </w:rPr>
        <w:t>$26.8 million and $1.8 million in fiscal 2008, 2007 and 2006, respectively), which are not fully deductible for tax purposes. The</w:t>
      </w:r>
    </w:p>
    <w:p>
      <w:pPr>
        <w:ind w:left="700"/>
        <w:spacing w:after="0" w:line="235" w:lineRule="auto"/>
        <w:rPr>
          <w:sz w:val="20"/>
          <w:szCs w:val="20"/>
          <w:color w:val="auto"/>
        </w:rPr>
      </w:pPr>
      <w:r>
        <w:rPr>
          <w:rFonts w:ascii="Arial" w:cs="Arial" w:eastAsia="Arial" w:hAnsi="Arial"/>
          <w:sz w:val="18"/>
          <w:szCs w:val="18"/>
          <w:color w:val="auto"/>
        </w:rPr>
        <w:t>fiscal 2008 income tax expense also includes $16.9 million of charges to fully reserve for deferred tax assets that originated</w:t>
      </w:r>
    </w:p>
    <w:p>
      <w:pPr>
        <w:ind w:left="700"/>
        <w:spacing w:after="0" w:line="235" w:lineRule="auto"/>
        <w:rPr>
          <w:sz w:val="20"/>
          <w:szCs w:val="20"/>
          <w:color w:val="auto"/>
        </w:rPr>
      </w:pPr>
      <w:r>
        <w:rPr>
          <w:rFonts w:ascii="Arial" w:cs="Arial" w:eastAsia="Arial" w:hAnsi="Arial"/>
          <w:sz w:val="18"/>
          <w:szCs w:val="18"/>
          <w:color w:val="auto"/>
        </w:rPr>
        <w:t>as a result of impairments of the Smith &amp; Hawken</w:t>
      </w:r>
      <w:r>
        <w:rPr>
          <w:rFonts w:ascii="Arial" w:cs="Arial" w:eastAsia="Arial" w:hAnsi="Arial"/>
          <w:sz w:val="15"/>
          <w:szCs w:val="15"/>
          <w:color w:val="auto"/>
        </w:rPr>
        <w:t>®</w:t>
      </w:r>
      <w:r>
        <w:rPr>
          <w:rFonts w:ascii="Arial" w:cs="Arial" w:eastAsia="Arial" w:hAnsi="Arial"/>
          <w:sz w:val="18"/>
          <w:szCs w:val="18"/>
          <w:color w:val="auto"/>
        </w:rPr>
        <w:t xml:space="preserve"> business in fiscal 2008 and fiscal 2007. The Company has concluded that</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it is probable that we will not receive any future benefit from these deferred tax assets.</w:t>
      </w:r>
    </w:p>
    <w:p>
      <w:pPr>
        <w:spacing w:after="0" w:line="12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1"/>
          <w:szCs w:val="11"/>
          <w:b w:val="1"/>
          <w:bCs w:val="1"/>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-78105</wp:posOffset>
            </wp:positionV>
            <wp:extent cx="19748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20"/>
          </w:cols>
          <w:pgMar w:left="240" w:top="415" w:right="9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hyperlink w:anchor="page64">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Net Income (Loss) and Earnings (Loss) per Share</w:t>
      </w:r>
    </w:p>
    <w:p>
      <w:pPr>
        <w:spacing w:after="0" w:line="124"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Company reported a net loss of $10.9 million or $0.17 per diluted share in fiscal 2008 compared to net income of</w:t>
      </w:r>
    </w:p>
    <w:p>
      <w:pPr>
        <w:spacing w:after="0" w:line="1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$113.4 million or $1.69 per diluted share in fiscal 2007. The Company recorded $136.8 million in impairment charges, as well</w:t>
      </w:r>
    </w:p>
    <w:p>
      <w:pPr>
        <w:ind w:left="700"/>
        <w:spacing w:after="0" w:line="234" w:lineRule="auto"/>
        <w:rPr>
          <w:sz w:val="20"/>
          <w:szCs w:val="20"/>
          <w:color w:val="auto"/>
        </w:rPr>
      </w:pPr>
      <w:r>
        <w:rPr>
          <w:rFonts w:ascii="Arial" w:cs="Arial" w:eastAsia="Arial" w:hAnsi="Arial"/>
          <w:sz w:val="18"/>
          <w:szCs w:val="18"/>
          <w:color w:val="auto"/>
        </w:rPr>
        <w:t>as $51.1 million in costs related to product registration and recall matters, in fiscal 2008. Challenging weather conditions in</w:t>
      </w:r>
    </w:p>
    <w:p>
      <w:pPr>
        <w:ind w:left="700"/>
        <w:spacing w:after="0" w:line="235" w:lineRule="auto"/>
        <w:rPr>
          <w:sz w:val="20"/>
          <w:szCs w:val="20"/>
          <w:color w:val="auto"/>
        </w:rPr>
      </w:pPr>
      <w:r>
        <w:rPr>
          <w:rFonts w:ascii="Arial" w:cs="Arial" w:eastAsia="Arial" w:hAnsi="Arial"/>
          <w:sz w:val="18"/>
          <w:szCs w:val="18"/>
          <w:color w:val="auto"/>
        </w:rPr>
        <w:t>March 2008 negatively impacted net sales for the largest part of our business, the Global Consumer segment. Additionally,</w:t>
      </w:r>
    </w:p>
    <w:p>
      <w:pPr>
        <w:ind w:left="700"/>
        <w:spacing w:after="0" w:line="235" w:lineRule="auto"/>
        <w:rPr>
          <w:sz w:val="20"/>
          <w:szCs w:val="20"/>
          <w:color w:val="auto"/>
        </w:rPr>
      </w:pPr>
      <w:r>
        <w:rPr>
          <w:rFonts w:ascii="Arial" w:cs="Arial" w:eastAsia="Arial" w:hAnsi="Arial"/>
          <w:sz w:val="18"/>
          <w:szCs w:val="18"/>
          <w:color w:val="auto"/>
        </w:rPr>
        <w:t>commodity costs increased significantly in fiscal 2008. Diluted weighted-average common shares outstanding decreased from</w:t>
      </w:r>
    </w:p>
    <w:p>
      <w:pPr>
        <w:ind w:left="700"/>
        <w:spacing w:after="0" w:line="235" w:lineRule="auto"/>
        <w:rPr>
          <w:sz w:val="20"/>
          <w:szCs w:val="20"/>
          <w:color w:val="auto"/>
        </w:rPr>
      </w:pPr>
      <w:r>
        <w:rPr>
          <w:rFonts w:ascii="Arial" w:cs="Arial" w:eastAsia="Arial" w:hAnsi="Arial"/>
          <w:sz w:val="18"/>
          <w:szCs w:val="18"/>
          <w:color w:val="auto"/>
        </w:rPr>
        <w:t>67.0 million in fiscal 2007 to 64.5 million in fiscal 2008, due to the 4.5 million common shares repurchased as part of the</w:t>
      </w:r>
    </w:p>
    <w:p>
      <w:pPr>
        <w:ind w:left="700"/>
        <w:spacing w:after="0" w:line="235" w:lineRule="auto"/>
        <w:rPr>
          <w:sz w:val="20"/>
          <w:szCs w:val="20"/>
          <w:color w:val="auto"/>
        </w:rPr>
      </w:pPr>
      <w:r>
        <w:rPr>
          <w:rFonts w:ascii="Arial" w:cs="Arial" w:eastAsia="Arial" w:hAnsi="Arial"/>
          <w:sz w:val="18"/>
          <w:szCs w:val="18"/>
          <w:color w:val="auto"/>
        </w:rPr>
        <w:t>recapitalization consummated during the second quarter of fiscal 2007, weighted for the period outstanding, and offset by</w:t>
      </w:r>
    </w:p>
    <w:p>
      <w:pPr>
        <w:ind w:left="700"/>
        <w:spacing w:after="0" w:line="235" w:lineRule="auto"/>
        <w:rPr>
          <w:sz w:val="20"/>
          <w:szCs w:val="20"/>
          <w:color w:val="auto"/>
        </w:rPr>
      </w:pPr>
      <w:r>
        <w:rPr>
          <w:rFonts w:ascii="Arial" w:cs="Arial" w:eastAsia="Arial" w:hAnsi="Arial"/>
          <w:sz w:val="18"/>
          <w:szCs w:val="18"/>
          <w:color w:val="auto"/>
        </w:rPr>
        <w:t>common shares issued upon the exercise of share-based awards and the vesting of restricted stock. Furthermore, 0.9 million</w:t>
      </w:r>
    </w:p>
    <w:p>
      <w:pPr>
        <w:ind w:left="700"/>
        <w:spacing w:after="0" w:line="235" w:lineRule="auto"/>
        <w:rPr>
          <w:sz w:val="20"/>
          <w:szCs w:val="20"/>
          <w:color w:val="auto"/>
        </w:rPr>
      </w:pPr>
      <w:r>
        <w:rPr>
          <w:rFonts w:ascii="Arial" w:cs="Arial" w:eastAsia="Arial" w:hAnsi="Arial"/>
          <w:sz w:val="18"/>
          <w:szCs w:val="18"/>
          <w:color w:val="auto"/>
        </w:rPr>
        <w:t>potential common shares were excluded from the diluted loss per share calculation for fiscal 2008 because their effect is anti-</w:t>
      </w:r>
    </w:p>
    <w:p>
      <w:pPr>
        <w:ind w:left="700"/>
        <w:spacing w:after="0" w:line="235" w:lineRule="auto"/>
        <w:rPr>
          <w:sz w:val="20"/>
          <w:szCs w:val="20"/>
          <w:color w:val="auto"/>
        </w:rPr>
      </w:pPr>
      <w:r>
        <w:rPr>
          <w:rFonts w:ascii="Arial" w:cs="Arial" w:eastAsia="Arial" w:hAnsi="Arial"/>
          <w:sz w:val="18"/>
          <w:szCs w:val="18"/>
          <w:color w:val="auto"/>
        </w:rPr>
        <w:t>dilutive. The number of potential common shares declined in fiscal 2008 as a result of a lower average market price for our</w:t>
      </w:r>
    </w:p>
    <w:p>
      <w:pPr>
        <w:ind w:left="700"/>
        <w:spacing w:after="0"/>
        <w:rPr>
          <w:sz w:val="20"/>
          <w:szCs w:val="20"/>
          <w:color w:val="auto"/>
        </w:rPr>
      </w:pPr>
      <w:r>
        <w:rPr>
          <w:rFonts w:ascii="Arial" w:cs="Arial" w:eastAsia="Arial" w:hAnsi="Arial"/>
          <w:sz w:val="18"/>
          <w:szCs w:val="18"/>
          <w:color w:val="auto"/>
        </w:rPr>
        <w:t>common shares.</w:t>
      </w:r>
    </w:p>
    <w:p>
      <w:pPr>
        <w:spacing w:after="0" w:line="9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While income from operations increased $24.6 million in fiscal 2007 over fiscal 2006, net income decreased from</w:t>
      </w:r>
    </w:p>
    <w:p>
      <w:pPr>
        <w:spacing w:after="0" w:line="1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$132.7 million or $1.91 per diluted share in fiscal 2006 to $113.4 million or $1.69 per diluted share in fiscal 2007. Adverse</w:t>
      </w:r>
    </w:p>
    <w:p>
      <w:pPr>
        <w:ind w:left="700"/>
        <w:spacing w:after="0" w:line="234" w:lineRule="auto"/>
        <w:rPr>
          <w:sz w:val="20"/>
          <w:szCs w:val="20"/>
          <w:color w:val="auto"/>
        </w:rPr>
      </w:pPr>
      <w:r>
        <w:rPr>
          <w:rFonts w:ascii="Arial" w:cs="Arial" w:eastAsia="Arial" w:hAnsi="Arial"/>
          <w:sz w:val="18"/>
          <w:szCs w:val="18"/>
          <w:color w:val="auto"/>
        </w:rPr>
        <w:t>weather conditions negatively impacted net sales in the Global Consumer segment, particularly during the important month of</w:t>
      </w:r>
    </w:p>
    <w:p>
      <w:pPr>
        <w:ind w:left="700"/>
        <w:spacing w:after="0" w:line="235" w:lineRule="auto"/>
        <w:rPr>
          <w:sz w:val="20"/>
          <w:szCs w:val="20"/>
          <w:color w:val="auto"/>
        </w:rPr>
      </w:pPr>
      <w:r>
        <w:rPr>
          <w:rFonts w:ascii="Arial" w:cs="Arial" w:eastAsia="Arial" w:hAnsi="Arial"/>
          <w:sz w:val="18"/>
          <w:szCs w:val="18"/>
          <w:color w:val="auto"/>
        </w:rPr>
        <w:t>April. Costs related to the refinancing, increased levels of debt and a higher weighted average interest rate resulting from the</w:t>
      </w:r>
    </w:p>
    <w:p>
      <w:pPr>
        <w:ind w:left="700"/>
        <w:spacing w:after="0" w:line="235" w:lineRule="auto"/>
        <w:rPr>
          <w:sz w:val="20"/>
          <w:szCs w:val="20"/>
          <w:color w:val="auto"/>
        </w:rPr>
      </w:pPr>
      <w:r>
        <w:rPr>
          <w:rFonts w:ascii="Arial" w:cs="Arial" w:eastAsia="Arial" w:hAnsi="Arial"/>
          <w:sz w:val="18"/>
          <w:szCs w:val="18"/>
          <w:color w:val="auto"/>
        </w:rPr>
        <w:t>recapitalization transactions coupled with a higher effective tax rate also contributed to the decline. Diluted weighted-average</w:t>
      </w:r>
    </w:p>
    <w:p>
      <w:pPr>
        <w:ind w:left="700"/>
        <w:spacing w:after="0" w:line="235" w:lineRule="auto"/>
        <w:rPr>
          <w:sz w:val="20"/>
          <w:szCs w:val="20"/>
          <w:color w:val="auto"/>
        </w:rPr>
      </w:pPr>
      <w:r>
        <w:rPr>
          <w:rFonts w:ascii="Arial" w:cs="Arial" w:eastAsia="Arial" w:hAnsi="Arial"/>
          <w:sz w:val="18"/>
          <w:szCs w:val="18"/>
          <w:color w:val="auto"/>
        </w:rPr>
        <w:t>common shares outstanding decreased from 69.4 million in fiscal 2006 to 67.0 million in fiscal 2007 due to the repurchase of</w:t>
      </w:r>
    </w:p>
    <w:p>
      <w:pPr>
        <w:ind w:left="700"/>
        <w:spacing w:after="0" w:line="235" w:lineRule="auto"/>
        <w:rPr>
          <w:sz w:val="20"/>
          <w:szCs w:val="20"/>
          <w:color w:val="auto"/>
        </w:rPr>
      </w:pPr>
      <w:r>
        <w:rPr>
          <w:rFonts w:ascii="Arial" w:cs="Arial" w:eastAsia="Arial" w:hAnsi="Arial"/>
          <w:sz w:val="18"/>
          <w:szCs w:val="18"/>
          <w:color w:val="auto"/>
        </w:rPr>
        <w:t>4.5 million of our common shares, weighted for the period outstanding, as part of the recapitalization transactions</w:t>
      </w:r>
    </w:p>
    <w:p>
      <w:pPr>
        <w:ind w:left="700"/>
        <w:spacing w:after="0"/>
        <w:rPr>
          <w:sz w:val="20"/>
          <w:szCs w:val="20"/>
          <w:color w:val="auto"/>
        </w:rPr>
      </w:pPr>
      <w:r>
        <w:rPr>
          <w:rFonts w:ascii="Arial" w:cs="Arial" w:eastAsia="Arial" w:hAnsi="Arial"/>
          <w:sz w:val="18"/>
          <w:szCs w:val="18"/>
          <w:color w:val="auto"/>
        </w:rPr>
        <w:t>consummated in the second quarter of fiscal 2007.</w:t>
      </w:r>
    </w:p>
    <w:p>
      <w:pPr>
        <w:spacing w:after="0" w:line="206"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Segment Results</w:t>
      </w:r>
    </w:p>
    <w:p>
      <w:pPr>
        <w:spacing w:after="0" w:line="123" w:lineRule="exact"/>
        <w:rPr>
          <w:sz w:val="20"/>
          <w:szCs w:val="20"/>
          <w:color w:val="auto"/>
        </w:rPr>
      </w:pPr>
    </w:p>
    <w:p>
      <w:pPr>
        <w:ind w:left="700" w:right="740" w:firstLine="402"/>
        <w:spacing w:after="0"/>
        <w:rPr>
          <w:sz w:val="20"/>
          <w:szCs w:val="20"/>
          <w:color w:val="auto"/>
        </w:rPr>
      </w:pPr>
      <w:r>
        <w:rPr>
          <w:rFonts w:ascii="Arial" w:cs="Arial" w:eastAsia="Arial" w:hAnsi="Arial"/>
          <w:sz w:val="18"/>
          <w:szCs w:val="18"/>
          <w:color w:val="auto"/>
        </w:rPr>
        <w:t>The Company is divided into the following segments: Global Consumer, Global Professional, Scotts LawnService</w:t>
      </w:r>
      <w:r>
        <w:rPr>
          <w:rFonts w:ascii="Arial" w:cs="Arial" w:eastAsia="Arial" w:hAnsi="Arial"/>
          <w:sz w:val="15"/>
          <w:szCs w:val="15"/>
          <w:color w:val="auto"/>
        </w:rPr>
        <w:t>®</w:t>
      </w:r>
      <w:r>
        <w:rPr>
          <w:rFonts w:ascii="Arial" w:cs="Arial" w:eastAsia="Arial" w:hAnsi="Arial"/>
          <w:sz w:val="18"/>
          <w:szCs w:val="18"/>
          <w:color w:val="auto"/>
        </w:rPr>
        <w:t xml:space="preserve"> and Corporate &amp; Other. These segments differ from those used in the prior year due to the realignment of the North America and International segments into the Global Consumer and Global Professional segments. The Corporate &amp; Other segment consists of Smith &amp; Hawken</w:t>
      </w:r>
      <w:r>
        <w:rPr>
          <w:rFonts w:ascii="Arial" w:cs="Arial" w:eastAsia="Arial" w:hAnsi="Arial"/>
          <w:sz w:val="15"/>
          <w:szCs w:val="15"/>
          <w:color w:val="auto"/>
        </w:rPr>
        <w:t>®</w:t>
      </w:r>
      <w:r>
        <w:rPr>
          <w:rFonts w:ascii="Arial" w:cs="Arial" w:eastAsia="Arial" w:hAnsi="Arial"/>
          <w:sz w:val="18"/>
          <w:szCs w:val="18"/>
          <w:color w:val="auto"/>
        </w:rPr>
        <w:t xml:space="preserve"> and corporate general and administrative expenses. The prior year amounts have been reclassified to conform to the fiscal 2008 segments. Segment performance is evaluated based on several factors, including income from operations before amortization, product registration and recall costs, and impairment, restructuring and other charges, which are not generally accepted accounting principles (“GAAP”) measures. Management uses this measure of operating profit to gauge segment performance because we believe this measure is the most indicative of performance trends and the overall earnings potential of each segment.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560" w:type="dxa"/>
            <w:vAlign w:val="bottom"/>
            <w:gridSpan w:val="2"/>
          </w:tcPr>
          <w:p>
            <w:pPr>
              <w:ind w:left="700"/>
              <w:spacing w:after="0"/>
              <w:rPr>
                <w:sz w:val="20"/>
                <w:szCs w:val="20"/>
                <w:color w:val="auto"/>
              </w:rPr>
            </w:pPr>
            <w:r>
              <w:rPr>
                <w:rFonts w:ascii="Arial" w:cs="Arial" w:eastAsia="Arial" w:hAnsi="Arial"/>
                <w:sz w:val="16"/>
                <w:szCs w:val="16"/>
                <w:b w:val="1"/>
                <w:bCs w:val="1"/>
                <w:color w:val="auto"/>
              </w:rPr>
              <w:t>Net Sales by Segment (in millions)</w:t>
            </w: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2"/>
        </w:trPr>
        <w:tc>
          <w:tcPr>
            <w:tcW w:w="700" w:type="dxa"/>
            <w:vAlign w:val="bottom"/>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color w:val="auto"/>
              </w:rPr>
              <w:t>2008</w:t>
            </w:r>
          </w:p>
        </w:tc>
        <w:tc>
          <w:tcPr>
            <w:tcW w:w="4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2007</w:t>
            </w:r>
          </w:p>
        </w:tc>
        <w:tc>
          <w:tcPr>
            <w:tcW w:w="4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700" w:type="dxa"/>
            <w:vAlign w:val="bottom"/>
            <w:vMerge w:val="restart"/>
          </w:tcPr>
          <w:p>
            <w:pPr>
              <w:spacing w:after="0"/>
              <w:rPr>
                <w:sz w:val="4"/>
                <w:szCs w:val="4"/>
                <w:color w:val="auto"/>
              </w:rPr>
            </w:pPr>
          </w:p>
        </w:tc>
        <w:tc>
          <w:tcPr>
            <w:tcW w:w="48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700" w:type="dxa"/>
            <w:vAlign w:val="bottom"/>
            <w:vMerge w:val="continue"/>
          </w:tcPr>
          <w:p>
            <w:pPr>
              <w:spacing w:after="0"/>
              <w:rPr>
                <w:sz w:val="17"/>
                <w:szCs w:val="17"/>
                <w:color w:val="auto"/>
              </w:rPr>
            </w:pPr>
          </w:p>
        </w:tc>
        <w:tc>
          <w:tcPr>
            <w:tcW w:w="4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Global Consumer</w:t>
            </w:r>
          </w:p>
        </w:tc>
        <w:tc>
          <w:tcPr>
            <w:tcW w:w="18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$2,250.1</w:t>
            </w:r>
          </w:p>
        </w:tc>
        <w:tc>
          <w:tcPr>
            <w:tcW w:w="480" w:type="dxa"/>
            <w:vAlign w:val="bottom"/>
            <w:shd w:val="clear" w:color="auto" w:fill="CCEEFF"/>
          </w:tcPr>
          <w:p>
            <w:pPr>
              <w:spacing w:after="0"/>
              <w:rPr>
                <w:sz w:val="17"/>
                <w:szCs w:val="17"/>
                <w:color w:val="auto"/>
              </w:rPr>
            </w:pPr>
          </w:p>
        </w:tc>
        <w:tc>
          <w:tcPr>
            <w:tcW w:w="1600" w:type="dxa"/>
            <w:vAlign w:val="bottom"/>
            <w:gridSpan w:val="3"/>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$2,176.2</w:t>
            </w: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$2,089.6</w:t>
            </w:r>
          </w:p>
        </w:tc>
        <w:tc>
          <w:tcPr>
            <w:tcW w:w="100" w:type="dxa"/>
            <w:vAlign w:val="bottom"/>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60" w:type="dxa"/>
            <w:vAlign w:val="bottom"/>
          </w:tcPr>
          <w:p>
            <w:pPr>
              <w:spacing w:after="0" w:line="202" w:lineRule="exact"/>
              <w:rPr>
                <w:sz w:val="20"/>
                <w:szCs w:val="20"/>
                <w:color w:val="auto"/>
              </w:rPr>
            </w:pPr>
            <w:r>
              <w:rPr>
                <w:rFonts w:ascii="Arial" w:cs="Arial" w:eastAsia="Arial" w:hAnsi="Arial"/>
                <w:sz w:val="18"/>
                <w:szCs w:val="18"/>
                <w:color w:val="auto"/>
              </w:rPr>
              <w:t>Global Professional</w:t>
            </w:r>
          </w:p>
        </w:tc>
        <w:tc>
          <w:tcPr>
            <w:tcW w:w="18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348.8</w:t>
            </w:r>
          </w:p>
        </w:tc>
        <w:tc>
          <w:tcPr>
            <w:tcW w:w="480" w:type="dxa"/>
            <w:vAlign w:val="bottom"/>
          </w:tcPr>
          <w:p>
            <w:pPr>
              <w:spacing w:after="0"/>
              <w:rPr>
                <w:sz w:val="17"/>
                <w:szCs w:val="17"/>
                <w:color w:val="auto"/>
              </w:rPr>
            </w:pPr>
          </w:p>
        </w:tc>
        <w:tc>
          <w:tcPr>
            <w:tcW w:w="1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281.9</w:t>
            </w:r>
          </w:p>
        </w:tc>
        <w:tc>
          <w:tcPr>
            <w:tcW w:w="480" w:type="dxa"/>
            <w:vAlign w:val="bottom"/>
          </w:tcPr>
          <w:p>
            <w:pPr>
              <w:spacing w:after="0"/>
              <w:rPr>
                <w:sz w:val="17"/>
                <w:szCs w:val="17"/>
                <w:color w:val="auto"/>
              </w:rPr>
            </w:pP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233.4</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Scotts LawnService</w:t>
            </w:r>
            <w:r>
              <w:rPr>
                <w:rFonts w:ascii="Arial" w:cs="Arial" w:eastAsia="Arial" w:hAnsi="Arial"/>
                <w:sz w:val="15"/>
                <w:szCs w:val="15"/>
                <w:color w:val="auto"/>
              </w:rPr>
              <w:t>®</w:t>
            </w:r>
          </w:p>
        </w:tc>
        <w:tc>
          <w:tcPr>
            <w:tcW w:w="18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247.4</w:t>
            </w:r>
          </w:p>
        </w:tc>
        <w:tc>
          <w:tcPr>
            <w:tcW w:w="4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230.5</w:t>
            </w:r>
          </w:p>
        </w:tc>
        <w:tc>
          <w:tcPr>
            <w:tcW w:w="4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205.7</w:t>
            </w:r>
          </w:p>
        </w:tc>
        <w:tc>
          <w:tcPr>
            <w:tcW w:w="100" w:type="dxa"/>
            <w:vAlign w:val="bottom"/>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4860" w:type="dxa"/>
            <w:vAlign w:val="bottom"/>
          </w:tcPr>
          <w:p>
            <w:pPr>
              <w:spacing w:after="0" w:line="202" w:lineRule="exact"/>
              <w:rPr>
                <w:sz w:val="20"/>
                <w:szCs w:val="20"/>
                <w:color w:val="auto"/>
              </w:rPr>
            </w:pPr>
            <w:r>
              <w:rPr>
                <w:rFonts w:ascii="Arial" w:cs="Arial" w:eastAsia="Arial" w:hAnsi="Arial"/>
                <w:sz w:val="18"/>
                <w:szCs w:val="18"/>
                <w:color w:val="auto"/>
              </w:rPr>
              <w:t>Corporate &amp; Other</w:t>
            </w:r>
          </w:p>
        </w:tc>
        <w:tc>
          <w:tcPr>
            <w:tcW w:w="1140" w:type="dxa"/>
            <w:vAlign w:val="bottom"/>
            <w:gridSpan w:val="2"/>
          </w:tcPr>
          <w:p>
            <w:pPr>
              <w:spacing w:after="0"/>
              <w:rPr>
                <w:sz w:val="18"/>
                <w:szCs w:val="18"/>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158.6</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184.0</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169.2</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Segment total</w:t>
            </w:r>
          </w:p>
        </w:tc>
        <w:tc>
          <w:tcPr>
            <w:tcW w:w="18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3,004.9</w:t>
            </w:r>
          </w:p>
        </w:tc>
        <w:tc>
          <w:tcPr>
            <w:tcW w:w="480" w:type="dxa"/>
            <w:vAlign w:val="bottom"/>
            <w:shd w:val="clear" w:color="auto" w:fill="CCEEFF"/>
          </w:tcPr>
          <w:p>
            <w:pPr>
              <w:spacing w:after="0"/>
              <w:rPr>
                <w:sz w:val="17"/>
                <w:szCs w:val="17"/>
                <w:color w:val="auto"/>
              </w:rPr>
            </w:pPr>
          </w:p>
        </w:tc>
        <w:tc>
          <w:tcPr>
            <w:tcW w:w="1600" w:type="dxa"/>
            <w:vAlign w:val="bottom"/>
            <w:gridSpan w:val="3"/>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2,872.6</w:t>
            </w: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2,697.9</w:t>
            </w:r>
          </w:p>
        </w:tc>
        <w:tc>
          <w:tcPr>
            <w:tcW w:w="100" w:type="dxa"/>
            <w:vAlign w:val="bottom"/>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60" w:type="dxa"/>
            <w:vAlign w:val="bottom"/>
          </w:tcPr>
          <w:p>
            <w:pPr>
              <w:spacing w:after="0" w:line="202" w:lineRule="exact"/>
              <w:rPr>
                <w:sz w:val="20"/>
                <w:szCs w:val="20"/>
                <w:color w:val="auto"/>
              </w:rPr>
            </w:pPr>
            <w:r>
              <w:rPr>
                <w:rFonts w:ascii="Arial" w:cs="Arial" w:eastAsia="Arial" w:hAnsi="Arial"/>
                <w:sz w:val="18"/>
                <w:szCs w:val="18"/>
                <w:color w:val="auto"/>
              </w:rPr>
              <w:t>Roundup</w:t>
            </w:r>
            <w:r>
              <w:rPr>
                <w:rFonts w:ascii="Arial" w:cs="Arial" w:eastAsia="Arial" w:hAnsi="Arial"/>
                <w:sz w:val="15"/>
                <w:szCs w:val="15"/>
                <w:color w:val="auto"/>
              </w:rPr>
              <w:t>®</w:t>
            </w:r>
            <w:r>
              <w:rPr>
                <w:rFonts w:ascii="Arial" w:cs="Arial" w:eastAsia="Arial" w:hAnsi="Arial"/>
                <w:sz w:val="18"/>
                <w:szCs w:val="18"/>
                <w:color w:val="auto"/>
              </w:rPr>
              <w:t xml:space="preserve"> amortization</w:t>
            </w:r>
          </w:p>
        </w:tc>
        <w:tc>
          <w:tcPr>
            <w:tcW w:w="2340" w:type="dxa"/>
            <w:vAlign w:val="bottom"/>
            <w:gridSpan w:val="4"/>
          </w:tcPr>
          <w:p>
            <w:pPr>
              <w:jc w:val="right"/>
              <w:ind w:right="420"/>
              <w:spacing w:after="0" w:line="202" w:lineRule="exact"/>
              <w:rPr>
                <w:sz w:val="20"/>
                <w:szCs w:val="20"/>
                <w:color w:val="auto"/>
              </w:rPr>
            </w:pPr>
            <w:r>
              <w:rPr>
                <w:rFonts w:ascii="Arial" w:cs="Arial" w:eastAsia="Arial" w:hAnsi="Arial"/>
                <w:sz w:val="18"/>
                <w:szCs w:val="18"/>
                <w:color w:val="auto"/>
              </w:rPr>
              <w:t>(0.8)</w:t>
            </w:r>
          </w:p>
        </w:tc>
        <w:tc>
          <w:tcPr>
            <w:tcW w:w="1600" w:type="dxa"/>
            <w:vAlign w:val="bottom"/>
            <w:gridSpan w:val="3"/>
          </w:tcPr>
          <w:p>
            <w:pPr>
              <w:jc w:val="right"/>
              <w:ind w:right="420"/>
              <w:spacing w:after="0" w:line="202" w:lineRule="exact"/>
              <w:rPr>
                <w:sz w:val="20"/>
                <w:szCs w:val="20"/>
                <w:color w:val="auto"/>
              </w:rPr>
            </w:pPr>
            <w:r>
              <w:rPr>
                <w:rFonts w:ascii="Arial" w:cs="Arial" w:eastAsia="Arial" w:hAnsi="Arial"/>
                <w:sz w:val="18"/>
                <w:szCs w:val="18"/>
                <w:color w:val="auto"/>
              </w:rPr>
              <w:t>(0.8)</w:t>
            </w:r>
          </w:p>
        </w:tc>
        <w:tc>
          <w:tcPr>
            <w:tcW w:w="124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(0.8)</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Product registrations and recall matters-returns</w:t>
            </w:r>
          </w:p>
        </w:tc>
        <w:tc>
          <w:tcPr>
            <w:tcW w:w="2340" w:type="dxa"/>
            <w:vAlign w:val="bottom"/>
            <w:gridSpan w:val="4"/>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(22.3)</w:t>
            </w:r>
          </w:p>
        </w:tc>
        <w:tc>
          <w:tcPr>
            <w:tcW w:w="4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560" w:type="dxa"/>
            <w:vAlign w:val="bottom"/>
            <w:gridSpan w:val="2"/>
          </w:tcPr>
          <w:p>
            <w:pPr>
              <w:ind w:left="700"/>
              <w:spacing w:after="0"/>
              <w:rPr>
                <w:sz w:val="20"/>
                <w:szCs w:val="20"/>
                <w:color w:val="auto"/>
              </w:rPr>
            </w:pPr>
            <w:r>
              <w:rPr>
                <w:rFonts w:ascii="Arial" w:cs="Arial" w:eastAsia="Arial" w:hAnsi="Arial"/>
                <w:sz w:val="18"/>
                <w:szCs w:val="18"/>
                <w:color w:val="auto"/>
              </w:rPr>
              <w:t>Consolidated</w:t>
            </w: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2,981.8</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6"/>
              </w:rPr>
              <w:t>$</w:t>
            </w:r>
            <w:r>
              <w:rPr>
                <w:rFonts w:ascii="Arial" w:cs="Arial" w:eastAsia="Arial" w:hAnsi="Arial"/>
                <w:sz w:val="18"/>
                <w:szCs w:val="18"/>
                <w:color w:val="auto"/>
                <w:w w:val="96"/>
              </w:rPr>
              <w:t>2,871.8</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2,697.1</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0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70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300" w:type="dxa"/>
            <w:vAlign w:val="bottom"/>
          </w:tcPr>
          <w:p>
            <w:pPr>
              <w:jc w:val="right"/>
              <w:ind w:right="14"/>
              <w:spacing w:after="0"/>
              <w:rPr>
                <w:sz w:val="20"/>
                <w:szCs w:val="20"/>
                <w:color w:val="auto"/>
              </w:rPr>
            </w:pPr>
            <w:r>
              <w:rPr>
                <w:rFonts w:ascii="Times New Roman" w:cs="Times New Roman" w:eastAsia="Times New Roman" w:hAnsi="Times New Roman"/>
                <w:sz w:val="11"/>
                <w:szCs w:val="11"/>
                <w:b w:val="1"/>
                <w:bCs w:val="1"/>
                <w:color w:val="auto"/>
              </w:rPr>
              <w:t>36</w:t>
            </w:r>
          </w:p>
        </w:tc>
        <w:tc>
          <w:tcPr>
            <w:tcW w:w="8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700" w:type="dxa"/>
            <w:vAlign w:val="bottom"/>
            <w:tcBorders>
              <w:bottom w:val="single" w:sz="8" w:color="808080"/>
            </w:tcBorders>
          </w:tcPr>
          <w:p>
            <w:pPr>
              <w:spacing w:after="0"/>
              <w:rPr>
                <w:sz w:val="17"/>
                <w:szCs w:val="17"/>
                <w:color w:val="auto"/>
              </w:rPr>
            </w:pPr>
          </w:p>
        </w:tc>
        <w:tc>
          <w:tcPr>
            <w:tcW w:w="486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840" w:type="dxa"/>
            <w:vAlign w:val="bottom"/>
            <w:tcBorders>
              <w:bottom w:val="single" w:sz="8" w:color="808080"/>
            </w:tcBorders>
          </w:tcPr>
          <w:p>
            <w:pPr>
              <w:spacing w:after="0"/>
              <w:rPr>
                <w:sz w:val="17"/>
                <w:szCs w:val="17"/>
                <w:color w:val="auto"/>
              </w:rPr>
            </w:pPr>
          </w:p>
        </w:tc>
        <w:tc>
          <w:tcPr>
            <w:tcW w:w="72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420" w:type="dxa"/>
            <w:vAlign w:val="bottom"/>
            <w:tcBorders>
              <w:bottom w:val="single" w:sz="8" w:color="808080"/>
            </w:tcBorders>
          </w:tcPr>
          <w:p>
            <w:pPr>
              <w:spacing w:after="0"/>
              <w:rPr>
                <w:sz w:val="17"/>
                <w:szCs w:val="17"/>
                <w:color w:val="auto"/>
              </w:rPr>
            </w:pPr>
          </w:p>
        </w:tc>
        <w:tc>
          <w:tcPr>
            <w:tcW w:w="70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420" w:type="dxa"/>
            <w:vAlign w:val="bottom"/>
            <w:tcBorders>
              <w:bottom w:val="single" w:sz="8" w:color="808080"/>
            </w:tcBorders>
          </w:tcPr>
          <w:p>
            <w:pPr>
              <w:spacing w:after="0"/>
              <w:rPr>
                <w:sz w:val="17"/>
                <w:szCs w:val="17"/>
                <w:color w:val="auto"/>
              </w:rPr>
            </w:pPr>
          </w:p>
        </w:tc>
        <w:tc>
          <w:tcPr>
            <w:tcW w:w="720" w:type="dxa"/>
            <w:vAlign w:val="bottom"/>
            <w:tcBorders>
              <w:bottom w:val="single" w:sz="8" w:color="808080"/>
            </w:tcBorders>
          </w:tcPr>
          <w:p>
            <w:pPr>
              <w:spacing w:after="0"/>
              <w:rPr>
                <w:sz w:val="17"/>
                <w:szCs w:val="17"/>
                <w:color w:val="auto"/>
              </w:rPr>
            </w:pPr>
          </w:p>
        </w:tc>
        <w:tc>
          <w:tcPr>
            <w:tcW w:w="10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hyperlink w:anchor="page64">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tbl>
      <w:tblPr>
        <w:tblLayout w:type="fixed"/>
        <w:tblInd w:w="700" w:type="dxa"/>
        <w:tblCellMar>
          <w:top w:w="0" w:type="dxa"/>
          <w:left w:w="0" w:type="dxa"/>
          <w:bottom w:w="0" w:type="dxa"/>
          <w:right w:w="0" w:type="dxa"/>
        </w:tblCellMar>
      </w:tblPr>
      <w:tr>
        <w:trPr>
          <w:trHeight w:val="229"/>
        </w:trPr>
        <w:tc>
          <w:tcPr>
            <w:tcW w:w="4820" w:type="dxa"/>
            <w:vAlign w:val="bottom"/>
            <w:gridSpan w:val="2"/>
          </w:tcPr>
          <w:p>
            <w:pPr>
              <w:spacing w:after="0"/>
              <w:rPr>
                <w:sz w:val="20"/>
                <w:szCs w:val="20"/>
                <w:color w:val="auto"/>
              </w:rPr>
            </w:pPr>
            <w:r>
              <w:rPr>
                <w:rFonts w:ascii="Arial" w:cs="Arial" w:eastAsia="Arial" w:hAnsi="Arial"/>
                <w:sz w:val="16"/>
                <w:szCs w:val="16"/>
                <w:b w:val="1"/>
                <w:bCs w:val="1"/>
                <w:color w:val="auto"/>
              </w:rPr>
              <w:t>Income from Operations by Segment (in millions)</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2"/>
        </w:trPr>
        <w:tc>
          <w:tcPr>
            <w:tcW w:w="20" w:type="dxa"/>
            <w:vAlign w:val="bottom"/>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4"/>
              </w:rPr>
              <w:t>2008</w:t>
            </w:r>
          </w:p>
        </w:tc>
        <w:tc>
          <w:tcPr>
            <w:tcW w:w="6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2007</w:t>
            </w:r>
          </w:p>
        </w:tc>
        <w:tc>
          <w:tcPr>
            <w:tcW w:w="6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48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Global Consumer</w:t>
            </w: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344.5</w:t>
            </w:r>
          </w:p>
        </w:tc>
        <w:tc>
          <w:tcPr>
            <w:tcW w:w="6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$379.1</w:t>
            </w:r>
          </w:p>
        </w:tc>
        <w:tc>
          <w:tcPr>
            <w:tcW w:w="6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$392.4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tcPr>
          <w:p>
            <w:pPr>
              <w:spacing w:after="0" w:line="202" w:lineRule="exact"/>
              <w:rPr>
                <w:sz w:val="20"/>
                <w:szCs w:val="20"/>
                <w:color w:val="auto"/>
              </w:rPr>
            </w:pPr>
            <w:r>
              <w:rPr>
                <w:rFonts w:ascii="Arial" w:cs="Arial" w:eastAsia="Arial" w:hAnsi="Arial"/>
                <w:sz w:val="18"/>
                <w:szCs w:val="18"/>
                <w:color w:val="auto"/>
              </w:rPr>
              <w:t>Global Professional</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33.7</w:t>
            </w:r>
          </w:p>
        </w:tc>
        <w:tc>
          <w:tcPr>
            <w:tcW w:w="600" w:type="dxa"/>
            <w:vAlign w:val="bottom"/>
          </w:tcPr>
          <w:p>
            <w:pPr>
              <w:spacing w:after="0"/>
              <w:rPr>
                <w:sz w:val="17"/>
                <w:szCs w:val="17"/>
                <w:color w:val="auto"/>
              </w:rPr>
            </w:pPr>
          </w:p>
        </w:tc>
        <w:tc>
          <w:tcPr>
            <w:tcW w:w="1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31.3</w:t>
            </w:r>
          </w:p>
        </w:tc>
        <w:tc>
          <w:tcPr>
            <w:tcW w:w="620" w:type="dxa"/>
            <w:vAlign w:val="bottom"/>
          </w:tcPr>
          <w:p>
            <w:pPr>
              <w:spacing w:after="0"/>
              <w:rPr>
                <w:sz w:val="17"/>
                <w:szCs w:val="17"/>
                <w:color w:val="auto"/>
              </w:rPr>
            </w:pPr>
          </w:p>
        </w:tc>
        <w:tc>
          <w:tcPr>
            <w:tcW w:w="1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27.3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Scotts LawnService</w:t>
            </w:r>
            <w:r>
              <w:rPr>
                <w:rFonts w:ascii="Arial" w:cs="Arial" w:eastAsia="Arial" w:hAnsi="Arial"/>
                <w:sz w:val="15"/>
                <w:szCs w:val="15"/>
                <w:color w:val="auto"/>
              </w:rPr>
              <w:t>®</w:t>
            </w: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11.3</w:t>
            </w:r>
          </w:p>
        </w:tc>
        <w:tc>
          <w:tcPr>
            <w:tcW w:w="600" w:type="dxa"/>
            <w:vAlign w:val="bottom"/>
            <w:shd w:val="clear" w:color="auto" w:fill="CCEEFF"/>
          </w:tcPr>
          <w:p>
            <w:pPr>
              <w:spacing w:after="0"/>
              <w:rPr>
                <w:sz w:val="17"/>
                <w:szCs w:val="17"/>
                <w:color w:val="auto"/>
              </w:rPr>
            </w:pPr>
          </w:p>
        </w:tc>
        <w:tc>
          <w:tcPr>
            <w:tcW w:w="1740" w:type="dxa"/>
            <w:vAlign w:val="bottom"/>
            <w:gridSpan w:val="3"/>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11.3</w:t>
            </w:r>
          </w:p>
        </w:tc>
        <w:tc>
          <w:tcPr>
            <w:tcW w:w="1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Pr>
          <w:p>
            <w:pPr>
              <w:spacing w:after="0" w:line="202" w:lineRule="exact"/>
              <w:rPr>
                <w:sz w:val="20"/>
                <w:szCs w:val="20"/>
                <w:color w:val="auto"/>
              </w:rPr>
            </w:pPr>
            <w:r>
              <w:rPr>
                <w:rFonts w:ascii="Arial" w:cs="Arial" w:eastAsia="Arial" w:hAnsi="Arial"/>
                <w:sz w:val="18"/>
                <w:szCs w:val="18"/>
                <w:color w:val="auto"/>
              </w:rPr>
              <w:t>Corporate &amp; Other</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(87.2)</w:t>
            </w:r>
          </w:p>
        </w:tc>
        <w:tc>
          <w:tcPr>
            <w:tcW w:w="1740" w:type="dxa"/>
            <w:vAlign w:val="bottom"/>
            <w:gridSpan w:val="3"/>
          </w:tcPr>
          <w:p>
            <w:pPr>
              <w:jc w:val="right"/>
              <w:ind w:right="560"/>
              <w:spacing w:after="0" w:line="202" w:lineRule="exact"/>
              <w:rPr>
                <w:sz w:val="20"/>
                <w:szCs w:val="20"/>
                <w:color w:val="auto"/>
              </w:rPr>
            </w:pPr>
            <w:r>
              <w:rPr>
                <w:rFonts w:ascii="Arial" w:cs="Arial" w:eastAsia="Arial" w:hAnsi="Arial"/>
                <w:sz w:val="18"/>
                <w:szCs w:val="18"/>
                <w:color w:val="auto"/>
              </w:rPr>
              <w:t>(90.5)</w:t>
            </w:r>
          </w:p>
        </w:tc>
        <w:tc>
          <w:tcPr>
            <w:tcW w:w="122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Segment total</w:t>
            </w:r>
          </w:p>
        </w:tc>
        <w:tc>
          <w:tcPr>
            <w:tcW w:w="10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302.3</w:t>
            </w:r>
          </w:p>
        </w:tc>
        <w:tc>
          <w:tcPr>
            <w:tcW w:w="6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331.2</w:t>
            </w:r>
          </w:p>
        </w:tc>
        <w:tc>
          <w:tcPr>
            <w:tcW w:w="6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344.3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tcPr>
          <w:p>
            <w:pPr>
              <w:spacing w:after="0" w:line="202" w:lineRule="exact"/>
              <w:rPr>
                <w:sz w:val="20"/>
                <w:szCs w:val="20"/>
                <w:color w:val="auto"/>
              </w:rPr>
            </w:pPr>
            <w:r>
              <w:rPr>
                <w:rFonts w:ascii="Arial" w:cs="Arial" w:eastAsia="Arial" w:hAnsi="Arial"/>
                <w:sz w:val="18"/>
                <w:szCs w:val="18"/>
                <w:color w:val="auto"/>
              </w:rPr>
              <w:t>Roundup</w:t>
            </w:r>
            <w:r>
              <w:rPr>
                <w:rFonts w:ascii="Arial" w:cs="Arial" w:eastAsia="Arial" w:hAnsi="Arial"/>
                <w:sz w:val="15"/>
                <w:szCs w:val="15"/>
                <w:color w:val="auto"/>
              </w:rPr>
              <w:t>®</w:t>
            </w:r>
            <w:r>
              <w:rPr>
                <w:rFonts w:ascii="Arial" w:cs="Arial" w:eastAsia="Arial" w:hAnsi="Arial"/>
                <w:sz w:val="18"/>
                <w:szCs w:val="18"/>
                <w:color w:val="auto"/>
              </w:rPr>
              <w:t xml:space="preserve"> amortization</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(0.8)</w:t>
            </w:r>
          </w:p>
        </w:tc>
        <w:tc>
          <w:tcPr>
            <w:tcW w:w="1740" w:type="dxa"/>
            <w:vAlign w:val="bottom"/>
            <w:gridSpan w:val="3"/>
          </w:tcPr>
          <w:p>
            <w:pPr>
              <w:jc w:val="right"/>
              <w:ind w:right="560"/>
              <w:spacing w:after="0" w:line="202" w:lineRule="exact"/>
              <w:rPr>
                <w:sz w:val="20"/>
                <w:szCs w:val="20"/>
                <w:color w:val="auto"/>
              </w:rPr>
            </w:pPr>
            <w:r>
              <w:rPr>
                <w:rFonts w:ascii="Arial" w:cs="Arial" w:eastAsia="Arial" w:hAnsi="Arial"/>
                <w:sz w:val="18"/>
                <w:szCs w:val="18"/>
                <w:color w:val="auto"/>
              </w:rPr>
              <w:t>(0.8)</w:t>
            </w:r>
          </w:p>
        </w:tc>
        <w:tc>
          <w:tcPr>
            <w:tcW w:w="122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amortization</w:t>
            </w: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(15.6)</w:t>
            </w:r>
          </w:p>
        </w:tc>
        <w:tc>
          <w:tcPr>
            <w:tcW w:w="1740" w:type="dxa"/>
            <w:vAlign w:val="bottom"/>
            <w:gridSpan w:val="3"/>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(15.3)</w:t>
            </w:r>
          </w:p>
        </w:tc>
        <w:tc>
          <w:tcPr>
            <w:tcW w:w="122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tcPr>
          <w:p>
            <w:pPr>
              <w:spacing w:after="0" w:line="202" w:lineRule="exact"/>
              <w:rPr>
                <w:sz w:val="20"/>
                <w:szCs w:val="20"/>
                <w:color w:val="auto"/>
              </w:rPr>
            </w:pPr>
            <w:r>
              <w:rPr>
                <w:rFonts w:ascii="Arial" w:cs="Arial" w:eastAsia="Arial" w:hAnsi="Arial"/>
                <w:sz w:val="18"/>
                <w:szCs w:val="18"/>
                <w:color w:val="auto"/>
              </w:rPr>
              <w:t>Product registrations and recall matters</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(51.1)</w:t>
            </w:r>
          </w:p>
        </w:tc>
        <w:tc>
          <w:tcPr>
            <w:tcW w:w="560" w:type="dxa"/>
            <w:vAlign w:val="bottom"/>
          </w:tcPr>
          <w:p>
            <w:pPr>
              <w:spacing w:after="0"/>
              <w:rPr>
                <w:sz w:val="17"/>
                <w:szCs w:val="17"/>
                <w:color w:val="auto"/>
              </w:rPr>
            </w:pPr>
          </w:p>
        </w:tc>
        <w:tc>
          <w:tcPr>
            <w:tcW w:w="118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Impairment of assets</w:t>
            </w: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w w:val="98"/>
              </w:rPr>
              <w:t>(136.8)</w:t>
            </w:r>
          </w:p>
        </w:tc>
        <w:tc>
          <w:tcPr>
            <w:tcW w:w="1740" w:type="dxa"/>
            <w:vAlign w:val="bottom"/>
            <w:gridSpan w:val="3"/>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(35.3)</w:t>
            </w:r>
          </w:p>
        </w:tc>
        <w:tc>
          <w:tcPr>
            <w:tcW w:w="122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tcPr>
          <w:p>
            <w:pPr>
              <w:spacing w:after="0" w:line="202" w:lineRule="exact"/>
              <w:rPr>
                <w:sz w:val="20"/>
                <w:szCs w:val="20"/>
                <w:color w:val="auto"/>
              </w:rPr>
            </w:pPr>
            <w:r>
              <w:rPr>
                <w:rFonts w:ascii="Arial" w:cs="Arial" w:eastAsia="Arial" w:hAnsi="Arial"/>
                <w:sz w:val="18"/>
                <w:szCs w:val="18"/>
                <w:color w:val="auto"/>
              </w:rPr>
              <w:t>Restructuring and other charges</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8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(2.7)</w:t>
            </w:r>
          </w:p>
        </w:tc>
        <w:tc>
          <w:tcPr>
            <w:tcW w:w="122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Consolidated</w:t>
            </w: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98.0</w:t>
            </w:r>
          </w:p>
        </w:tc>
        <w:tc>
          <w:tcPr>
            <w:tcW w:w="6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277.1</w:t>
            </w:r>
          </w:p>
        </w:tc>
        <w:tc>
          <w:tcPr>
            <w:tcW w:w="6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252.5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Global Consumer</w:t>
      </w:r>
    </w:p>
    <w:p>
      <w:pPr>
        <w:spacing w:after="0" w:line="124" w:lineRule="exact"/>
        <w:rPr>
          <w:sz w:val="20"/>
          <w:szCs w:val="20"/>
          <w:color w:val="auto"/>
        </w:rPr>
      </w:pPr>
    </w:p>
    <w:p>
      <w:pPr>
        <w:ind w:left="700" w:right="20" w:firstLine="402"/>
        <w:spacing w:after="0" w:line="238" w:lineRule="auto"/>
        <w:rPr>
          <w:sz w:val="20"/>
          <w:szCs w:val="20"/>
          <w:color w:val="auto"/>
        </w:rPr>
      </w:pPr>
      <w:r>
        <w:rPr>
          <w:rFonts w:ascii="Arial" w:cs="Arial" w:eastAsia="Arial" w:hAnsi="Arial"/>
          <w:sz w:val="18"/>
          <w:szCs w:val="18"/>
          <w:color w:val="auto"/>
        </w:rPr>
        <w:t>Global Consumer segment net sales were $2.25 billion in fiscal 2008 compared to $2.18 billion in fiscal 2007, an increase of 3.4%. Within Global Consumer, North America consumer sales increased by 2.0%. Net sales of our gardening products, which consist of plant foods and growing media, increased by 0.7%, with growth driven by growing media products, where consumers continue to trade up for branded, value-added solutions. Net sales of our lawn products, comprised of fertilizers, grass seed, and durables, increased by 0.8% as the season got off to a late start, with unseasonable March weather resulting in reduced sales of higher priced lawn fertilizer combination products. Ortho</w:t>
      </w:r>
      <w:r>
        <w:rPr>
          <w:rFonts w:ascii="Arial" w:cs="Arial" w:eastAsia="Arial" w:hAnsi="Arial"/>
          <w:sz w:val="15"/>
          <w:szCs w:val="15"/>
          <w:color w:val="auto"/>
        </w:rPr>
        <w:t>®</w:t>
      </w:r>
      <w:r>
        <w:rPr>
          <w:rFonts w:ascii="Arial" w:cs="Arial" w:eastAsia="Arial" w:hAnsi="Arial"/>
          <w:sz w:val="18"/>
          <w:szCs w:val="18"/>
          <w:color w:val="auto"/>
        </w:rPr>
        <w:t xml:space="preserve"> net sales decreased by 3.4% in fiscal 2008, while the net sales in the wild bird food category have increased by 20.0% primarily due to pricing, and net sales in Canada increased by 9.3% excluding the effect of foreign exchange rates. International consumer sales increased by 10.8% in 2008. Excluding foreign exchanges rates, international consumer net sales increased 2.0% driven by growth in France and Central Europe as the result of improved marketing programs and new products. This growth offset the decreased net sales in the United Kingdom where the economic environment is more challenging and competition has been more aggressive.</w:t>
      </w:r>
    </w:p>
    <w:p>
      <w:pPr>
        <w:spacing w:after="0" w:line="89" w:lineRule="exact"/>
        <w:rPr>
          <w:sz w:val="20"/>
          <w:szCs w:val="20"/>
          <w:color w:val="auto"/>
        </w:rPr>
      </w:pPr>
    </w:p>
    <w:p>
      <w:pPr>
        <w:ind w:left="700" w:right="80" w:firstLine="402"/>
        <w:spacing w:after="0" w:line="248" w:lineRule="auto"/>
        <w:rPr>
          <w:sz w:val="20"/>
          <w:szCs w:val="20"/>
          <w:color w:val="auto"/>
        </w:rPr>
      </w:pPr>
      <w:r>
        <w:rPr>
          <w:rFonts w:ascii="Arial" w:cs="Arial" w:eastAsia="Arial" w:hAnsi="Arial"/>
          <w:sz w:val="18"/>
          <w:szCs w:val="18"/>
          <w:color w:val="auto"/>
        </w:rPr>
        <w:t>Global Consumer segment operating income decreased by $34.6 million or 9.1% in fiscal 2008. The decrease in operating income was driven primarily by a decrease in gross margin rates of 160 basis points. The decrease in gross margin rates was largely the result of higher commodity costs, which more than offset price increases. SG&amp;A spending, including media advertising, increased 3.7% in fiscal 2008 primarily related to higher selling and R&amp;D costs.</w:t>
      </w:r>
    </w:p>
    <w:p>
      <w:pPr>
        <w:spacing w:after="0" w:line="76" w:lineRule="exact"/>
        <w:rPr>
          <w:sz w:val="20"/>
          <w:szCs w:val="20"/>
          <w:color w:val="auto"/>
        </w:rPr>
      </w:pPr>
    </w:p>
    <w:p>
      <w:pPr>
        <w:ind w:left="700" w:right="80" w:firstLine="402"/>
        <w:spacing w:after="0"/>
        <w:rPr>
          <w:sz w:val="20"/>
          <w:szCs w:val="20"/>
          <w:color w:val="auto"/>
        </w:rPr>
      </w:pPr>
      <w:r>
        <w:rPr>
          <w:rFonts w:ascii="Arial" w:cs="Arial" w:eastAsia="Arial" w:hAnsi="Arial"/>
          <w:sz w:val="18"/>
          <w:szCs w:val="18"/>
          <w:color w:val="auto"/>
        </w:rPr>
        <w:t>For fiscal 2007, Global Consumer segment net sales were $2.18 billion, an increase of $86.6 million or 4.1% compared to fiscal 2006. In the North American consumer business, adverse weather conditions for much of the core selling season disproportionately impacted the lawns business, resulting in a 5.6% decline in net sales. The other core businesses were less impacted by the weather, with net sales in the gardening category up 7.4% and Ortho</w:t>
      </w:r>
      <w:r>
        <w:rPr>
          <w:rFonts w:ascii="Arial" w:cs="Arial" w:eastAsia="Arial" w:hAnsi="Arial"/>
          <w:sz w:val="15"/>
          <w:szCs w:val="15"/>
          <w:color w:val="auto"/>
        </w:rPr>
        <w:t>®</w:t>
      </w:r>
      <w:r>
        <w:rPr>
          <w:rFonts w:ascii="Arial" w:cs="Arial" w:eastAsia="Arial" w:hAnsi="Arial"/>
          <w:sz w:val="18"/>
          <w:szCs w:val="18"/>
          <w:color w:val="auto"/>
        </w:rPr>
        <w:t xml:space="preserve"> up 2.9%. Net sales in our wild bird food business improved by 13.5%. International consumer net sales increased by 5.5% excluding foreign exchange rates, driven by growth in our two largest markets, France and the United Kingdom. The increase in net sales for the segment did not generate the gross margin improvement needed to offset the growth in advertising and other SG&amp;A spending, with the result being a decline in segment operating income of $13.3 million or 3.4% compared to fiscal 2006.</w:t>
      </w:r>
    </w:p>
    <w:p>
      <w:pPr>
        <w:spacing w:after="0" w:line="197"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Global Professional</w:t>
      </w:r>
    </w:p>
    <w:p>
      <w:pPr>
        <w:spacing w:after="0" w:line="124" w:lineRule="exact"/>
        <w:rPr>
          <w:sz w:val="20"/>
          <w:szCs w:val="20"/>
          <w:color w:val="auto"/>
        </w:rPr>
      </w:pPr>
    </w:p>
    <w:p>
      <w:pPr>
        <w:ind w:left="700" w:right="120" w:firstLine="402"/>
        <w:spacing w:after="0" w:line="268" w:lineRule="auto"/>
        <w:rPr>
          <w:sz w:val="20"/>
          <w:szCs w:val="20"/>
          <w:color w:val="auto"/>
        </w:rPr>
      </w:pPr>
      <w:r>
        <w:rPr>
          <w:rFonts w:ascii="Arial" w:cs="Arial" w:eastAsia="Arial" w:hAnsi="Arial"/>
          <w:sz w:val="17"/>
          <w:szCs w:val="17"/>
          <w:color w:val="auto"/>
        </w:rPr>
        <w:t>Global Professional segment net sales increased $ 66.9 million or 23.7% in fiscal 2008. Excluding the effect of exchange rates, net sales increased by 17.2%. Strong demand for our proprietary technology drove the sales growth of 9.3% in fiscal 2008, excluding pricing actions. The segment operating income increased by $2.4 million in fiscal 2008 as the strong growth in net sales was partially offset by increased commodity costs and SG&amp;A spending, primarily related to selling costs.</w:t>
      </w:r>
    </w:p>
    <w:p>
      <w:pPr>
        <w:spacing w:after="0" w:line="9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1"/>
          <w:szCs w:val="11"/>
          <w:b w:val="1"/>
          <w:bCs w:val="1"/>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-78105</wp:posOffset>
            </wp:positionV>
            <wp:extent cx="19748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240" w:top="415" w:right="91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hyperlink w:anchor="page6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700" w:firstLine="402"/>
        <w:spacing w:after="0" w:line="248" w:lineRule="auto"/>
        <w:rPr>
          <w:sz w:val="20"/>
          <w:szCs w:val="20"/>
          <w:color w:val="auto"/>
        </w:rPr>
      </w:pPr>
      <w:r>
        <w:rPr>
          <w:rFonts w:ascii="Arial" w:cs="Arial" w:eastAsia="Arial" w:hAnsi="Arial"/>
          <w:sz w:val="18"/>
          <w:szCs w:val="18"/>
          <w:color w:val="auto"/>
        </w:rPr>
        <w:t>Global Professional segment net sales increased $48.5 million or 20.8% in fiscal 2007, driven by the impact of foreign exchange rates as well as organic growth in the international professional business. The segment operating income increased by $4.0 million or 14.7% in fiscal 2007 driven by a steady gross margin on higher net sales as well as tight control over growth in SG&amp;A spending.</w:t>
      </w:r>
    </w:p>
    <w:p>
      <w:pPr>
        <w:spacing w:after="0" w:line="186"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Scotts LawnService</w:t>
      </w:r>
      <w:r>
        <w:rPr>
          <w:rFonts w:ascii="Arial" w:cs="Arial" w:eastAsia="Arial" w:hAnsi="Arial"/>
          <w:sz w:val="27"/>
          <w:szCs w:val="27"/>
          <w:b w:val="1"/>
          <w:bCs w:val="1"/>
          <w:color w:val="auto"/>
          <w:vertAlign w:val="superscript"/>
        </w:rPr>
        <w:t>®</w:t>
      </w:r>
    </w:p>
    <w:p>
      <w:pPr>
        <w:spacing w:after="0" w:line="18" w:lineRule="exact"/>
        <w:rPr>
          <w:sz w:val="20"/>
          <w:szCs w:val="20"/>
          <w:color w:val="auto"/>
        </w:rPr>
      </w:pPr>
    </w:p>
    <w:p>
      <w:pPr>
        <w:ind w:left="700" w:right="80" w:firstLine="402"/>
        <w:spacing w:after="0" w:line="238" w:lineRule="auto"/>
        <w:rPr>
          <w:sz w:val="20"/>
          <w:szCs w:val="20"/>
          <w:color w:val="auto"/>
        </w:rPr>
      </w:pPr>
      <w:r>
        <w:rPr>
          <w:rFonts w:ascii="Arial" w:cs="Arial" w:eastAsia="Arial" w:hAnsi="Arial"/>
          <w:sz w:val="18"/>
          <w:szCs w:val="18"/>
          <w:color w:val="auto"/>
        </w:rPr>
        <w:t>Compared to fiscal 2007, Scotts LawnService</w:t>
      </w:r>
      <w:r>
        <w:rPr>
          <w:rFonts w:ascii="Arial" w:cs="Arial" w:eastAsia="Arial" w:hAnsi="Arial"/>
          <w:sz w:val="15"/>
          <w:szCs w:val="15"/>
          <w:color w:val="auto"/>
        </w:rPr>
        <w:t>®</w:t>
      </w:r>
      <w:r>
        <w:rPr>
          <w:rFonts w:ascii="Arial" w:cs="Arial" w:eastAsia="Arial" w:hAnsi="Arial"/>
          <w:sz w:val="18"/>
          <w:szCs w:val="18"/>
          <w:color w:val="auto"/>
        </w:rPr>
        <w:t xml:space="preserve"> net sales increased 7.3% to $247.4 million in fiscal 2008. The increase for fiscal 2008 was the result of acquisition growth of 3.3%, pricing of 2.8% and organic growth of 1.2%. Despite macroeconomic pressures that have reduced customer count, the business has grown partially due to increased penetration on tree, shrub and insect services, a reduction in new customer cancel rates and reduced cancels due to issues with service or results. Additionally, the shifting of late season lawn treatments to the first quarter of fiscal 2008 positively impacted net sales. The Scotts LawnService</w:t>
      </w:r>
      <w:r>
        <w:rPr>
          <w:rFonts w:ascii="Arial" w:cs="Arial" w:eastAsia="Arial" w:hAnsi="Arial"/>
          <w:sz w:val="15"/>
          <w:szCs w:val="15"/>
          <w:color w:val="auto"/>
        </w:rPr>
        <w:t>®</w:t>
      </w:r>
      <w:r>
        <w:rPr>
          <w:rFonts w:ascii="Arial" w:cs="Arial" w:eastAsia="Arial" w:hAnsi="Arial"/>
          <w:sz w:val="18"/>
          <w:szCs w:val="18"/>
          <w:color w:val="auto"/>
        </w:rPr>
        <w:t xml:space="preserve"> segment operating income is flat compared to fiscal 2007 as the net sales and gross margin growth were offset by an increase in SG&amp;A spending.</w:t>
      </w:r>
    </w:p>
    <w:p>
      <w:pPr>
        <w:spacing w:after="0" w:line="8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Compared to fiscal 2006, segment net sales increased 12.1% to $230.5 million for fiscal 2007. This revenue growth was</w:t>
      </w:r>
    </w:p>
    <w:p>
      <w:pPr>
        <w:spacing w:after="0" w:line="1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primarily attributable to an increase in average customer count. Approximately 3.6% of the revenue increase came from</w:t>
      </w:r>
    </w:p>
    <w:p>
      <w:pPr>
        <w:ind w:left="700"/>
        <w:spacing w:after="0" w:line="234" w:lineRule="auto"/>
        <w:rPr>
          <w:sz w:val="20"/>
          <w:szCs w:val="20"/>
          <w:color w:val="auto"/>
        </w:rPr>
      </w:pPr>
      <w:r>
        <w:rPr>
          <w:rFonts w:ascii="Arial" w:cs="Arial" w:eastAsia="Arial" w:hAnsi="Arial"/>
          <w:sz w:val="18"/>
          <w:szCs w:val="18"/>
          <w:color w:val="auto"/>
        </w:rPr>
        <w:t>acquisitions completed in fiscal 2006 and fiscal 2007. Operating income decreased from $15.6 million in fiscal 2006 to</w:t>
      </w:r>
    </w:p>
    <w:p>
      <w:pPr>
        <w:ind w:left="700"/>
        <w:spacing w:after="0" w:line="235" w:lineRule="auto"/>
        <w:rPr>
          <w:sz w:val="20"/>
          <w:szCs w:val="20"/>
          <w:color w:val="auto"/>
        </w:rPr>
      </w:pPr>
      <w:r>
        <w:rPr>
          <w:rFonts w:ascii="Arial" w:cs="Arial" w:eastAsia="Arial" w:hAnsi="Arial"/>
          <w:sz w:val="18"/>
          <w:szCs w:val="18"/>
          <w:color w:val="auto"/>
        </w:rPr>
        <w:t>$11.3 million in fiscal 2007. The decrease in operating income was primarily attributable to higher planned SG&amp;A spending to</w:t>
      </w:r>
    </w:p>
    <w:p>
      <w:pPr>
        <w:ind w:left="700"/>
        <w:spacing w:after="0" w:line="235" w:lineRule="auto"/>
        <w:rPr>
          <w:sz w:val="20"/>
          <w:szCs w:val="20"/>
          <w:color w:val="auto"/>
        </w:rPr>
      </w:pPr>
      <w:r>
        <w:rPr>
          <w:rFonts w:ascii="Arial" w:cs="Arial" w:eastAsia="Arial" w:hAnsi="Arial"/>
          <w:sz w:val="18"/>
          <w:szCs w:val="18"/>
          <w:color w:val="auto"/>
        </w:rPr>
        <w:t>support higher volume and continued service improvements. Improved labor productivity helped to offset higher fertilizer and</w:t>
      </w:r>
    </w:p>
    <w:p>
      <w:pPr>
        <w:ind w:left="700"/>
        <w:spacing w:after="0" w:line="235" w:lineRule="auto"/>
        <w:rPr>
          <w:sz w:val="20"/>
          <w:szCs w:val="20"/>
          <w:color w:val="auto"/>
        </w:rPr>
      </w:pPr>
      <w:r>
        <w:rPr>
          <w:rFonts w:ascii="Arial" w:cs="Arial" w:eastAsia="Arial" w:hAnsi="Arial"/>
          <w:sz w:val="18"/>
          <w:szCs w:val="18"/>
          <w:color w:val="auto"/>
        </w:rPr>
        <w:t>fuel costs, but revenue growth was not adequate to cover the higher levels of SG&amp;A spending due to adverse weather</w:t>
      </w:r>
    </w:p>
    <w:p>
      <w:pPr>
        <w:ind w:left="700"/>
        <w:spacing w:after="0"/>
        <w:rPr>
          <w:sz w:val="20"/>
          <w:szCs w:val="20"/>
          <w:color w:val="auto"/>
        </w:rPr>
      </w:pPr>
      <w:r>
        <w:rPr>
          <w:rFonts w:ascii="Arial" w:cs="Arial" w:eastAsia="Arial" w:hAnsi="Arial"/>
          <w:sz w:val="18"/>
          <w:szCs w:val="18"/>
          <w:color w:val="auto"/>
        </w:rPr>
        <w:t>conditions during the important late winter/early spring period.</w:t>
      </w:r>
    </w:p>
    <w:p>
      <w:pPr>
        <w:spacing w:after="0" w:line="206"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Corporate &amp; Other</w:t>
      </w:r>
    </w:p>
    <w:p>
      <w:pPr>
        <w:spacing w:after="0" w:line="123" w:lineRule="exact"/>
        <w:rPr>
          <w:sz w:val="20"/>
          <w:szCs w:val="20"/>
          <w:color w:val="auto"/>
        </w:rPr>
      </w:pPr>
    </w:p>
    <w:p>
      <w:pPr>
        <w:jc w:val="both"/>
        <w:ind w:left="700" w:right="160" w:firstLine="402"/>
        <w:spacing w:after="0" w:line="249" w:lineRule="auto"/>
        <w:rPr>
          <w:sz w:val="20"/>
          <w:szCs w:val="20"/>
          <w:color w:val="auto"/>
        </w:rPr>
      </w:pPr>
      <w:r>
        <w:rPr>
          <w:rFonts w:ascii="Arial" w:cs="Arial" w:eastAsia="Arial" w:hAnsi="Arial"/>
          <w:sz w:val="18"/>
          <w:szCs w:val="18"/>
          <w:color w:val="auto"/>
        </w:rPr>
        <w:t>Net sales for the Corporate &amp; Other segment, which pertain primarily to Smith &amp; Hawken</w:t>
      </w:r>
      <w:r>
        <w:rPr>
          <w:rFonts w:ascii="Arial" w:cs="Arial" w:eastAsia="Arial" w:hAnsi="Arial"/>
          <w:sz w:val="15"/>
          <w:szCs w:val="15"/>
          <w:color w:val="auto"/>
        </w:rPr>
        <w:t>®</w:t>
      </w:r>
      <w:r>
        <w:rPr>
          <w:rFonts w:ascii="Arial" w:cs="Arial" w:eastAsia="Arial" w:hAnsi="Arial"/>
          <w:sz w:val="18"/>
          <w:szCs w:val="18"/>
          <w:color w:val="auto"/>
        </w:rPr>
        <w:t>, decreased $25.4 million or 13.8% in fiscal 2008. Net sales decreased across all channels of Smith &amp; Hawken</w:t>
      </w:r>
      <w:r>
        <w:rPr>
          <w:rFonts w:ascii="Arial" w:cs="Arial" w:eastAsia="Arial" w:hAnsi="Arial"/>
          <w:sz w:val="15"/>
          <w:szCs w:val="15"/>
          <w:color w:val="auto"/>
        </w:rPr>
        <w:t>®</w:t>
      </w:r>
      <w:r>
        <w:rPr>
          <w:rFonts w:ascii="Arial" w:cs="Arial" w:eastAsia="Arial" w:hAnsi="Arial"/>
          <w:sz w:val="18"/>
          <w:szCs w:val="18"/>
          <w:color w:val="auto"/>
        </w:rPr>
        <w:t>. Additionally, the first half of fiscal 2007 benefited from initial start-up activity with Starbucks</w:t>
      </w:r>
      <w:r>
        <w:rPr>
          <w:rFonts w:ascii="Arial" w:cs="Arial" w:eastAsia="Arial" w:hAnsi="Arial"/>
          <w:sz w:val="15"/>
          <w:szCs w:val="15"/>
          <w:color w:val="auto"/>
        </w:rPr>
        <w:t>®</w:t>
      </w:r>
      <w:r>
        <w:rPr>
          <w:rFonts w:ascii="Arial" w:cs="Arial" w:eastAsia="Arial" w:hAnsi="Arial"/>
          <w:sz w:val="18"/>
          <w:szCs w:val="18"/>
          <w:color w:val="auto"/>
        </w:rPr>
        <w:t>. The operating loss for Corporate &amp; Other decreased by $3.3 million in fiscal 2008 primarily due to lower net Corporate spending.</w:t>
      </w:r>
    </w:p>
    <w:p>
      <w:pPr>
        <w:spacing w:after="0" w:line="73" w:lineRule="exact"/>
        <w:rPr>
          <w:sz w:val="20"/>
          <w:szCs w:val="20"/>
          <w:color w:val="auto"/>
        </w:rPr>
      </w:pPr>
    </w:p>
    <w:p>
      <w:pPr>
        <w:ind w:left="700" w:firstLine="402"/>
        <w:spacing w:after="0" w:line="248" w:lineRule="auto"/>
        <w:rPr>
          <w:sz w:val="20"/>
          <w:szCs w:val="20"/>
          <w:color w:val="auto"/>
        </w:rPr>
      </w:pPr>
      <w:r>
        <w:rPr>
          <w:rFonts w:ascii="Arial" w:cs="Arial" w:eastAsia="Arial" w:hAnsi="Arial"/>
          <w:sz w:val="18"/>
          <w:szCs w:val="18"/>
          <w:color w:val="auto"/>
        </w:rPr>
        <w:t>Net sales for the Corporate &amp; Other segment increased $14.8 million or 8.7% in fiscal 2007 due largely to the business-to-business channel, including the initial start-up activity with Starbucks</w:t>
      </w:r>
      <w:r>
        <w:rPr>
          <w:rFonts w:ascii="Arial" w:cs="Arial" w:eastAsia="Arial" w:hAnsi="Arial"/>
          <w:sz w:val="15"/>
          <w:szCs w:val="15"/>
          <w:color w:val="auto"/>
        </w:rPr>
        <w:t>®</w:t>
      </w:r>
      <w:r>
        <w:rPr>
          <w:rFonts w:ascii="Arial" w:cs="Arial" w:eastAsia="Arial" w:hAnsi="Arial"/>
          <w:sz w:val="18"/>
          <w:szCs w:val="18"/>
          <w:color w:val="auto"/>
        </w:rPr>
        <w:t>. The operating loss for Corporate &amp; Other decreased by $0.5 million in fiscal 2007. Spending at the Corporate level declined more than the numbers indicate for fiscal 2007, as fiscal 2006 benefited from a $10.1 million insurance recovery.</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Management’s Outlook</w:t>
      </w:r>
    </w:p>
    <w:p>
      <w:pPr>
        <w:spacing w:after="0" w:line="124" w:lineRule="exact"/>
        <w:rPr>
          <w:sz w:val="20"/>
          <w:szCs w:val="20"/>
          <w:color w:val="auto"/>
        </w:rPr>
      </w:pPr>
    </w:p>
    <w:p>
      <w:pPr>
        <w:ind w:left="700" w:right="120" w:firstLine="402"/>
        <w:spacing w:after="0" w:line="245" w:lineRule="auto"/>
        <w:rPr>
          <w:sz w:val="20"/>
          <w:szCs w:val="20"/>
          <w:color w:val="auto"/>
        </w:rPr>
      </w:pPr>
      <w:r>
        <w:rPr>
          <w:rFonts w:ascii="Arial" w:cs="Arial" w:eastAsia="Arial" w:hAnsi="Arial"/>
          <w:sz w:val="18"/>
          <w:szCs w:val="18"/>
          <w:color w:val="auto"/>
        </w:rPr>
        <w:t>Entering fiscal 2009, we expected net income and earnings per share, excluding impairment charges and product registration and recall costs, to be in line with the results we reported in fiscal 2008. We anticipated net sales to be flat compared to 2008, as average price increases of eight percent would be largely offset by unfavorable foreign exchange rate movements and unit volume declines. We also anticipated that gross margin rates would be in line with 2008 and that SG&amp;A would likely grow at a minimal level.</w:t>
      </w:r>
    </w:p>
    <w:p>
      <w:pPr>
        <w:spacing w:after="0" w:line="78" w:lineRule="exact"/>
        <w:rPr>
          <w:sz w:val="20"/>
          <w:szCs w:val="20"/>
          <w:color w:val="auto"/>
        </w:rPr>
      </w:pPr>
    </w:p>
    <w:p>
      <w:pPr>
        <w:ind w:left="700" w:right="20" w:firstLine="402"/>
        <w:spacing w:after="0"/>
        <w:rPr>
          <w:sz w:val="20"/>
          <w:szCs w:val="20"/>
          <w:color w:val="auto"/>
        </w:rPr>
      </w:pPr>
      <w:r>
        <w:rPr>
          <w:rFonts w:ascii="Arial" w:cs="Arial" w:eastAsia="Arial" w:hAnsi="Arial"/>
          <w:sz w:val="18"/>
          <w:szCs w:val="18"/>
          <w:color w:val="auto"/>
        </w:rPr>
        <w:t>In the early weeks of fiscal 2009, however, key commodity costs continued to trend more favorably than expected. Subsequently, several retail partners approached the Company about possibly providing private label products for them in fiscal 2009 after a major competitor unexpectedly exited the category. While we are hopeful that favorable commodity price trends will continue and that we will ultimately be successful in securing additional volume from the private label opportunities, we are mindful of the continually deteriorating outlook for consumer spending. Given the seasonality of our business (which results in a concentration of sales in the second and third fiscal quarters), it is difficult for us to predict what impact the current economic volatility will have on upcoming consumer lawn and garden spending. Nevertheless, we believe that we have more opportunity than not to exceed the financial expectations we had entering fiscal 2009.</w:t>
      </w:r>
    </w:p>
    <w:p>
      <w:pPr>
        <w:spacing w:after="0" w:line="12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1"/>
          <w:szCs w:val="11"/>
          <w:b w:val="1"/>
          <w:bCs w:val="1"/>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-78105</wp:posOffset>
            </wp:positionV>
            <wp:extent cx="19748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00"/>
          </w:cols>
          <w:pgMar w:left="240" w:top="415" w:right="95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hyperlink w:anchor="page6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700" w:right="60" w:firstLine="402"/>
        <w:spacing w:after="0" w:line="255" w:lineRule="auto"/>
        <w:rPr>
          <w:sz w:val="20"/>
          <w:szCs w:val="20"/>
          <w:color w:val="auto"/>
        </w:rPr>
      </w:pPr>
      <w:r>
        <w:rPr>
          <w:rFonts w:ascii="Arial" w:cs="Arial" w:eastAsia="Arial" w:hAnsi="Arial"/>
          <w:sz w:val="18"/>
          <w:szCs w:val="18"/>
          <w:color w:val="auto"/>
        </w:rPr>
        <w:t>The Company remains focused on maintaining its free cash flow and return on invested capital, both of which the Company believes are important drivers of shareholder value. Our regular quarterly dividend will allow us to continue to return funds to shareholders while maintaining our targeted capital structure.</w:t>
      </w:r>
    </w:p>
    <w:p>
      <w:pPr>
        <w:spacing w:after="0" w:line="7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For certain information concerning our risk factors, see “ITEM 1A. RISK FACTORS.”</w:t>
      </w:r>
    </w:p>
    <w:p>
      <w:pPr>
        <w:spacing w:after="0" w:line="228"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Liquidity and Capital Resources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Operating Activities</w:t>
      </w:r>
    </w:p>
    <w:p>
      <w:pPr>
        <w:spacing w:after="0" w:line="120" w:lineRule="exact"/>
        <w:rPr>
          <w:sz w:val="20"/>
          <w:szCs w:val="20"/>
          <w:color w:val="auto"/>
        </w:rPr>
      </w:pPr>
    </w:p>
    <w:p>
      <w:pPr>
        <w:ind w:left="700" w:right="120" w:firstLine="402"/>
        <w:spacing w:after="0" w:line="248" w:lineRule="auto"/>
        <w:rPr>
          <w:sz w:val="20"/>
          <w:szCs w:val="20"/>
          <w:color w:val="auto"/>
        </w:rPr>
      </w:pPr>
      <w:r>
        <w:rPr>
          <w:rFonts w:ascii="Arial" w:cs="Arial" w:eastAsia="Arial" w:hAnsi="Arial"/>
          <w:sz w:val="18"/>
          <w:szCs w:val="18"/>
          <w:color w:val="auto"/>
        </w:rPr>
        <w:t>Cash provided by operating activities decreased from $246.6 million in fiscal 2007 to $200.9 million in fiscal 2008. Net income (loss) plus non-cash impairment charges, non-cash costs related to refinancing, stock-based compensation expense, depreciation and amortization declined by $41.8 million from $250.5 million in fiscal 2007 to $208.7 million in fiscal 2008, primarily due to product registration and recall costs of approximately $51.1 million.</w:t>
      </w:r>
    </w:p>
    <w:p>
      <w:pPr>
        <w:spacing w:after="0" w:line="76" w:lineRule="exact"/>
        <w:rPr>
          <w:sz w:val="20"/>
          <w:szCs w:val="20"/>
          <w:color w:val="auto"/>
        </w:rPr>
      </w:pPr>
    </w:p>
    <w:p>
      <w:pPr>
        <w:ind w:left="700" w:right="360" w:firstLine="402"/>
        <w:spacing w:after="0" w:line="241" w:lineRule="auto"/>
        <w:rPr>
          <w:sz w:val="20"/>
          <w:szCs w:val="20"/>
          <w:color w:val="auto"/>
        </w:rPr>
      </w:pPr>
      <w:r>
        <w:rPr>
          <w:rFonts w:ascii="Arial" w:cs="Arial" w:eastAsia="Arial" w:hAnsi="Arial"/>
          <w:sz w:val="18"/>
          <w:szCs w:val="18"/>
          <w:color w:val="auto"/>
        </w:rPr>
        <w:t>Cash provided by operating activities increased from $ 182.4 million in fiscal 2006 to $246.6 million in fiscal 2007. Net income plus non-cash impairment charges, non-cash costs related to refinancing, stock-based compensation expense, depreciation and amortization declined by $31.3 million from $281.8 million in fiscal 2006 to $250.5 million in fiscal 2007, primarily due to higher interest expense after our February 2007 recapitalization and lower operating income in our Global Consumer segment. Fiscal 2006 operating cash flows were unfavorably impacted by inventory and accounts receivable increases, which did not impact fiscal 2007. Furthermore, fiscal 2006 reflects a $43.0 million usage of cash to fund the Roundup</w:t>
      </w:r>
      <w:r>
        <w:rPr>
          <w:rFonts w:ascii="Arial" w:cs="Arial" w:eastAsia="Arial" w:hAnsi="Arial"/>
          <w:sz w:val="15"/>
          <w:szCs w:val="15"/>
          <w:color w:val="auto"/>
        </w:rPr>
        <w:t>®</w:t>
      </w:r>
      <w:r>
        <w:rPr>
          <w:rFonts w:ascii="Arial" w:cs="Arial" w:eastAsia="Arial" w:hAnsi="Arial"/>
          <w:sz w:val="18"/>
          <w:szCs w:val="18"/>
          <w:color w:val="auto"/>
        </w:rPr>
        <w:t xml:space="preserve"> deferred contribution payment in October 2005.</w:t>
      </w:r>
    </w:p>
    <w:p>
      <w:pPr>
        <w:spacing w:after="0" w:line="85" w:lineRule="exact"/>
        <w:rPr>
          <w:sz w:val="20"/>
          <w:szCs w:val="20"/>
          <w:color w:val="auto"/>
        </w:rPr>
      </w:pPr>
    </w:p>
    <w:p>
      <w:pPr>
        <w:ind w:left="700" w:right="20" w:firstLine="402"/>
        <w:spacing w:after="0" w:line="243" w:lineRule="auto"/>
        <w:rPr>
          <w:sz w:val="20"/>
          <w:szCs w:val="20"/>
          <w:color w:val="auto"/>
        </w:rPr>
      </w:pPr>
      <w:r>
        <w:rPr>
          <w:rFonts w:ascii="Arial" w:cs="Arial" w:eastAsia="Arial" w:hAnsi="Arial"/>
          <w:sz w:val="18"/>
          <w:szCs w:val="18"/>
          <w:color w:val="auto"/>
        </w:rPr>
        <w:t>The seasonal nature of our operations generally requires cash to fund significant increases in working capital (primarily inventory) during the first half of the year. Receivables and payables also build substantially in the second quarter of the year in line with the timing of sales to support our retailers’ spring selling season. These balances liquidate during the June through September period as the lawn and garden season unwinds. Unlike our core retail business, Scotts LawnService</w:t>
      </w:r>
      <w:r>
        <w:rPr>
          <w:rFonts w:ascii="Arial" w:cs="Arial" w:eastAsia="Arial" w:hAnsi="Arial"/>
          <w:sz w:val="15"/>
          <w:szCs w:val="15"/>
          <w:color w:val="auto"/>
        </w:rPr>
        <w:t>®</w:t>
      </w:r>
      <w:r>
        <w:rPr>
          <w:rFonts w:ascii="Arial" w:cs="Arial" w:eastAsia="Arial" w:hAnsi="Arial"/>
          <w:sz w:val="18"/>
          <w:szCs w:val="18"/>
          <w:color w:val="auto"/>
        </w:rPr>
        <w:t xml:space="preserve"> typically has its highest receivables balances in the fourth quarter because of the seasonal timing of customer applications and extra service revenues.</w:t>
      </w:r>
    </w:p>
    <w:p>
      <w:pPr>
        <w:spacing w:after="0" w:line="194"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Investing Activities</w:t>
      </w:r>
    </w:p>
    <w:p>
      <w:pPr>
        <w:spacing w:after="0" w:line="120" w:lineRule="exact"/>
        <w:rPr>
          <w:sz w:val="20"/>
          <w:szCs w:val="20"/>
          <w:color w:val="auto"/>
        </w:rPr>
      </w:pPr>
    </w:p>
    <w:p>
      <w:pPr>
        <w:ind w:left="700" w:firstLine="402"/>
        <w:spacing w:after="0"/>
        <w:rPr>
          <w:sz w:val="20"/>
          <w:szCs w:val="20"/>
          <w:color w:val="auto"/>
        </w:rPr>
      </w:pPr>
      <w:r>
        <w:rPr>
          <w:rFonts w:ascii="Arial" w:cs="Arial" w:eastAsia="Arial" w:hAnsi="Arial"/>
          <w:sz w:val="18"/>
          <w:szCs w:val="18"/>
          <w:color w:val="auto"/>
        </w:rPr>
        <w:t>Cash used in investing activities was $59.1 million and $72.2 million for fiscal 2008 and 2007, respectively. Capital spending increased from $54.0 million in fiscal 2007 to $60.2 million in fiscal 2008. Capital spending in fiscal 2008 included a $4.1 million investment in intellectual property rights to certain organically derived herbicides, repellants and insecticides. For the three years ended September 30, 2008, the Company’s capital spending was allocated as follows: 50% for expansion and maintenance of Global Consumer productive assets; 12% for new productive assets supporting our Global Consumer business; 9% primarily for leasehold improvements associated with new Smith &amp; Hawken</w:t>
      </w:r>
      <w:r>
        <w:rPr>
          <w:rFonts w:ascii="Arial" w:cs="Arial" w:eastAsia="Arial" w:hAnsi="Arial"/>
          <w:sz w:val="15"/>
          <w:szCs w:val="15"/>
          <w:color w:val="auto"/>
        </w:rPr>
        <w:t>®</w:t>
      </w:r>
      <w:r>
        <w:rPr>
          <w:rFonts w:ascii="Arial" w:cs="Arial" w:eastAsia="Arial" w:hAnsi="Arial"/>
          <w:sz w:val="18"/>
          <w:szCs w:val="18"/>
          <w:color w:val="auto"/>
        </w:rPr>
        <w:t xml:space="preserve"> retail stores; 5% for expansion and upgrades of Scotts LawnService</w:t>
      </w:r>
      <w:r>
        <w:rPr>
          <w:rFonts w:ascii="Arial" w:cs="Arial" w:eastAsia="Arial" w:hAnsi="Arial"/>
          <w:sz w:val="15"/>
          <w:szCs w:val="15"/>
          <w:color w:val="auto"/>
        </w:rPr>
        <w:t>®</w:t>
      </w:r>
      <w:r>
        <w:rPr>
          <w:rFonts w:ascii="Arial" w:cs="Arial" w:eastAsia="Arial" w:hAnsi="Arial"/>
          <w:sz w:val="18"/>
          <w:szCs w:val="18"/>
          <w:color w:val="auto"/>
        </w:rPr>
        <w:t xml:space="preserve"> facilities; 16% to expand our information technology capabilities; and 8% for other corporate assets. Acquisition activity in fiscal 2007 was restricted to our Scotts LawnService</w:t>
      </w:r>
      <w:r>
        <w:rPr>
          <w:rFonts w:ascii="Arial" w:cs="Arial" w:eastAsia="Arial" w:hAnsi="Arial"/>
          <w:sz w:val="15"/>
          <w:szCs w:val="15"/>
          <w:color w:val="auto"/>
        </w:rPr>
        <w:t>®</w:t>
      </w:r>
      <w:r>
        <w:rPr>
          <w:rFonts w:ascii="Arial" w:cs="Arial" w:eastAsia="Arial" w:hAnsi="Arial"/>
          <w:sz w:val="18"/>
          <w:szCs w:val="18"/>
          <w:color w:val="auto"/>
        </w:rPr>
        <w:t xml:space="preserve"> business, approximating $18.7 million. There was no acquisition activity in fiscal 2008.</w:t>
      </w:r>
    </w:p>
    <w:p>
      <w:pPr>
        <w:spacing w:after="0" w:line="197"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Financing Activities</w:t>
      </w:r>
    </w:p>
    <w:p>
      <w:pPr>
        <w:spacing w:after="0" w:line="120" w:lineRule="exact"/>
        <w:rPr>
          <w:sz w:val="20"/>
          <w:szCs w:val="20"/>
          <w:color w:val="auto"/>
        </w:rPr>
      </w:pPr>
    </w:p>
    <w:p>
      <w:pPr>
        <w:ind w:left="700" w:right="200" w:firstLine="402"/>
        <w:spacing w:after="0" w:line="228" w:lineRule="auto"/>
        <w:rPr>
          <w:sz w:val="20"/>
          <w:szCs w:val="20"/>
          <w:color w:val="auto"/>
        </w:rPr>
      </w:pPr>
      <w:r>
        <w:rPr>
          <w:rFonts w:ascii="Arial" w:cs="Arial" w:eastAsia="Arial" w:hAnsi="Arial"/>
          <w:sz w:val="18"/>
          <w:szCs w:val="18"/>
          <w:color w:val="auto"/>
        </w:rPr>
        <w:t>Financing activities used cash of $123.0 million and $158.8 million in fiscal 2008 and 2007, respectively. In fiscal 2008, the cash used was primarily the result of net repayments on outstanding debt of $99.9 million and dividends paid of $32.5 million, offset by cash of $9.2 million received from the exercise of stock options. Fiscal 2007 included the recapitalization plan that returned $750 million to shareholders in addition to the repurchase of all of our 6</w:t>
      </w:r>
      <w:r>
        <w:rPr>
          <w:rFonts w:ascii="Arial" w:cs="Arial" w:eastAsia="Arial" w:hAnsi="Arial"/>
          <w:sz w:val="25"/>
          <w:szCs w:val="25"/>
          <w:color w:val="auto"/>
          <w:vertAlign w:val="superscript"/>
        </w:rPr>
        <w:t>5</w:t>
      </w:r>
      <w:r>
        <w:rPr>
          <w:rFonts w:ascii="Arial" w:cs="Arial" w:eastAsia="Arial" w:hAnsi="Arial"/>
          <w:sz w:val="18"/>
          <w:szCs w:val="18"/>
          <w:color w:val="auto"/>
        </w:rPr>
        <w:t>/</w:t>
      </w:r>
      <w:r>
        <w:rPr>
          <w:rFonts w:ascii="Arial" w:cs="Arial" w:eastAsia="Arial" w:hAnsi="Arial"/>
          <w:sz w:val="12"/>
          <w:szCs w:val="12"/>
          <w:color w:val="auto"/>
        </w:rPr>
        <w:t>8</w:t>
      </w:r>
      <w:r>
        <w:rPr>
          <w:rFonts w:ascii="Arial" w:cs="Arial" w:eastAsia="Arial" w:hAnsi="Arial"/>
          <w:sz w:val="18"/>
          <w:szCs w:val="18"/>
          <w:color w:val="auto"/>
        </w:rPr>
        <w:t>% senior subordinated notes in an aggregate principal amount of $200 million. These actions were financed by replacing, effective February 7, 2007, our prior revolving credit facility with senior secured $2.15 billion multicurrency credit facilities that provide for revolving credit and term loans through February 7, 2012.</w:t>
      </w:r>
    </w:p>
    <w:p>
      <w:pPr>
        <w:spacing w:after="0" w:line="12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1"/>
          <w:szCs w:val="11"/>
          <w:b w:val="1"/>
          <w:bCs w:val="1"/>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-78105</wp:posOffset>
            </wp:positionV>
            <wp:extent cx="19748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240" w:top="415" w:right="91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hyperlink w:anchor="page6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Credit Agreements</w:t>
      </w:r>
    </w:p>
    <w:p>
      <w:pPr>
        <w:spacing w:after="0" w:line="12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Our primary sources of liquidity are cash generated by operations and borrowings under our credit agreements. In</w:t>
      </w:r>
    </w:p>
    <w:p>
      <w:pPr>
        <w:spacing w:after="0" w:line="1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connection with the recapitalization transactions discussed in “NOTE 5. RECAPITALIZATION” to the Consolidated Financial</w:t>
      </w:r>
    </w:p>
    <w:p>
      <w:pPr>
        <w:ind w:left="700"/>
        <w:spacing w:after="0" w:line="234" w:lineRule="auto"/>
        <w:rPr>
          <w:sz w:val="20"/>
          <w:szCs w:val="20"/>
          <w:color w:val="auto"/>
        </w:rPr>
      </w:pPr>
      <w:r>
        <w:rPr>
          <w:rFonts w:ascii="Arial" w:cs="Arial" w:eastAsia="Arial" w:hAnsi="Arial"/>
          <w:sz w:val="18"/>
          <w:szCs w:val="18"/>
          <w:color w:val="auto"/>
        </w:rPr>
        <w:t>Statements included in this Annual Report on Form 10-K, in February 2007, Scotts Miracle-Gro and certain of its subsidiaries</w:t>
      </w:r>
    </w:p>
    <w:p>
      <w:pPr>
        <w:ind w:left="700"/>
        <w:spacing w:after="0" w:line="235" w:lineRule="auto"/>
        <w:rPr>
          <w:sz w:val="20"/>
          <w:szCs w:val="20"/>
          <w:color w:val="auto"/>
        </w:rPr>
      </w:pPr>
      <w:r>
        <w:rPr>
          <w:rFonts w:ascii="Arial" w:cs="Arial" w:eastAsia="Arial" w:hAnsi="Arial"/>
          <w:sz w:val="18"/>
          <w:szCs w:val="18"/>
          <w:color w:val="auto"/>
        </w:rPr>
        <w:t>entered into the following loan facilities totaling up to $2.15 billion in the aggregate: (a) a senior secured five-year term loan</w:t>
      </w:r>
    </w:p>
    <w:p>
      <w:pPr>
        <w:ind w:left="700"/>
        <w:spacing w:after="0" w:line="235" w:lineRule="auto"/>
        <w:rPr>
          <w:sz w:val="20"/>
          <w:szCs w:val="20"/>
          <w:color w:val="auto"/>
        </w:rPr>
      </w:pPr>
      <w:r>
        <w:rPr>
          <w:rFonts w:ascii="Arial" w:cs="Arial" w:eastAsia="Arial" w:hAnsi="Arial"/>
          <w:sz w:val="18"/>
          <w:szCs w:val="18"/>
          <w:color w:val="auto"/>
        </w:rPr>
        <w:t>facility in the principal amount of $560 million and (b) a senior secured five-year revolving loan facility in the aggregate</w:t>
      </w:r>
    </w:p>
    <w:p>
      <w:pPr>
        <w:ind w:left="700"/>
        <w:spacing w:after="0" w:line="235" w:lineRule="auto"/>
        <w:rPr>
          <w:sz w:val="20"/>
          <w:szCs w:val="20"/>
          <w:color w:val="auto"/>
        </w:rPr>
      </w:pPr>
      <w:r>
        <w:rPr>
          <w:rFonts w:ascii="Arial" w:cs="Arial" w:eastAsia="Arial" w:hAnsi="Arial"/>
          <w:sz w:val="18"/>
          <w:szCs w:val="18"/>
          <w:color w:val="auto"/>
        </w:rPr>
        <w:t>principal amount of up to $1.59 billion. Borrowings may be made in various currencies including U.S. dollars, Euros, British</w:t>
      </w:r>
    </w:p>
    <w:p>
      <w:pPr>
        <w:ind w:left="700"/>
        <w:spacing w:after="0" w:line="235" w:lineRule="auto"/>
        <w:rPr>
          <w:sz w:val="20"/>
          <w:szCs w:val="20"/>
          <w:color w:val="auto"/>
        </w:rPr>
      </w:pPr>
      <w:r>
        <w:rPr>
          <w:rFonts w:ascii="Arial" w:cs="Arial" w:eastAsia="Arial" w:hAnsi="Arial"/>
          <w:sz w:val="18"/>
          <w:szCs w:val="18"/>
          <w:color w:val="auto"/>
        </w:rPr>
        <w:t>pounds, Australian dollars and Canadian dollars. These $2.15 billion senior secured credit facilities replaced the Company’s</w:t>
      </w:r>
    </w:p>
    <w:p>
      <w:pPr>
        <w:ind w:left="700"/>
        <w:spacing w:after="0" w:line="235" w:lineRule="auto"/>
        <w:rPr>
          <w:sz w:val="20"/>
          <w:szCs w:val="20"/>
          <w:color w:val="auto"/>
        </w:rPr>
      </w:pPr>
      <w:r>
        <w:rPr>
          <w:rFonts w:ascii="Arial" w:cs="Arial" w:eastAsia="Arial" w:hAnsi="Arial"/>
          <w:sz w:val="18"/>
          <w:szCs w:val="18"/>
          <w:color w:val="auto"/>
        </w:rPr>
        <w:t>former $1.05 billion senior credit facility. In addition, we used proceeds from these senior secured credit facilities to</w:t>
      </w:r>
    </w:p>
    <w:p>
      <w:pPr>
        <w:ind w:left="700"/>
        <w:spacing w:after="0" w:line="184" w:lineRule="auto"/>
        <w:rPr>
          <w:sz w:val="20"/>
          <w:szCs w:val="20"/>
          <w:color w:val="auto"/>
        </w:rPr>
      </w:pPr>
      <w:r>
        <w:rPr>
          <w:rFonts w:ascii="Arial" w:cs="Arial" w:eastAsia="Arial" w:hAnsi="Arial"/>
          <w:sz w:val="17"/>
          <w:szCs w:val="17"/>
          <w:color w:val="auto"/>
        </w:rPr>
        <w:t>repurchase all of our then outstanding 6</w:t>
      </w:r>
      <w:r>
        <w:rPr>
          <w:rFonts w:ascii="Arial" w:cs="Arial" w:eastAsia="Arial" w:hAnsi="Arial"/>
          <w:sz w:val="23"/>
          <w:szCs w:val="23"/>
          <w:color w:val="auto"/>
          <w:vertAlign w:val="superscript"/>
        </w:rPr>
        <w:t>5</w:t>
      </w:r>
      <w:r>
        <w:rPr>
          <w:rFonts w:ascii="Arial" w:cs="Arial" w:eastAsia="Arial" w:hAnsi="Arial"/>
          <w:sz w:val="17"/>
          <w:szCs w:val="17"/>
          <w:color w:val="auto"/>
        </w:rPr>
        <w:t>/</w:t>
      </w:r>
      <w:r>
        <w:rPr>
          <w:rFonts w:ascii="Arial" w:cs="Arial" w:eastAsia="Arial" w:hAnsi="Arial"/>
          <w:sz w:val="11"/>
          <w:szCs w:val="11"/>
          <w:color w:val="auto"/>
        </w:rPr>
        <w:t>8</w:t>
      </w:r>
      <w:r>
        <w:rPr>
          <w:rFonts w:ascii="Arial" w:cs="Arial" w:eastAsia="Arial" w:hAnsi="Arial"/>
          <w:sz w:val="17"/>
          <w:szCs w:val="17"/>
          <w:color w:val="auto"/>
        </w:rPr>
        <w:t>% senior subordinated notes in an aggregate principal amount of $200 million.</w:t>
      </w:r>
    </w:p>
    <w:p>
      <w:pPr>
        <w:ind w:left="700"/>
        <w:spacing w:after="0" w:line="235" w:lineRule="auto"/>
        <w:rPr>
          <w:sz w:val="20"/>
          <w:szCs w:val="20"/>
          <w:color w:val="auto"/>
        </w:rPr>
      </w:pPr>
      <w:r>
        <w:rPr>
          <w:rFonts w:ascii="Arial" w:cs="Arial" w:eastAsia="Arial" w:hAnsi="Arial"/>
          <w:sz w:val="18"/>
          <w:szCs w:val="18"/>
          <w:color w:val="auto"/>
        </w:rPr>
        <w:t>Under our current structure, we may request an additional $200 million in revolving credit and/or term credit commitments,</w:t>
      </w:r>
    </w:p>
    <w:p>
      <w:pPr>
        <w:ind w:left="700"/>
        <w:spacing w:after="0" w:line="234" w:lineRule="auto"/>
        <w:rPr>
          <w:sz w:val="20"/>
          <w:szCs w:val="20"/>
          <w:color w:val="auto"/>
        </w:rPr>
      </w:pPr>
      <w:r>
        <w:rPr>
          <w:rFonts w:ascii="Arial" w:cs="Arial" w:eastAsia="Arial" w:hAnsi="Arial"/>
          <w:sz w:val="18"/>
          <w:szCs w:val="18"/>
          <w:color w:val="auto"/>
        </w:rPr>
        <w:t>subject to approval from our lenders. As of September 30, 2008, there was $1.19 billion of availability under our senior</w:t>
      </w:r>
    </w:p>
    <w:p>
      <w:pPr>
        <w:ind w:left="700"/>
        <w:spacing w:after="0" w:line="235" w:lineRule="auto"/>
        <w:rPr>
          <w:sz w:val="20"/>
          <w:szCs w:val="20"/>
          <w:color w:val="auto"/>
        </w:rPr>
      </w:pPr>
      <w:r>
        <w:rPr>
          <w:rFonts w:ascii="Arial" w:cs="Arial" w:eastAsia="Arial" w:hAnsi="Arial"/>
          <w:sz w:val="18"/>
          <w:szCs w:val="18"/>
          <w:color w:val="auto"/>
        </w:rPr>
        <w:t>secured credit facilities. “NOTE 11. DEBT” to the Consolidated Financial Statements included in this Annual Report on</w:t>
      </w:r>
    </w:p>
    <w:p>
      <w:pPr>
        <w:ind w:left="700"/>
        <w:spacing w:after="0" w:line="235" w:lineRule="auto"/>
        <w:rPr>
          <w:sz w:val="20"/>
          <w:szCs w:val="20"/>
          <w:color w:val="auto"/>
        </w:rPr>
      </w:pPr>
      <w:r>
        <w:rPr>
          <w:rFonts w:ascii="Arial" w:cs="Arial" w:eastAsia="Arial" w:hAnsi="Arial"/>
          <w:sz w:val="18"/>
          <w:szCs w:val="18"/>
          <w:color w:val="auto"/>
        </w:rPr>
        <w:t>Form 10-K provides additional information pertaining to our borrowing arrangements. Although we were in compliance with all</w:t>
      </w:r>
    </w:p>
    <w:p>
      <w:pPr>
        <w:ind w:left="700"/>
        <w:spacing w:after="0" w:line="235" w:lineRule="auto"/>
        <w:rPr>
          <w:sz w:val="20"/>
          <w:szCs w:val="20"/>
          <w:color w:val="auto"/>
        </w:rPr>
      </w:pPr>
      <w:r>
        <w:rPr>
          <w:rFonts w:ascii="Arial" w:cs="Arial" w:eastAsia="Arial" w:hAnsi="Arial"/>
          <w:sz w:val="18"/>
          <w:szCs w:val="18"/>
          <w:color w:val="auto"/>
        </w:rPr>
        <w:t>of our debt covenants throughout fiscal 2008, please see “ITEM 1A. RISK FACTORS — FIFRA Compliance, the</w:t>
      </w:r>
    </w:p>
    <w:p>
      <w:pPr>
        <w:ind w:left="700"/>
        <w:spacing w:after="0" w:line="235" w:lineRule="auto"/>
        <w:rPr>
          <w:sz w:val="20"/>
          <w:szCs w:val="20"/>
          <w:color w:val="auto"/>
        </w:rPr>
      </w:pPr>
      <w:r>
        <w:rPr>
          <w:rFonts w:ascii="Arial" w:cs="Arial" w:eastAsia="Arial" w:hAnsi="Arial"/>
          <w:sz w:val="18"/>
          <w:szCs w:val="18"/>
          <w:color w:val="auto"/>
        </w:rPr>
        <w:t>Corresponding Governmental Investigation and Related Matters” for a discussion of the potential negative impact of such</w:t>
      </w:r>
    </w:p>
    <w:p>
      <w:pPr>
        <w:ind w:left="700"/>
        <w:spacing w:after="0"/>
        <w:rPr>
          <w:sz w:val="20"/>
          <w:szCs w:val="20"/>
          <w:color w:val="auto"/>
        </w:rPr>
      </w:pPr>
      <w:r>
        <w:rPr>
          <w:rFonts w:ascii="Arial" w:cs="Arial" w:eastAsia="Arial" w:hAnsi="Arial"/>
          <w:sz w:val="18"/>
          <w:szCs w:val="18"/>
          <w:color w:val="auto"/>
        </w:rPr>
        <w:t>issues on our compliance with certain covenants contained in our credit agreements.</w:t>
      </w:r>
    </w:p>
    <w:p>
      <w:pPr>
        <w:spacing w:after="0" w:line="95" w:lineRule="exact"/>
        <w:rPr>
          <w:sz w:val="20"/>
          <w:szCs w:val="20"/>
          <w:color w:val="auto"/>
        </w:rPr>
      </w:pPr>
    </w:p>
    <w:p>
      <w:pPr>
        <w:ind w:left="700" w:right="20" w:firstLine="402"/>
        <w:spacing w:after="0" w:line="239" w:lineRule="auto"/>
        <w:rPr>
          <w:sz w:val="20"/>
          <w:szCs w:val="20"/>
          <w:color w:val="auto"/>
        </w:rPr>
      </w:pPr>
      <w:r>
        <w:rPr>
          <w:rFonts w:ascii="Arial" w:cs="Arial" w:eastAsia="Arial" w:hAnsi="Arial"/>
          <w:sz w:val="18"/>
          <w:szCs w:val="18"/>
          <w:color w:val="auto"/>
        </w:rPr>
        <w:t>On April 11, 2007, the Company entered into a one-year Master Accounts Receivable Purchase Agreement (the “Original MARP Agreement”). On April 9, 2008, the Company terminated the Original MARP Agreement and entered into a new Master Accounts Receivable Purchase Agreement (the “New MARP Agreement”) with a stated termination date of April 8, 2009, or such later date as may be extended by mutual agreement of the Company and its lenders. The terms of the New MARP Agreement are substantially the same as the Original MARP Agreement. The New MARP Agreement provides an interest rate savings of 40 basis points as compared to borrowing under our senior secured credit facilities. The New MARP Agreement provides for the sale, on a revolving basis, of accounts receivable generated by specified account debtors, with seasonally adjusted monthly aggregate limits ranging from $10 million to $300 million. The New MARP Agreement also provides for specified account debtor sublimit amounts, which provide limits on the amount of receivables owed by individual account debtors that can be sold to the banks. Borrowings under the New MARP Agreement at September 30, 2008 were $62.1 million.</w:t>
      </w:r>
    </w:p>
    <w:p>
      <w:pPr>
        <w:spacing w:after="0" w:line="83" w:lineRule="exact"/>
        <w:rPr>
          <w:sz w:val="20"/>
          <w:szCs w:val="20"/>
          <w:color w:val="auto"/>
        </w:rPr>
      </w:pPr>
    </w:p>
    <w:p>
      <w:pPr>
        <w:ind w:left="700" w:right="60" w:firstLine="402"/>
        <w:spacing w:after="0" w:line="248" w:lineRule="auto"/>
        <w:rPr>
          <w:sz w:val="20"/>
          <w:szCs w:val="20"/>
          <w:color w:val="auto"/>
        </w:rPr>
      </w:pPr>
      <w:r>
        <w:rPr>
          <w:rFonts w:ascii="Arial" w:cs="Arial" w:eastAsia="Arial" w:hAnsi="Arial"/>
          <w:sz w:val="18"/>
          <w:szCs w:val="18"/>
          <w:color w:val="auto"/>
        </w:rPr>
        <w:t>At September 30, 2008, the Company had outstanding interest rate swaps with major financial institutions that effectively converted a portion of our variable-rate debt denominated in Euros, British pounds and U.S. dollars to a fixed rate. The swap agreements had a total U.S. dollar equivalent notional amount of $711.4 million at September 30, 2008. The term, expiration date and rates of these swaps are shown in the table below.</w:t>
      </w:r>
    </w:p>
    <w:p>
      <w:pPr>
        <w:spacing w:after="0" w:line="95" w:lineRule="exact"/>
        <w:rPr>
          <w:sz w:val="20"/>
          <w:szCs w:val="20"/>
          <w:color w:val="auto"/>
        </w:rPr>
      </w:pPr>
    </w:p>
    <w:tbl>
      <w:tblPr>
        <w:tblLayout w:type="fixed"/>
        <w:tblInd w:w="70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960" w:type="dxa"/>
            <w:vAlign w:val="bottom"/>
          </w:tcPr>
          <w:p>
            <w:pPr>
              <w:jc w:val="center"/>
              <w:ind w:right="273"/>
              <w:spacing w:after="0"/>
              <w:rPr>
                <w:sz w:val="20"/>
                <w:szCs w:val="20"/>
                <w:color w:val="auto"/>
              </w:rPr>
            </w:pPr>
            <w:r>
              <w:rPr>
                <w:rFonts w:ascii="Arial" w:cs="Arial" w:eastAsia="Arial" w:hAnsi="Arial"/>
                <w:sz w:val="16"/>
                <w:szCs w:val="16"/>
                <w:color w:val="auto"/>
              </w:rPr>
              <w:t>Notional</w:t>
            </w:r>
          </w:p>
        </w:tc>
        <w:tc>
          <w:tcPr>
            <w:tcW w:w="10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3400" w:type="dxa"/>
            <w:vAlign w:val="bottom"/>
            <w:gridSpan w:val="2"/>
          </w:tcPr>
          <w:p>
            <w:pPr>
              <w:jc w:val="center"/>
              <w:ind w:left="1996"/>
              <w:spacing w:after="0"/>
              <w:rPr>
                <w:sz w:val="20"/>
                <w:szCs w:val="20"/>
                <w:color w:val="auto"/>
              </w:rPr>
            </w:pPr>
            <w:r>
              <w:rPr>
                <w:rFonts w:ascii="Arial" w:cs="Arial" w:eastAsia="Arial" w:hAnsi="Arial"/>
                <w:sz w:val="16"/>
                <w:szCs w:val="16"/>
                <w:color w:val="auto"/>
                <w:w w:val="99"/>
              </w:rPr>
              <w:t>Amount in</w:t>
            </w:r>
          </w:p>
        </w:tc>
        <w:tc>
          <w:tcPr>
            <w:tcW w:w="10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960" w:type="dxa"/>
            <w:vAlign w:val="bottom"/>
          </w:tcPr>
          <w:p>
            <w:pPr>
              <w:jc w:val="center"/>
              <w:ind w:right="273"/>
              <w:spacing w:after="0"/>
              <w:rPr>
                <w:sz w:val="20"/>
                <w:szCs w:val="20"/>
                <w:color w:val="auto"/>
              </w:rPr>
            </w:pPr>
            <w:r>
              <w:rPr>
                <w:rFonts w:ascii="Arial" w:cs="Arial" w:eastAsia="Arial" w:hAnsi="Arial"/>
                <w:sz w:val="16"/>
                <w:szCs w:val="16"/>
                <w:color w:val="auto"/>
              </w:rPr>
              <w:t>USD</w:t>
            </w:r>
          </w:p>
        </w:tc>
        <w:tc>
          <w:tcPr>
            <w:tcW w:w="1060" w:type="dxa"/>
            <w:vAlign w:val="bottom"/>
          </w:tcPr>
          <w:p>
            <w:pPr>
              <w:spacing w:after="0"/>
              <w:rPr>
                <w:sz w:val="16"/>
                <w:szCs w:val="16"/>
                <w:color w:val="auto"/>
              </w:rPr>
            </w:pPr>
          </w:p>
        </w:tc>
        <w:tc>
          <w:tcPr>
            <w:tcW w:w="1360" w:type="dxa"/>
            <w:vAlign w:val="bottom"/>
          </w:tcPr>
          <w:p>
            <w:pPr>
              <w:jc w:val="right"/>
              <w:ind w:right="273"/>
              <w:spacing w:after="0"/>
              <w:rPr>
                <w:sz w:val="20"/>
                <w:szCs w:val="20"/>
                <w:color w:val="auto"/>
              </w:rPr>
            </w:pPr>
            <w:r>
              <w:rPr>
                <w:rFonts w:ascii="Arial" w:cs="Arial" w:eastAsia="Arial" w:hAnsi="Arial"/>
                <w:sz w:val="16"/>
                <w:szCs w:val="16"/>
                <w:color w:val="auto"/>
              </w:rPr>
              <w:t>Expiration</w:t>
            </w:r>
          </w:p>
        </w:tc>
        <w:tc>
          <w:tcPr>
            <w:tcW w:w="860" w:type="dxa"/>
            <w:vAlign w:val="bottom"/>
            <w:gridSpan w:val="2"/>
          </w:tcPr>
          <w:p>
            <w:pPr>
              <w:ind w:left="260"/>
              <w:spacing w:after="0"/>
              <w:rPr>
                <w:sz w:val="20"/>
                <w:szCs w:val="20"/>
                <w:color w:val="auto"/>
              </w:rPr>
            </w:pPr>
            <w:r>
              <w:rPr>
                <w:rFonts w:ascii="Arial" w:cs="Arial" w:eastAsia="Arial" w:hAnsi="Arial"/>
                <w:sz w:val="16"/>
                <w:szCs w:val="16"/>
                <w:color w:val="auto"/>
              </w:rPr>
              <w:t>Fixed</w:t>
            </w:r>
          </w:p>
        </w:tc>
        <w:tc>
          <w:tcPr>
            <w:tcW w:w="0" w:type="dxa"/>
            <w:vAlign w:val="bottom"/>
          </w:tcPr>
          <w:p>
            <w:pPr>
              <w:spacing w:after="0"/>
              <w:rPr>
                <w:sz w:val="1"/>
                <w:szCs w:val="1"/>
                <w:color w:val="auto"/>
              </w:rPr>
            </w:pPr>
          </w:p>
        </w:tc>
      </w:tr>
      <w:tr>
        <w:trPr>
          <w:trHeight w:val="220"/>
        </w:trPr>
        <w:tc>
          <w:tcPr>
            <w:tcW w:w="3360" w:type="dxa"/>
            <w:vAlign w:val="bottom"/>
            <w:gridSpan w:val="2"/>
          </w:tcPr>
          <w:p>
            <w:pPr>
              <w:spacing w:after="0"/>
              <w:rPr>
                <w:sz w:val="20"/>
                <w:szCs w:val="20"/>
                <w:color w:val="auto"/>
              </w:rPr>
            </w:pPr>
            <w:r>
              <w:rPr>
                <w:rFonts w:ascii="Arial" w:cs="Arial" w:eastAsia="Arial" w:hAnsi="Arial"/>
                <w:sz w:val="16"/>
                <w:szCs w:val="16"/>
                <w:color w:val="auto"/>
              </w:rPr>
              <w:t>Currency</w:t>
            </w:r>
          </w:p>
        </w:tc>
        <w:tc>
          <w:tcPr>
            <w:tcW w:w="3400" w:type="dxa"/>
            <w:vAlign w:val="bottom"/>
            <w:gridSpan w:val="2"/>
          </w:tcPr>
          <w:p>
            <w:pPr>
              <w:jc w:val="center"/>
              <w:ind w:left="1996"/>
              <w:spacing w:after="0"/>
              <w:rPr>
                <w:sz w:val="20"/>
                <w:szCs w:val="20"/>
                <w:color w:val="auto"/>
              </w:rPr>
            </w:pPr>
            <w:r>
              <w:rPr>
                <w:rFonts w:ascii="Arial" w:cs="Arial" w:eastAsia="Arial" w:hAnsi="Arial"/>
                <w:sz w:val="16"/>
                <w:szCs w:val="16"/>
                <w:color w:val="auto"/>
              </w:rPr>
              <w:t>(In millions)</w:t>
            </w:r>
          </w:p>
        </w:tc>
        <w:tc>
          <w:tcPr>
            <w:tcW w:w="1060" w:type="dxa"/>
            <w:vAlign w:val="bottom"/>
          </w:tcPr>
          <w:p>
            <w:pPr>
              <w:ind w:left="300"/>
              <w:spacing w:after="0"/>
              <w:rPr>
                <w:sz w:val="20"/>
                <w:szCs w:val="20"/>
                <w:color w:val="auto"/>
              </w:rPr>
            </w:pPr>
            <w:r>
              <w:rPr>
                <w:rFonts w:ascii="Arial" w:cs="Arial" w:eastAsia="Arial" w:hAnsi="Arial"/>
                <w:sz w:val="16"/>
                <w:szCs w:val="16"/>
                <w:color w:val="auto"/>
              </w:rPr>
              <w:t>Term</w:t>
            </w:r>
          </w:p>
        </w:tc>
        <w:tc>
          <w:tcPr>
            <w:tcW w:w="1360" w:type="dxa"/>
            <w:vAlign w:val="bottom"/>
          </w:tcPr>
          <w:p>
            <w:pPr>
              <w:jc w:val="right"/>
              <w:ind w:right="473"/>
              <w:spacing w:after="0"/>
              <w:rPr>
                <w:sz w:val="20"/>
                <w:szCs w:val="20"/>
                <w:color w:val="auto"/>
              </w:rPr>
            </w:pPr>
            <w:r>
              <w:rPr>
                <w:rFonts w:ascii="Arial" w:cs="Arial" w:eastAsia="Arial" w:hAnsi="Arial"/>
                <w:sz w:val="16"/>
                <w:szCs w:val="16"/>
                <w:color w:val="auto"/>
              </w:rPr>
              <w:t>Date</w:t>
            </w:r>
          </w:p>
        </w:tc>
        <w:tc>
          <w:tcPr>
            <w:tcW w:w="860" w:type="dxa"/>
            <w:vAlign w:val="bottom"/>
            <w:gridSpan w:val="2"/>
          </w:tcPr>
          <w:p>
            <w:pPr>
              <w:ind w:left="280"/>
              <w:spacing w:after="0"/>
              <w:rPr>
                <w:sz w:val="20"/>
                <w:szCs w:val="20"/>
                <w:color w:val="auto"/>
              </w:rPr>
            </w:pPr>
            <w:r>
              <w:rPr>
                <w:rFonts w:ascii="Arial" w:cs="Arial" w:eastAsia="Arial" w:hAnsi="Arial"/>
                <w:sz w:val="16"/>
                <w:szCs w:val="16"/>
                <w:color w:val="auto"/>
              </w:rPr>
              <w:t>Rate</w:t>
            </w:r>
          </w:p>
        </w:tc>
        <w:tc>
          <w:tcPr>
            <w:tcW w:w="0" w:type="dxa"/>
            <w:vAlign w:val="bottom"/>
          </w:tcPr>
          <w:p>
            <w:pPr>
              <w:spacing w:after="0"/>
              <w:rPr>
                <w:sz w:val="1"/>
                <w:szCs w:val="1"/>
                <w:color w:val="auto"/>
              </w:rPr>
            </w:pPr>
          </w:p>
        </w:tc>
      </w:tr>
      <w:tr>
        <w:trPr>
          <w:trHeight w:val="49"/>
        </w:trPr>
        <w:tc>
          <w:tcPr>
            <w:tcW w:w="20" w:type="dxa"/>
            <w:vAlign w:val="bottom"/>
            <w:vMerge w:val="restart"/>
          </w:tcPr>
          <w:p>
            <w:pPr>
              <w:spacing w:after="0"/>
              <w:rPr>
                <w:sz w:val="4"/>
                <w:szCs w:val="4"/>
                <w:color w:val="auto"/>
              </w:rPr>
            </w:pPr>
          </w:p>
        </w:tc>
        <w:tc>
          <w:tcPr>
            <w:tcW w:w="3340" w:type="dxa"/>
            <w:vAlign w:val="bottom"/>
            <w:tcBorders>
              <w:top w:val="single" w:sz="8" w:color="auto"/>
            </w:tcBorders>
          </w:tcPr>
          <w:p>
            <w:pPr>
              <w:spacing w:after="0"/>
              <w:rPr>
                <w:sz w:val="4"/>
                <w:szCs w:val="4"/>
                <w:color w:val="auto"/>
              </w:rPr>
            </w:pPr>
          </w:p>
        </w:tc>
        <w:tc>
          <w:tcPr>
            <w:tcW w:w="2440" w:type="dxa"/>
            <w:vAlign w:val="bottom"/>
            <w:tcBorders>
              <w:top w:val="single" w:sz="8" w:color="auto"/>
            </w:tcBorders>
          </w:tcPr>
          <w:p>
            <w:pPr>
              <w:spacing w:after="0"/>
              <w:rPr>
                <w:sz w:val="4"/>
                <w:szCs w:val="4"/>
                <w:color w:val="auto"/>
              </w:rPr>
            </w:pPr>
          </w:p>
        </w:tc>
        <w:tc>
          <w:tcPr>
            <w:tcW w:w="960" w:type="dxa"/>
            <w:vAlign w:val="bottom"/>
            <w:tcBorders>
              <w:top w:val="single" w:sz="8" w:color="auto"/>
            </w:tcBorders>
          </w:tcPr>
          <w:p>
            <w:pPr>
              <w:spacing w:after="0"/>
              <w:rPr>
                <w:sz w:val="4"/>
                <w:szCs w:val="4"/>
                <w:color w:val="auto"/>
              </w:rPr>
            </w:pPr>
          </w:p>
        </w:tc>
        <w:tc>
          <w:tcPr>
            <w:tcW w:w="1060" w:type="dxa"/>
            <w:vAlign w:val="bottom"/>
            <w:tcBorders>
              <w:top w:val="single" w:sz="8" w:color="auto"/>
            </w:tcBorders>
          </w:tcPr>
          <w:p>
            <w:pPr>
              <w:spacing w:after="0"/>
              <w:rPr>
                <w:sz w:val="4"/>
                <w:szCs w:val="4"/>
                <w:color w:val="auto"/>
              </w:rPr>
            </w:pPr>
          </w:p>
        </w:tc>
        <w:tc>
          <w:tcPr>
            <w:tcW w:w="136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British pound</w:t>
            </w:r>
          </w:p>
        </w:tc>
        <w:tc>
          <w:tcPr>
            <w:tcW w:w="2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53"/>
              <w:spacing w:after="0" w:line="202" w:lineRule="exact"/>
              <w:rPr>
                <w:sz w:val="20"/>
                <w:szCs w:val="20"/>
                <w:color w:val="auto"/>
              </w:rPr>
            </w:pPr>
            <w:r>
              <w:rPr>
                <w:rFonts w:ascii="Arial" w:cs="Arial" w:eastAsia="Arial" w:hAnsi="Arial"/>
                <w:sz w:val="18"/>
                <w:szCs w:val="18"/>
                <w:color w:val="auto"/>
              </w:rPr>
              <w:t>51.2</w:t>
            </w:r>
          </w:p>
        </w:tc>
        <w:tc>
          <w:tcPr>
            <w:tcW w:w="106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3 years</w:t>
            </w:r>
          </w:p>
        </w:tc>
        <w:tc>
          <w:tcPr>
            <w:tcW w:w="1360" w:type="dxa"/>
            <w:vAlign w:val="bottom"/>
            <w:shd w:val="clear" w:color="auto" w:fill="CCEEFF"/>
          </w:tcPr>
          <w:p>
            <w:pPr>
              <w:jc w:val="right"/>
              <w:ind w:right="133"/>
              <w:spacing w:after="0" w:line="202" w:lineRule="exact"/>
              <w:rPr>
                <w:sz w:val="20"/>
                <w:szCs w:val="20"/>
                <w:color w:val="auto"/>
              </w:rPr>
            </w:pPr>
            <w:r>
              <w:rPr>
                <w:rFonts w:ascii="Arial" w:cs="Arial" w:eastAsia="Arial" w:hAnsi="Arial"/>
                <w:sz w:val="18"/>
                <w:szCs w:val="18"/>
                <w:color w:val="auto"/>
              </w:rPr>
              <w:t>11/17/2008</w:t>
            </w:r>
          </w:p>
        </w:tc>
        <w:tc>
          <w:tcPr>
            <w:tcW w:w="76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w w:val="97"/>
              </w:rPr>
              <w:t>4.76%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tcPr>
          <w:p>
            <w:pPr>
              <w:spacing w:after="0" w:line="202" w:lineRule="exact"/>
              <w:rPr>
                <w:sz w:val="20"/>
                <w:szCs w:val="20"/>
                <w:color w:val="auto"/>
              </w:rPr>
            </w:pPr>
            <w:r>
              <w:rPr>
                <w:rFonts w:ascii="Arial" w:cs="Arial" w:eastAsia="Arial" w:hAnsi="Arial"/>
                <w:sz w:val="18"/>
                <w:szCs w:val="18"/>
                <w:color w:val="auto"/>
              </w:rPr>
              <w:t>Euro</w:t>
            </w:r>
          </w:p>
        </w:tc>
        <w:tc>
          <w:tcPr>
            <w:tcW w:w="2440" w:type="dxa"/>
            <w:vAlign w:val="bottom"/>
          </w:tcPr>
          <w:p>
            <w:pPr>
              <w:spacing w:after="0"/>
              <w:rPr>
                <w:sz w:val="17"/>
                <w:szCs w:val="17"/>
                <w:color w:val="auto"/>
              </w:rPr>
            </w:pPr>
          </w:p>
        </w:tc>
        <w:tc>
          <w:tcPr>
            <w:tcW w:w="96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60.2</w:t>
            </w:r>
          </w:p>
        </w:tc>
        <w:tc>
          <w:tcPr>
            <w:tcW w:w="1060" w:type="dxa"/>
            <w:vAlign w:val="bottom"/>
          </w:tcPr>
          <w:p>
            <w:pPr>
              <w:ind w:left="240"/>
              <w:spacing w:after="0" w:line="202" w:lineRule="exact"/>
              <w:rPr>
                <w:sz w:val="20"/>
                <w:szCs w:val="20"/>
                <w:color w:val="auto"/>
              </w:rPr>
            </w:pPr>
            <w:r>
              <w:rPr>
                <w:rFonts w:ascii="Arial" w:cs="Arial" w:eastAsia="Arial" w:hAnsi="Arial"/>
                <w:sz w:val="18"/>
                <w:szCs w:val="18"/>
                <w:color w:val="auto"/>
              </w:rPr>
              <w:t>3 years</w:t>
            </w:r>
          </w:p>
        </w:tc>
        <w:tc>
          <w:tcPr>
            <w:tcW w:w="136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11/17/2008</w:t>
            </w:r>
          </w:p>
        </w:tc>
        <w:tc>
          <w:tcPr>
            <w:tcW w:w="760" w:type="dxa"/>
            <w:vAlign w:val="bottom"/>
          </w:tcPr>
          <w:p>
            <w:pPr>
              <w:ind w:left="240"/>
              <w:spacing w:after="0" w:line="202" w:lineRule="exact"/>
              <w:rPr>
                <w:sz w:val="20"/>
                <w:szCs w:val="20"/>
                <w:color w:val="auto"/>
              </w:rPr>
            </w:pPr>
            <w:r>
              <w:rPr>
                <w:rFonts w:ascii="Arial" w:cs="Arial" w:eastAsia="Arial" w:hAnsi="Arial"/>
                <w:sz w:val="18"/>
                <w:szCs w:val="18"/>
                <w:color w:val="auto"/>
                <w:w w:val="97"/>
              </w:rPr>
              <w:t>2.98%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U.S. dollar</w:t>
            </w:r>
          </w:p>
        </w:tc>
        <w:tc>
          <w:tcPr>
            <w:tcW w:w="24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53"/>
              <w:spacing w:after="0" w:line="202" w:lineRule="exact"/>
              <w:rPr>
                <w:sz w:val="20"/>
                <w:szCs w:val="20"/>
                <w:color w:val="auto"/>
              </w:rPr>
            </w:pPr>
            <w:r>
              <w:rPr>
                <w:rFonts w:ascii="Arial" w:cs="Arial" w:eastAsia="Arial" w:hAnsi="Arial"/>
                <w:sz w:val="18"/>
                <w:szCs w:val="18"/>
                <w:color w:val="auto"/>
              </w:rPr>
              <w:t>200.0</w:t>
            </w:r>
          </w:p>
        </w:tc>
        <w:tc>
          <w:tcPr>
            <w:tcW w:w="106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2 years</w:t>
            </w:r>
          </w:p>
        </w:tc>
        <w:tc>
          <w:tcPr>
            <w:tcW w:w="1360" w:type="dxa"/>
            <w:vAlign w:val="bottom"/>
            <w:shd w:val="clear" w:color="auto" w:fill="CCEEFF"/>
          </w:tcPr>
          <w:p>
            <w:pPr>
              <w:jc w:val="right"/>
              <w:ind w:right="133"/>
              <w:spacing w:after="0" w:line="202" w:lineRule="exact"/>
              <w:rPr>
                <w:sz w:val="20"/>
                <w:szCs w:val="20"/>
                <w:color w:val="auto"/>
              </w:rPr>
            </w:pPr>
            <w:r>
              <w:rPr>
                <w:rFonts w:ascii="Arial" w:cs="Arial" w:eastAsia="Arial" w:hAnsi="Arial"/>
                <w:sz w:val="18"/>
                <w:szCs w:val="18"/>
                <w:color w:val="auto"/>
              </w:rPr>
              <w:t>3/31/2009</w:t>
            </w:r>
          </w:p>
        </w:tc>
        <w:tc>
          <w:tcPr>
            <w:tcW w:w="76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w w:val="97"/>
              </w:rPr>
              <w:t>4.90%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tcPr>
          <w:p>
            <w:pPr>
              <w:spacing w:after="0" w:line="202" w:lineRule="exact"/>
              <w:rPr>
                <w:sz w:val="20"/>
                <w:szCs w:val="20"/>
                <w:color w:val="auto"/>
              </w:rPr>
            </w:pPr>
            <w:r>
              <w:rPr>
                <w:rFonts w:ascii="Arial" w:cs="Arial" w:eastAsia="Arial" w:hAnsi="Arial"/>
                <w:sz w:val="18"/>
                <w:szCs w:val="18"/>
                <w:color w:val="auto"/>
              </w:rPr>
              <w:t>U.S. dollar</w:t>
            </w:r>
          </w:p>
        </w:tc>
        <w:tc>
          <w:tcPr>
            <w:tcW w:w="2440" w:type="dxa"/>
            <w:vAlign w:val="bottom"/>
          </w:tcPr>
          <w:p>
            <w:pPr>
              <w:spacing w:after="0"/>
              <w:rPr>
                <w:sz w:val="17"/>
                <w:szCs w:val="17"/>
                <w:color w:val="auto"/>
              </w:rPr>
            </w:pPr>
          </w:p>
        </w:tc>
        <w:tc>
          <w:tcPr>
            <w:tcW w:w="96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200.0</w:t>
            </w:r>
          </w:p>
        </w:tc>
        <w:tc>
          <w:tcPr>
            <w:tcW w:w="1060" w:type="dxa"/>
            <w:vAlign w:val="bottom"/>
          </w:tcPr>
          <w:p>
            <w:pPr>
              <w:ind w:left="240"/>
              <w:spacing w:after="0" w:line="202" w:lineRule="exact"/>
              <w:rPr>
                <w:sz w:val="20"/>
                <w:szCs w:val="20"/>
                <w:color w:val="auto"/>
              </w:rPr>
            </w:pPr>
            <w:r>
              <w:rPr>
                <w:rFonts w:ascii="Arial" w:cs="Arial" w:eastAsia="Arial" w:hAnsi="Arial"/>
                <w:sz w:val="18"/>
                <w:szCs w:val="18"/>
                <w:color w:val="auto"/>
              </w:rPr>
              <w:t>3 years</w:t>
            </w:r>
          </w:p>
        </w:tc>
        <w:tc>
          <w:tcPr>
            <w:tcW w:w="136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3/30/2010</w:t>
            </w:r>
          </w:p>
        </w:tc>
        <w:tc>
          <w:tcPr>
            <w:tcW w:w="760" w:type="dxa"/>
            <w:vAlign w:val="bottom"/>
          </w:tcPr>
          <w:p>
            <w:pPr>
              <w:ind w:left="240"/>
              <w:spacing w:after="0" w:line="202" w:lineRule="exact"/>
              <w:rPr>
                <w:sz w:val="20"/>
                <w:szCs w:val="20"/>
                <w:color w:val="auto"/>
              </w:rPr>
            </w:pPr>
            <w:r>
              <w:rPr>
                <w:rFonts w:ascii="Arial" w:cs="Arial" w:eastAsia="Arial" w:hAnsi="Arial"/>
                <w:sz w:val="18"/>
                <w:szCs w:val="18"/>
                <w:color w:val="auto"/>
                <w:w w:val="97"/>
              </w:rPr>
              <w:t>4.87%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U.S. dollar</w:t>
            </w:r>
          </w:p>
        </w:tc>
        <w:tc>
          <w:tcPr>
            <w:tcW w:w="24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53"/>
              <w:spacing w:after="0" w:line="202" w:lineRule="exact"/>
              <w:rPr>
                <w:sz w:val="20"/>
                <w:szCs w:val="20"/>
                <w:color w:val="auto"/>
              </w:rPr>
            </w:pPr>
            <w:r>
              <w:rPr>
                <w:rFonts w:ascii="Arial" w:cs="Arial" w:eastAsia="Arial" w:hAnsi="Arial"/>
                <w:sz w:val="18"/>
                <w:szCs w:val="18"/>
                <w:color w:val="auto"/>
              </w:rPr>
              <w:t>200.0</w:t>
            </w:r>
          </w:p>
        </w:tc>
        <w:tc>
          <w:tcPr>
            <w:tcW w:w="106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5 years</w:t>
            </w:r>
          </w:p>
        </w:tc>
        <w:tc>
          <w:tcPr>
            <w:tcW w:w="1360" w:type="dxa"/>
            <w:vAlign w:val="bottom"/>
            <w:shd w:val="clear" w:color="auto" w:fill="CCEEFF"/>
          </w:tcPr>
          <w:p>
            <w:pPr>
              <w:jc w:val="right"/>
              <w:ind w:right="133"/>
              <w:spacing w:after="0" w:line="202" w:lineRule="exact"/>
              <w:rPr>
                <w:sz w:val="20"/>
                <w:szCs w:val="20"/>
                <w:color w:val="auto"/>
              </w:rPr>
            </w:pPr>
            <w:r>
              <w:rPr>
                <w:rFonts w:ascii="Arial" w:cs="Arial" w:eastAsia="Arial" w:hAnsi="Arial"/>
                <w:sz w:val="18"/>
                <w:szCs w:val="18"/>
                <w:color w:val="auto"/>
              </w:rPr>
              <w:t>2/14/2012</w:t>
            </w:r>
          </w:p>
        </w:tc>
        <w:tc>
          <w:tcPr>
            <w:tcW w:w="76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w w:val="97"/>
              </w:rPr>
              <w:t>5.20%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700" w:right="160" w:firstLine="402"/>
        <w:spacing w:after="0" w:line="241" w:lineRule="auto"/>
        <w:rPr>
          <w:sz w:val="20"/>
          <w:szCs w:val="20"/>
          <w:color w:val="auto"/>
        </w:rPr>
      </w:pPr>
      <w:r>
        <w:rPr>
          <w:rFonts w:ascii="Arial" w:cs="Arial" w:eastAsia="Arial" w:hAnsi="Arial"/>
          <w:sz w:val="18"/>
          <w:szCs w:val="18"/>
          <w:color w:val="auto"/>
        </w:rPr>
        <w:t>Our primary sources of liquidity are cash generated by operations and borrowings under our credit facilities. As of September 30, 2008, there was $1.19 billion of availability under our credit facilities and we were in compliance with all debt covenants. Our credit facilities contain, among other obligations, an affirmative covenant regarding the Company’s leverage ratio, calculated as indebtedness relative to our earnings before taxes, depreciation and amortization. Under the terms of the credit facilities, the permissible leverage ratio is 4.25 as of September 30, 2008, which is scheduled to decrease to 3.75 on September 30, 2009. Management continues to monitor the Company’s compliance with the leverage ratio and other covenants contained in the credit facilities and, based upon the Company’s current operating</w:t>
      </w:r>
    </w:p>
    <w:p>
      <w:pPr>
        <w:spacing w:after="0" w:line="11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1"/>
          <w:szCs w:val="11"/>
          <w:b w:val="1"/>
          <w:bCs w:val="1"/>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-78105</wp:posOffset>
            </wp:positionV>
            <wp:extent cx="19748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240" w:top="415" w:right="91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hyperlink w:anchor="page6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700" w:right="40"/>
        <w:spacing w:after="0" w:line="243" w:lineRule="auto"/>
        <w:rPr>
          <w:sz w:val="20"/>
          <w:szCs w:val="20"/>
          <w:color w:val="auto"/>
        </w:rPr>
      </w:pPr>
      <w:r>
        <w:rPr>
          <w:rFonts w:ascii="Arial" w:cs="Arial" w:eastAsia="Arial" w:hAnsi="Arial"/>
          <w:sz w:val="18"/>
          <w:szCs w:val="18"/>
          <w:color w:val="auto"/>
        </w:rPr>
        <w:t>assumptions, the Company expects to remain in compliance with the permissible leverage ratio throughout fiscal 2009. However, an unanticipated charge to earnings or an increase in debt could materially affect our ability to remain in compliance with the financial covenants of our credit facilities, potentially causing us to have to seek an amendment or waiver from our lending group. While we believe we have good relationships with our banking group, given the adverse conditions currently present in the global credit markets, we can provide no assurance that such a request would be likely to result in a modified or replacement credit facility on reasonable terms, if at all.</w:t>
      </w:r>
    </w:p>
    <w:p>
      <w:pPr>
        <w:spacing w:after="0" w:line="194"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Judicial and Administrative Proceedings</w:t>
      </w:r>
    </w:p>
    <w:p>
      <w:pPr>
        <w:spacing w:after="0" w:line="120" w:lineRule="exact"/>
        <w:rPr>
          <w:sz w:val="20"/>
          <w:szCs w:val="20"/>
          <w:color w:val="auto"/>
        </w:rPr>
      </w:pPr>
    </w:p>
    <w:p>
      <w:pPr>
        <w:ind w:left="700" w:right="40" w:firstLine="402"/>
        <w:spacing w:after="0"/>
        <w:rPr>
          <w:sz w:val="20"/>
          <w:szCs w:val="20"/>
          <w:color w:val="auto"/>
        </w:rPr>
      </w:pPr>
      <w:r>
        <w:rPr>
          <w:rFonts w:ascii="Arial" w:cs="Arial" w:eastAsia="Arial" w:hAnsi="Arial"/>
          <w:sz w:val="18"/>
          <w:szCs w:val="18"/>
          <w:color w:val="auto"/>
        </w:rPr>
        <w:t>We are party to various pending judicial and administrative proceedings arising in the ordinary course of business. These include, among others, proceedings based on accidents or product liability claims and alleged violations of environmental laws. We have reviewed our pending environmental and legal proceedings, including the probable outcomes, reasonably anticipated costs and expenses, and the availability and limits of our insurance coverage and have established what we believe to be appropriate reserves. Apart from the proceedings surrounding the FIFRA compliance matters, which are discussed separately, we do not believe that any liabilities that may result from pending judicial and administrative proceedings are reasonably likely to have a material adverse effect on our liquidity, financial condition or results of operations; however, there can be no assurance that future quarterly or annual operating results will not be materially affected by final resolution of these matters.</w:t>
      </w:r>
    </w:p>
    <w:p>
      <w:pPr>
        <w:spacing w:after="0" w:line="197"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Contractual Obligations and Off-Balance Sheet Arrangements</w:t>
      </w:r>
    </w:p>
    <w:p>
      <w:pPr>
        <w:spacing w:after="0" w:line="120" w:lineRule="exact"/>
        <w:rPr>
          <w:sz w:val="20"/>
          <w:szCs w:val="20"/>
          <w:color w:val="auto"/>
        </w:rPr>
      </w:pPr>
    </w:p>
    <w:p>
      <w:pPr>
        <w:ind w:left="700" w:right="700" w:firstLine="402"/>
        <w:spacing w:after="0" w:line="276" w:lineRule="auto"/>
        <w:rPr>
          <w:sz w:val="20"/>
          <w:szCs w:val="20"/>
          <w:color w:val="auto"/>
        </w:rPr>
      </w:pPr>
      <w:r>
        <w:rPr>
          <w:rFonts w:ascii="Arial" w:cs="Arial" w:eastAsia="Arial" w:hAnsi="Arial"/>
          <w:sz w:val="18"/>
          <w:szCs w:val="18"/>
          <w:color w:val="auto"/>
        </w:rPr>
        <w:t>The following table summarizes our future cash outflows for contractual obligations as of September 30, 2008 (in millions):</w:t>
      </w:r>
    </w:p>
    <w:p>
      <w:pPr>
        <w:spacing w:after="0" w:line="69"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8"/>
          </w:tcPr>
          <w:p>
            <w:pPr>
              <w:ind w:left="120"/>
              <w:spacing w:after="0"/>
              <w:rPr>
                <w:sz w:val="20"/>
                <w:szCs w:val="20"/>
                <w:color w:val="auto"/>
              </w:rPr>
            </w:pPr>
            <w:r>
              <w:rPr>
                <w:rFonts w:ascii="Arial" w:cs="Arial" w:eastAsia="Arial" w:hAnsi="Arial"/>
                <w:sz w:val="16"/>
                <w:szCs w:val="16"/>
                <w:color w:val="auto"/>
              </w:rPr>
              <w:t>Payments Due by Period</w:t>
            </w: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2"/>
          </w:tcPr>
          <w:p>
            <w:pPr>
              <w:spacing w:after="0" w:line="165" w:lineRule="exact"/>
              <w:rPr>
                <w:sz w:val="20"/>
                <w:szCs w:val="20"/>
                <w:color w:val="auto"/>
              </w:rPr>
            </w:pPr>
            <w:r>
              <w:rPr>
                <w:rFonts w:ascii="Arial" w:cs="Arial" w:eastAsia="Arial" w:hAnsi="Arial"/>
                <w:sz w:val="16"/>
                <w:szCs w:val="16"/>
                <w:color w:val="auto"/>
                <w:w w:val="99"/>
              </w:rPr>
              <w:t>More than</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3900" w:type="dxa"/>
            <w:vAlign w:val="bottom"/>
            <w:gridSpan w:val="2"/>
          </w:tcPr>
          <w:p>
            <w:pPr>
              <w:spacing w:after="0"/>
              <w:rPr>
                <w:sz w:val="20"/>
                <w:szCs w:val="20"/>
                <w:color w:val="auto"/>
              </w:rPr>
            </w:pPr>
            <w:r>
              <w:rPr>
                <w:rFonts w:ascii="Arial" w:cs="Arial" w:eastAsia="Arial" w:hAnsi="Arial"/>
                <w:sz w:val="16"/>
                <w:szCs w:val="16"/>
                <w:color w:val="auto"/>
              </w:rPr>
              <w:t>Contractual Cash Obligations</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6"/>
                <w:szCs w:val="16"/>
                <w:color w:val="auto"/>
              </w:rPr>
              <w:t>Total</w:t>
            </w:r>
          </w:p>
        </w:tc>
        <w:tc>
          <w:tcPr>
            <w:tcW w:w="180" w:type="dxa"/>
            <w:vAlign w:val="bottom"/>
          </w:tcPr>
          <w:p>
            <w:pPr>
              <w:spacing w:after="0"/>
              <w:rPr>
                <w:sz w:val="19"/>
                <w:szCs w:val="19"/>
                <w:color w:val="auto"/>
              </w:rPr>
            </w:pPr>
          </w:p>
        </w:tc>
        <w:tc>
          <w:tcPr>
            <w:tcW w:w="1200" w:type="dxa"/>
            <w:vAlign w:val="bottom"/>
            <w:gridSpan w:val="2"/>
          </w:tcPr>
          <w:p>
            <w:pPr>
              <w:spacing w:after="0"/>
              <w:rPr>
                <w:sz w:val="20"/>
                <w:szCs w:val="20"/>
                <w:color w:val="auto"/>
              </w:rPr>
            </w:pPr>
            <w:r>
              <w:rPr>
                <w:rFonts w:ascii="Arial" w:cs="Arial" w:eastAsia="Arial" w:hAnsi="Arial"/>
                <w:sz w:val="16"/>
                <w:szCs w:val="16"/>
                <w:color w:val="auto"/>
                <w:w w:val="99"/>
              </w:rPr>
              <w:t>Less than 1 year</w:t>
            </w:r>
          </w:p>
        </w:tc>
        <w:tc>
          <w:tcPr>
            <w:tcW w:w="1260" w:type="dxa"/>
            <w:vAlign w:val="bottom"/>
            <w:gridSpan w:val="4"/>
          </w:tcPr>
          <w:p>
            <w:pPr>
              <w:ind w:left="380"/>
              <w:spacing w:after="0"/>
              <w:rPr>
                <w:sz w:val="20"/>
                <w:szCs w:val="20"/>
                <w:color w:val="auto"/>
              </w:rPr>
            </w:pPr>
            <w:r>
              <w:rPr>
                <w:rFonts w:ascii="Arial" w:cs="Arial" w:eastAsia="Arial" w:hAnsi="Arial"/>
                <w:sz w:val="16"/>
                <w:szCs w:val="16"/>
                <w:color w:val="auto"/>
              </w:rPr>
              <w:t>1-3 years</w:t>
            </w:r>
          </w:p>
        </w:tc>
        <w:tc>
          <w:tcPr>
            <w:tcW w:w="1040" w:type="dxa"/>
            <w:vAlign w:val="bottom"/>
            <w:gridSpan w:val="4"/>
          </w:tcPr>
          <w:p>
            <w:pPr>
              <w:ind w:left="180"/>
              <w:spacing w:after="0"/>
              <w:rPr>
                <w:sz w:val="20"/>
                <w:szCs w:val="20"/>
                <w:color w:val="auto"/>
              </w:rPr>
            </w:pPr>
            <w:r>
              <w:rPr>
                <w:rFonts w:ascii="Arial" w:cs="Arial" w:eastAsia="Arial" w:hAnsi="Arial"/>
                <w:sz w:val="16"/>
                <w:szCs w:val="16"/>
                <w:color w:val="auto"/>
              </w:rPr>
              <w:t>4-5 years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spacing w:after="0"/>
              <w:rPr>
                <w:sz w:val="20"/>
                <w:szCs w:val="20"/>
                <w:color w:val="auto"/>
              </w:rPr>
            </w:pPr>
            <w:r>
              <w:rPr>
                <w:rFonts w:ascii="Arial" w:cs="Arial" w:eastAsia="Arial" w:hAnsi="Arial"/>
                <w:sz w:val="16"/>
                <w:szCs w:val="16"/>
                <w:color w:val="auto"/>
              </w:rPr>
              <w:t>5 years</w:t>
            </w:r>
          </w:p>
        </w:tc>
        <w:tc>
          <w:tcPr>
            <w:tcW w:w="0" w:type="dxa"/>
            <w:vAlign w:val="bottom"/>
          </w:tcPr>
          <w:p>
            <w:pPr>
              <w:spacing w:after="0"/>
              <w:rPr>
                <w:sz w:val="1"/>
                <w:szCs w:val="1"/>
                <w:color w:val="auto"/>
              </w:rPr>
            </w:pPr>
          </w:p>
        </w:tc>
      </w:tr>
      <w:tr>
        <w:trPr>
          <w:trHeight w:val="49"/>
        </w:trPr>
        <w:tc>
          <w:tcPr>
            <w:tcW w:w="20" w:type="dxa"/>
            <w:vAlign w:val="bottom"/>
            <w:vMerge w:val="restart"/>
          </w:tcPr>
          <w:p>
            <w:pPr>
              <w:spacing w:after="0"/>
              <w:rPr>
                <w:sz w:val="4"/>
                <w:szCs w:val="4"/>
                <w:color w:val="auto"/>
              </w:rPr>
            </w:pPr>
          </w:p>
        </w:tc>
        <w:tc>
          <w:tcPr>
            <w:tcW w:w="388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Debt obligations</w:t>
            </w:r>
          </w:p>
        </w:tc>
        <w:tc>
          <w:tcPr>
            <w:tcW w:w="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999.5</w:t>
            </w:r>
          </w:p>
        </w:tc>
        <w:tc>
          <w:tcPr>
            <w:tcW w:w="2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150.0</w:t>
            </w:r>
          </w:p>
        </w:tc>
        <w:tc>
          <w:tcPr>
            <w:tcW w:w="54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349.4</w:t>
            </w:r>
          </w:p>
        </w:tc>
        <w:tc>
          <w:tcPr>
            <w:tcW w:w="2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496.6</w:t>
            </w:r>
          </w:p>
        </w:tc>
        <w:tc>
          <w:tcPr>
            <w:tcW w:w="180" w:type="dxa"/>
            <w:vAlign w:val="bottom"/>
            <w:shd w:val="clear" w:color="auto" w:fill="CCEEFF"/>
          </w:tcPr>
          <w:p>
            <w:pPr>
              <w:spacing w:after="0"/>
              <w:rPr>
                <w:sz w:val="17"/>
                <w:szCs w:val="17"/>
                <w:color w:val="auto"/>
              </w:rPr>
            </w:pPr>
          </w:p>
        </w:tc>
        <w:tc>
          <w:tcPr>
            <w:tcW w:w="30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80" w:type="dxa"/>
            <w:vAlign w:val="bottom"/>
          </w:tcPr>
          <w:p>
            <w:pPr>
              <w:spacing w:after="0" w:line="202" w:lineRule="exact"/>
              <w:rPr>
                <w:sz w:val="20"/>
                <w:szCs w:val="20"/>
                <w:color w:val="auto"/>
              </w:rPr>
            </w:pPr>
            <w:r>
              <w:rPr>
                <w:rFonts w:ascii="Arial" w:cs="Arial" w:eastAsia="Arial" w:hAnsi="Arial"/>
                <w:sz w:val="18"/>
                <w:szCs w:val="18"/>
                <w:color w:val="auto"/>
              </w:rPr>
              <w:t>Operating lease obligations</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192.2</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39.0</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63.9</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44.7</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44.6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Purchase obligations</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597.3</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299.8</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229.0</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68.5</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Pr>
          <w:p>
            <w:pPr>
              <w:spacing w:after="0" w:line="202" w:lineRule="exact"/>
              <w:rPr>
                <w:sz w:val="20"/>
                <w:szCs w:val="20"/>
                <w:color w:val="auto"/>
              </w:rPr>
            </w:pPr>
            <w:r>
              <w:rPr>
                <w:rFonts w:ascii="Arial" w:cs="Arial" w:eastAsia="Arial" w:hAnsi="Arial"/>
                <w:sz w:val="18"/>
                <w:szCs w:val="18"/>
                <w:color w:val="auto"/>
              </w:rPr>
              <w:t>Other, primarily retirement plan obligations</w:t>
            </w:r>
          </w:p>
        </w:tc>
        <w:tc>
          <w:tcPr>
            <w:tcW w:w="5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47.2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12.3</w:t>
            </w:r>
          </w:p>
        </w:tc>
        <w:tc>
          <w:tcPr>
            <w:tcW w:w="3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contractual cash obligations</w:t>
            </w:r>
          </w:p>
        </w:tc>
        <w:tc>
          <w:tcPr>
            <w:tcW w:w="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8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w w:val="96"/>
              </w:rPr>
              <w:t>1,836.2</w:t>
            </w:r>
          </w:p>
        </w:tc>
        <w:tc>
          <w:tcPr>
            <w:tcW w:w="62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501.1</w:t>
            </w:r>
          </w:p>
        </w:tc>
        <w:tc>
          <w:tcPr>
            <w:tcW w:w="54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649.6</w:t>
            </w:r>
          </w:p>
        </w:tc>
        <w:tc>
          <w:tcPr>
            <w:tcW w:w="2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617.5</w:t>
            </w:r>
          </w:p>
        </w:tc>
        <w:tc>
          <w:tcPr>
            <w:tcW w:w="180" w:type="dxa"/>
            <w:vAlign w:val="bottom"/>
            <w:shd w:val="clear" w:color="auto" w:fill="CCEEFF"/>
          </w:tcPr>
          <w:p>
            <w:pPr>
              <w:spacing w:after="0"/>
              <w:rPr>
                <w:sz w:val="17"/>
                <w:szCs w:val="17"/>
                <w:color w:val="auto"/>
              </w:rPr>
            </w:pPr>
          </w:p>
        </w:tc>
        <w:tc>
          <w:tcPr>
            <w:tcW w:w="30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ind w:left="700" w:right="40" w:firstLine="402"/>
        <w:spacing w:after="0" w:line="248" w:lineRule="auto"/>
        <w:rPr>
          <w:sz w:val="20"/>
          <w:szCs w:val="20"/>
          <w:color w:val="auto"/>
        </w:rPr>
      </w:pPr>
      <w:r>
        <w:rPr>
          <w:rFonts w:ascii="Arial" w:cs="Arial" w:eastAsia="Arial" w:hAnsi="Arial"/>
          <w:sz w:val="18"/>
          <w:szCs w:val="18"/>
          <w:color w:val="auto"/>
        </w:rPr>
        <w:t>Purchase obligations primarily represent commitments for materials used in the Company’s manufacturing processes, as well as commitments for warehouse services, seed and out-sourced information services which comprise the unconditional purchase obligations disclosed in “NOTE 17. COMMITMENTS” to the Consolidated Financial Statements included in this Annual Report on Form 10-K.</w:t>
      </w:r>
    </w:p>
    <w:p>
      <w:pPr>
        <w:spacing w:after="0" w:line="76" w:lineRule="exact"/>
        <w:rPr>
          <w:sz w:val="20"/>
          <w:szCs w:val="20"/>
          <w:color w:val="auto"/>
        </w:rPr>
      </w:pPr>
    </w:p>
    <w:p>
      <w:pPr>
        <w:jc w:val="center"/>
        <w:ind w:left="620" w:right="320"/>
        <w:spacing w:after="0" w:line="277" w:lineRule="auto"/>
        <w:rPr>
          <w:sz w:val="20"/>
          <w:szCs w:val="20"/>
          <w:color w:val="auto"/>
        </w:rPr>
      </w:pPr>
      <w:r>
        <w:rPr>
          <w:rFonts w:ascii="Arial" w:cs="Arial" w:eastAsia="Arial" w:hAnsi="Arial"/>
          <w:sz w:val="17"/>
          <w:szCs w:val="17"/>
          <w:color w:val="auto"/>
        </w:rPr>
        <w:t>Other includes actuarially determined retiree benefit payments and pension funding to comply with local funding requirements. Pension funding requirements beyond fiscal 2009 are not currently determinable. The above table excludes interest payments and insurance accruals as the Company is unable to estimate the timing of the payment for these items.</w:t>
      </w:r>
    </w:p>
    <w:p>
      <w:pPr>
        <w:spacing w:after="0" w:line="5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Company has no off-balance sheet financing arrangements.</w:t>
      </w:r>
    </w:p>
    <w:p>
      <w:pPr>
        <w:spacing w:after="0" w:line="117" w:lineRule="exact"/>
        <w:rPr>
          <w:sz w:val="20"/>
          <w:szCs w:val="20"/>
          <w:color w:val="auto"/>
        </w:rPr>
      </w:pPr>
    </w:p>
    <w:p>
      <w:pPr>
        <w:ind w:left="700" w:right="200" w:firstLine="402"/>
        <w:spacing w:after="0" w:line="245" w:lineRule="auto"/>
        <w:rPr>
          <w:sz w:val="20"/>
          <w:szCs w:val="20"/>
          <w:color w:val="auto"/>
        </w:rPr>
      </w:pPr>
      <w:r>
        <w:rPr>
          <w:rFonts w:ascii="Arial" w:cs="Arial" w:eastAsia="Arial" w:hAnsi="Arial"/>
          <w:sz w:val="18"/>
          <w:szCs w:val="18"/>
          <w:color w:val="auto"/>
        </w:rPr>
        <w:t>In our opinion, cash flows from operations and capital resources will be sufficient to meet debt service and working capital needs during fiscal 2009, and thereafter for the foreseeable future. However, we cannot ensure that our business will generate sufficient cash flow from operations or that future borrowings will be available under our credit facilities in amounts sufficient to pay indebtedness or fund other liquidity needs. Actual results of operations will depend on numerous factors, many of which are beyond our control.</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Regulatory Matters</w:t>
      </w:r>
    </w:p>
    <w:p>
      <w:pPr>
        <w:spacing w:after="0" w:line="124" w:lineRule="exact"/>
        <w:rPr>
          <w:sz w:val="20"/>
          <w:szCs w:val="20"/>
          <w:color w:val="auto"/>
        </w:rPr>
      </w:pPr>
    </w:p>
    <w:p>
      <w:pPr>
        <w:ind w:left="700" w:right="280" w:firstLine="402"/>
        <w:spacing w:after="0" w:line="248" w:lineRule="auto"/>
        <w:rPr>
          <w:sz w:val="20"/>
          <w:szCs w:val="20"/>
          <w:color w:val="auto"/>
        </w:rPr>
      </w:pPr>
      <w:r>
        <w:rPr>
          <w:rFonts w:ascii="Arial" w:cs="Arial" w:eastAsia="Arial" w:hAnsi="Arial"/>
          <w:sz w:val="18"/>
          <w:szCs w:val="18"/>
          <w:color w:val="auto"/>
        </w:rPr>
        <w:t>We are subject to local, state, federal and foreign environmental protection laws and regulations with respect to our business operations and believe we are operating in substantial compliance with, or taking actions aimed at ensuring compliance with, such laws and regulations. Apart from the proceedings surrounding the FIFRA compliance matters, which are discussed separately, we are involved in several legal</w:t>
      </w:r>
    </w:p>
    <w:p>
      <w:pPr>
        <w:spacing w:after="0" w:line="11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1"/>
          <w:szCs w:val="11"/>
          <w:b w:val="1"/>
          <w:bCs w:val="1"/>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-78105</wp:posOffset>
            </wp:positionV>
            <wp:extent cx="19748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240" w:top="415" w:right="91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hyperlink w:anchor="page6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700" w:right="120"/>
        <w:spacing w:after="0" w:line="239" w:lineRule="auto"/>
        <w:rPr>
          <w:sz w:val="20"/>
          <w:szCs w:val="20"/>
          <w:color w:val="auto"/>
        </w:rPr>
      </w:pPr>
      <w:r>
        <w:rPr>
          <w:rFonts w:ascii="Arial" w:cs="Arial" w:eastAsia="Arial" w:hAnsi="Arial"/>
          <w:sz w:val="18"/>
          <w:szCs w:val="18"/>
          <w:color w:val="auto"/>
        </w:rPr>
        <w:t>actions with various governmental agencies related to environmental matters. While it is difficult to quantify the potential financial impact of actions involving these environmental matters, particularly remediation costs at waste disposal sites and future capital expenditures for environmental control equipment, in the opinion of management, the ultimate liability arising from such environmental matters, taking into account established reserves, should not have a material adverse effect on our financial position, results of operations and cash flows. However, there can be no assurance that the resolution of these matters will not materially affect our future quarterly or annual results of operations, financial condition and cash flows. Additional information on environmental matters affecting us is provided in “ITEM 1. BUSINESS — Regulatory Considerations,” “ITEM 1. BUSINESS — FIFRA Compliance, the Corresponding Governmental Investigation and Related Matters,” “ITEM 1. BUSINESS — Other Regulatory Matters” and “ITEM 3. LEGAL PROCEEDINGS” of this Annual Report on Form 10-K.</w:t>
      </w:r>
    </w:p>
    <w:p>
      <w:pPr>
        <w:spacing w:after="0" w:line="197"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124" w:lineRule="exact"/>
        <w:rPr>
          <w:sz w:val="20"/>
          <w:szCs w:val="20"/>
          <w:color w:val="auto"/>
        </w:rPr>
      </w:pPr>
    </w:p>
    <w:p>
      <w:pPr>
        <w:ind w:left="700" w:right="20" w:firstLine="402"/>
        <w:spacing w:after="0" w:line="241" w:lineRule="auto"/>
        <w:rPr>
          <w:sz w:val="20"/>
          <w:szCs w:val="20"/>
          <w:color w:val="auto"/>
        </w:rPr>
      </w:pPr>
      <w:r>
        <w:rPr>
          <w:rFonts w:ascii="Arial" w:cs="Arial" w:eastAsia="Arial" w:hAnsi="Arial"/>
          <w:sz w:val="18"/>
          <w:szCs w:val="18"/>
          <w:color w:val="auto"/>
        </w:rPr>
        <w:t>Our discussion and analysis of financial condition and results of operations is based upon the Company’s consolidated financial statements, which have been prepared in accordance with U.S. GAAP. Certain accounting policies are particularly significant, including those related to revenue recognition, goodwill and intangibles, certain employee benefits, and income taxes. We believe these accounting policies, and others set forth in “NOTE 1. SUMMARY OF SIGNIFICANT ACCOUNTING POLICIES” to the Consolidated Financial Statements included in this Annual Report on Form 10-K, should be reviewed as they are integral to understanding our results of operations and financial position. Our critical accounting policies are reviewed periodically with the Audit Committee of the Board of Directors of Scotts Miracle-Gro.</w:t>
      </w:r>
    </w:p>
    <w:p>
      <w:pPr>
        <w:spacing w:after="0" w:line="85" w:lineRule="exact"/>
        <w:rPr>
          <w:sz w:val="20"/>
          <w:szCs w:val="20"/>
          <w:color w:val="auto"/>
        </w:rPr>
      </w:pPr>
    </w:p>
    <w:p>
      <w:pPr>
        <w:ind w:left="700" w:firstLine="402"/>
        <w:spacing w:after="0"/>
        <w:rPr>
          <w:sz w:val="20"/>
          <w:szCs w:val="20"/>
          <w:color w:val="auto"/>
        </w:rPr>
      </w:pPr>
      <w:r>
        <w:rPr>
          <w:rFonts w:ascii="Arial" w:cs="Arial" w:eastAsia="Arial" w:hAnsi="Arial"/>
          <w:sz w:val="18"/>
          <w:szCs w:val="18"/>
          <w:color w:val="auto"/>
        </w:rPr>
        <w:t>The preparation of financial statements requires management to use judgment and make estimates that affect the reported amounts of assets, liabilities, revenues and expenses and related disclosures of contingent assets and liabilities. On an ongoing basis, we evaluate our estimates, including those related to customer programs and incentives, product returns, bad debts, inventories, intangible assets, income taxes, restructuring, environmental matters, contingencies and litigation. We base our estimates on historical experience and on various other assumptions that we believe to be reasonable under the circumstances. Although actual results historically have not deviated significantly from those determined using our estimates, our results of operations or financial position could differ, perhaps materially, from these estimates under different assumptions or conditions.</w:t>
      </w:r>
    </w:p>
    <w:p>
      <w:pPr>
        <w:spacing w:after="0" w:line="197"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Revenue Recognition and Promotional Allowances</w:t>
      </w:r>
    </w:p>
    <w:p>
      <w:pPr>
        <w:spacing w:after="0" w:line="124" w:lineRule="exact"/>
        <w:rPr>
          <w:sz w:val="20"/>
          <w:szCs w:val="20"/>
          <w:color w:val="auto"/>
        </w:rPr>
      </w:pPr>
    </w:p>
    <w:p>
      <w:pPr>
        <w:ind w:left="700" w:right="60" w:firstLine="402"/>
        <w:spacing w:after="0" w:line="239" w:lineRule="auto"/>
        <w:rPr>
          <w:sz w:val="20"/>
          <w:szCs w:val="20"/>
          <w:color w:val="auto"/>
        </w:rPr>
      </w:pPr>
      <w:r>
        <w:rPr>
          <w:rFonts w:ascii="Arial" w:cs="Arial" w:eastAsia="Arial" w:hAnsi="Arial"/>
          <w:sz w:val="18"/>
          <w:szCs w:val="18"/>
          <w:color w:val="auto"/>
        </w:rPr>
        <w:t>Most of our revenue is derived from the sale of inventory, and we recognize revenue when title and risk of loss transfer, generally when products are received by the customer. Provisions for payment discounts, product returns and allowances are recorded as a reduction of sales at the time revenue is recognized based on historical trends and adjusted periodically as circumstances warrant. Similarly, reserves for uncollectible receivables due from customers are established based on management’s judgment as to the ultimate collectibility of these balances. We offer sales incentives through various programs, consisting principally of volume rebates, cooperative advertising, consumer coupons and other trade programs. The cost of these programs is recorded as a reduction of sales. The recognition of revenues, receivables and trade programs requires the use of estimates. While we believe these estimates to be reasonable based on the then current facts and circumstances, there can be no assurance that actual amounts realized will not differ materially from estimated amounts recorded.</w:t>
      </w:r>
    </w:p>
    <w:p>
      <w:pPr>
        <w:spacing w:after="0" w:line="197"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Long-lived Assets, including Property, Plant and Equipment</w:t>
      </w:r>
    </w:p>
    <w:p>
      <w:pPr>
        <w:spacing w:after="0" w:line="124" w:lineRule="exact"/>
        <w:rPr>
          <w:sz w:val="20"/>
          <w:szCs w:val="20"/>
          <w:color w:val="auto"/>
        </w:rPr>
      </w:pPr>
    </w:p>
    <w:p>
      <w:pPr>
        <w:ind w:left="700" w:right="100" w:firstLine="402"/>
        <w:spacing w:after="0" w:line="243" w:lineRule="auto"/>
        <w:rPr>
          <w:sz w:val="20"/>
          <w:szCs w:val="20"/>
          <w:color w:val="auto"/>
        </w:rPr>
      </w:pPr>
      <w:r>
        <w:rPr>
          <w:rFonts w:ascii="Arial" w:cs="Arial" w:eastAsia="Arial" w:hAnsi="Arial"/>
          <w:sz w:val="18"/>
          <w:szCs w:val="18"/>
          <w:color w:val="auto"/>
        </w:rPr>
        <w:t>Property, plant and equipment are stated at cost. Depreciation of property, plant and equipment is provided on the straight-line method and is based on the estimated useful economic lives of the assets. Intangible assets with finite lives, and therefore subject to amortization, include technology (e.g., patents), customer relationships and certain tradenames. These intangible assets are being amortized on the straight-line method over periods typically ranging from 10 to 25 years. The Company reviews long-lived assets whenever circumstances change such that the indicated recorded value of an asset may not be recoverable.</w:t>
      </w:r>
    </w:p>
    <w:p>
      <w:pPr>
        <w:spacing w:after="0" w:line="11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1"/>
          <w:szCs w:val="11"/>
          <w:b w:val="1"/>
          <w:bCs w:val="1"/>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-78105</wp:posOffset>
            </wp:positionV>
            <wp:extent cx="19748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20"/>
          </w:cols>
          <w:pgMar w:left="240" w:top="415" w:right="93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hyperlink w:anchor="page64">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Goodwill and Indefinite-lived Intangible Assets</w:t>
      </w:r>
    </w:p>
    <w:p>
      <w:pPr>
        <w:spacing w:after="0" w:line="124" w:lineRule="exact"/>
        <w:rPr>
          <w:sz w:val="20"/>
          <w:szCs w:val="20"/>
          <w:color w:val="auto"/>
        </w:rPr>
      </w:pPr>
    </w:p>
    <w:p>
      <w:pPr>
        <w:ind w:left="700" w:right="20" w:firstLine="402"/>
        <w:spacing w:after="0" w:line="238" w:lineRule="auto"/>
        <w:rPr>
          <w:sz w:val="20"/>
          <w:szCs w:val="20"/>
          <w:color w:val="auto"/>
        </w:rPr>
      </w:pPr>
      <w:r>
        <w:rPr>
          <w:rFonts w:ascii="Arial" w:cs="Arial" w:eastAsia="Arial" w:hAnsi="Arial"/>
          <w:sz w:val="18"/>
          <w:szCs w:val="18"/>
          <w:color w:val="auto"/>
        </w:rPr>
        <w:t>We have significant investments in intangible assets and goodwill. Whenever changing conditions warrant, we review the assets that may be affected for recoverability. At least annually, we review goodwill and indefinite-lived intangible assets for impairment. As discussed in the Results of Operations section of this MD&amp;A, during the third quarter of fiscal 2007, the Company changed the timing of its annual goodwill impairment testing from the last day of our first fiscal quarter to the first day of our fourth fiscal quarter. The review for impairment of intangibles and goodwill is primarily based on our estimates of discounted future cash flows, which are based upon budgets and longer-range strategic plans. These budgets and plans are used for internal purposes and are also the basis for communication with outside parties about future business trends. While we believe the assumptions we use to estimate future cash flows are reasonable, there can be no assurance that the expected future cash flows will be realized. As a result, impairment charges that possibly should have been recognized in earlier periods may not be recognized until later periods if actual results deviate unfavorably from earlier estimates. An asset’s value is deemed impaired if the discounted cash flows or earnings projections generated do not substantiate the carrying value of the asset. The estimation of such amounts requires management to exercise judgment with respect to revenue and expense growth rates, changes in working capital and selection of an appropriate discount rate, as applicable. The use of different assumptions would increase or decrease discounted future operating cash flows or earnings projections and could, therefore, change impairment determinations.</w:t>
      </w:r>
    </w:p>
    <w:p>
      <w:pPr>
        <w:spacing w:after="0" w:line="81" w:lineRule="exact"/>
        <w:rPr>
          <w:sz w:val="20"/>
          <w:szCs w:val="20"/>
          <w:color w:val="auto"/>
        </w:rPr>
      </w:pPr>
    </w:p>
    <w:p>
      <w:pPr>
        <w:ind w:left="700" w:right="140" w:firstLine="402"/>
        <w:spacing w:after="0" w:line="241" w:lineRule="auto"/>
        <w:rPr>
          <w:sz w:val="20"/>
          <w:szCs w:val="20"/>
          <w:color w:val="auto"/>
        </w:rPr>
      </w:pPr>
      <w:r>
        <w:rPr>
          <w:rFonts w:ascii="Arial" w:cs="Arial" w:eastAsia="Arial" w:hAnsi="Arial"/>
          <w:sz w:val="18"/>
          <w:szCs w:val="18"/>
          <w:color w:val="auto"/>
        </w:rPr>
        <w:t>Fair values related to our annual impairment review of indefinite-lived tradenames and goodwill were determined using discounted cash flow models involving several assumptions. Changes in our assumptions could materially impact our fair value estimates. Assumptions critical to our fair value estimates were: (i) present value factors used in determining the fair value of the reporting units and tradenames; (ii) royalty rates used in our tradename valuations; (iii) projected average revenue growth rates used in the reporting unit and tradename models; and (iv) projected long-term growth rates used in the derivation of terminal year values. These and other assumptions are impacted by economic conditions and expectations of management and will change in the future based on period specific facts and circumstances.</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Inventories</w:t>
      </w:r>
    </w:p>
    <w:p>
      <w:pPr>
        <w:spacing w:after="0" w:line="124" w:lineRule="exact"/>
        <w:rPr>
          <w:sz w:val="20"/>
          <w:szCs w:val="20"/>
          <w:color w:val="auto"/>
        </w:rPr>
      </w:pPr>
    </w:p>
    <w:p>
      <w:pPr>
        <w:ind w:left="700" w:right="180" w:firstLine="402"/>
        <w:spacing w:after="0" w:line="245" w:lineRule="auto"/>
        <w:rPr>
          <w:sz w:val="20"/>
          <w:szCs w:val="20"/>
          <w:color w:val="auto"/>
        </w:rPr>
      </w:pPr>
      <w:r>
        <w:rPr>
          <w:rFonts w:ascii="Arial" w:cs="Arial" w:eastAsia="Arial" w:hAnsi="Arial"/>
          <w:sz w:val="18"/>
          <w:szCs w:val="18"/>
          <w:color w:val="auto"/>
        </w:rPr>
        <w:t>Inventories are stated at the lower of cost or market, the majority of which are based on the first-in, first-out method of accounting. Reserves for excess and obsolete inventory are based on a variety of factors, including product changes and improvements, changes in active ingredient availability and regulatory acceptance, new product introductions and estimated future demand. The adequacy of our reserves could be materially affected by changes in the demand for our products or regulatory actions.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Contingencies</w:t>
      </w:r>
    </w:p>
    <w:p>
      <w:pPr>
        <w:spacing w:after="0" w:line="124" w:lineRule="exact"/>
        <w:rPr>
          <w:sz w:val="20"/>
          <w:szCs w:val="20"/>
          <w:color w:val="auto"/>
        </w:rPr>
      </w:pPr>
    </w:p>
    <w:p>
      <w:pPr>
        <w:ind w:left="700" w:firstLine="402"/>
        <w:spacing w:after="0" w:line="243" w:lineRule="auto"/>
        <w:rPr>
          <w:sz w:val="20"/>
          <w:szCs w:val="20"/>
          <w:color w:val="auto"/>
        </w:rPr>
      </w:pPr>
      <w:r>
        <w:rPr>
          <w:rFonts w:ascii="Arial" w:cs="Arial" w:eastAsia="Arial" w:hAnsi="Arial"/>
          <w:sz w:val="18"/>
          <w:szCs w:val="18"/>
          <w:color w:val="auto"/>
        </w:rPr>
        <w:t>As described more fully in “NOTE 18. CONTINGENCIES” to the Consolidated Financial Statements included in this Annual Report on Form 10-K, we are involved in significant environmental and legal matters, which have a high degree of uncertainty associated with them. We continually assess the likely outcomes of these matters and the adequacy of amounts, if any, provided for their resolution. There can be no assurance that the ultimate outcomes will not differ materially from our assessment of them. There can also be no assurance that all matters that may currently be brought against us are known by us at this time.</w:t>
      </w:r>
    </w:p>
    <w:p>
      <w:pPr>
        <w:spacing w:after="0" w:line="190"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Income Taxes</w:t>
      </w:r>
    </w:p>
    <w:p>
      <w:pPr>
        <w:spacing w:after="0" w:line="124" w:lineRule="exact"/>
        <w:rPr>
          <w:sz w:val="20"/>
          <w:szCs w:val="20"/>
          <w:color w:val="auto"/>
        </w:rPr>
      </w:pPr>
    </w:p>
    <w:p>
      <w:pPr>
        <w:ind w:left="700" w:firstLine="402"/>
        <w:spacing w:after="0"/>
        <w:rPr>
          <w:sz w:val="20"/>
          <w:szCs w:val="20"/>
          <w:color w:val="auto"/>
        </w:rPr>
      </w:pPr>
      <w:r>
        <w:rPr>
          <w:rFonts w:ascii="Arial" w:cs="Arial" w:eastAsia="Arial" w:hAnsi="Arial"/>
          <w:sz w:val="18"/>
          <w:szCs w:val="18"/>
          <w:color w:val="auto"/>
        </w:rPr>
        <w:t>Our annual effective tax rate is established based on our pre-tax income (loss), statutory tax rates and the tax impacts of items treated differently for tax purposes than for financial reporting purposes. We record income tax liabilities utilizing known obligations and estimates of potential obligations. A deferred tax asset or liability is recognized whenever there are future tax effects from existing temporary differences and operating loss and tax credit carryforwards. Valuation allowances are used to reduce deferred tax assets to the balance that is more likely than not to be realized. We must make estimates and judgments on future taxable income, considering feasible tax planning strategies and taking into account existing facts and circumstances, to determine the proper valuation allowance. When we determine that deferred tax assets could be realized in greater or lesser amounts than recorded, the asset balance and consolidated statement of operations reflect the change in the period such determination is made. Due to changes in</w:t>
      </w:r>
    </w:p>
    <w:p>
      <w:pPr>
        <w:spacing w:after="0" w:line="11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1"/>
          <w:szCs w:val="11"/>
          <w:b w:val="1"/>
          <w:bCs w:val="1"/>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-78105</wp:posOffset>
            </wp:positionV>
            <wp:extent cx="19748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20"/>
          </w:cols>
          <w:pgMar w:left="240" w:top="415" w:right="93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hyperlink w:anchor="page6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700" w:right="200"/>
        <w:spacing w:after="0" w:line="248" w:lineRule="auto"/>
        <w:rPr>
          <w:sz w:val="20"/>
          <w:szCs w:val="20"/>
          <w:color w:val="auto"/>
        </w:rPr>
      </w:pPr>
      <w:r>
        <w:rPr>
          <w:rFonts w:ascii="Arial" w:cs="Arial" w:eastAsia="Arial" w:hAnsi="Arial"/>
          <w:sz w:val="18"/>
          <w:szCs w:val="18"/>
          <w:color w:val="auto"/>
        </w:rPr>
        <w:t>facts and circumstances and the estimates and judgments that are involved in determining the proper valuation allowance, differences between actual future events and prior estimates and judgments could result in adjustments to this valuation allowance. We use an estimate of our annual effective tax rate at each interim period based on the facts and circumstances available at that time, while the actual effective tax rate is calculated at year-end.</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Associate Benefits</w:t>
      </w:r>
    </w:p>
    <w:p>
      <w:pPr>
        <w:spacing w:after="0" w:line="124" w:lineRule="exact"/>
        <w:rPr>
          <w:sz w:val="20"/>
          <w:szCs w:val="20"/>
          <w:color w:val="auto"/>
        </w:rPr>
      </w:pPr>
    </w:p>
    <w:p>
      <w:pPr>
        <w:ind w:left="700" w:right="20" w:firstLine="402"/>
        <w:spacing w:after="0" w:line="241" w:lineRule="auto"/>
        <w:rPr>
          <w:sz w:val="20"/>
          <w:szCs w:val="20"/>
          <w:color w:val="auto"/>
        </w:rPr>
      </w:pPr>
      <w:r>
        <w:rPr>
          <w:rFonts w:ascii="Arial" w:cs="Arial" w:eastAsia="Arial" w:hAnsi="Arial"/>
          <w:sz w:val="18"/>
          <w:szCs w:val="18"/>
          <w:color w:val="auto"/>
        </w:rPr>
        <w:t>We sponsor various post-employment benefit plans. These include pension plans, both defined contribution plans and defined benefit plans, and other post-employment benefit (“OPEB”) plans, consisting primarily of health care for retirees. For accounting purposes, the defined benefit pension and OPEB plans are dependent on a variety of assumptions to estimate the projected and accumulated benefit obligations determined by actuarial valuations. These assumptions include the following: discount rate; expected salary increases; certain employee-related factors, such as turnover, retirement age and mortality; expected return on plan assets; and health care cost trend rates. These and other assumptions affect the annual expense recognized for these plans.</w:t>
      </w:r>
    </w:p>
    <w:p>
      <w:pPr>
        <w:spacing w:after="0" w:line="85" w:lineRule="exact"/>
        <w:rPr>
          <w:sz w:val="20"/>
          <w:szCs w:val="20"/>
          <w:color w:val="auto"/>
        </w:rPr>
      </w:pPr>
    </w:p>
    <w:p>
      <w:pPr>
        <w:ind w:left="700" w:right="40" w:firstLine="402"/>
        <w:spacing w:after="0" w:line="243" w:lineRule="auto"/>
        <w:rPr>
          <w:sz w:val="20"/>
          <w:szCs w:val="20"/>
          <w:color w:val="auto"/>
        </w:rPr>
      </w:pPr>
      <w:r>
        <w:rPr>
          <w:rFonts w:ascii="Arial" w:cs="Arial" w:eastAsia="Arial" w:hAnsi="Arial"/>
          <w:sz w:val="18"/>
          <w:szCs w:val="18"/>
          <w:color w:val="auto"/>
        </w:rPr>
        <w:t>Assumptions are reviewed annually for appropriateness and updated as necessary. We base the discount rate assumption on investment yields available at year-end on corporate long-term bonds rated AA or the equivalent. The salary growth assumption reflects our long-term actual experience, the near-term outlook and assumed inflation. The expected return on plan assets assumption reflects asset allocation, investment strategy and the views of investment managers regarding the market. Retirement and mortality rates are based primarily on actual and expected plan experience. The effects of actual results differing from our assumptions are accumulated and amortized over future periods.</w:t>
      </w:r>
    </w:p>
    <w:p>
      <w:pPr>
        <w:spacing w:after="0" w:line="80" w:lineRule="exact"/>
        <w:rPr>
          <w:sz w:val="20"/>
          <w:szCs w:val="20"/>
          <w:color w:val="auto"/>
        </w:rPr>
      </w:pPr>
    </w:p>
    <w:p>
      <w:pPr>
        <w:ind w:left="700" w:firstLine="402"/>
        <w:spacing w:after="0"/>
        <w:rPr>
          <w:sz w:val="20"/>
          <w:szCs w:val="20"/>
          <w:color w:val="auto"/>
        </w:rPr>
      </w:pPr>
      <w:r>
        <w:rPr>
          <w:rFonts w:ascii="Arial" w:cs="Arial" w:eastAsia="Arial" w:hAnsi="Arial"/>
          <w:sz w:val="18"/>
          <w:szCs w:val="18"/>
          <w:color w:val="auto"/>
        </w:rPr>
        <w:t>Changes in the discount rate and investment returns can have a significant effect on the funded status of our pension plans and shareholders’ equity. We cannot predict these discount rates or investment returns with certainty and, therefore, cannot determine whether adjustments to our shareholders’ equity for minimum pension liability in subsequent years will be significant. Subsequent to September 30, 2008, investment markets have continued to decline. This has put further downward pressure on the investments of the Company’s pension plans. Management continues to monitor this situation and the potential impact on our future pension plan funding requirements and related expenses. However, we cannot predict future investment returns, and therefore cannot determine whether future pension plan funding requirements could materially and adversely affect our financial condition, results of operations and cash flows.</w:t>
      </w:r>
    </w:p>
    <w:p>
      <w:pPr>
        <w:spacing w:after="0" w:line="197"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Accruals for Self-Insurance</w:t>
      </w:r>
    </w:p>
    <w:p>
      <w:pPr>
        <w:spacing w:after="0" w:line="124" w:lineRule="exact"/>
        <w:rPr>
          <w:sz w:val="20"/>
          <w:szCs w:val="20"/>
          <w:color w:val="auto"/>
        </w:rPr>
      </w:pPr>
    </w:p>
    <w:p>
      <w:pPr>
        <w:ind w:left="700" w:right="120" w:firstLine="402"/>
        <w:spacing w:after="0" w:line="245" w:lineRule="auto"/>
        <w:rPr>
          <w:sz w:val="20"/>
          <w:szCs w:val="20"/>
          <w:color w:val="auto"/>
        </w:rPr>
      </w:pPr>
      <w:r>
        <w:rPr>
          <w:rFonts w:ascii="Arial" w:cs="Arial" w:eastAsia="Arial" w:hAnsi="Arial"/>
          <w:sz w:val="18"/>
          <w:szCs w:val="18"/>
          <w:color w:val="auto"/>
        </w:rPr>
        <w:t>We maintain insurance for certain risks, including workers’ compensation, general liability and vehicle liability, and are self-insured for employee-related health care benefits. We establish reserves for losses based on our claims experience and industry actuarial estimates of the ultimate loss amount inherent in the claims, including losses for claims incurred but not reported. Our estimate of self-insured liabilities is subject to change as new events or circumstances develop which might materially impact the ultimate cost to settle these losses.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Other Significant Accounting Policies</w:t>
      </w:r>
    </w:p>
    <w:p>
      <w:pPr>
        <w:spacing w:after="0" w:line="124" w:lineRule="exact"/>
        <w:rPr>
          <w:sz w:val="20"/>
          <w:szCs w:val="20"/>
          <w:color w:val="auto"/>
        </w:rPr>
      </w:pPr>
    </w:p>
    <w:p>
      <w:pPr>
        <w:ind w:left="700" w:right="40" w:firstLine="402"/>
        <w:spacing w:after="0" w:line="248" w:lineRule="auto"/>
        <w:rPr>
          <w:sz w:val="20"/>
          <w:szCs w:val="20"/>
          <w:color w:val="auto"/>
        </w:rPr>
      </w:pPr>
      <w:r>
        <w:rPr>
          <w:rFonts w:ascii="Arial" w:cs="Arial" w:eastAsia="Arial" w:hAnsi="Arial"/>
          <w:sz w:val="18"/>
          <w:szCs w:val="18"/>
          <w:color w:val="auto"/>
        </w:rPr>
        <w:t>Other significant accounting policies, primarily those with lower levels of uncertainty than those discussed above, are also critical to understanding the consolidated financial statements. The Notes to the Consolidated Financial Statements included in this Annual Report on Form 10-K contain additional information related to our accounting policies, including recent accounting pronouncements, and should be read in conjunction with this discussion.</w:t>
      </w:r>
    </w:p>
    <w:p>
      <w:pPr>
        <w:spacing w:after="0" w:line="128" w:lineRule="exact"/>
        <w:rPr>
          <w:sz w:val="20"/>
          <w:szCs w:val="20"/>
          <w:color w:val="auto"/>
        </w:rPr>
      </w:pPr>
    </w:p>
    <w:p>
      <w:pPr>
        <w:ind w:left="700"/>
        <w:spacing w:after="0"/>
        <w:rPr>
          <w:sz w:val="20"/>
          <w:szCs w:val="20"/>
          <w:color w:val="auto"/>
        </w:rPr>
      </w:pPr>
      <w:r>
        <w:rPr>
          <w:rFonts w:ascii="Arial" w:cs="Arial" w:eastAsia="Arial" w:hAnsi="Arial"/>
          <w:sz w:val="18"/>
          <w:szCs w:val="18"/>
          <w:b w:val="1"/>
          <w:bCs w:val="1"/>
          <w:u w:val="single" w:color="auto"/>
          <w:color w:val="auto"/>
        </w:rPr>
        <w:t>ITEM 7A.  QUANTITATIVE AND QUALITATIVE DISCLOSURES ABOUT MARKET RISK</w:t>
      </w:r>
    </w:p>
    <w:p>
      <w:pPr>
        <w:spacing w:after="0" w:line="119" w:lineRule="exact"/>
        <w:rPr>
          <w:sz w:val="20"/>
          <w:szCs w:val="20"/>
          <w:color w:val="auto"/>
        </w:rPr>
      </w:pPr>
    </w:p>
    <w:p>
      <w:pPr>
        <w:jc w:val="both"/>
        <w:ind w:left="700" w:right="200" w:firstLine="402"/>
        <w:spacing w:after="0" w:line="255" w:lineRule="auto"/>
        <w:rPr>
          <w:sz w:val="20"/>
          <w:szCs w:val="20"/>
          <w:color w:val="auto"/>
        </w:rPr>
      </w:pPr>
      <w:r>
        <w:rPr>
          <w:rFonts w:ascii="Arial" w:cs="Arial" w:eastAsia="Arial" w:hAnsi="Arial"/>
          <w:sz w:val="18"/>
          <w:szCs w:val="18"/>
          <w:color w:val="auto"/>
        </w:rPr>
        <w:t>As part of our ongoing business, we are exposed to certain market risks, including fluctuations in interest rates, foreign currency exchange rates and commodity prices. Financial derivative and other instruments are used to manage these risks. These instruments are not used for speculative purposes.</w:t>
      </w:r>
    </w:p>
    <w:p>
      <w:pPr>
        <w:spacing w:after="0" w:line="10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1"/>
          <w:szCs w:val="11"/>
          <w:b w:val="1"/>
          <w:bCs w:val="1"/>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-78105</wp:posOffset>
            </wp:positionV>
            <wp:extent cx="19748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00"/>
          </w:cols>
          <w:pgMar w:left="240" w:top="415" w:right="95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hyperlink w:anchor="page64">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Interest Rate Risk</w:t>
      </w:r>
    </w:p>
    <w:p>
      <w:pPr>
        <w:spacing w:after="0" w:line="119" w:lineRule="exact"/>
        <w:rPr>
          <w:sz w:val="20"/>
          <w:szCs w:val="20"/>
          <w:color w:val="auto"/>
        </w:rPr>
      </w:pPr>
    </w:p>
    <w:p>
      <w:pPr>
        <w:ind w:left="700" w:right="180" w:firstLine="402"/>
        <w:spacing w:after="0" w:line="255" w:lineRule="auto"/>
        <w:rPr>
          <w:sz w:val="20"/>
          <w:szCs w:val="20"/>
          <w:color w:val="auto"/>
        </w:rPr>
      </w:pPr>
      <w:r>
        <w:rPr>
          <w:rFonts w:ascii="Arial" w:cs="Arial" w:eastAsia="Arial" w:hAnsi="Arial"/>
          <w:sz w:val="18"/>
          <w:szCs w:val="18"/>
          <w:color w:val="auto"/>
        </w:rPr>
        <w:t>The Company had variable rate debt instruments outstanding at September 30, 2008 and 2007 that are impacted by changes in interest rates. As a means of managing our interest rate risk on these debt instruments, the Company enters into interest rate swap agreements to effectively convert certain variable-rate debt obligations to fixed rates.</w:t>
      </w:r>
    </w:p>
    <w:p>
      <w:pPr>
        <w:spacing w:after="0" w:line="70" w:lineRule="exact"/>
        <w:rPr>
          <w:sz w:val="20"/>
          <w:szCs w:val="20"/>
          <w:color w:val="auto"/>
        </w:rPr>
      </w:pPr>
    </w:p>
    <w:p>
      <w:pPr>
        <w:ind w:left="700" w:right="120" w:firstLine="402"/>
        <w:spacing w:after="0" w:line="262" w:lineRule="auto"/>
        <w:rPr>
          <w:sz w:val="20"/>
          <w:szCs w:val="20"/>
          <w:color w:val="auto"/>
        </w:rPr>
      </w:pPr>
      <w:r>
        <w:rPr>
          <w:rFonts w:ascii="Arial" w:cs="Arial" w:eastAsia="Arial" w:hAnsi="Arial"/>
          <w:sz w:val="17"/>
          <w:szCs w:val="17"/>
          <w:color w:val="auto"/>
        </w:rPr>
        <w:t>At September 30, 2008 and September 30, 2007, the Company had outstanding interest rate swaps with major financial institutions that effectively convert a portion of our variable-rate debt to a fixed rate. The swap agreements had a total</w:t>
      </w:r>
    </w:p>
    <w:p>
      <w:pPr>
        <w:ind w:left="700" w:right="140"/>
        <w:spacing w:after="0" w:line="242" w:lineRule="auto"/>
        <w:rPr>
          <w:sz w:val="20"/>
          <w:szCs w:val="20"/>
          <w:color w:val="auto"/>
        </w:rPr>
      </w:pPr>
      <w:r>
        <w:rPr>
          <w:rFonts w:ascii="Arial" w:cs="Arial" w:eastAsia="Arial" w:hAnsi="Arial"/>
          <w:sz w:val="18"/>
          <w:szCs w:val="18"/>
          <w:color w:val="auto"/>
        </w:rPr>
        <w:t>U.S. dollar equivalent notional amount of $ 711.4 million and $720.0 million, respectively. Under the terms of these swaps, we paid average fixed rates of 2.98% on Euro denominated swaps, 4.76% on British pound (“GBP”) denominated swaps and 4.99% on U.S. Dollar denominated swaps.</w:t>
      </w:r>
    </w:p>
    <w:p>
      <w:pPr>
        <w:spacing w:after="0" w:line="81" w:lineRule="exact"/>
        <w:rPr>
          <w:sz w:val="20"/>
          <w:szCs w:val="20"/>
          <w:color w:val="auto"/>
        </w:rPr>
      </w:pPr>
    </w:p>
    <w:p>
      <w:pPr>
        <w:ind w:left="700" w:right="20" w:firstLine="402"/>
        <w:spacing w:after="0"/>
        <w:rPr>
          <w:sz w:val="20"/>
          <w:szCs w:val="20"/>
          <w:color w:val="auto"/>
        </w:rPr>
      </w:pPr>
      <w:r>
        <w:rPr>
          <w:rFonts w:ascii="Arial" w:cs="Arial" w:eastAsia="Arial" w:hAnsi="Arial"/>
          <w:sz w:val="18"/>
          <w:szCs w:val="18"/>
          <w:color w:val="auto"/>
        </w:rPr>
        <w:t>The following table summarizes information about our derivative financial instruments and debt instruments that are sensitive to changes in interest rates as of September 30, 2008 and 2007. For debt instruments, the table presents principal cash flows and related weighted-average interest rates by expected maturity dates. For interest rate swaps, the table presents expected cash flows based on notional amounts and weighted-average interest rates by contractual maturity dates. Weighted-average variable rates are based on implied forward rates in the yield curve at September 30, 2008 and 2007. A change in our variable interest rate of 1% would have a $2.7 million impact on interest expense assuming the $267.6 million of our variable-rate debt that had not been hedged via an interest rate swap at September 30, 2008 was outstanding for the entire fiscal year. The information is presented in U.S. dollars (in millions):</w:t>
      </w:r>
    </w:p>
    <w:p>
      <w:pPr>
        <w:spacing w:after="0" w:line="105"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rPr>
              <w:t>Expected Maturity Date</w:t>
            </w:r>
          </w:p>
        </w:tc>
        <w:tc>
          <w:tcPr>
            <w:tcW w:w="6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Fair</w:t>
            </w:r>
          </w:p>
        </w:tc>
        <w:tc>
          <w:tcPr>
            <w:tcW w:w="0" w:type="dxa"/>
            <w:vAlign w:val="bottom"/>
          </w:tcPr>
          <w:p>
            <w:pPr>
              <w:spacing w:after="0"/>
              <w:rPr>
                <w:sz w:val="1"/>
                <w:szCs w:val="1"/>
                <w:color w:val="auto"/>
              </w:rPr>
            </w:pPr>
          </w:p>
        </w:tc>
      </w:tr>
      <w:tr>
        <w:trPr>
          <w:trHeight w:val="196"/>
        </w:trPr>
        <w:tc>
          <w:tcPr>
            <w:tcW w:w="3140" w:type="dxa"/>
            <w:vAlign w:val="bottom"/>
            <w:gridSpan w:val="2"/>
          </w:tcPr>
          <w:p>
            <w:pPr>
              <w:spacing w:after="0"/>
              <w:rPr>
                <w:sz w:val="20"/>
                <w:szCs w:val="20"/>
                <w:color w:val="auto"/>
              </w:rPr>
            </w:pPr>
            <w:r>
              <w:rPr>
                <w:rFonts w:ascii="Arial" w:cs="Arial" w:eastAsia="Arial" w:hAnsi="Arial"/>
                <w:sz w:val="16"/>
                <w:szCs w:val="16"/>
                <w:color w:val="auto"/>
              </w:rPr>
              <w:t>2008</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2009</w:t>
            </w:r>
          </w:p>
        </w:tc>
        <w:tc>
          <w:tcPr>
            <w:tcW w:w="180" w:type="dxa"/>
            <w:vAlign w:val="bottom"/>
          </w:tcPr>
          <w:p>
            <w:pPr>
              <w:spacing w:after="0"/>
              <w:rPr>
                <w:sz w:val="17"/>
                <w:szCs w:val="17"/>
                <w:color w:val="auto"/>
              </w:rPr>
            </w:pPr>
          </w:p>
        </w:tc>
        <w:tc>
          <w:tcPr>
            <w:tcW w:w="960" w:type="dxa"/>
            <w:vAlign w:val="bottom"/>
            <w:gridSpan w:val="2"/>
          </w:tcPr>
          <w:p>
            <w:pPr>
              <w:jc w:val="right"/>
              <w:ind w:right="193"/>
              <w:spacing w:after="0"/>
              <w:rPr>
                <w:sz w:val="20"/>
                <w:szCs w:val="20"/>
                <w:color w:val="auto"/>
              </w:rPr>
            </w:pPr>
            <w:r>
              <w:rPr>
                <w:rFonts w:ascii="Arial" w:cs="Arial" w:eastAsia="Arial" w:hAnsi="Arial"/>
                <w:sz w:val="16"/>
                <w:szCs w:val="16"/>
                <w:color w:val="auto"/>
              </w:rPr>
              <w:t>2010</w:t>
            </w:r>
          </w:p>
        </w:tc>
        <w:tc>
          <w:tcPr>
            <w:tcW w:w="1020" w:type="dxa"/>
            <w:vAlign w:val="bottom"/>
            <w:gridSpan w:val="2"/>
          </w:tcPr>
          <w:p>
            <w:pPr>
              <w:jc w:val="right"/>
              <w:ind w:right="231"/>
              <w:spacing w:after="0"/>
              <w:rPr>
                <w:sz w:val="20"/>
                <w:szCs w:val="20"/>
                <w:color w:val="auto"/>
              </w:rPr>
            </w:pPr>
            <w:r>
              <w:rPr>
                <w:rFonts w:ascii="Arial" w:cs="Arial" w:eastAsia="Arial" w:hAnsi="Arial"/>
                <w:sz w:val="16"/>
                <w:szCs w:val="16"/>
                <w:color w:val="auto"/>
              </w:rPr>
              <w:t>2011</w:t>
            </w:r>
          </w:p>
        </w:tc>
        <w:tc>
          <w:tcPr>
            <w:tcW w:w="320" w:type="dxa"/>
            <w:vAlign w:val="bottom"/>
          </w:tcPr>
          <w:p>
            <w:pPr>
              <w:spacing w:after="0"/>
              <w:rPr>
                <w:sz w:val="17"/>
                <w:szCs w:val="17"/>
                <w:color w:val="auto"/>
              </w:rPr>
            </w:pPr>
          </w:p>
        </w:tc>
        <w:tc>
          <w:tcPr>
            <w:tcW w:w="620" w:type="dxa"/>
            <w:vAlign w:val="bottom"/>
          </w:tcPr>
          <w:p>
            <w:pPr>
              <w:jc w:val="right"/>
              <w:ind w:right="172"/>
              <w:spacing w:after="0"/>
              <w:rPr>
                <w:sz w:val="20"/>
                <w:szCs w:val="20"/>
                <w:color w:val="auto"/>
              </w:rPr>
            </w:pPr>
            <w:r>
              <w:rPr>
                <w:rFonts w:ascii="Arial" w:cs="Arial" w:eastAsia="Arial" w:hAnsi="Arial"/>
                <w:sz w:val="16"/>
                <w:szCs w:val="16"/>
                <w:color w:val="auto"/>
                <w:w w:val="95"/>
              </w:rPr>
              <w:t>2012</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After</w:t>
            </w:r>
          </w:p>
        </w:tc>
        <w:tc>
          <w:tcPr>
            <w:tcW w:w="260" w:type="dxa"/>
            <w:vAlign w:val="bottom"/>
          </w:tcPr>
          <w:p>
            <w:pPr>
              <w:spacing w:after="0"/>
              <w:rPr>
                <w:sz w:val="17"/>
                <w:szCs w:val="17"/>
                <w:color w:val="auto"/>
              </w:rPr>
            </w:pPr>
          </w:p>
        </w:tc>
        <w:tc>
          <w:tcPr>
            <w:tcW w:w="940" w:type="dxa"/>
            <w:vAlign w:val="bottom"/>
          </w:tcPr>
          <w:p>
            <w:pPr>
              <w:jc w:val="right"/>
              <w:ind w:right="232"/>
              <w:spacing w:after="0"/>
              <w:rPr>
                <w:sz w:val="20"/>
                <w:szCs w:val="20"/>
                <w:color w:val="auto"/>
              </w:rPr>
            </w:pPr>
            <w:r>
              <w:rPr>
                <w:rFonts w:ascii="Arial" w:cs="Arial" w:eastAsia="Arial" w:hAnsi="Arial"/>
                <w:sz w:val="16"/>
                <w:szCs w:val="16"/>
                <w:color w:val="auto"/>
              </w:rPr>
              <w:t>Total</w:t>
            </w: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Value</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312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940" w:type="dxa"/>
            <w:vAlign w:val="bottom"/>
            <w:tcBorders>
              <w:top w:val="single" w:sz="8" w:color="auto"/>
            </w:tcBorders>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Long-term debt:</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20" w:type="dxa"/>
            <w:vAlign w:val="bottom"/>
          </w:tcPr>
          <w:p>
            <w:pPr>
              <w:ind w:left="160"/>
              <w:spacing w:after="0" w:line="202" w:lineRule="exact"/>
              <w:rPr>
                <w:sz w:val="20"/>
                <w:szCs w:val="20"/>
                <w:color w:val="auto"/>
              </w:rPr>
            </w:pPr>
            <w:r>
              <w:rPr>
                <w:rFonts w:ascii="Arial" w:cs="Arial" w:eastAsia="Arial" w:hAnsi="Arial"/>
                <w:sz w:val="18"/>
                <w:szCs w:val="18"/>
                <w:color w:val="auto"/>
              </w:rPr>
              <w:t>Variable rate debt</w:t>
            </w:r>
          </w:p>
        </w:tc>
        <w:tc>
          <w:tcPr>
            <w:tcW w:w="11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$146.7</w:t>
            </w:r>
          </w:p>
        </w:tc>
        <w:tc>
          <w:tcPr>
            <w:tcW w:w="180" w:type="dxa"/>
            <w:vAlign w:val="bottom"/>
          </w:tcPr>
          <w:p>
            <w:pPr>
              <w:spacing w:after="0"/>
              <w:rPr>
                <w:sz w:val="17"/>
                <w:szCs w:val="17"/>
                <w:color w:val="auto"/>
              </w:rPr>
            </w:pPr>
          </w:p>
        </w:tc>
        <w:tc>
          <w:tcPr>
            <w:tcW w:w="960" w:type="dxa"/>
            <w:vAlign w:val="bottom"/>
            <w:gridSpan w:val="2"/>
          </w:tcPr>
          <w:p>
            <w:pPr>
              <w:jc w:val="right"/>
              <w:ind w:right="93"/>
              <w:spacing w:after="0" w:line="202" w:lineRule="exact"/>
              <w:rPr>
                <w:sz w:val="20"/>
                <w:szCs w:val="20"/>
                <w:color w:val="auto"/>
              </w:rPr>
            </w:pPr>
            <w:r>
              <w:rPr>
                <w:rFonts w:ascii="Arial" w:cs="Arial" w:eastAsia="Arial" w:hAnsi="Arial"/>
                <w:sz w:val="18"/>
                <w:szCs w:val="18"/>
                <w:color w:val="auto"/>
              </w:rPr>
              <w:t>$154.1</w:t>
            </w:r>
          </w:p>
        </w:tc>
        <w:tc>
          <w:tcPr>
            <w:tcW w:w="1020" w:type="dxa"/>
            <w:vAlign w:val="bottom"/>
            <w:gridSpan w:val="2"/>
          </w:tcPr>
          <w:p>
            <w:pPr>
              <w:jc w:val="right"/>
              <w:ind w:right="111"/>
              <w:spacing w:after="0" w:line="202" w:lineRule="exact"/>
              <w:rPr>
                <w:sz w:val="20"/>
                <w:szCs w:val="20"/>
                <w:color w:val="auto"/>
              </w:rPr>
            </w:pPr>
            <w:r>
              <w:rPr>
                <w:rFonts w:ascii="Arial" w:cs="Arial" w:eastAsia="Arial" w:hAnsi="Arial"/>
                <w:sz w:val="18"/>
                <w:szCs w:val="18"/>
                <w:color w:val="auto"/>
              </w:rPr>
              <w:t>$193.2</w:t>
            </w:r>
          </w:p>
        </w:tc>
        <w:tc>
          <w:tcPr>
            <w:tcW w:w="940" w:type="dxa"/>
            <w:vAlign w:val="bottom"/>
            <w:gridSpan w:val="2"/>
          </w:tcPr>
          <w:p>
            <w:pPr>
              <w:jc w:val="right"/>
              <w:ind w:right="72"/>
              <w:spacing w:after="0" w:line="202" w:lineRule="exact"/>
              <w:rPr>
                <w:sz w:val="20"/>
                <w:szCs w:val="20"/>
                <w:color w:val="auto"/>
              </w:rPr>
            </w:pPr>
            <w:r>
              <w:rPr>
                <w:rFonts w:ascii="Arial" w:cs="Arial" w:eastAsia="Arial" w:hAnsi="Arial"/>
                <w:sz w:val="18"/>
                <w:szCs w:val="18"/>
                <w:color w:val="auto"/>
              </w:rPr>
              <w:t>$485.0</w:t>
            </w:r>
          </w:p>
        </w:tc>
        <w:tc>
          <w:tcPr>
            <w:tcW w:w="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w:t>
            </w:r>
          </w:p>
        </w:tc>
        <w:tc>
          <w:tcPr>
            <w:tcW w:w="260" w:type="dxa"/>
            <w:vAlign w:val="bottom"/>
          </w:tcPr>
          <w:p>
            <w:pPr>
              <w:spacing w:after="0"/>
              <w:rPr>
                <w:sz w:val="17"/>
                <w:szCs w:val="17"/>
                <w:color w:val="auto"/>
              </w:rPr>
            </w:pPr>
          </w:p>
        </w:tc>
        <w:tc>
          <w:tcPr>
            <w:tcW w:w="94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$979.0</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$979.0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Average rate</w:t>
            </w:r>
          </w:p>
        </w:tc>
        <w:tc>
          <w:tcPr>
            <w:tcW w:w="128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6.2%</w:t>
            </w:r>
          </w:p>
        </w:tc>
        <w:tc>
          <w:tcPr>
            <w:tcW w:w="4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w:t>
            </w:r>
          </w:p>
        </w:tc>
        <w:tc>
          <w:tcPr>
            <w:tcW w:w="5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w:t>
            </w: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w:t>
            </w:r>
          </w:p>
        </w:tc>
        <w:tc>
          <w:tcPr>
            <w:tcW w:w="880" w:type="dxa"/>
            <w:vAlign w:val="bottom"/>
            <w:gridSpan w:val="3"/>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6.2%</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w:t>
            </w: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20" w:type="dxa"/>
            <w:vAlign w:val="bottom"/>
          </w:tcPr>
          <w:p>
            <w:pPr>
              <w:spacing w:after="0" w:line="202" w:lineRule="exact"/>
              <w:rPr>
                <w:sz w:val="20"/>
                <w:szCs w:val="20"/>
                <w:color w:val="auto"/>
              </w:rPr>
            </w:pPr>
            <w:r>
              <w:rPr>
                <w:rFonts w:ascii="Arial" w:cs="Arial" w:eastAsia="Arial" w:hAnsi="Arial"/>
                <w:sz w:val="18"/>
                <w:szCs w:val="18"/>
                <w:color w:val="auto"/>
              </w:rPr>
              <w:t>Interest rate derivatives:</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20" w:type="dxa"/>
            <w:vAlign w:val="bottom"/>
            <w:gridSpan w:val="4"/>
            <w:shd w:val="clear" w:color="auto" w:fill="CCEEFF"/>
          </w:tcPr>
          <w:p>
            <w:pPr>
              <w:ind w:left="160"/>
              <w:spacing w:after="0" w:line="180" w:lineRule="exact"/>
              <w:rPr>
                <w:sz w:val="20"/>
                <w:szCs w:val="20"/>
                <w:color w:val="auto"/>
              </w:rPr>
            </w:pPr>
            <w:r>
              <w:rPr>
                <w:rFonts w:ascii="Arial" w:cs="Arial" w:eastAsia="Arial" w:hAnsi="Arial"/>
                <w:sz w:val="18"/>
                <w:szCs w:val="18"/>
                <w:color w:val="auto"/>
              </w:rPr>
              <w:t>Interest rate swaps based on U.S. Dollar,</w:t>
            </w: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Euro and GBP LIBOR</w:t>
            </w:r>
          </w:p>
        </w:tc>
        <w:tc>
          <w:tcPr>
            <w:tcW w:w="1280" w:type="dxa"/>
            <w:vAlign w:val="bottom"/>
            <w:gridSpan w:val="4"/>
            <w:shd w:val="clear" w:color="auto" w:fill="CCEEFF"/>
          </w:tcPr>
          <w:p>
            <w:pPr>
              <w:jc w:val="right"/>
              <w:ind w:right="52"/>
              <w:spacing w:after="0"/>
              <w:rPr>
                <w:sz w:val="20"/>
                <w:szCs w:val="20"/>
                <w:color w:val="auto"/>
              </w:rPr>
            </w:pPr>
            <w:r>
              <w:rPr>
                <w:rFonts w:ascii="Arial" w:cs="Arial" w:eastAsia="Arial" w:hAnsi="Arial"/>
                <w:sz w:val="18"/>
                <w:szCs w:val="18"/>
                <w:color w:val="auto"/>
              </w:rPr>
              <w:t>$  (0.9)</w:t>
            </w:r>
          </w:p>
        </w:tc>
        <w:tc>
          <w:tcPr>
            <w:tcW w:w="4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1"/>
              </w:rPr>
              <w:t>(4.6)</w:t>
            </w:r>
          </w:p>
        </w:tc>
        <w:tc>
          <w:tcPr>
            <w:tcW w:w="5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(9.5)</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 (15.0)</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 (15.0)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20" w:type="dxa"/>
            <w:vAlign w:val="bottom"/>
          </w:tcPr>
          <w:p>
            <w:pPr>
              <w:ind w:left="160"/>
              <w:spacing w:after="0"/>
              <w:rPr>
                <w:sz w:val="20"/>
                <w:szCs w:val="20"/>
                <w:color w:val="auto"/>
              </w:rPr>
            </w:pPr>
            <w:r>
              <w:rPr>
                <w:rFonts w:ascii="Arial" w:cs="Arial" w:eastAsia="Arial" w:hAnsi="Arial"/>
                <w:sz w:val="18"/>
                <w:szCs w:val="18"/>
                <w:color w:val="auto"/>
              </w:rPr>
              <w:t>Average rate</w:t>
            </w:r>
          </w:p>
        </w:tc>
        <w:tc>
          <w:tcPr>
            <w:tcW w:w="1280" w:type="dxa"/>
            <w:vAlign w:val="bottom"/>
            <w:gridSpan w:val="4"/>
          </w:tcPr>
          <w:p>
            <w:pPr>
              <w:jc w:val="right"/>
              <w:spacing w:after="0"/>
              <w:rPr>
                <w:sz w:val="20"/>
                <w:szCs w:val="20"/>
                <w:color w:val="auto"/>
              </w:rPr>
            </w:pPr>
            <w:r>
              <w:rPr>
                <w:rFonts w:ascii="Arial" w:cs="Arial" w:eastAsia="Arial" w:hAnsi="Arial"/>
                <w:sz w:val="18"/>
                <w:szCs w:val="18"/>
                <w:color w:val="auto"/>
              </w:rPr>
              <w:t>4.79%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4.87%</w:t>
            </w:r>
          </w:p>
        </w:tc>
        <w:tc>
          <w:tcPr>
            <w:tcW w:w="520" w:type="dxa"/>
            <w:vAlign w:val="bottom"/>
          </w:tcPr>
          <w:p>
            <w:pPr>
              <w:spacing w:after="0"/>
              <w:rPr>
                <w:sz w:val="21"/>
                <w:szCs w:val="21"/>
                <w:color w:val="auto"/>
              </w:rPr>
            </w:pPr>
          </w:p>
        </w:tc>
        <w:tc>
          <w:tcPr>
            <w:tcW w:w="50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5.20%</w:t>
            </w:r>
          </w:p>
        </w:tc>
        <w:tc>
          <w:tcPr>
            <w:tcW w:w="32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4.71%</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rPr>
              <w:t>Expected Maturity Date</w:t>
            </w:r>
          </w:p>
        </w:tc>
        <w:tc>
          <w:tcPr>
            <w:tcW w:w="3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6"/>
                <w:szCs w:val="16"/>
                <w:color w:val="auto"/>
              </w:rPr>
              <w:t>Fair</w:t>
            </w:r>
          </w:p>
        </w:tc>
        <w:tc>
          <w:tcPr>
            <w:tcW w:w="0" w:type="dxa"/>
            <w:vAlign w:val="bottom"/>
          </w:tcPr>
          <w:p>
            <w:pPr>
              <w:spacing w:after="0"/>
              <w:rPr>
                <w:sz w:val="1"/>
                <w:szCs w:val="1"/>
                <w:color w:val="auto"/>
              </w:rPr>
            </w:pPr>
          </w:p>
        </w:tc>
      </w:tr>
      <w:tr>
        <w:trPr>
          <w:trHeight w:val="196"/>
        </w:trPr>
        <w:tc>
          <w:tcPr>
            <w:tcW w:w="3140" w:type="dxa"/>
            <w:vAlign w:val="bottom"/>
            <w:gridSpan w:val="2"/>
          </w:tcPr>
          <w:p>
            <w:pPr>
              <w:spacing w:after="0"/>
              <w:rPr>
                <w:sz w:val="20"/>
                <w:szCs w:val="20"/>
                <w:color w:val="auto"/>
              </w:rPr>
            </w:pPr>
            <w:r>
              <w:rPr>
                <w:rFonts w:ascii="Arial" w:cs="Arial" w:eastAsia="Arial" w:hAnsi="Arial"/>
                <w:sz w:val="16"/>
                <w:szCs w:val="16"/>
                <w:color w:val="auto"/>
              </w:rPr>
              <w:t>2007</w:t>
            </w:r>
          </w:p>
        </w:tc>
        <w:tc>
          <w:tcPr>
            <w:tcW w:w="260" w:type="dxa"/>
            <w:vAlign w:val="bottom"/>
          </w:tcPr>
          <w:p>
            <w:pPr>
              <w:spacing w:after="0"/>
              <w:rPr>
                <w:sz w:val="17"/>
                <w:szCs w:val="17"/>
                <w:color w:val="auto"/>
              </w:rPr>
            </w:pPr>
          </w:p>
        </w:tc>
        <w:tc>
          <w:tcPr>
            <w:tcW w:w="840" w:type="dxa"/>
            <w:vAlign w:val="bottom"/>
            <w:gridSpan w:val="2"/>
          </w:tcPr>
          <w:p>
            <w:pPr>
              <w:jc w:val="right"/>
              <w:ind w:right="359"/>
              <w:spacing w:after="0"/>
              <w:rPr>
                <w:sz w:val="20"/>
                <w:szCs w:val="20"/>
                <w:color w:val="auto"/>
              </w:rPr>
            </w:pPr>
            <w:r>
              <w:rPr>
                <w:rFonts w:ascii="Arial" w:cs="Arial" w:eastAsia="Arial" w:hAnsi="Arial"/>
                <w:sz w:val="16"/>
                <w:szCs w:val="16"/>
                <w:color w:val="auto"/>
              </w:rPr>
              <w:t>2008</w:t>
            </w:r>
          </w:p>
        </w:tc>
        <w:tc>
          <w:tcPr>
            <w:tcW w:w="660" w:type="dxa"/>
            <w:vAlign w:val="bottom"/>
            <w:gridSpan w:val="2"/>
          </w:tcPr>
          <w:p>
            <w:pPr>
              <w:jc w:val="right"/>
              <w:ind w:right="133"/>
              <w:spacing w:after="0"/>
              <w:rPr>
                <w:sz w:val="20"/>
                <w:szCs w:val="20"/>
                <w:color w:val="auto"/>
              </w:rPr>
            </w:pPr>
            <w:r>
              <w:rPr>
                <w:rFonts w:ascii="Arial" w:cs="Arial" w:eastAsia="Arial" w:hAnsi="Arial"/>
                <w:sz w:val="16"/>
                <w:szCs w:val="16"/>
                <w:color w:val="auto"/>
              </w:rPr>
              <w:t>2009</w:t>
            </w:r>
          </w:p>
        </w:tc>
        <w:tc>
          <w:tcPr>
            <w:tcW w:w="1000" w:type="dxa"/>
            <w:vAlign w:val="bottom"/>
            <w:gridSpan w:val="2"/>
          </w:tcPr>
          <w:p>
            <w:pPr>
              <w:jc w:val="right"/>
              <w:ind w:right="212"/>
              <w:spacing w:after="0"/>
              <w:rPr>
                <w:sz w:val="20"/>
                <w:szCs w:val="20"/>
                <w:color w:val="auto"/>
              </w:rPr>
            </w:pPr>
            <w:r>
              <w:rPr>
                <w:rFonts w:ascii="Arial" w:cs="Arial" w:eastAsia="Arial" w:hAnsi="Arial"/>
                <w:sz w:val="16"/>
                <w:szCs w:val="16"/>
                <w:color w:val="auto"/>
              </w:rPr>
              <w:t>2010</w:t>
            </w:r>
          </w:p>
        </w:tc>
        <w:tc>
          <w:tcPr>
            <w:tcW w:w="820" w:type="dxa"/>
            <w:vAlign w:val="bottom"/>
            <w:gridSpan w:val="2"/>
          </w:tcPr>
          <w:p>
            <w:pPr>
              <w:jc w:val="right"/>
              <w:ind w:right="50"/>
              <w:spacing w:after="0"/>
              <w:rPr>
                <w:sz w:val="20"/>
                <w:szCs w:val="20"/>
                <w:color w:val="auto"/>
              </w:rPr>
            </w:pPr>
            <w:r>
              <w:rPr>
                <w:rFonts w:ascii="Arial" w:cs="Arial" w:eastAsia="Arial" w:hAnsi="Arial"/>
                <w:sz w:val="16"/>
                <w:szCs w:val="16"/>
                <w:color w:val="auto"/>
              </w:rPr>
              <w:t>2011</w:t>
            </w:r>
          </w:p>
        </w:tc>
        <w:tc>
          <w:tcPr>
            <w:tcW w:w="940" w:type="dxa"/>
            <w:vAlign w:val="bottom"/>
            <w:gridSpan w:val="2"/>
          </w:tcPr>
          <w:p>
            <w:pPr>
              <w:ind w:left="500"/>
              <w:spacing w:after="0"/>
              <w:rPr>
                <w:sz w:val="20"/>
                <w:szCs w:val="20"/>
                <w:color w:val="auto"/>
              </w:rPr>
            </w:pPr>
            <w:r>
              <w:rPr>
                <w:rFonts w:ascii="Arial" w:cs="Arial" w:eastAsia="Arial" w:hAnsi="Arial"/>
                <w:sz w:val="16"/>
                <w:szCs w:val="16"/>
                <w:color w:val="auto"/>
              </w:rPr>
              <w:t>After</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ind w:right="452"/>
              <w:spacing w:after="0"/>
              <w:rPr>
                <w:sz w:val="20"/>
                <w:szCs w:val="20"/>
                <w:color w:val="auto"/>
              </w:rPr>
            </w:pPr>
            <w:r>
              <w:rPr>
                <w:rFonts w:ascii="Arial" w:cs="Arial" w:eastAsia="Arial" w:hAnsi="Arial"/>
                <w:sz w:val="16"/>
                <w:szCs w:val="16"/>
                <w:color w:val="auto"/>
              </w:rPr>
              <w:t>Total</w:t>
            </w: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Value</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312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940" w:type="dxa"/>
            <w:vAlign w:val="bottom"/>
            <w:tcBorders>
              <w:top w:val="single" w:sz="8" w:color="auto"/>
            </w:tcBorders>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Long-term debt:</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20" w:type="dxa"/>
            <w:vAlign w:val="bottom"/>
          </w:tcPr>
          <w:p>
            <w:pPr>
              <w:ind w:left="160"/>
              <w:spacing w:after="0" w:line="202" w:lineRule="exact"/>
              <w:rPr>
                <w:sz w:val="20"/>
                <w:szCs w:val="20"/>
                <w:color w:val="auto"/>
              </w:rPr>
            </w:pPr>
            <w:r>
              <w:rPr>
                <w:rFonts w:ascii="Arial" w:cs="Arial" w:eastAsia="Arial" w:hAnsi="Arial"/>
                <w:sz w:val="18"/>
                <w:szCs w:val="18"/>
                <w:color w:val="auto"/>
              </w:rPr>
              <w:t>Variable rate debt</w:t>
            </w:r>
          </w:p>
        </w:tc>
        <w:tc>
          <w:tcPr>
            <w:tcW w:w="1100" w:type="dxa"/>
            <w:vAlign w:val="bottom"/>
            <w:gridSpan w:val="3"/>
          </w:tcPr>
          <w:p>
            <w:pPr>
              <w:jc w:val="right"/>
              <w:ind w:right="299"/>
              <w:spacing w:after="0" w:line="202" w:lineRule="exact"/>
              <w:rPr>
                <w:sz w:val="20"/>
                <w:szCs w:val="20"/>
                <w:color w:val="auto"/>
              </w:rPr>
            </w:pPr>
            <w:r>
              <w:rPr>
                <w:rFonts w:ascii="Arial" w:cs="Arial" w:eastAsia="Arial" w:hAnsi="Arial"/>
                <w:sz w:val="18"/>
                <w:szCs w:val="18"/>
                <w:color w:val="auto"/>
              </w:rPr>
              <w:t>$82.6</w:t>
            </w:r>
          </w:p>
        </w:tc>
        <w:tc>
          <w:tcPr>
            <w:tcW w:w="660" w:type="dxa"/>
            <w:vAlign w:val="bottom"/>
            <w:gridSpan w:val="2"/>
          </w:tcPr>
          <w:p>
            <w:pPr>
              <w:jc w:val="right"/>
              <w:ind w:right="93"/>
              <w:spacing w:after="0" w:line="202" w:lineRule="exact"/>
              <w:rPr>
                <w:sz w:val="20"/>
                <w:szCs w:val="20"/>
                <w:color w:val="auto"/>
              </w:rPr>
            </w:pPr>
            <w:r>
              <w:rPr>
                <w:rFonts w:ascii="Arial" w:cs="Arial" w:eastAsia="Arial" w:hAnsi="Arial"/>
                <w:sz w:val="18"/>
                <w:szCs w:val="18"/>
                <w:color w:val="auto"/>
              </w:rPr>
              <w:t>$84.0</w:t>
            </w:r>
          </w:p>
        </w:tc>
        <w:tc>
          <w:tcPr>
            <w:tcW w:w="1000" w:type="dxa"/>
            <w:vAlign w:val="bottom"/>
            <w:gridSpan w:val="2"/>
          </w:tcPr>
          <w:p>
            <w:pPr>
              <w:jc w:val="right"/>
              <w:ind w:right="112"/>
              <w:spacing w:after="0" w:line="202" w:lineRule="exact"/>
              <w:rPr>
                <w:sz w:val="20"/>
                <w:szCs w:val="20"/>
                <w:color w:val="auto"/>
              </w:rPr>
            </w:pPr>
            <w:r>
              <w:rPr>
                <w:rFonts w:ascii="Arial" w:cs="Arial" w:eastAsia="Arial" w:hAnsi="Arial"/>
                <w:sz w:val="18"/>
                <w:szCs w:val="18"/>
                <w:color w:val="auto"/>
              </w:rPr>
              <w:t>$154.0</w:t>
            </w: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$193.2</w:t>
            </w:r>
          </w:p>
        </w:tc>
        <w:tc>
          <w:tcPr>
            <w:tcW w:w="940" w:type="dxa"/>
            <w:vAlign w:val="bottom"/>
            <w:gridSpan w:val="2"/>
          </w:tcPr>
          <w:p>
            <w:pPr>
              <w:ind w:left="380"/>
              <w:spacing w:after="0" w:line="202" w:lineRule="exact"/>
              <w:rPr>
                <w:sz w:val="20"/>
                <w:szCs w:val="20"/>
                <w:color w:val="auto"/>
              </w:rPr>
            </w:pPr>
            <w:r>
              <w:rPr>
                <w:rFonts w:ascii="Arial" w:cs="Arial" w:eastAsia="Arial" w:hAnsi="Arial"/>
                <w:sz w:val="18"/>
                <w:szCs w:val="18"/>
                <w:color w:val="auto"/>
                <w:w w:val="98"/>
              </w:rPr>
              <w:t>$578.4</w:t>
            </w:r>
          </w:p>
        </w:tc>
        <w:tc>
          <w:tcPr>
            <w:tcW w:w="300" w:type="dxa"/>
            <w:vAlign w:val="bottom"/>
          </w:tcPr>
          <w:p>
            <w:pPr>
              <w:spacing w:after="0"/>
              <w:rPr>
                <w:sz w:val="17"/>
                <w:szCs w:val="17"/>
                <w:color w:val="auto"/>
              </w:rPr>
            </w:pPr>
          </w:p>
        </w:tc>
        <w:tc>
          <w:tcPr>
            <w:tcW w:w="1200" w:type="dxa"/>
            <w:vAlign w:val="bottom"/>
            <w:gridSpan w:val="2"/>
          </w:tcPr>
          <w:p>
            <w:pPr>
              <w:jc w:val="right"/>
              <w:ind w:right="272"/>
              <w:spacing w:after="0" w:line="202" w:lineRule="exact"/>
              <w:rPr>
                <w:sz w:val="20"/>
                <w:szCs w:val="20"/>
                <w:color w:val="auto"/>
              </w:rPr>
            </w:pPr>
            <w:r>
              <w:rPr>
                <w:rFonts w:ascii="Arial" w:cs="Arial" w:eastAsia="Arial" w:hAnsi="Arial"/>
                <w:sz w:val="18"/>
                <w:szCs w:val="18"/>
                <w:color w:val="auto"/>
              </w:rPr>
              <w:t>$1,092.2</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$1,092.2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Average rate</w:t>
            </w:r>
          </w:p>
        </w:tc>
        <w:tc>
          <w:tcPr>
            <w:tcW w:w="1100" w:type="dxa"/>
            <w:vAlign w:val="bottom"/>
            <w:gridSpan w:val="3"/>
            <w:shd w:val="clear" w:color="auto" w:fill="CCEEFF"/>
          </w:tcPr>
          <w:p>
            <w:pPr>
              <w:jc w:val="right"/>
              <w:ind w:right="139"/>
              <w:spacing w:after="0" w:line="202" w:lineRule="exact"/>
              <w:rPr>
                <w:sz w:val="20"/>
                <w:szCs w:val="20"/>
                <w:color w:val="auto"/>
              </w:rPr>
            </w:pPr>
            <w:r>
              <w:rPr>
                <w:rFonts w:ascii="Arial" w:cs="Arial" w:eastAsia="Arial" w:hAnsi="Arial"/>
                <w:sz w:val="18"/>
                <w:szCs w:val="18"/>
                <w:color w:val="auto"/>
              </w:rPr>
              <w:t>6.5%</w:t>
            </w: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w:t>
            </w:r>
          </w:p>
        </w:tc>
        <w:tc>
          <w:tcPr>
            <w:tcW w:w="4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w:t>
            </w:r>
          </w:p>
        </w:tc>
        <w:tc>
          <w:tcPr>
            <w:tcW w:w="5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12"/>
              <w:spacing w:after="0" w:line="202" w:lineRule="exact"/>
              <w:rPr>
                <w:sz w:val="20"/>
                <w:szCs w:val="20"/>
                <w:color w:val="auto"/>
              </w:rPr>
            </w:pPr>
            <w:r>
              <w:rPr>
                <w:rFonts w:ascii="Arial" w:cs="Arial" w:eastAsia="Arial" w:hAnsi="Arial"/>
                <w:sz w:val="18"/>
                <w:szCs w:val="18"/>
                <w:color w:val="auto"/>
              </w:rPr>
              <w:t>6.5%</w:t>
            </w:r>
          </w:p>
        </w:tc>
        <w:tc>
          <w:tcPr>
            <w:tcW w:w="62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6.5%</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6.5%</w:t>
            </w: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20" w:type="dxa"/>
            <w:vAlign w:val="bottom"/>
          </w:tcPr>
          <w:p>
            <w:pPr>
              <w:spacing w:after="0" w:line="202" w:lineRule="exact"/>
              <w:rPr>
                <w:sz w:val="20"/>
                <w:szCs w:val="20"/>
                <w:color w:val="auto"/>
              </w:rPr>
            </w:pPr>
            <w:r>
              <w:rPr>
                <w:rFonts w:ascii="Arial" w:cs="Arial" w:eastAsia="Arial" w:hAnsi="Arial"/>
                <w:sz w:val="18"/>
                <w:szCs w:val="18"/>
                <w:color w:val="auto"/>
              </w:rPr>
              <w:t>Interest rate derivatives:</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120" w:type="dxa"/>
            <w:vAlign w:val="bottom"/>
            <w:shd w:val="clear" w:color="auto" w:fill="CCEEFF"/>
          </w:tcPr>
          <w:p>
            <w:pPr>
              <w:ind w:left="160"/>
              <w:spacing w:after="0" w:line="180" w:lineRule="exact"/>
              <w:rPr>
                <w:sz w:val="20"/>
                <w:szCs w:val="20"/>
                <w:color w:val="auto"/>
              </w:rPr>
            </w:pPr>
            <w:r>
              <w:rPr>
                <w:rFonts w:ascii="Arial" w:cs="Arial" w:eastAsia="Arial" w:hAnsi="Arial"/>
                <w:sz w:val="18"/>
                <w:szCs w:val="18"/>
                <w:color w:val="auto"/>
              </w:rPr>
              <w:t>Interest rate swaps based on U.S.</w:t>
            </w: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Dollar, Euro and GBP LIBOR</w:t>
            </w:r>
          </w:p>
        </w:tc>
        <w:tc>
          <w:tcPr>
            <w:tcW w:w="1100" w:type="dxa"/>
            <w:vAlign w:val="bottom"/>
            <w:gridSpan w:val="3"/>
            <w:shd w:val="clear" w:color="auto" w:fill="CCEEFF"/>
          </w:tcPr>
          <w:p>
            <w:pPr>
              <w:jc w:val="right"/>
              <w:ind w:right="299"/>
              <w:spacing w:after="0"/>
              <w:rPr>
                <w:sz w:val="20"/>
                <w:szCs w:val="20"/>
                <w:color w:val="auto"/>
              </w:rPr>
            </w:pPr>
            <w:r>
              <w:rPr>
                <w:rFonts w:ascii="Arial" w:cs="Arial" w:eastAsia="Arial" w:hAnsi="Arial"/>
                <w:sz w:val="18"/>
                <w:szCs w:val="18"/>
                <w:color w:val="auto"/>
              </w:rPr>
              <w:t>$ 1.9</w:t>
            </w:r>
          </w:p>
        </w:tc>
        <w:tc>
          <w:tcPr>
            <w:tcW w:w="660" w:type="dxa"/>
            <w:vAlign w:val="bottom"/>
            <w:gridSpan w:val="2"/>
            <w:shd w:val="clear" w:color="auto" w:fill="CCEEFF"/>
          </w:tcPr>
          <w:p>
            <w:pPr>
              <w:jc w:val="right"/>
              <w:ind w:right="33"/>
              <w:spacing w:after="0"/>
              <w:rPr>
                <w:sz w:val="20"/>
                <w:szCs w:val="20"/>
                <w:color w:val="auto"/>
              </w:rPr>
            </w:pPr>
            <w:r>
              <w:rPr>
                <w:rFonts w:ascii="Arial" w:cs="Arial" w:eastAsia="Arial" w:hAnsi="Arial"/>
                <w:sz w:val="18"/>
                <w:szCs w:val="18"/>
                <w:color w:val="auto"/>
                <w:w w:val="99"/>
              </w:rPr>
              <w:t>$ (0.9)</w:t>
            </w:r>
          </w:p>
        </w:tc>
        <w:tc>
          <w:tcPr>
            <w:tcW w:w="4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7"/>
              </w:rPr>
              <w:t>(1.4)</w:t>
            </w:r>
          </w:p>
        </w:tc>
        <w:tc>
          <w:tcPr>
            <w:tcW w:w="5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7"/>
              </w:rPr>
              <w:t>(3.7)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(4.1)</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   (4.1)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20" w:type="dxa"/>
            <w:vAlign w:val="bottom"/>
          </w:tcPr>
          <w:p>
            <w:pPr>
              <w:ind w:left="160"/>
              <w:spacing w:after="0"/>
              <w:rPr>
                <w:sz w:val="20"/>
                <w:szCs w:val="20"/>
                <w:color w:val="auto"/>
              </w:rPr>
            </w:pPr>
            <w:r>
              <w:rPr>
                <w:rFonts w:ascii="Arial" w:cs="Arial" w:eastAsia="Arial" w:hAnsi="Arial"/>
                <w:sz w:val="18"/>
                <w:szCs w:val="18"/>
                <w:color w:val="auto"/>
              </w:rPr>
              <w:t>Average rate</w:t>
            </w:r>
          </w:p>
        </w:tc>
        <w:tc>
          <w:tcPr>
            <w:tcW w:w="1100" w:type="dxa"/>
            <w:vAlign w:val="bottom"/>
            <w:gridSpan w:val="3"/>
          </w:tcPr>
          <w:p>
            <w:pPr>
              <w:jc w:val="right"/>
              <w:ind w:right="139"/>
              <w:spacing w:after="0"/>
              <w:rPr>
                <w:sz w:val="20"/>
                <w:szCs w:val="20"/>
                <w:color w:val="auto"/>
              </w:rPr>
            </w:pPr>
            <w:r>
              <w:rPr>
                <w:rFonts w:ascii="Arial" w:cs="Arial" w:eastAsia="Arial" w:hAnsi="Arial"/>
                <w:sz w:val="18"/>
                <w:szCs w:val="18"/>
                <w:color w:val="auto"/>
              </w:rPr>
              <w:t>3.87%</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4.90%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4.87%</w:t>
            </w:r>
          </w:p>
        </w:tc>
        <w:tc>
          <w:tcPr>
            <w:tcW w:w="50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50"/>
              <w:spacing w:after="0"/>
              <w:rPr>
                <w:sz w:val="20"/>
                <w:szCs w:val="20"/>
                <w:color w:val="auto"/>
              </w:rPr>
            </w:pPr>
            <w:r>
              <w:rPr>
                <w:rFonts w:ascii="Arial" w:cs="Arial" w:eastAsia="Arial" w:hAnsi="Arial"/>
                <w:sz w:val="18"/>
                <w:szCs w:val="18"/>
                <w:color w:val="auto"/>
              </w:rPr>
              <w:t>5.20%</w:t>
            </w:r>
          </w:p>
        </w:tc>
        <w:tc>
          <w:tcPr>
            <w:tcW w:w="260" w:type="dxa"/>
            <w:vAlign w:val="bottom"/>
          </w:tcPr>
          <w:p>
            <w:pPr>
              <w:spacing w:after="0"/>
              <w:rPr>
                <w:sz w:val="21"/>
                <w:szCs w:val="21"/>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4.71%</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700" w:right="460" w:firstLine="402"/>
        <w:spacing w:after="0" w:line="276" w:lineRule="auto"/>
        <w:rPr>
          <w:sz w:val="20"/>
          <w:szCs w:val="20"/>
          <w:color w:val="auto"/>
        </w:rPr>
      </w:pPr>
      <w:r>
        <w:rPr>
          <w:rFonts w:ascii="Arial" w:cs="Arial" w:eastAsia="Arial" w:hAnsi="Arial"/>
          <w:sz w:val="18"/>
          <w:szCs w:val="18"/>
          <w:color w:val="auto"/>
        </w:rPr>
        <w:t>Excluded from the information provided above are $20.5 million and $25.6 million at September 30, 2008 and 2007, respectively, of miscellaneous debt instruments.</w:t>
      </w:r>
    </w:p>
    <w:p>
      <w:pPr>
        <w:spacing w:after="0" w:line="161"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Other Market Risks</w:t>
      </w:r>
    </w:p>
    <w:p>
      <w:pPr>
        <w:spacing w:after="0" w:line="124" w:lineRule="exact"/>
        <w:rPr>
          <w:sz w:val="20"/>
          <w:szCs w:val="20"/>
          <w:color w:val="auto"/>
        </w:rPr>
      </w:pPr>
    </w:p>
    <w:p>
      <w:pPr>
        <w:ind w:left="700" w:right="60" w:firstLine="402"/>
        <w:spacing w:after="0" w:line="245" w:lineRule="auto"/>
        <w:rPr>
          <w:sz w:val="20"/>
          <w:szCs w:val="20"/>
          <w:color w:val="auto"/>
        </w:rPr>
      </w:pPr>
      <w:r>
        <w:rPr>
          <w:rFonts w:ascii="Arial" w:cs="Arial" w:eastAsia="Arial" w:hAnsi="Arial"/>
          <w:sz w:val="18"/>
          <w:szCs w:val="18"/>
          <w:color w:val="auto"/>
        </w:rPr>
        <w:t>Our market risk associated with foreign currency rates is not considered to be material. Through fiscal 2008, we had only minor amounts of transactions that were denominated in currencies other than the currency of the country of origin. We use foreign currency swap contracts to manage the exchange rate risk associated with intercompany loans with foreign subsidiaries that are denominated in U.S. dollars. At September 30, 2008, the notational amount of outstanding contracts was $86.4 million with a fair value of</w:t>
      </w:r>
    </w:p>
    <w:p>
      <w:pPr>
        <w:spacing w:after="0" w:line="11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1"/>
          <w:szCs w:val="11"/>
          <w:b w:val="1"/>
          <w:bCs w:val="1"/>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-78105</wp:posOffset>
            </wp:positionV>
            <wp:extent cx="19748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240" w:top="415" w:right="91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hyperlink w:anchor="page6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($0.4) million. At September 30, 2007, the notional amount of outstanding contracts was $101.5 million with a fair value of</w:t>
      </w:r>
    </w:p>
    <w:p>
      <w:pPr>
        <w:spacing w:after="0" w:line="1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($1.3) million.</w:t>
      </w:r>
    </w:p>
    <w:p>
      <w:pPr>
        <w:spacing w:after="0" w:line="95" w:lineRule="exact"/>
        <w:rPr>
          <w:sz w:val="20"/>
          <w:szCs w:val="20"/>
          <w:color w:val="auto"/>
        </w:rPr>
      </w:pPr>
    </w:p>
    <w:p>
      <w:pPr>
        <w:ind w:left="700" w:right="60" w:firstLine="402"/>
        <w:spacing w:after="0" w:line="256" w:lineRule="auto"/>
        <w:rPr>
          <w:sz w:val="20"/>
          <w:szCs w:val="20"/>
          <w:color w:val="auto"/>
        </w:rPr>
      </w:pPr>
      <w:r>
        <w:rPr>
          <w:rFonts w:ascii="Arial" w:cs="Arial" w:eastAsia="Arial" w:hAnsi="Arial"/>
          <w:sz w:val="17"/>
          <w:szCs w:val="17"/>
          <w:color w:val="auto"/>
        </w:rPr>
        <w:t>We are subject to market risk from fluctuating prices of certain raw materials, including urea, resins, fuel, grass seed and wild bird food components. Our objectives surrounding the procurement of these materials are to ensure continuous supply and to minimize costs. We seek to achieve these objectives through negotiation of contracts with favorable terms directly with vendors. In addition, in 2007 we entered into arrangements to partially mitigate the effect of fluctuating direct and indirect fuel costs on our Global Consumer and Scotts LawnService</w:t>
      </w:r>
      <w:r>
        <w:rPr>
          <w:rFonts w:ascii="Arial" w:cs="Arial" w:eastAsia="Arial" w:hAnsi="Arial"/>
          <w:sz w:val="14"/>
          <w:szCs w:val="14"/>
          <w:color w:val="auto"/>
        </w:rPr>
        <w:t>®</w:t>
      </w:r>
      <w:r>
        <w:rPr>
          <w:rFonts w:ascii="Arial" w:cs="Arial" w:eastAsia="Arial" w:hAnsi="Arial"/>
          <w:sz w:val="17"/>
          <w:szCs w:val="17"/>
          <w:color w:val="auto"/>
        </w:rPr>
        <w:t xml:space="preserve"> businesses and hedged a portion of our urea needs for fiscal 2008. We had outstanding a strip of collars for approximately 0.5 million gallons of fuel at September 30, 2007. There were no outstanding derivatives for fuel at September 30, 2008. We also had hedging arrangements for 48,500 and 45,000 aggregate tons of urea at September 30, 2008 and 2007, respectively. The fair value of the 48,500 aggregate tons at September 30, 2008 was ($8.5) million, while the fair value of the 45,000 aggregate tons at September 30, 2007 was $1.0 million.</w:t>
      </w:r>
    </w:p>
    <w:p>
      <w:pPr>
        <w:spacing w:after="0" w:line="174" w:lineRule="exact"/>
        <w:rPr>
          <w:sz w:val="20"/>
          <w:szCs w:val="20"/>
          <w:color w:val="auto"/>
        </w:rPr>
      </w:pPr>
    </w:p>
    <w:p>
      <w:pPr>
        <w:ind w:left="700"/>
        <w:spacing w:after="0"/>
        <w:tabs>
          <w:tab w:leader="none" w:pos="1480" w:val="left"/>
        </w:tabs>
        <w:rPr>
          <w:sz w:val="20"/>
          <w:szCs w:val="20"/>
          <w:color w:val="auto"/>
        </w:rPr>
      </w:pPr>
      <w:r>
        <w:rPr>
          <w:rFonts w:ascii="Arial" w:cs="Arial" w:eastAsia="Arial" w:hAnsi="Arial"/>
          <w:sz w:val="18"/>
          <w:szCs w:val="18"/>
          <w:b w:val="1"/>
          <w:bCs w:val="1"/>
          <w:u w:val="single" w:color="auto"/>
          <w:color w:val="auto"/>
        </w:rPr>
        <w:t>ITEM 8.</w:t>
      </w:r>
      <w:r>
        <w:rPr>
          <w:sz w:val="20"/>
          <w:szCs w:val="20"/>
          <w:color w:val="auto"/>
        </w:rPr>
        <w:tab/>
      </w:r>
      <w:r>
        <w:rPr>
          <w:rFonts w:ascii="Arial" w:cs="Arial" w:eastAsia="Arial" w:hAnsi="Arial"/>
          <w:sz w:val="17"/>
          <w:szCs w:val="17"/>
          <w:b w:val="1"/>
          <w:bCs w:val="1"/>
          <w:u w:val="single" w:color="auto"/>
          <w:color w:val="auto"/>
        </w:rPr>
        <w:t>FINANCIAL STATEMENTS AND SUPPLEMENTARY DATA</w:t>
      </w:r>
    </w:p>
    <w:p>
      <w:pPr>
        <w:spacing w:after="0" w:line="119" w:lineRule="exact"/>
        <w:rPr>
          <w:sz w:val="20"/>
          <w:szCs w:val="20"/>
          <w:color w:val="auto"/>
        </w:rPr>
      </w:pPr>
    </w:p>
    <w:p>
      <w:pPr>
        <w:ind w:left="700" w:right="340" w:firstLine="402"/>
        <w:spacing w:after="0" w:line="255" w:lineRule="auto"/>
        <w:rPr>
          <w:sz w:val="20"/>
          <w:szCs w:val="20"/>
          <w:color w:val="auto"/>
        </w:rPr>
      </w:pPr>
      <w:r>
        <w:rPr>
          <w:rFonts w:ascii="Arial" w:cs="Arial" w:eastAsia="Arial" w:hAnsi="Arial"/>
          <w:sz w:val="18"/>
          <w:szCs w:val="18"/>
          <w:color w:val="auto"/>
        </w:rPr>
        <w:t>The financial statements and other information required by this Item are contained in the consolidated financial statements, notes thereto and schedule listed in the “Index to Consolidated Financial Statements and Financial Statement Schedule” on page 62 of this Annual Report on Form 10-K.</w:t>
      </w:r>
    </w:p>
    <w:p>
      <w:pPr>
        <w:spacing w:after="0" w:line="176" w:lineRule="exact"/>
        <w:rPr>
          <w:sz w:val="20"/>
          <w:szCs w:val="20"/>
          <w:color w:val="auto"/>
        </w:rPr>
      </w:pPr>
    </w:p>
    <w:p>
      <w:pPr>
        <w:ind w:left="1500" w:right="1040" w:hanging="809"/>
        <w:spacing w:after="0" w:line="288" w:lineRule="auto"/>
        <w:tabs>
          <w:tab w:leader="none" w:pos="1480" w:val="left"/>
        </w:tabs>
        <w:rPr>
          <w:sz w:val="20"/>
          <w:szCs w:val="20"/>
          <w:color w:val="auto"/>
        </w:rPr>
      </w:pPr>
      <w:r>
        <w:rPr>
          <w:rFonts w:ascii="Arial" w:cs="Arial" w:eastAsia="Arial" w:hAnsi="Arial"/>
          <w:sz w:val="18"/>
          <w:szCs w:val="18"/>
          <w:b w:val="1"/>
          <w:bCs w:val="1"/>
          <w:u w:val="single" w:color="auto"/>
          <w:color w:val="auto"/>
        </w:rPr>
        <w:t>ITEM 9.</w:t>
        <w:tab/>
        <w:t>CHANGES IN AND DISAGREEMENTS WITH ACCOUNTANTS ON ACCOUNTING AND FINANCIAL DISCLOSURE</w:t>
      </w:r>
    </w:p>
    <w:p>
      <w:pPr>
        <w:spacing w:after="0" w:line="3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None.</w:t>
      </w:r>
    </w:p>
    <w:p>
      <w:pPr>
        <w:spacing w:after="0" w:line="223" w:lineRule="exact"/>
        <w:rPr>
          <w:sz w:val="20"/>
          <w:szCs w:val="20"/>
          <w:color w:val="auto"/>
        </w:rPr>
      </w:pPr>
    </w:p>
    <w:p>
      <w:pPr>
        <w:ind w:left="700"/>
        <w:spacing w:after="0"/>
        <w:rPr>
          <w:sz w:val="20"/>
          <w:szCs w:val="20"/>
          <w:color w:val="auto"/>
        </w:rPr>
      </w:pPr>
      <w:r>
        <w:rPr>
          <w:rFonts w:ascii="Arial" w:cs="Arial" w:eastAsia="Arial" w:hAnsi="Arial"/>
          <w:sz w:val="18"/>
          <w:szCs w:val="18"/>
          <w:b w:val="1"/>
          <w:bCs w:val="1"/>
          <w:u w:val="single" w:color="auto"/>
          <w:color w:val="auto"/>
        </w:rPr>
        <w:t>ITEM 9A.  CONTROLS AND PROCEDURES</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19" w:lineRule="exact"/>
        <w:rPr>
          <w:sz w:val="20"/>
          <w:szCs w:val="20"/>
          <w:color w:val="auto"/>
        </w:rPr>
      </w:pPr>
    </w:p>
    <w:p>
      <w:pPr>
        <w:ind w:left="700" w:firstLine="402"/>
        <w:spacing w:after="0" w:line="245" w:lineRule="auto"/>
        <w:rPr>
          <w:sz w:val="20"/>
          <w:szCs w:val="20"/>
          <w:color w:val="auto"/>
        </w:rPr>
      </w:pPr>
      <w:r>
        <w:rPr>
          <w:rFonts w:ascii="Arial" w:cs="Arial" w:eastAsia="Arial" w:hAnsi="Arial"/>
          <w:sz w:val="18"/>
          <w:szCs w:val="18"/>
          <w:color w:val="auto"/>
        </w:rPr>
        <w:t>With the participation of the principal executive officer and the principal financial officer of The Scotts Miracle-Gro Company (the “Registrant”), the Registrant’s management has evaluated the effectiveness of the Registrant’s disclosure controls and procedures (as defined in Rule 13a-15(e) under the Securities Exchange Act of 1934 (the “Exchange Act”)), as of the end of the fiscal year covered by this Annual Report on Form 10-K. Based upon that evaluation, the Registrant’s principal executive officer and principal financial officer have concluded that:</w:t>
      </w:r>
    </w:p>
    <w:p>
      <w:pPr>
        <w:spacing w:after="0" w:line="78" w:lineRule="exact"/>
        <w:rPr>
          <w:sz w:val="20"/>
          <w:szCs w:val="20"/>
          <w:color w:val="auto"/>
        </w:rPr>
      </w:pPr>
    </w:p>
    <w:p>
      <w:pPr>
        <w:ind w:left="1300" w:right="160" w:hanging="202"/>
        <w:spacing w:after="0" w:line="248"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information required to be disclosed by the Registrant in this Annual Report on Form 10-K and the other reports that the Registrant files or submits under the Exchange Act would be accumulated and communicated to the Registrant’s management, including its principal executive officer and principal financial officer, as appropriate to allow timely decisions regarding required disclosure;</w:t>
      </w:r>
    </w:p>
    <w:p>
      <w:pPr>
        <w:spacing w:after="0" w:line="62" w:lineRule="exact"/>
        <w:rPr>
          <w:rFonts w:ascii="Arial" w:cs="Arial" w:eastAsia="Arial" w:hAnsi="Arial"/>
          <w:sz w:val="18"/>
          <w:szCs w:val="18"/>
          <w:color w:val="auto"/>
        </w:rPr>
      </w:pPr>
    </w:p>
    <w:p>
      <w:pPr>
        <w:ind w:left="1300" w:right="220" w:hanging="202"/>
        <w:spacing w:after="0" w:line="255"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information required to be disclosed by the Registrant in this Annual Report on Form 10-K and the other reports that the Registrant files or submits under the Exchange Act would be recorded, processed, summarized and reported within the time periods specified in the SEC’s rules and forms; and</w:t>
      </w:r>
    </w:p>
    <w:p>
      <w:pPr>
        <w:spacing w:after="0" w:line="56" w:lineRule="exact"/>
        <w:rPr>
          <w:rFonts w:ascii="Arial" w:cs="Arial" w:eastAsia="Arial" w:hAnsi="Arial"/>
          <w:sz w:val="18"/>
          <w:szCs w:val="18"/>
          <w:color w:val="auto"/>
        </w:rPr>
      </w:pPr>
    </w:p>
    <w:p>
      <w:pPr>
        <w:ind w:left="1300" w:right="460" w:hanging="202"/>
        <w:spacing w:after="0" w:line="276"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disclosure controls and procedures were effective as of the end of the fiscal year covered by this Annual Report on Form 10-K.</w:t>
      </w:r>
    </w:p>
    <w:p>
      <w:pPr>
        <w:spacing w:after="0" w:line="157"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19" w:lineRule="exact"/>
        <w:rPr>
          <w:sz w:val="20"/>
          <w:szCs w:val="20"/>
          <w:color w:val="auto"/>
        </w:rPr>
      </w:pPr>
    </w:p>
    <w:p>
      <w:pPr>
        <w:ind w:left="700" w:right="580" w:firstLine="402"/>
        <w:spacing w:after="0" w:line="276" w:lineRule="auto"/>
        <w:rPr>
          <w:sz w:val="20"/>
          <w:szCs w:val="20"/>
          <w:color w:val="auto"/>
        </w:rPr>
      </w:pPr>
      <w:r>
        <w:rPr>
          <w:rFonts w:ascii="Arial" w:cs="Arial" w:eastAsia="Arial" w:hAnsi="Arial"/>
          <w:sz w:val="18"/>
          <w:szCs w:val="18"/>
          <w:color w:val="auto"/>
        </w:rPr>
        <w:t>The “Annual Report of Management on Internal Control Over Financial Reporting” required by Item 308(a) of SEC Regulation S-K is included on page 63 of this Annual Report on Form 10-K.</w:t>
      </w:r>
    </w:p>
    <w:p>
      <w:pPr>
        <w:spacing w:after="0" w:line="8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1"/>
          <w:szCs w:val="11"/>
          <w:b w:val="1"/>
          <w:bCs w:val="1"/>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-78105</wp:posOffset>
            </wp:positionV>
            <wp:extent cx="19748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20"/>
          </w:cols>
          <w:pgMar w:left="240" w:top="415" w:right="93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hyperlink w:anchor="page64">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Attestation Report of Independent Registered Public Accounting Firm</w:t>
      </w:r>
    </w:p>
    <w:p>
      <w:pPr>
        <w:spacing w:after="0" w:line="119" w:lineRule="exact"/>
        <w:rPr>
          <w:sz w:val="20"/>
          <w:szCs w:val="20"/>
          <w:color w:val="auto"/>
        </w:rPr>
      </w:pPr>
    </w:p>
    <w:p>
      <w:pPr>
        <w:ind w:left="700" w:right="580" w:firstLine="402"/>
        <w:spacing w:after="0" w:line="276" w:lineRule="auto"/>
        <w:rPr>
          <w:sz w:val="20"/>
          <w:szCs w:val="20"/>
          <w:color w:val="auto"/>
        </w:rPr>
      </w:pPr>
      <w:r>
        <w:rPr>
          <w:rFonts w:ascii="Arial" w:cs="Arial" w:eastAsia="Arial" w:hAnsi="Arial"/>
          <w:sz w:val="18"/>
          <w:szCs w:val="18"/>
          <w:color w:val="auto"/>
        </w:rPr>
        <w:t>The “Report of Independent Registered Public Accounting Firm” required by Item 308(b) of SEC Regulation S-K is included on page 64 of this Annual Report on Form 10-K.</w:t>
      </w:r>
    </w:p>
    <w:p>
      <w:pPr>
        <w:spacing w:after="0" w:line="157"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19" w:lineRule="exact"/>
        <w:rPr>
          <w:sz w:val="20"/>
          <w:szCs w:val="20"/>
          <w:color w:val="auto"/>
        </w:rPr>
      </w:pPr>
    </w:p>
    <w:p>
      <w:pPr>
        <w:jc w:val="both"/>
        <w:ind w:left="700" w:firstLine="402"/>
        <w:spacing w:after="0" w:line="255" w:lineRule="auto"/>
        <w:rPr>
          <w:sz w:val="20"/>
          <w:szCs w:val="20"/>
          <w:color w:val="auto"/>
        </w:rPr>
      </w:pPr>
      <w:r>
        <w:rPr>
          <w:rFonts w:ascii="Arial" w:cs="Arial" w:eastAsia="Arial" w:hAnsi="Arial"/>
          <w:sz w:val="18"/>
          <w:szCs w:val="18"/>
          <w:color w:val="auto"/>
        </w:rPr>
        <w:t>There were no changes in the Registrant’s internal control over financial reporting (as defined in Rule 13a-15(f) under the Exchange Act) that occurred during the Registrant’s fiscal quarter ended September 30, 2008, that have materially affected, or are reasonably likely to materially affect, the Registrant’s internal control over financial reporting.</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8"/>
          <w:szCs w:val="18"/>
          <w:b w:val="1"/>
          <w:bCs w:val="1"/>
          <w:u w:val="single" w:color="auto"/>
          <w:color w:val="auto"/>
        </w:rPr>
        <w:t>ITEM 9B.  OTHER INFORMATION</w:t>
      </w:r>
    </w:p>
    <w:p>
      <w:pPr>
        <w:spacing w:after="0" w:line="11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None.</w:t>
      </w:r>
    </w:p>
    <w:p>
      <w:pPr>
        <w:spacing w:after="0" w:line="15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1"/>
          <w:szCs w:val="11"/>
          <w:b w:val="1"/>
          <w:bCs w:val="1"/>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-78105</wp:posOffset>
            </wp:positionV>
            <wp:extent cx="19748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240" w:top="415" w:right="91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hyperlink w:anchor="page64">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b w:val="1"/>
          <w:bCs w:val="1"/>
          <w:u w:val="single" w:color="auto"/>
          <w:color w:val="auto"/>
        </w:rPr>
        <w:t>ITEM 10. DIRECTORS, EXECUTIVE OFFICERS AND CORPORATE GOVERNANCE</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Directors, Executive Officers and Persons Nominated or Chosen to Become Directors or Executive Officers</w:t>
      </w:r>
    </w:p>
    <w:p>
      <w:pPr>
        <w:spacing w:after="0" w:line="119" w:lineRule="exact"/>
        <w:rPr>
          <w:sz w:val="20"/>
          <w:szCs w:val="20"/>
          <w:color w:val="auto"/>
        </w:rPr>
      </w:pPr>
    </w:p>
    <w:p>
      <w:pPr>
        <w:ind w:left="700" w:right="120" w:firstLine="402"/>
        <w:spacing w:after="0" w:line="241" w:lineRule="auto"/>
        <w:rPr>
          <w:sz w:val="20"/>
          <w:szCs w:val="20"/>
          <w:color w:val="auto"/>
        </w:rPr>
      </w:pPr>
      <w:r>
        <w:rPr>
          <w:rFonts w:ascii="Arial" w:cs="Arial" w:eastAsia="Arial" w:hAnsi="Arial"/>
          <w:sz w:val="18"/>
          <w:szCs w:val="18"/>
          <w:color w:val="auto"/>
        </w:rPr>
        <w:t>The information required by Item 401 of SEC Regulation S-K concerning the directors of The Scotts Miracle-Gro Company (“Scotts Miracle-Gro” or the “Registrant”) and the nominees for re-election as directors of Scotts Miracle-Gro at the Annual Meeting of Shareholders to be held on January 22, 2009 (the “2009 Annual Meeting”) is incorporated herein by reference from the disclosure which will be included under the caption “PROPOSAL NUMBER 1 — ELECTION OF DIRECTORS” in Scotts Miracle-Gro’s definitive Proxy Statement relating to the 2009 Annual Meeting (“Scotts Miracle-Gro’s Definitive Proxy Statement”), which will be filed pursuant to SEC Regulation 14A not later than 120 days after the end of Scotts Miracle-Gro’s fiscal year ended September 30, 2008.</w:t>
      </w:r>
    </w:p>
    <w:p>
      <w:pPr>
        <w:spacing w:after="0" w:line="85" w:lineRule="exact"/>
        <w:rPr>
          <w:sz w:val="20"/>
          <w:szCs w:val="20"/>
          <w:color w:val="auto"/>
        </w:rPr>
      </w:pPr>
    </w:p>
    <w:p>
      <w:pPr>
        <w:ind w:left="700" w:right="200" w:firstLine="402"/>
        <w:spacing w:after="0" w:line="255" w:lineRule="auto"/>
        <w:rPr>
          <w:sz w:val="20"/>
          <w:szCs w:val="20"/>
          <w:color w:val="auto"/>
        </w:rPr>
      </w:pPr>
      <w:r>
        <w:rPr>
          <w:rFonts w:ascii="Arial" w:cs="Arial" w:eastAsia="Arial" w:hAnsi="Arial"/>
          <w:sz w:val="18"/>
          <w:szCs w:val="18"/>
          <w:color w:val="auto"/>
        </w:rPr>
        <w:t>The information required by Item 401 of SEC Regulation S-K concerning the executive officers of Scotts Miracle-Gro is incorporated herein by reference from the disclosure included under the caption “SUPPLEMENTAL ITEM. EXECUTIVE OFFICERS OF THE REGISTRANT” in Part I of this Annual Report on Form 10-K.</w:t>
      </w:r>
    </w:p>
    <w:p>
      <w:pPr>
        <w:spacing w:after="0" w:line="176"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Compliance with Section 16(a) of the Securities Exchange Act of 1934</w:t>
      </w:r>
    </w:p>
    <w:p>
      <w:pPr>
        <w:spacing w:after="0" w:line="119" w:lineRule="exact"/>
        <w:rPr>
          <w:sz w:val="20"/>
          <w:szCs w:val="20"/>
          <w:color w:val="auto"/>
        </w:rPr>
      </w:pPr>
    </w:p>
    <w:p>
      <w:pPr>
        <w:ind w:left="700" w:right="60" w:firstLine="402"/>
        <w:spacing w:after="0" w:line="255" w:lineRule="auto"/>
        <w:rPr>
          <w:sz w:val="20"/>
          <w:szCs w:val="20"/>
          <w:color w:val="auto"/>
        </w:rPr>
      </w:pPr>
      <w:r>
        <w:rPr>
          <w:rFonts w:ascii="Arial" w:cs="Arial" w:eastAsia="Arial" w:hAnsi="Arial"/>
          <w:sz w:val="18"/>
          <w:szCs w:val="18"/>
          <w:color w:val="auto"/>
        </w:rPr>
        <w:t>The information required by Item 405 of SEC Regulation S-K is incorporated herein by reference from the disclosure which will be included under the caption “SECTION 16(a) BENEFICIAL OWNERSHIP REPORTING COMPLIANCE” in Scotts Miracle-Gro’s Definitive Proxy Statement.</w:t>
      </w:r>
    </w:p>
    <w:p>
      <w:pPr>
        <w:spacing w:after="0" w:line="176"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Procedures for Recommending Director Nominees</w:t>
      </w:r>
    </w:p>
    <w:p>
      <w:pPr>
        <w:spacing w:after="0" w:line="119" w:lineRule="exact"/>
        <w:rPr>
          <w:sz w:val="20"/>
          <w:szCs w:val="20"/>
          <w:color w:val="auto"/>
        </w:rPr>
      </w:pPr>
    </w:p>
    <w:p>
      <w:pPr>
        <w:ind w:left="700" w:firstLine="402"/>
        <w:spacing w:after="0" w:line="243" w:lineRule="auto"/>
        <w:rPr>
          <w:sz w:val="20"/>
          <w:szCs w:val="20"/>
          <w:color w:val="auto"/>
        </w:rPr>
      </w:pPr>
      <w:r>
        <w:rPr>
          <w:rFonts w:ascii="Arial" w:cs="Arial" w:eastAsia="Arial" w:hAnsi="Arial"/>
          <w:sz w:val="18"/>
          <w:szCs w:val="18"/>
          <w:color w:val="auto"/>
        </w:rPr>
        <w:t>Information concerning the procedures by which shareholders of Scotts Miracle-Gro may recommend nominees to Scotts Miracle-Gro’s Board of Directors is incorporated herein by reference from the disclosures which will be included under the captions “CORPORATE GOVERNANCE — Nominations of Directors” and “MEETINGS AND COMMITTEES OF THE BOARD — Committees of the Board — Governance and Nominating Committee” in Scotts Miracle-Gro’s Definitive Proxy Statement. These procedures have not materially changed from those described in Scotts Miracle-Gro’s definitive Proxy Statement for the 2008 Annual Meeting of Shareholders held on January 31, 2008.</w:t>
      </w:r>
    </w:p>
    <w:p>
      <w:pPr>
        <w:spacing w:after="0" w:line="186"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Audit Committee</w:t>
      </w:r>
    </w:p>
    <w:p>
      <w:pPr>
        <w:spacing w:after="0" w:line="119" w:lineRule="exact"/>
        <w:rPr>
          <w:sz w:val="20"/>
          <w:szCs w:val="20"/>
          <w:color w:val="auto"/>
        </w:rPr>
      </w:pPr>
    </w:p>
    <w:p>
      <w:pPr>
        <w:ind w:left="700" w:right="300" w:firstLine="402"/>
        <w:spacing w:after="0" w:line="255" w:lineRule="auto"/>
        <w:rPr>
          <w:sz w:val="20"/>
          <w:szCs w:val="20"/>
          <w:color w:val="auto"/>
        </w:rPr>
      </w:pPr>
      <w:r>
        <w:rPr>
          <w:rFonts w:ascii="Arial" w:cs="Arial" w:eastAsia="Arial" w:hAnsi="Arial"/>
          <w:sz w:val="18"/>
          <w:szCs w:val="18"/>
          <w:color w:val="auto"/>
        </w:rPr>
        <w:t>The information required by Items 407(d)(4) and 407(d)(5) of SEC Regulation S-K is incorporated herein by reference from the disclosure which will be included under the caption “MEETINGS AND COMMITTEES OF THE BOARD — Committees of the Board — Audit Committee” in Scotts Miracle-Gro’s Definitive Proxy Statement.</w:t>
      </w:r>
    </w:p>
    <w:p>
      <w:pPr>
        <w:spacing w:after="0" w:line="176"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Committee Charters; Code of Business Conduct and Ethics; Corporate Governance Guidelines</w:t>
      </w:r>
    </w:p>
    <w:p>
      <w:pPr>
        <w:spacing w:after="0" w:line="119" w:lineRule="exact"/>
        <w:rPr>
          <w:sz w:val="20"/>
          <w:szCs w:val="20"/>
          <w:color w:val="auto"/>
        </w:rPr>
      </w:pPr>
    </w:p>
    <w:p>
      <w:pPr>
        <w:ind w:left="700" w:right="180" w:firstLine="402"/>
        <w:spacing w:after="0" w:line="248" w:lineRule="auto"/>
        <w:rPr>
          <w:sz w:val="20"/>
          <w:szCs w:val="20"/>
          <w:color w:val="auto"/>
        </w:rPr>
      </w:pPr>
      <w:r>
        <w:rPr>
          <w:rFonts w:ascii="Arial" w:cs="Arial" w:eastAsia="Arial" w:hAnsi="Arial"/>
          <w:sz w:val="18"/>
          <w:szCs w:val="18"/>
          <w:color w:val="auto"/>
        </w:rPr>
        <w:t>The Board of Directors of the Registrant has adopted charters for each of the Audit Committee, the Governance and Nominating Committee, the Compensation and Organization Committee, the Finance Committee and the Innovation &amp; Technology Committee as well as Corporate Governance Guidelines as contemplated by the applicable sections of the New York Stock Exchange Listed Company Manual.</w:t>
      </w:r>
    </w:p>
    <w:p>
      <w:pPr>
        <w:spacing w:after="0" w:line="76" w:lineRule="exact"/>
        <w:rPr>
          <w:sz w:val="20"/>
          <w:szCs w:val="20"/>
          <w:color w:val="auto"/>
        </w:rPr>
      </w:pPr>
    </w:p>
    <w:p>
      <w:pPr>
        <w:ind w:left="700" w:right="20" w:firstLine="402"/>
        <w:spacing w:after="0"/>
        <w:rPr>
          <w:sz w:val="20"/>
          <w:szCs w:val="20"/>
          <w:color w:val="auto"/>
        </w:rPr>
      </w:pPr>
      <w:r>
        <w:rPr>
          <w:rFonts w:ascii="Arial" w:cs="Arial" w:eastAsia="Arial" w:hAnsi="Arial"/>
          <w:sz w:val="18"/>
          <w:szCs w:val="18"/>
          <w:color w:val="auto"/>
        </w:rPr>
        <w:t>In accordance with the requirements of Section 303A.10 of the New York Stock Exchange’s Listed Company Manual, the Board of Directors of the Registrant has adopted a Code of Business Conduct and Ethics covering the members of the Registrant’s Board of Directors and associates (employees) of the Registrant and its subsidiaries, including, without limitation, the Registrant’s principal executive officer, principal financial officer and principal accounting officer. The Registrant intends to disclose the following events, if they occur, on its Internet website located at http://investor.scotts.com within four business days following their occurrence: (A) the date and nature of any amendment to a provision of Scotts Miracle-Gro’s Code of Business Conduct and Ethics that (i) applies to the Registrant’s principal executive officer, principal financial officer, principal accounting officer or controller, or persons performing similar functions, (ii) relates to any element of the code of ethics definition enumerated in Item 406(b) of SEC Regulation S-K, and (iii) is</w:t>
      </w:r>
    </w:p>
    <w:p>
      <w:pPr>
        <w:spacing w:after="0" w:line="11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1"/>
          <w:szCs w:val="11"/>
          <w:b w:val="1"/>
          <w:bCs w:val="1"/>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-78105</wp:posOffset>
            </wp:positionV>
            <wp:extent cx="19748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20"/>
          </w:cols>
          <w:pgMar w:left="240" w:top="415" w:right="93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hyperlink w:anchor="page6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700"/>
        <w:spacing w:after="0" w:line="245" w:lineRule="auto"/>
        <w:rPr>
          <w:sz w:val="20"/>
          <w:szCs w:val="20"/>
          <w:color w:val="auto"/>
        </w:rPr>
      </w:pPr>
      <w:r>
        <w:rPr>
          <w:rFonts w:ascii="Arial" w:cs="Arial" w:eastAsia="Arial" w:hAnsi="Arial"/>
          <w:sz w:val="18"/>
          <w:szCs w:val="18"/>
          <w:color w:val="auto"/>
        </w:rPr>
        <w:t>not a technical, administrative or other non-substantive amendment; and (B) a description (including the nature of the waiver, the name of the person to whom the waiver was granted and the date of the waiver) of any waiver, including an implicit waiver, from a provision of the Code of Business Conduct and Ethics to the Registrant’s principal executive officer, principal financial officer, principal accounting officer or controller, or persons performing similar functions, that relates to one or more of the elements of the code of ethics definition set forth in Item 406(b) of SEC Regulation S-K.</w:t>
      </w:r>
    </w:p>
    <w:p>
      <w:pPr>
        <w:spacing w:after="0" w:line="78" w:lineRule="exact"/>
        <w:rPr>
          <w:sz w:val="20"/>
          <w:szCs w:val="20"/>
          <w:color w:val="auto"/>
        </w:rPr>
      </w:pPr>
    </w:p>
    <w:p>
      <w:pPr>
        <w:ind w:left="700" w:right="80" w:firstLine="402"/>
        <w:spacing w:after="0"/>
        <w:rPr>
          <w:sz w:val="20"/>
          <w:szCs w:val="20"/>
          <w:color w:val="auto"/>
        </w:rPr>
      </w:pPr>
      <w:r>
        <w:rPr>
          <w:rFonts w:ascii="Arial" w:cs="Arial" w:eastAsia="Arial" w:hAnsi="Arial"/>
          <w:sz w:val="18"/>
          <w:szCs w:val="18"/>
          <w:color w:val="auto"/>
        </w:rPr>
        <w:t>The text of the Registrant’s Code of Business Conduct and Ethics, the Registrant’s Corporate Governance Guidelines, the Audit Committee charter, the Governance and Nominating Committee charter, the Compensation and Organization Committee charter, the Finance Committee charter and the Innovation &amp; Technology Committee charter are posted under the “Corporate Governance” link on the Registrant’s Internet website located at http://investor.scotts.com. Interested persons and shareholders of Scotts Miracle-Gro may also obtain copies of each of these documents without charge by writing to The Scotts Miracle-Gro Company, Attention: Corporate Secretary, 14111 Scottslawn Road, Marysville, Ohio 43041. In addition, a copy of the Code of Business Conduct and Ethics, as amended on November 2, 2006, is incorporated by reference in Exhibit 14 to this Annual Report on Form 10-K.</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b w:val="1"/>
          <w:bCs w:val="1"/>
          <w:u w:val="single" w:color="auto"/>
          <w:color w:val="auto"/>
        </w:rPr>
        <w:t>ITEM 11. EXECUTIVE COMPENSATION</w:t>
      </w:r>
    </w:p>
    <w:p>
      <w:pPr>
        <w:spacing w:after="0" w:line="119" w:lineRule="exact"/>
        <w:rPr>
          <w:sz w:val="20"/>
          <w:szCs w:val="20"/>
          <w:color w:val="auto"/>
        </w:rPr>
      </w:pPr>
    </w:p>
    <w:p>
      <w:pPr>
        <w:ind w:left="700" w:right="300" w:firstLine="402"/>
        <w:spacing w:after="0" w:line="255" w:lineRule="auto"/>
        <w:rPr>
          <w:sz w:val="20"/>
          <w:szCs w:val="20"/>
          <w:color w:val="auto"/>
        </w:rPr>
      </w:pPr>
      <w:r>
        <w:rPr>
          <w:rFonts w:ascii="Arial" w:cs="Arial" w:eastAsia="Arial" w:hAnsi="Arial"/>
          <w:sz w:val="18"/>
          <w:szCs w:val="18"/>
          <w:color w:val="auto"/>
        </w:rPr>
        <w:t>The information required by Item 402 of SEC Regulation S-K is incorporated herein by reference from the disclosures which will be included under the captions “EXECUTIVE COMPENSATION” and “NON-EMPLOYEE DIRECTOR COMPENSATION” in Scotts Miracle-Gro’s Definitive Proxy Statement.</w:t>
      </w:r>
    </w:p>
    <w:p>
      <w:pPr>
        <w:spacing w:after="0" w:line="70" w:lineRule="exact"/>
        <w:rPr>
          <w:sz w:val="20"/>
          <w:szCs w:val="20"/>
          <w:color w:val="auto"/>
        </w:rPr>
      </w:pPr>
    </w:p>
    <w:p>
      <w:pPr>
        <w:ind w:left="700" w:right="80" w:firstLine="402"/>
        <w:spacing w:after="0" w:line="255" w:lineRule="auto"/>
        <w:rPr>
          <w:sz w:val="20"/>
          <w:szCs w:val="20"/>
          <w:color w:val="auto"/>
        </w:rPr>
      </w:pPr>
      <w:r>
        <w:rPr>
          <w:rFonts w:ascii="Arial" w:cs="Arial" w:eastAsia="Arial" w:hAnsi="Arial"/>
          <w:sz w:val="18"/>
          <w:szCs w:val="18"/>
          <w:color w:val="auto"/>
        </w:rPr>
        <w:t>The information required by Item 407(e)(4) of SEC Regulation S-K is incorporated herein by reference from the disclosure which will be included under the caption “MEETINGS AND COMMITTEES OF THE BOARD — Compensation and Organization Committee Interlocks and Insider Participation” in Scotts Miracle-Gro’s Definitive Proxy Statement.</w:t>
      </w:r>
    </w:p>
    <w:p>
      <w:pPr>
        <w:spacing w:after="0" w:line="70" w:lineRule="exact"/>
        <w:rPr>
          <w:sz w:val="20"/>
          <w:szCs w:val="20"/>
          <w:color w:val="auto"/>
        </w:rPr>
      </w:pPr>
    </w:p>
    <w:p>
      <w:pPr>
        <w:ind w:left="700" w:right="420" w:firstLine="402"/>
        <w:spacing w:after="0" w:line="255" w:lineRule="auto"/>
        <w:rPr>
          <w:sz w:val="20"/>
          <w:szCs w:val="20"/>
          <w:color w:val="auto"/>
        </w:rPr>
      </w:pPr>
      <w:r>
        <w:rPr>
          <w:rFonts w:ascii="Arial" w:cs="Arial" w:eastAsia="Arial" w:hAnsi="Arial"/>
          <w:sz w:val="18"/>
          <w:szCs w:val="18"/>
          <w:color w:val="auto"/>
        </w:rPr>
        <w:t>The information required by Item 407(e)(5) of SEC Regulation S-K is incorporated herein by reference from the disclosure which will be included under the caption “COMPENSATION AND ORGANIZATION COMMITTEE REPORT” in Scotts Miracle-Gro’s Definitive Proxy Statement.</w:t>
      </w:r>
    </w:p>
    <w:p>
      <w:pPr>
        <w:spacing w:after="0" w:line="176" w:lineRule="exact"/>
        <w:rPr>
          <w:sz w:val="20"/>
          <w:szCs w:val="20"/>
          <w:color w:val="auto"/>
        </w:rPr>
      </w:pPr>
    </w:p>
    <w:p>
      <w:pPr>
        <w:ind w:left="1500" w:right="900" w:hanging="809"/>
        <w:spacing w:after="0" w:line="288" w:lineRule="auto"/>
        <w:rPr>
          <w:sz w:val="20"/>
          <w:szCs w:val="20"/>
          <w:color w:val="auto"/>
        </w:rPr>
      </w:pPr>
      <w:r>
        <w:rPr>
          <w:rFonts w:ascii="Arial" w:cs="Arial" w:eastAsia="Arial" w:hAnsi="Arial"/>
          <w:sz w:val="18"/>
          <w:szCs w:val="18"/>
          <w:b w:val="1"/>
          <w:bCs w:val="1"/>
          <w:u w:val="single" w:color="auto"/>
          <w:color w:val="auto"/>
        </w:rPr>
        <w:t>ITEM 12. SECURITY OWNERSHIP OF CERTAIN BENEFICIAL OWNERS AND MANAGEMENT AND RELATED STOCKHOLDER MATTERS</w:t>
      </w:r>
    </w:p>
    <w:p>
      <w:pPr>
        <w:spacing w:after="0" w:line="30"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Ownership of Common Shares of Scotts Miracle-Gro</w:t>
      </w:r>
    </w:p>
    <w:p>
      <w:pPr>
        <w:spacing w:after="0" w:line="119" w:lineRule="exact"/>
        <w:rPr>
          <w:sz w:val="20"/>
          <w:szCs w:val="20"/>
          <w:color w:val="auto"/>
        </w:rPr>
      </w:pPr>
    </w:p>
    <w:p>
      <w:pPr>
        <w:ind w:left="700" w:right="400" w:firstLine="402"/>
        <w:spacing w:after="0" w:line="255" w:lineRule="auto"/>
        <w:rPr>
          <w:sz w:val="20"/>
          <w:szCs w:val="20"/>
          <w:color w:val="auto"/>
        </w:rPr>
      </w:pPr>
      <w:r>
        <w:rPr>
          <w:rFonts w:ascii="Arial" w:cs="Arial" w:eastAsia="Arial" w:hAnsi="Arial"/>
          <w:sz w:val="18"/>
          <w:szCs w:val="18"/>
          <w:color w:val="auto"/>
        </w:rPr>
        <w:t>The information required by Item 403 of SEC Regulation S-K is incorporated herein by reference from the disclosure which will be included under the caption “BENEFICIAL OWNERSHIP OF SECURITIES OF THE COMPANY” in Scotts Miracle-Gro’s Definitive Proxy Statement.</w:t>
      </w:r>
    </w:p>
    <w:p>
      <w:pPr>
        <w:spacing w:after="0" w:line="176"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19" w:lineRule="exact"/>
        <w:rPr>
          <w:sz w:val="20"/>
          <w:szCs w:val="20"/>
          <w:color w:val="auto"/>
        </w:rPr>
      </w:pPr>
    </w:p>
    <w:p>
      <w:pPr>
        <w:ind w:left="700" w:right="60" w:firstLine="402"/>
        <w:spacing w:after="0" w:line="255" w:lineRule="auto"/>
        <w:rPr>
          <w:sz w:val="20"/>
          <w:szCs w:val="20"/>
          <w:color w:val="auto"/>
        </w:rPr>
      </w:pPr>
      <w:r>
        <w:rPr>
          <w:rFonts w:ascii="Arial" w:cs="Arial" w:eastAsia="Arial" w:hAnsi="Arial"/>
          <w:sz w:val="18"/>
          <w:szCs w:val="18"/>
          <w:color w:val="auto"/>
        </w:rPr>
        <w:t>The information required by Item 201(d) of SEC Regulation S-K is incorporated herein by reference from the disclosure which will be included under the caption “EQUITY COMPENSATION PLAN INFORMATION” in Scotts Miracle-Gro’s Definitive Proxy Statement.</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8"/>
          <w:szCs w:val="18"/>
          <w:b w:val="1"/>
          <w:bCs w:val="1"/>
          <w:u w:val="single" w:color="auto"/>
          <w:color w:val="auto"/>
        </w:rPr>
        <w:t>ITEM 13. CERTAIN RELATIONSHIPS AND RELATED TRANSACTIONS, AND DIRECTOR INDEPENDENCE</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119" w:lineRule="exact"/>
        <w:rPr>
          <w:sz w:val="20"/>
          <w:szCs w:val="20"/>
          <w:color w:val="auto"/>
        </w:rPr>
      </w:pPr>
    </w:p>
    <w:p>
      <w:pPr>
        <w:ind w:left="700" w:right="60" w:firstLine="402"/>
        <w:spacing w:after="0" w:line="248" w:lineRule="auto"/>
        <w:rPr>
          <w:sz w:val="20"/>
          <w:szCs w:val="20"/>
          <w:color w:val="auto"/>
        </w:rPr>
      </w:pPr>
      <w:r>
        <w:rPr>
          <w:rFonts w:ascii="Arial" w:cs="Arial" w:eastAsia="Arial" w:hAnsi="Arial"/>
          <w:sz w:val="18"/>
          <w:szCs w:val="18"/>
          <w:color w:val="auto"/>
        </w:rPr>
        <w:t>The information required by Item 404 of SEC Regulation S-K is incorporated herein by reference from the disclosures which will be included under the captions “PROPOSAL NUMBER 1 — ELECTION OF DIRECTORS,” “BENEFICIAL OWNERSHIP OF SECURITIES OF THE COMPANY” and “CERTAIN RELATIONSHIPS AND RELATED TRANSACTIONS” in Scotts Miracle-Gro’s Definitive Proxy Statement.</w:t>
      </w:r>
    </w:p>
    <w:p>
      <w:pPr>
        <w:spacing w:after="0" w:line="182"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Director Independence</w:t>
      </w:r>
    </w:p>
    <w:p>
      <w:pPr>
        <w:spacing w:after="0" w:line="119" w:lineRule="exact"/>
        <w:rPr>
          <w:sz w:val="20"/>
          <w:szCs w:val="20"/>
          <w:color w:val="auto"/>
        </w:rPr>
      </w:pPr>
    </w:p>
    <w:p>
      <w:pPr>
        <w:ind w:left="700" w:right="80" w:firstLine="402"/>
        <w:spacing w:after="0" w:line="276" w:lineRule="auto"/>
        <w:rPr>
          <w:sz w:val="20"/>
          <w:szCs w:val="20"/>
          <w:color w:val="auto"/>
        </w:rPr>
      </w:pPr>
      <w:r>
        <w:rPr>
          <w:rFonts w:ascii="Arial" w:cs="Arial" w:eastAsia="Arial" w:hAnsi="Arial"/>
          <w:sz w:val="18"/>
          <w:szCs w:val="18"/>
          <w:color w:val="auto"/>
        </w:rPr>
        <w:t>The information required by Item 407(a) of SEC Regulation S-K is incorporated herein by reference from the disclosures which will be included under the captions “CORPORATE GOVERNANCE — Director</w:t>
      </w:r>
    </w:p>
    <w:p>
      <w:pPr>
        <w:spacing w:after="0" w:line="8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1"/>
          <w:szCs w:val="11"/>
          <w:b w:val="1"/>
          <w:bCs w:val="1"/>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-78105</wp:posOffset>
            </wp:positionV>
            <wp:extent cx="19748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20"/>
          </w:cols>
          <w:pgMar w:left="240" w:top="415" w:right="93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hyperlink w:anchor="page6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700" w:right="140"/>
        <w:spacing w:after="0" w:line="276" w:lineRule="auto"/>
        <w:rPr>
          <w:sz w:val="20"/>
          <w:szCs w:val="20"/>
          <w:color w:val="auto"/>
        </w:rPr>
      </w:pPr>
      <w:r>
        <w:rPr>
          <w:rFonts w:ascii="Arial" w:cs="Arial" w:eastAsia="Arial" w:hAnsi="Arial"/>
          <w:sz w:val="18"/>
          <w:szCs w:val="18"/>
          <w:color w:val="auto"/>
        </w:rPr>
        <w:t>Independence” and “CERTAIN RELATIONSHIPS AND RELATED TRANSACTIONS” in Scotts Miracle-Gro’s Definitive Proxy Statement.</w:t>
      </w:r>
    </w:p>
    <w:p>
      <w:pPr>
        <w:spacing w:after="0" w:line="157" w:lineRule="exact"/>
        <w:rPr>
          <w:sz w:val="20"/>
          <w:szCs w:val="20"/>
          <w:color w:val="auto"/>
        </w:rPr>
      </w:pPr>
    </w:p>
    <w:p>
      <w:pPr>
        <w:ind w:left="700"/>
        <w:spacing w:after="0"/>
        <w:rPr>
          <w:sz w:val="20"/>
          <w:szCs w:val="20"/>
          <w:color w:val="auto"/>
        </w:rPr>
      </w:pPr>
      <w:r>
        <w:rPr>
          <w:rFonts w:ascii="Arial" w:cs="Arial" w:eastAsia="Arial" w:hAnsi="Arial"/>
          <w:sz w:val="18"/>
          <w:szCs w:val="18"/>
          <w:b w:val="1"/>
          <w:bCs w:val="1"/>
          <w:u w:val="single" w:color="auto"/>
          <w:color w:val="auto"/>
        </w:rPr>
        <w:t>ITEM 14. PRINCIPAL ACCOUNTANT FEES AND SERVICES</w:t>
      </w:r>
    </w:p>
    <w:p>
      <w:pPr>
        <w:spacing w:after="0" w:line="119" w:lineRule="exact"/>
        <w:rPr>
          <w:sz w:val="20"/>
          <w:szCs w:val="20"/>
          <w:color w:val="auto"/>
        </w:rPr>
      </w:pPr>
    </w:p>
    <w:p>
      <w:pPr>
        <w:ind w:left="700" w:right="180" w:firstLine="402"/>
        <w:spacing w:after="0" w:line="243" w:lineRule="auto"/>
        <w:rPr>
          <w:sz w:val="20"/>
          <w:szCs w:val="20"/>
          <w:color w:val="auto"/>
        </w:rPr>
      </w:pPr>
      <w:r>
        <w:rPr>
          <w:rFonts w:ascii="Arial" w:cs="Arial" w:eastAsia="Arial" w:hAnsi="Arial"/>
          <w:sz w:val="18"/>
          <w:szCs w:val="18"/>
          <w:color w:val="auto"/>
        </w:rPr>
        <w:t>The information required by this Item 14 is incorporated herein by reference from the disclosures which will be included under the captions “PROPOSAL NUMBER 2 — RATIFICATION OF THE SELECTION OF THE INDEPENDENT REGISTERED PUBLIC ACCOUNTING FIRM — Fees of the Independent Registered Public Accounting Firm” and</w:t>
      </w:r>
    </w:p>
    <w:p>
      <w:pPr>
        <w:spacing w:after="0" w:line="1" w:lineRule="exact"/>
        <w:rPr>
          <w:sz w:val="20"/>
          <w:szCs w:val="20"/>
          <w:color w:val="auto"/>
        </w:rPr>
      </w:pPr>
    </w:p>
    <w:p>
      <w:pPr>
        <w:ind w:left="700" w:right="520"/>
        <w:spacing w:after="0" w:line="242" w:lineRule="auto"/>
        <w:rPr>
          <w:sz w:val="20"/>
          <w:szCs w:val="20"/>
          <w:color w:val="auto"/>
        </w:rPr>
      </w:pPr>
      <w:r>
        <w:rPr>
          <w:rFonts w:ascii="Arial" w:cs="Arial" w:eastAsia="Arial" w:hAnsi="Arial"/>
          <w:sz w:val="18"/>
          <w:szCs w:val="18"/>
          <w:color w:val="auto"/>
        </w:rPr>
        <w:t>“PROPOSAL NUMBER 2 — RATIFICATION OF THE SELECTION OF THE INDEPENDENT REGISTERED PUBLIC ACCOUNTING FIRM — Pre-Approval of Services Performed by the Independent Registered Public Accounting Firm” in Scotts Miracle-Gro’s Definitive Proxy Statement.</w:t>
      </w:r>
    </w:p>
    <w:p>
      <w:pPr>
        <w:spacing w:after="0" w:line="295"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b w:val="1"/>
          <w:bCs w:val="1"/>
          <w:u w:val="single" w:color="auto"/>
          <w:color w:val="auto"/>
        </w:rPr>
        <w:t>ITEM 15. EXHIBITS, FINANCIAL STATEMENT SCHEDULES</w:t>
      </w:r>
    </w:p>
    <w:p>
      <w:pPr>
        <w:spacing w:after="0" w:line="119" w:lineRule="exact"/>
        <w:rPr>
          <w:sz w:val="20"/>
          <w:szCs w:val="20"/>
          <w:color w:val="auto"/>
        </w:rPr>
      </w:pPr>
    </w:p>
    <w:p>
      <w:pPr>
        <w:ind w:left="1360" w:hanging="266"/>
        <w:spacing w:after="0"/>
        <w:tabs>
          <w:tab w:leader="none" w:pos="1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LIST OF DOCUMENTS FILED AS PART OF THIS REPORT</w:t>
      </w:r>
    </w:p>
    <w:p>
      <w:pPr>
        <w:spacing w:after="0" w:line="117"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1 and 2. Financial Statements and Financial Statement Schedule:</w:t>
      </w:r>
    </w:p>
    <w:p>
      <w:pPr>
        <w:spacing w:after="0" w:line="117" w:lineRule="exact"/>
        <w:rPr>
          <w:sz w:val="20"/>
          <w:szCs w:val="20"/>
          <w:color w:val="auto"/>
        </w:rPr>
      </w:pPr>
    </w:p>
    <w:p>
      <w:pPr>
        <w:ind w:left="1100" w:right="240" w:firstLine="385"/>
        <w:spacing w:after="0" w:line="255" w:lineRule="auto"/>
        <w:rPr>
          <w:sz w:val="20"/>
          <w:szCs w:val="20"/>
          <w:color w:val="auto"/>
        </w:rPr>
      </w:pPr>
      <w:r>
        <w:rPr>
          <w:rFonts w:ascii="Arial" w:cs="Arial" w:eastAsia="Arial" w:hAnsi="Arial"/>
          <w:sz w:val="18"/>
          <w:szCs w:val="18"/>
          <w:color w:val="auto"/>
        </w:rPr>
        <w:t>The response to this portion of Item 15 is submitted as a separate section of this Annual Report on Form 10-K. Reference is made to the “Index to Consolidated Financial Statements and Financial Statement Schedule” on page 62 herein.</w:t>
      </w:r>
    </w:p>
    <w:p>
      <w:pPr>
        <w:spacing w:after="0" w:line="7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3. Exhibits:</w:t>
      </w:r>
    </w:p>
    <w:p>
      <w:pPr>
        <w:spacing w:after="0" w:line="117" w:lineRule="exact"/>
        <w:rPr>
          <w:sz w:val="20"/>
          <w:szCs w:val="20"/>
          <w:color w:val="auto"/>
        </w:rPr>
      </w:pPr>
    </w:p>
    <w:p>
      <w:pPr>
        <w:ind w:left="1100" w:firstLine="385"/>
        <w:spacing w:after="0" w:line="245" w:lineRule="auto"/>
        <w:rPr>
          <w:sz w:val="20"/>
          <w:szCs w:val="20"/>
          <w:color w:val="auto"/>
        </w:rPr>
      </w:pPr>
      <w:r>
        <w:rPr>
          <w:rFonts w:ascii="Arial" w:cs="Arial" w:eastAsia="Arial" w:hAnsi="Arial"/>
          <w:sz w:val="18"/>
          <w:szCs w:val="18"/>
          <w:color w:val="auto"/>
        </w:rPr>
        <w:t>The exhibits listed on the “Index to Exhibits” beginning on page 113 of this Annual Report on Form 10-K are filed with this Annual Report on Form 10-K or incorporated herein by reference as noted in the “Index to Exhibits.” The following table provides certain information concerning each management contract or compensatory plan or arrangement which is required to be filed as an exhibit to this Annual Report on Form 10-K and which is incorporated herein by reference.</w:t>
      </w:r>
    </w:p>
    <w:p>
      <w:pPr>
        <w:spacing w:after="0" w:line="11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1"/>
          <w:szCs w:val="11"/>
          <w:b w:val="1"/>
          <w:bCs w:val="1"/>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-78105</wp:posOffset>
            </wp:positionV>
            <wp:extent cx="19748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20"/>
          </w:cols>
          <w:pgMar w:left="240" w:top="415" w:right="9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07"/>
        </w:trPr>
        <w:tc>
          <w:tcPr>
            <w:tcW w:w="1840" w:type="dxa"/>
            <w:vAlign w:val="bottom"/>
            <w:gridSpan w:val="3"/>
          </w:tcPr>
          <w:p>
            <w:pPr>
              <w:spacing w:after="0"/>
              <w:rPr>
                <w:rFonts w:ascii="Times New Roman" w:cs="Times New Roman" w:eastAsia="Times New Roman" w:hAnsi="Times New Roman"/>
                <w:sz w:val="18"/>
                <w:szCs w:val="18"/>
                <w:b w:val="1"/>
                <w:bCs w:val="1"/>
                <w:color w:val="0000EE"/>
              </w:rPr>
            </w:pPr>
            <w:hyperlink w:anchor="page64">
              <w:r>
                <w:rPr>
                  <w:rFonts w:ascii="Times New Roman" w:cs="Times New Roman" w:eastAsia="Times New Roman" w:hAnsi="Times New Roman"/>
                  <w:sz w:val="18"/>
                  <w:szCs w:val="18"/>
                  <w:b w:val="1"/>
                  <w:bCs w:val="1"/>
                  <w:color w:val="0000EE"/>
                </w:rPr>
                <w:t>Table of Contents</w:t>
              </w:r>
            </w:hyperlink>
          </w:p>
        </w:tc>
        <w:tc>
          <w:tcPr>
            <w:tcW w:w="28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493"/>
        </w:trPr>
        <w:tc>
          <w:tcPr>
            <w:tcW w:w="70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20" w:type="dxa"/>
            <w:vAlign w:val="bottom"/>
            <w:gridSpan w:val="3"/>
          </w:tcPr>
          <w:p>
            <w:pPr>
              <w:spacing w:after="0"/>
              <w:rPr>
                <w:sz w:val="20"/>
                <w:szCs w:val="20"/>
                <w:color w:val="auto"/>
              </w:rPr>
            </w:pPr>
            <w:r>
              <w:rPr>
                <w:rFonts w:ascii="Arial" w:cs="Arial" w:eastAsia="Arial" w:hAnsi="Arial"/>
                <w:sz w:val="18"/>
                <w:szCs w:val="18"/>
                <w:b w:val="1"/>
                <w:bCs w:val="1"/>
                <w:color w:val="auto"/>
              </w:rPr>
              <w:t>MANAGEMENT CONTRACTS AND COMPENSATORY PLANS AND ARRANGEMENTS</w:t>
            </w:r>
          </w:p>
        </w:tc>
      </w:tr>
      <w:tr>
        <w:trPr>
          <w:trHeight w:val="322"/>
        </w:trPr>
        <w:tc>
          <w:tcPr>
            <w:tcW w:w="700" w:type="dxa"/>
            <w:vAlign w:val="bottom"/>
          </w:tcPr>
          <w:p>
            <w:pPr>
              <w:spacing w:after="0"/>
              <w:rPr>
                <w:sz w:val="24"/>
                <w:szCs w:val="24"/>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9"/>
              </w:rPr>
              <w:t>Exhibit</w:t>
            </w:r>
          </w:p>
        </w:tc>
        <w:tc>
          <w:tcPr>
            <w:tcW w:w="280" w:type="dxa"/>
            <w:vAlign w:val="bottom"/>
          </w:tcPr>
          <w:p>
            <w:pPr>
              <w:spacing w:after="0"/>
              <w:rPr>
                <w:sz w:val="24"/>
                <w:szCs w:val="24"/>
                <w:color w:val="auto"/>
              </w:rPr>
            </w:pPr>
          </w:p>
        </w:tc>
        <w:tc>
          <w:tcPr>
            <w:tcW w:w="5400" w:type="dxa"/>
            <w:vAlign w:val="bottom"/>
            <w:tcBorders>
              <w:top w:val="single" w:sz="8" w:color="auto"/>
            </w:tcBorders>
          </w:tcPr>
          <w:p>
            <w:pPr>
              <w:spacing w:after="0"/>
              <w:rPr>
                <w:sz w:val="24"/>
                <w:szCs w:val="24"/>
                <w:color w:val="auto"/>
              </w:rPr>
            </w:pPr>
          </w:p>
        </w:tc>
        <w:tc>
          <w:tcPr>
            <w:tcW w:w="1780" w:type="dxa"/>
            <w:vAlign w:val="bottom"/>
            <w:tcBorders>
              <w:top w:val="single" w:sz="8" w:color="auto"/>
            </w:tcBorders>
          </w:tcPr>
          <w:p>
            <w:pPr>
              <w:spacing w:after="0"/>
              <w:rPr>
                <w:sz w:val="24"/>
                <w:szCs w:val="24"/>
                <w:color w:val="auto"/>
              </w:rPr>
            </w:pPr>
          </w:p>
        </w:tc>
        <w:tc>
          <w:tcPr>
            <w:tcW w:w="1440" w:type="dxa"/>
            <w:vAlign w:val="bottom"/>
          </w:tcPr>
          <w:p>
            <w:pPr>
              <w:spacing w:after="0"/>
              <w:rPr>
                <w:sz w:val="24"/>
                <w:szCs w:val="24"/>
                <w:color w:val="auto"/>
              </w:rPr>
            </w:pPr>
          </w:p>
        </w:tc>
      </w:tr>
      <w:tr>
        <w:trPr>
          <w:trHeight w:val="239"/>
        </w:trPr>
        <w:tc>
          <w:tcPr>
            <w:tcW w:w="700" w:type="dxa"/>
            <w:vAlign w:val="bottom"/>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9"/>
              </w:rPr>
              <w:t>No.</w:t>
            </w:r>
          </w:p>
        </w:tc>
        <w:tc>
          <w:tcPr>
            <w:tcW w:w="280" w:type="dxa"/>
            <w:vAlign w:val="bottom"/>
            <w:tcBorders>
              <w:bottom w:val="single" w:sz="8" w:color="auto"/>
            </w:tcBorders>
          </w:tcPr>
          <w:p>
            <w:pPr>
              <w:spacing w:after="0"/>
              <w:rPr>
                <w:sz w:val="20"/>
                <w:szCs w:val="20"/>
                <w:color w:val="auto"/>
              </w:rPr>
            </w:pPr>
          </w:p>
        </w:tc>
        <w:tc>
          <w:tcPr>
            <w:tcW w:w="5400" w:type="dxa"/>
            <w:vAlign w:val="bottom"/>
            <w:tcBorders>
              <w:bottom w:val="single" w:sz="8" w:color="auto"/>
            </w:tcBorders>
          </w:tcPr>
          <w:p>
            <w:pPr>
              <w:ind w:left="2200"/>
              <w:spacing w:after="0"/>
              <w:rPr>
                <w:sz w:val="20"/>
                <w:szCs w:val="20"/>
                <w:color w:val="auto"/>
              </w:rPr>
            </w:pPr>
            <w:r>
              <w:rPr>
                <w:rFonts w:ascii="Arial" w:cs="Arial" w:eastAsia="Arial" w:hAnsi="Arial"/>
                <w:sz w:val="18"/>
                <w:szCs w:val="18"/>
                <w:color w:val="auto"/>
              </w:rPr>
              <w:t>Description</w:t>
            </w:r>
          </w:p>
        </w:tc>
        <w:tc>
          <w:tcPr>
            <w:tcW w:w="3220" w:type="dxa"/>
            <w:vAlign w:val="bottom"/>
            <w:tcBorders>
              <w:bottom w:val="single" w:sz="8" w:color="auto"/>
            </w:tcBorders>
            <w:gridSpan w:val="2"/>
          </w:tcPr>
          <w:p>
            <w:pPr>
              <w:ind w:left="1380"/>
              <w:spacing w:after="0"/>
              <w:rPr>
                <w:sz w:val="20"/>
                <w:szCs w:val="20"/>
                <w:color w:val="auto"/>
              </w:rPr>
            </w:pPr>
            <w:r>
              <w:rPr>
                <w:rFonts w:ascii="Arial" w:cs="Arial" w:eastAsia="Arial" w:hAnsi="Arial"/>
                <w:sz w:val="18"/>
                <w:szCs w:val="18"/>
                <w:color w:val="auto"/>
              </w:rPr>
              <w:t>Location</w:t>
            </w:r>
          </w:p>
        </w:tc>
      </w:tr>
      <w:tr>
        <w:trPr>
          <w:trHeight w:val="335"/>
        </w:trPr>
        <w:tc>
          <w:tcPr>
            <w:tcW w:w="1840" w:type="dxa"/>
            <w:vAlign w:val="bottom"/>
            <w:gridSpan w:val="3"/>
          </w:tcPr>
          <w:p>
            <w:pPr>
              <w:ind w:left="700"/>
              <w:spacing w:after="0"/>
              <w:rPr>
                <w:sz w:val="20"/>
                <w:szCs w:val="20"/>
                <w:color w:val="auto"/>
              </w:rPr>
            </w:pPr>
            <w:r>
              <w:rPr>
                <w:rFonts w:ascii="Arial" w:cs="Arial" w:eastAsia="Arial" w:hAnsi="Arial"/>
                <w:sz w:val="18"/>
                <w:szCs w:val="18"/>
                <w:color w:val="auto"/>
              </w:rPr>
              <w:t>10.1(a)</w:t>
            </w:r>
          </w:p>
        </w:tc>
        <w:tc>
          <w:tcPr>
            <w:tcW w:w="5680" w:type="dxa"/>
            <w:vAlign w:val="bottom"/>
            <w:gridSpan w:val="2"/>
          </w:tcPr>
          <w:p>
            <w:pPr>
              <w:ind w:left="280"/>
              <w:spacing w:after="0"/>
              <w:rPr>
                <w:sz w:val="20"/>
                <w:szCs w:val="20"/>
                <w:color w:val="auto"/>
              </w:rPr>
            </w:pPr>
            <w:r>
              <w:rPr>
                <w:rFonts w:ascii="Arial" w:cs="Arial" w:eastAsia="Arial" w:hAnsi="Arial"/>
                <w:sz w:val="18"/>
                <w:szCs w:val="18"/>
                <w:color w:val="auto"/>
              </w:rPr>
              <w:t>The Scotts Company LLC Excess Benefit Plan for Grandfathered</w:t>
            </w:r>
          </w:p>
        </w:tc>
        <w:tc>
          <w:tcPr>
            <w:tcW w:w="3220" w:type="dxa"/>
            <w:vAlign w:val="bottom"/>
            <w:gridSpan w:val="2"/>
          </w:tcPr>
          <w:p>
            <w:pPr>
              <w:ind w:left="220"/>
              <w:spacing w:after="0"/>
              <w:rPr>
                <w:sz w:val="20"/>
                <w:szCs w:val="20"/>
                <w:color w:val="auto"/>
              </w:rPr>
            </w:pPr>
            <w:r>
              <w:rPr>
                <w:rFonts w:ascii="Arial" w:cs="Arial" w:eastAsia="Arial" w:hAnsi="Arial"/>
                <w:sz w:val="18"/>
                <w:szCs w:val="18"/>
                <w:color w:val="auto"/>
              </w:rPr>
              <w:t>Incorporated herein by reference to</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8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Associates as of January 1, 2005 (executed as of September 30,</w:t>
            </w:r>
          </w:p>
        </w:tc>
        <w:tc>
          <w:tcPr>
            <w:tcW w:w="322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the Registrant’s Annual Report on</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8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2008)</w:t>
            </w:r>
          </w:p>
        </w:tc>
        <w:tc>
          <w:tcPr>
            <w:tcW w:w="322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Form 10-K for the fiscal year ended</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322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September 30, 2008 (which was filed</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322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on November 25, 2008) (File No. 1-</w:t>
            </w:r>
          </w:p>
        </w:tc>
      </w:tr>
      <w:tr>
        <w:trPr>
          <w:trHeight w:val="243"/>
        </w:trPr>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400" w:type="dxa"/>
            <w:vAlign w:val="bottom"/>
          </w:tcPr>
          <w:p>
            <w:pPr>
              <w:spacing w:after="0"/>
              <w:rPr>
                <w:sz w:val="21"/>
                <w:szCs w:val="21"/>
                <w:color w:val="auto"/>
              </w:rPr>
            </w:pPr>
          </w:p>
        </w:tc>
        <w:tc>
          <w:tcPr>
            <w:tcW w:w="3220" w:type="dxa"/>
            <w:vAlign w:val="bottom"/>
            <w:gridSpan w:val="2"/>
          </w:tcPr>
          <w:p>
            <w:pPr>
              <w:ind w:left="220"/>
              <w:spacing w:after="0"/>
              <w:rPr>
                <w:sz w:val="20"/>
                <w:szCs w:val="20"/>
                <w:color w:val="auto"/>
              </w:rPr>
            </w:pPr>
            <w:r>
              <w:rPr>
                <w:rFonts w:ascii="Arial" w:cs="Arial" w:eastAsia="Arial" w:hAnsi="Arial"/>
                <w:sz w:val="18"/>
                <w:szCs w:val="18"/>
                <w:color w:val="auto"/>
              </w:rPr>
              <w:t>13292) [Exhibit 10.1(a)]</w:t>
            </w:r>
          </w:p>
        </w:tc>
      </w:tr>
    </w:tbl>
    <w:p>
      <w:pPr>
        <w:spacing w:after="0" w:line="63" w:lineRule="exact"/>
        <w:rPr>
          <w:sz w:val="20"/>
          <w:szCs w:val="20"/>
          <w:color w:val="auto"/>
        </w:rPr>
      </w:pPr>
    </w:p>
    <w:p>
      <w:pPr>
        <w:sectPr>
          <w:pgSz w:w="11900" w:h="16838" w:orient="portrait"/>
          <w:cols w:equalWidth="0" w:num="1">
            <w:col w:w="10740"/>
          </w:cols>
          <w:pgMar w:left="240" w:top="405" w:right="919" w:bottom="1440" w:gutter="0" w:footer="0" w:header="0"/>
        </w:sectPr>
      </w:pPr>
    </w:p>
    <w:tbl>
      <w:tblPr>
        <w:tblLayout w:type="fixed"/>
        <w:tblInd w:w="70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Arial" w:cs="Arial" w:eastAsia="Arial" w:hAnsi="Arial"/>
                <w:sz w:val="18"/>
                <w:szCs w:val="18"/>
                <w:color w:val="auto"/>
              </w:rPr>
              <w:t>10.1(b)</w:t>
            </w:r>
          </w:p>
        </w:tc>
        <w:tc>
          <w:tcPr>
            <w:tcW w:w="5560" w:type="dxa"/>
            <w:vAlign w:val="bottom"/>
          </w:tcPr>
          <w:p>
            <w:pPr>
              <w:ind w:left="420"/>
              <w:spacing w:after="0"/>
              <w:rPr>
                <w:sz w:val="20"/>
                <w:szCs w:val="20"/>
                <w:color w:val="auto"/>
              </w:rPr>
            </w:pPr>
            <w:r>
              <w:rPr>
                <w:rFonts w:ascii="Arial" w:cs="Arial" w:eastAsia="Arial" w:hAnsi="Arial"/>
                <w:sz w:val="18"/>
                <w:szCs w:val="18"/>
                <w:color w:val="auto"/>
              </w:rPr>
              <w:t>The Scotts Company LLC Excess Benefit Plan for Non</w:t>
            </w:r>
          </w:p>
        </w:tc>
      </w:tr>
      <w:tr>
        <w:trPr>
          <w:trHeight w:val="203"/>
        </w:trPr>
        <w:tc>
          <w:tcPr>
            <w:tcW w:w="1000" w:type="dxa"/>
            <w:vAlign w:val="bottom"/>
          </w:tcPr>
          <w:p>
            <w:pPr>
              <w:spacing w:after="0"/>
              <w:rPr>
                <w:sz w:val="17"/>
                <w:szCs w:val="17"/>
                <w:color w:val="auto"/>
              </w:rPr>
            </w:pPr>
          </w:p>
        </w:tc>
        <w:tc>
          <w:tcPr>
            <w:tcW w:w="5560" w:type="dxa"/>
            <w:vAlign w:val="bottom"/>
          </w:tcPr>
          <w:p>
            <w:pPr>
              <w:ind w:left="420"/>
              <w:spacing w:after="0" w:line="202" w:lineRule="exact"/>
              <w:rPr>
                <w:sz w:val="20"/>
                <w:szCs w:val="20"/>
                <w:color w:val="auto"/>
              </w:rPr>
            </w:pPr>
            <w:r>
              <w:rPr>
                <w:rFonts w:ascii="Arial" w:cs="Arial" w:eastAsia="Arial" w:hAnsi="Arial"/>
                <w:sz w:val="18"/>
                <w:szCs w:val="18"/>
                <w:color w:val="auto"/>
                <w:w w:val="99"/>
              </w:rPr>
              <w:t>Grandfathered Associates as of January 1, 2005 (executed as of</w:t>
            </w:r>
          </w:p>
        </w:tc>
      </w:tr>
      <w:tr>
        <w:trPr>
          <w:trHeight w:val="243"/>
        </w:trPr>
        <w:tc>
          <w:tcPr>
            <w:tcW w:w="1000" w:type="dxa"/>
            <w:vAlign w:val="bottom"/>
          </w:tcPr>
          <w:p>
            <w:pPr>
              <w:spacing w:after="0"/>
              <w:rPr>
                <w:sz w:val="21"/>
                <w:szCs w:val="21"/>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November 20, 2008)</w:t>
            </w:r>
          </w:p>
        </w:tc>
      </w:tr>
    </w:tbl>
    <w:p>
      <w:pPr>
        <w:spacing w:after="0" w:line="20" w:lineRule="exact"/>
        <w:rPr>
          <w:sz w:val="20"/>
          <w:szCs w:val="20"/>
          <w:color w:val="auto"/>
        </w:rPr>
      </w:pPr>
      <w:r>
        <w:rPr>
          <w:sz w:val="20"/>
          <w:szCs w:val="20"/>
          <w:color w:val="auto"/>
        </w:rPr>
        <w:br w:type="column"/>
      </w:r>
    </w:p>
    <w:p>
      <w:pPr>
        <w:ind w:right="60"/>
        <w:spacing w:after="0" w:line="243"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2008 (which was filed on November 25, 2008) (File No. 1-13292) [Exhibit 10.1(b)]</w:t>
      </w:r>
    </w:p>
    <w:p>
      <w:pPr>
        <w:spacing w:after="0" w:line="62" w:lineRule="exact"/>
        <w:rPr>
          <w:sz w:val="20"/>
          <w:szCs w:val="20"/>
          <w:color w:val="auto"/>
        </w:rPr>
      </w:pPr>
    </w:p>
    <w:p>
      <w:pPr>
        <w:sectPr>
          <w:pgSz w:w="11900" w:h="16838" w:orient="portrait"/>
          <w:cols w:equalWidth="0" w:num="2">
            <w:col w:w="7260" w:space="480"/>
            <w:col w:w="3000"/>
          </w:cols>
          <w:pgMar w:left="240" w:top="405" w:right="919" w:bottom="1440" w:gutter="0" w:footer="0" w:header="0"/>
          <w:type w:val="continuous"/>
        </w:sectPr>
      </w:pPr>
    </w:p>
    <w:tbl>
      <w:tblPr>
        <w:tblLayout w:type="fixed"/>
        <w:tblInd w:w="700" w:type="dxa"/>
        <w:tblCellMar>
          <w:top w:w="0" w:type="dxa"/>
          <w:left w:w="0" w:type="dxa"/>
          <w:bottom w:w="0" w:type="dxa"/>
          <w:right w:w="0" w:type="dxa"/>
        </w:tblCellMar>
      </w:tblPr>
      <w:tr>
        <w:trPr>
          <w:trHeight w:val="207"/>
        </w:trPr>
        <w:tc>
          <w:tcPr>
            <w:tcW w:w="1080" w:type="dxa"/>
            <w:vAlign w:val="bottom"/>
          </w:tcPr>
          <w:p>
            <w:pPr>
              <w:spacing w:after="0"/>
              <w:rPr>
                <w:sz w:val="20"/>
                <w:szCs w:val="20"/>
                <w:color w:val="auto"/>
              </w:rPr>
            </w:pPr>
            <w:r>
              <w:rPr>
                <w:rFonts w:ascii="Arial" w:cs="Arial" w:eastAsia="Arial" w:hAnsi="Arial"/>
                <w:sz w:val="18"/>
                <w:szCs w:val="18"/>
                <w:color w:val="auto"/>
              </w:rPr>
              <w:t>10.2(a)(i)</w:t>
            </w:r>
          </w:p>
        </w:tc>
        <w:tc>
          <w:tcPr>
            <w:tcW w:w="5580" w:type="dxa"/>
            <w:vAlign w:val="bottom"/>
          </w:tcPr>
          <w:p>
            <w:pPr>
              <w:ind w:left="340"/>
              <w:spacing w:after="0"/>
              <w:rPr>
                <w:sz w:val="20"/>
                <w:szCs w:val="20"/>
                <w:color w:val="auto"/>
              </w:rPr>
            </w:pPr>
            <w:r>
              <w:rPr>
                <w:rFonts w:ascii="Arial" w:cs="Arial" w:eastAsia="Arial" w:hAnsi="Arial"/>
                <w:sz w:val="18"/>
                <w:szCs w:val="18"/>
                <w:color w:val="auto"/>
              </w:rPr>
              <w:t>The Scotts Company LLC Amended and Restated</w:t>
            </w:r>
          </w:p>
        </w:tc>
      </w:tr>
      <w:tr>
        <w:trPr>
          <w:trHeight w:val="203"/>
        </w:trPr>
        <w:tc>
          <w:tcPr>
            <w:tcW w:w="1080" w:type="dxa"/>
            <w:vAlign w:val="bottom"/>
          </w:tcPr>
          <w:p>
            <w:pPr>
              <w:spacing w:after="0"/>
              <w:rPr>
                <w:sz w:val="17"/>
                <w:szCs w:val="17"/>
                <w:color w:val="auto"/>
              </w:rPr>
            </w:pPr>
          </w:p>
        </w:tc>
        <w:tc>
          <w:tcPr>
            <w:tcW w:w="5580" w:type="dxa"/>
            <w:vAlign w:val="bottom"/>
          </w:tcPr>
          <w:p>
            <w:pPr>
              <w:ind w:left="340"/>
              <w:spacing w:after="0" w:line="202" w:lineRule="exact"/>
              <w:rPr>
                <w:sz w:val="20"/>
                <w:szCs w:val="20"/>
                <w:color w:val="auto"/>
              </w:rPr>
            </w:pPr>
            <w:r>
              <w:rPr>
                <w:rFonts w:ascii="Arial" w:cs="Arial" w:eastAsia="Arial" w:hAnsi="Arial"/>
                <w:sz w:val="18"/>
                <w:szCs w:val="18"/>
                <w:color w:val="auto"/>
                <w:w w:val="99"/>
              </w:rPr>
              <w:t>Executive/Management Incentive Plan (approved on November 7,</w:t>
            </w:r>
          </w:p>
        </w:tc>
      </w:tr>
      <w:tr>
        <w:trPr>
          <w:trHeight w:val="243"/>
        </w:trPr>
        <w:tc>
          <w:tcPr>
            <w:tcW w:w="1080" w:type="dxa"/>
            <w:vAlign w:val="bottom"/>
          </w:tcPr>
          <w:p>
            <w:pPr>
              <w:spacing w:after="0"/>
              <w:rPr>
                <w:sz w:val="21"/>
                <w:szCs w:val="21"/>
                <w:color w:val="auto"/>
              </w:rPr>
            </w:pPr>
          </w:p>
        </w:tc>
        <w:tc>
          <w:tcPr>
            <w:tcW w:w="5580" w:type="dxa"/>
            <w:vAlign w:val="bottom"/>
          </w:tcPr>
          <w:p>
            <w:pPr>
              <w:ind w:left="340"/>
              <w:spacing w:after="0"/>
              <w:rPr>
                <w:sz w:val="20"/>
                <w:szCs w:val="20"/>
                <w:color w:val="auto"/>
              </w:rPr>
            </w:pPr>
            <w:r>
              <w:rPr>
                <w:rFonts w:ascii="Arial" w:cs="Arial" w:eastAsia="Arial" w:hAnsi="Arial"/>
                <w:sz w:val="18"/>
                <w:szCs w:val="18"/>
                <w:color w:val="auto"/>
              </w:rPr>
              <w:t>2007 and effective as of October 30, 2007)</w:t>
            </w:r>
          </w:p>
        </w:tc>
      </w:tr>
    </w:tbl>
    <w:p>
      <w:pPr>
        <w:spacing w:after="0" w:line="20" w:lineRule="exact"/>
        <w:rPr>
          <w:sz w:val="20"/>
          <w:szCs w:val="20"/>
          <w:color w:val="auto"/>
        </w:rPr>
      </w:pPr>
      <w:r>
        <w:rPr>
          <w:sz w:val="20"/>
          <w:szCs w:val="20"/>
          <w:color w:val="auto"/>
        </w:rPr>
        <w:br w:type="column"/>
      </w:r>
    </w:p>
    <w:p>
      <w:pPr>
        <w:ind w:right="180"/>
        <w:spacing w:after="0" w:line="245"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2007 (File No. 1-13292) [Exhibit 10(b)(2)]</w:t>
      </w:r>
    </w:p>
    <w:p>
      <w:pPr>
        <w:spacing w:after="0" w:line="60" w:lineRule="exact"/>
        <w:rPr>
          <w:sz w:val="20"/>
          <w:szCs w:val="20"/>
          <w:color w:val="auto"/>
        </w:rPr>
      </w:pPr>
    </w:p>
    <w:p>
      <w:pPr>
        <w:sectPr>
          <w:pgSz w:w="11900" w:h="16838" w:orient="portrait"/>
          <w:cols w:equalWidth="0" w:num="2">
            <w:col w:w="7360" w:space="380"/>
            <w:col w:w="3000"/>
          </w:cols>
          <w:pgMar w:left="240" w:top="405" w:right="919" w:bottom="1440" w:gutter="0" w:footer="0" w:header="0"/>
          <w:type w:val="continuous"/>
        </w:sectPr>
      </w:pPr>
    </w:p>
    <w:tbl>
      <w:tblPr>
        <w:tblLayout w:type="fixed"/>
        <w:tblInd w:w="70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Arial" w:cs="Arial" w:eastAsia="Arial" w:hAnsi="Arial"/>
                <w:sz w:val="18"/>
                <w:szCs w:val="18"/>
                <w:color w:val="auto"/>
              </w:rPr>
              <w:t>10.2(a)(ii)</w:t>
            </w:r>
          </w:p>
        </w:tc>
        <w:tc>
          <w:tcPr>
            <w:tcW w:w="5540" w:type="dxa"/>
            <w:vAlign w:val="bottom"/>
          </w:tcPr>
          <w:p>
            <w:pPr>
              <w:ind w:left="320"/>
              <w:spacing w:after="0"/>
              <w:rPr>
                <w:sz w:val="20"/>
                <w:szCs w:val="20"/>
                <w:color w:val="auto"/>
              </w:rPr>
            </w:pPr>
            <w:r>
              <w:rPr>
                <w:rFonts w:ascii="Arial" w:cs="Arial" w:eastAsia="Arial" w:hAnsi="Arial"/>
                <w:sz w:val="18"/>
                <w:szCs w:val="18"/>
                <w:color w:val="auto"/>
                <w:w w:val="99"/>
              </w:rPr>
              <w:t>Amendment to The Scotts Company LLC Amended and Restated</w:t>
            </w:r>
          </w:p>
        </w:tc>
      </w:tr>
      <w:tr>
        <w:trPr>
          <w:trHeight w:val="203"/>
        </w:trPr>
        <w:tc>
          <w:tcPr>
            <w:tcW w:w="1100" w:type="dxa"/>
            <w:vAlign w:val="bottom"/>
          </w:tcPr>
          <w:p>
            <w:pPr>
              <w:spacing w:after="0"/>
              <w:rPr>
                <w:sz w:val="17"/>
                <w:szCs w:val="17"/>
                <w:color w:val="auto"/>
              </w:rPr>
            </w:pPr>
          </w:p>
        </w:tc>
        <w:tc>
          <w:tcPr>
            <w:tcW w:w="5540" w:type="dxa"/>
            <w:vAlign w:val="bottom"/>
          </w:tcPr>
          <w:p>
            <w:pPr>
              <w:ind w:left="320"/>
              <w:spacing w:after="0" w:line="202" w:lineRule="exact"/>
              <w:rPr>
                <w:sz w:val="20"/>
                <w:szCs w:val="20"/>
                <w:color w:val="auto"/>
              </w:rPr>
            </w:pPr>
            <w:r>
              <w:rPr>
                <w:rFonts w:ascii="Arial" w:cs="Arial" w:eastAsia="Arial" w:hAnsi="Arial"/>
                <w:sz w:val="18"/>
                <w:szCs w:val="18"/>
                <w:color w:val="auto"/>
              </w:rPr>
              <w:t>Executive/Management Incentive Plan (effective as of November</w:t>
            </w:r>
          </w:p>
        </w:tc>
      </w:tr>
      <w:tr>
        <w:trPr>
          <w:trHeight w:val="203"/>
        </w:trPr>
        <w:tc>
          <w:tcPr>
            <w:tcW w:w="1100" w:type="dxa"/>
            <w:vAlign w:val="bottom"/>
          </w:tcPr>
          <w:p>
            <w:pPr>
              <w:spacing w:after="0"/>
              <w:rPr>
                <w:sz w:val="17"/>
                <w:szCs w:val="17"/>
                <w:color w:val="auto"/>
              </w:rPr>
            </w:pPr>
          </w:p>
        </w:tc>
        <w:tc>
          <w:tcPr>
            <w:tcW w:w="5540" w:type="dxa"/>
            <w:vAlign w:val="bottom"/>
          </w:tcPr>
          <w:p>
            <w:pPr>
              <w:ind w:left="320"/>
              <w:spacing w:after="0" w:line="202" w:lineRule="exact"/>
              <w:rPr>
                <w:sz w:val="20"/>
                <w:szCs w:val="20"/>
                <w:color w:val="auto"/>
              </w:rPr>
            </w:pPr>
            <w:r>
              <w:rPr>
                <w:rFonts w:ascii="Arial" w:cs="Arial" w:eastAsia="Arial" w:hAnsi="Arial"/>
                <w:sz w:val="18"/>
                <w:szCs w:val="18"/>
                <w:color w:val="auto"/>
              </w:rPr>
              <w:t>5, 2008) [amended the name of the plan to be The Scotts</w:t>
            </w:r>
          </w:p>
        </w:tc>
      </w:tr>
      <w:tr>
        <w:trPr>
          <w:trHeight w:val="243"/>
        </w:trPr>
        <w:tc>
          <w:tcPr>
            <w:tcW w:w="1100" w:type="dxa"/>
            <w:vAlign w:val="bottom"/>
          </w:tcPr>
          <w:p>
            <w:pPr>
              <w:spacing w:after="0"/>
              <w:rPr>
                <w:sz w:val="21"/>
                <w:szCs w:val="21"/>
                <w:color w:val="auto"/>
              </w:rPr>
            </w:pPr>
          </w:p>
        </w:tc>
        <w:tc>
          <w:tcPr>
            <w:tcW w:w="5540" w:type="dxa"/>
            <w:vAlign w:val="bottom"/>
          </w:tcPr>
          <w:p>
            <w:pPr>
              <w:ind w:left="320"/>
              <w:spacing w:after="0"/>
              <w:rPr>
                <w:sz w:val="20"/>
                <w:szCs w:val="20"/>
                <w:color w:val="auto"/>
              </w:rPr>
            </w:pPr>
            <w:r>
              <w:rPr>
                <w:rFonts w:ascii="Arial" w:cs="Arial" w:eastAsia="Arial" w:hAnsi="Arial"/>
                <w:sz w:val="18"/>
                <w:szCs w:val="18"/>
                <w:color w:val="auto"/>
              </w:rPr>
              <w:t>Company LLC Amended and Restated Executive Incentive Plan]</w:t>
            </w:r>
          </w:p>
        </w:tc>
      </w:tr>
      <w:tr>
        <w:trPr>
          <w:trHeight w:val="270"/>
        </w:trPr>
        <w:tc>
          <w:tcPr>
            <w:tcW w:w="1100" w:type="dxa"/>
            <w:vAlign w:val="bottom"/>
          </w:tcPr>
          <w:p>
            <w:pPr>
              <w:spacing w:after="0"/>
              <w:rPr>
                <w:sz w:val="20"/>
                <w:szCs w:val="20"/>
                <w:color w:val="auto"/>
              </w:rPr>
            </w:pPr>
            <w:r>
              <w:rPr>
                <w:rFonts w:ascii="Arial" w:cs="Arial" w:eastAsia="Arial" w:hAnsi="Arial"/>
                <w:sz w:val="18"/>
                <w:szCs w:val="18"/>
                <w:color w:val="auto"/>
              </w:rPr>
              <w:t>10.2(b)(i)</w:t>
            </w:r>
          </w:p>
        </w:tc>
        <w:tc>
          <w:tcPr>
            <w:tcW w:w="5540" w:type="dxa"/>
            <w:vAlign w:val="bottom"/>
          </w:tcPr>
          <w:p>
            <w:pPr>
              <w:ind w:left="320"/>
              <w:spacing w:after="0"/>
              <w:rPr>
                <w:sz w:val="20"/>
                <w:szCs w:val="20"/>
                <w:color w:val="auto"/>
              </w:rPr>
            </w:pPr>
            <w:r>
              <w:rPr>
                <w:rFonts w:ascii="Arial" w:cs="Arial" w:eastAsia="Arial" w:hAnsi="Arial"/>
                <w:sz w:val="18"/>
                <w:szCs w:val="18"/>
                <w:color w:val="auto"/>
              </w:rPr>
              <w:t>Specimen form of Employee Confidentiality, Noncompetition,</w:t>
            </w:r>
          </w:p>
        </w:tc>
      </w:tr>
      <w:tr>
        <w:trPr>
          <w:trHeight w:val="203"/>
        </w:trPr>
        <w:tc>
          <w:tcPr>
            <w:tcW w:w="1100" w:type="dxa"/>
            <w:vAlign w:val="bottom"/>
          </w:tcPr>
          <w:p>
            <w:pPr>
              <w:spacing w:after="0"/>
              <w:rPr>
                <w:sz w:val="17"/>
                <w:szCs w:val="17"/>
                <w:color w:val="auto"/>
              </w:rPr>
            </w:pPr>
          </w:p>
        </w:tc>
        <w:tc>
          <w:tcPr>
            <w:tcW w:w="5540" w:type="dxa"/>
            <w:vAlign w:val="bottom"/>
          </w:tcPr>
          <w:p>
            <w:pPr>
              <w:ind w:left="320"/>
              <w:spacing w:after="0" w:line="202" w:lineRule="exact"/>
              <w:rPr>
                <w:sz w:val="20"/>
                <w:szCs w:val="20"/>
                <w:color w:val="auto"/>
              </w:rPr>
            </w:pPr>
            <w:r>
              <w:rPr>
                <w:rFonts w:ascii="Arial" w:cs="Arial" w:eastAsia="Arial" w:hAnsi="Arial"/>
                <w:sz w:val="18"/>
                <w:szCs w:val="18"/>
                <w:color w:val="auto"/>
              </w:rPr>
              <w:t>Nonsolicitation Agreement for employees participating in The</w:t>
            </w:r>
          </w:p>
        </w:tc>
      </w:tr>
      <w:tr>
        <w:trPr>
          <w:trHeight w:val="203"/>
        </w:trPr>
        <w:tc>
          <w:tcPr>
            <w:tcW w:w="1100" w:type="dxa"/>
            <w:vAlign w:val="bottom"/>
          </w:tcPr>
          <w:p>
            <w:pPr>
              <w:spacing w:after="0"/>
              <w:rPr>
                <w:sz w:val="17"/>
                <w:szCs w:val="17"/>
                <w:color w:val="auto"/>
              </w:rPr>
            </w:pPr>
          </w:p>
        </w:tc>
        <w:tc>
          <w:tcPr>
            <w:tcW w:w="5540" w:type="dxa"/>
            <w:vAlign w:val="bottom"/>
          </w:tcPr>
          <w:p>
            <w:pPr>
              <w:ind w:left="320"/>
              <w:spacing w:after="0" w:line="202" w:lineRule="exact"/>
              <w:rPr>
                <w:sz w:val="20"/>
                <w:szCs w:val="20"/>
                <w:color w:val="auto"/>
              </w:rPr>
            </w:pPr>
            <w:r>
              <w:rPr>
                <w:rFonts w:ascii="Arial" w:cs="Arial" w:eastAsia="Arial" w:hAnsi="Arial"/>
                <w:sz w:val="18"/>
                <w:szCs w:val="18"/>
                <w:color w:val="auto"/>
              </w:rPr>
              <w:t>Scotts Company Executive/Management Incentive Plan (now</w:t>
            </w:r>
          </w:p>
        </w:tc>
      </w:tr>
      <w:tr>
        <w:trPr>
          <w:trHeight w:val="203"/>
        </w:trPr>
        <w:tc>
          <w:tcPr>
            <w:tcW w:w="1100" w:type="dxa"/>
            <w:vAlign w:val="bottom"/>
          </w:tcPr>
          <w:p>
            <w:pPr>
              <w:spacing w:after="0"/>
              <w:rPr>
                <w:sz w:val="17"/>
                <w:szCs w:val="17"/>
                <w:color w:val="auto"/>
              </w:rPr>
            </w:pPr>
          </w:p>
        </w:tc>
        <w:tc>
          <w:tcPr>
            <w:tcW w:w="5540" w:type="dxa"/>
            <w:vAlign w:val="bottom"/>
          </w:tcPr>
          <w:p>
            <w:pPr>
              <w:ind w:left="320"/>
              <w:spacing w:after="0" w:line="202" w:lineRule="exact"/>
              <w:rPr>
                <w:sz w:val="20"/>
                <w:szCs w:val="20"/>
                <w:color w:val="auto"/>
              </w:rPr>
            </w:pPr>
            <w:r>
              <w:rPr>
                <w:rFonts w:ascii="Arial" w:cs="Arial" w:eastAsia="Arial" w:hAnsi="Arial"/>
                <w:sz w:val="18"/>
                <w:szCs w:val="18"/>
                <w:color w:val="auto"/>
              </w:rPr>
              <w:t>known as The Scotts Company LLC Amended and Restated</w:t>
            </w:r>
          </w:p>
        </w:tc>
      </w:tr>
      <w:tr>
        <w:trPr>
          <w:trHeight w:val="243"/>
        </w:trPr>
        <w:tc>
          <w:tcPr>
            <w:tcW w:w="1100" w:type="dxa"/>
            <w:vAlign w:val="bottom"/>
          </w:tcPr>
          <w:p>
            <w:pPr>
              <w:spacing w:after="0"/>
              <w:rPr>
                <w:sz w:val="21"/>
                <w:szCs w:val="21"/>
                <w:color w:val="auto"/>
              </w:rPr>
            </w:pPr>
          </w:p>
        </w:tc>
        <w:tc>
          <w:tcPr>
            <w:tcW w:w="5540" w:type="dxa"/>
            <w:vAlign w:val="bottom"/>
          </w:tcPr>
          <w:p>
            <w:pPr>
              <w:ind w:left="320"/>
              <w:spacing w:after="0"/>
              <w:rPr>
                <w:sz w:val="20"/>
                <w:szCs w:val="20"/>
                <w:color w:val="auto"/>
              </w:rPr>
            </w:pPr>
            <w:r>
              <w:rPr>
                <w:rFonts w:ascii="Arial" w:cs="Arial" w:eastAsia="Arial" w:hAnsi="Arial"/>
                <w:sz w:val="18"/>
                <w:szCs w:val="18"/>
                <w:color w:val="auto"/>
              </w:rPr>
              <w:t>Executive Incentive Plan) [2005 version]</w:t>
            </w:r>
          </w:p>
        </w:tc>
      </w:tr>
    </w:tbl>
    <w:p>
      <w:pPr>
        <w:spacing w:after="0" w:line="20" w:lineRule="exact"/>
        <w:rPr>
          <w:sz w:val="20"/>
          <w:szCs w:val="20"/>
          <w:color w:val="auto"/>
        </w:rPr>
      </w:pPr>
      <w:r>
        <w:rPr>
          <w:sz w:val="20"/>
          <w:szCs w:val="20"/>
          <w:color w:val="auto"/>
        </w:rPr>
        <w:br w:type="column"/>
      </w:r>
    </w:p>
    <w:p>
      <w:pPr>
        <w:jc w:val="both"/>
        <w:ind w:right="200"/>
        <w:spacing w:after="0" w:line="268" w:lineRule="auto"/>
        <w:rPr>
          <w:sz w:val="20"/>
          <w:szCs w:val="20"/>
          <w:color w:val="auto"/>
        </w:rPr>
      </w:pPr>
      <w:r>
        <w:rPr>
          <w:rFonts w:ascii="Arial" w:cs="Arial" w:eastAsia="Arial" w:hAnsi="Arial"/>
          <w:sz w:val="17"/>
          <w:szCs w:val="17"/>
          <w:color w:val="auto"/>
        </w:rPr>
        <w:t>Incorporated herein by reference to the Registrant’s Current Report on Form 8-K filed November 12, 2008 (File No. 1-13292) [Exhibit 10.2]</w:t>
      </w:r>
    </w:p>
    <w:p>
      <w:pPr>
        <w:spacing w:after="0" w:line="45"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2008 (which was filed on November 25, 2008) (File No. 1-13292) [Exhibit 10.2(b)(i)]</w:t>
      </w:r>
    </w:p>
    <w:p>
      <w:pPr>
        <w:spacing w:after="0" w:line="62" w:lineRule="exact"/>
        <w:rPr>
          <w:sz w:val="20"/>
          <w:szCs w:val="20"/>
          <w:color w:val="auto"/>
        </w:rPr>
      </w:pPr>
    </w:p>
    <w:p>
      <w:pPr>
        <w:sectPr>
          <w:pgSz w:w="11900" w:h="16838" w:orient="portrait"/>
          <w:cols w:equalWidth="0" w:num="2">
            <w:col w:w="7340" w:space="400"/>
            <w:col w:w="3000"/>
          </w:cols>
          <w:pgMar w:left="240" w:top="405" w:right="919" w:bottom="1440" w:gutter="0" w:footer="0" w:header="0"/>
          <w:type w:val="continuous"/>
        </w:sectPr>
      </w:pPr>
    </w:p>
    <w:tbl>
      <w:tblPr>
        <w:tblLayout w:type="fixed"/>
        <w:tblInd w:w="70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Arial" w:cs="Arial" w:eastAsia="Arial" w:hAnsi="Arial"/>
                <w:sz w:val="18"/>
                <w:szCs w:val="18"/>
                <w:color w:val="auto"/>
              </w:rPr>
              <w:t>10.2(b)(ii)</w:t>
            </w:r>
          </w:p>
        </w:tc>
        <w:tc>
          <w:tcPr>
            <w:tcW w:w="5560" w:type="dxa"/>
            <w:vAlign w:val="bottom"/>
          </w:tcPr>
          <w:p>
            <w:pPr>
              <w:ind w:left="320"/>
              <w:spacing w:after="0"/>
              <w:rPr>
                <w:sz w:val="20"/>
                <w:szCs w:val="20"/>
                <w:color w:val="auto"/>
              </w:rPr>
            </w:pPr>
            <w:r>
              <w:rPr>
                <w:rFonts w:ascii="Arial" w:cs="Arial" w:eastAsia="Arial" w:hAnsi="Arial"/>
                <w:sz w:val="18"/>
                <w:szCs w:val="18"/>
                <w:color w:val="auto"/>
              </w:rPr>
              <w:t>Specimen form of Employee Confidentiality, Noncompetition,</w:t>
            </w:r>
          </w:p>
        </w:tc>
      </w:tr>
      <w:tr>
        <w:trPr>
          <w:trHeight w:val="203"/>
        </w:trPr>
        <w:tc>
          <w:tcPr>
            <w:tcW w:w="1100" w:type="dxa"/>
            <w:vAlign w:val="bottom"/>
          </w:tcPr>
          <w:p>
            <w:pPr>
              <w:spacing w:after="0"/>
              <w:rPr>
                <w:sz w:val="17"/>
                <w:szCs w:val="17"/>
                <w:color w:val="auto"/>
              </w:rPr>
            </w:pPr>
          </w:p>
        </w:tc>
        <w:tc>
          <w:tcPr>
            <w:tcW w:w="5560" w:type="dxa"/>
            <w:vAlign w:val="bottom"/>
          </w:tcPr>
          <w:p>
            <w:pPr>
              <w:ind w:left="320"/>
              <w:spacing w:after="0" w:line="202" w:lineRule="exact"/>
              <w:rPr>
                <w:sz w:val="20"/>
                <w:szCs w:val="20"/>
                <w:color w:val="auto"/>
              </w:rPr>
            </w:pPr>
            <w:r>
              <w:rPr>
                <w:rFonts w:ascii="Arial" w:cs="Arial" w:eastAsia="Arial" w:hAnsi="Arial"/>
                <w:sz w:val="18"/>
                <w:szCs w:val="18"/>
                <w:color w:val="auto"/>
              </w:rPr>
              <w:t>Nonsolicitation Agreement for employees participating in The</w:t>
            </w:r>
          </w:p>
        </w:tc>
      </w:tr>
      <w:tr>
        <w:trPr>
          <w:trHeight w:val="203"/>
        </w:trPr>
        <w:tc>
          <w:tcPr>
            <w:tcW w:w="1100" w:type="dxa"/>
            <w:vAlign w:val="bottom"/>
          </w:tcPr>
          <w:p>
            <w:pPr>
              <w:spacing w:after="0"/>
              <w:rPr>
                <w:sz w:val="17"/>
                <w:szCs w:val="17"/>
                <w:color w:val="auto"/>
              </w:rPr>
            </w:pPr>
          </w:p>
        </w:tc>
        <w:tc>
          <w:tcPr>
            <w:tcW w:w="5560" w:type="dxa"/>
            <w:vAlign w:val="bottom"/>
          </w:tcPr>
          <w:p>
            <w:pPr>
              <w:ind w:left="320"/>
              <w:spacing w:after="0" w:line="202" w:lineRule="exact"/>
              <w:rPr>
                <w:sz w:val="20"/>
                <w:szCs w:val="20"/>
                <w:color w:val="auto"/>
              </w:rPr>
            </w:pPr>
            <w:r>
              <w:rPr>
                <w:rFonts w:ascii="Arial" w:cs="Arial" w:eastAsia="Arial" w:hAnsi="Arial"/>
                <w:sz w:val="18"/>
                <w:szCs w:val="18"/>
                <w:color w:val="auto"/>
                <w:w w:val="99"/>
              </w:rPr>
              <w:t>Scotts Company LLC Executive/Management Incentive Plan (now</w:t>
            </w:r>
          </w:p>
        </w:tc>
      </w:tr>
      <w:tr>
        <w:trPr>
          <w:trHeight w:val="203"/>
        </w:trPr>
        <w:tc>
          <w:tcPr>
            <w:tcW w:w="1100" w:type="dxa"/>
            <w:vAlign w:val="bottom"/>
          </w:tcPr>
          <w:p>
            <w:pPr>
              <w:spacing w:after="0"/>
              <w:rPr>
                <w:sz w:val="17"/>
                <w:szCs w:val="17"/>
                <w:color w:val="auto"/>
              </w:rPr>
            </w:pPr>
          </w:p>
        </w:tc>
        <w:tc>
          <w:tcPr>
            <w:tcW w:w="5560" w:type="dxa"/>
            <w:vAlign w:val="bottom"/>
          </w:tcPr>
          <w:p>
            <w:pPr>
              <w:ind w:left="320"/>
              <w:spacing w:after="0" w:line="202" w:lineRule="exact"/>
              <w:rPr>
                <w:sz w:val="20"/>
                <w:szCs w:val="20"/>
                <w:color w:val="auto"/>
              </w:rPr>
            </w:pPr>
            <w:r>
              <w:rPr>
                <w:rFonts w:ascii="Arial" w:cs="Arial" w:eastAsia="Arial" w:hAnsi="Arial"/>
                <w:sz w:val="18"/>
                <w:szCs w:val="18"/>
                <w:color w:val="auto"/>
              </w:rPr>
              <w:t>known as The Scotts Company LLC Amended and Restated</w:t>
            </w:r>
          </w:p>
        </w:tc>
      </w:tr>
      <w:tr>
        <w:trPr>
          <w:trHeight w:val="243"/>
        </w:trPr>
        <w:tc>
          <w:tcPr>
            <w:tcW w:w="1100" w:type="dxa"/>
            <w:vAlign w:val="bottom"/>
          </w:tcPr>
          <w:p>
            <w:pPr>
              <w:spacing w:after="0"/>
              <w:rPr>
                <w:sz w:val="21"/>
                <w:szCs w:val="21"/>
                <w:color w:val="auto"/>
              </w:rPr>
            </w:pPr>
          </w:p>
        </w:tc>
        <w:tc>
          <w:tcPr>
            <w:tcW w:w="5560" w:type="dxa"/>
            <w:vAlign w:val="bottom"/>
          </w:tcPr>
          <w:p>
            <w:pPr>
              <w:ind w:left="320"/>
              <w:spacing w:after="0"/>
              <w:rPr>
                <w:sz w:val="20"/>
                <w:szCs w:val="20"/>
                <w:color w:val="auto"/>
              </w:rPr>
            </w:pPr>
            <w:r>
              <w:rPr>
                <w:rFonts w:ascii="Arial" w:cs="Arial" w:eastAsia="Arial" w:hAnsi="Arial"/>
                <w:sz w:val="18"/>
                <w:szCs w:val="18"/>
                <w:color w:val="auto"/>
              </w:rPr>
              <w:t>Executive Incentive Plan) [post — 2005 version]</w:t>
            </w:r>
          </w:p>
        </w:tc>
      </w:tr>
      <w:tr>
        <w:trPr>
          <w:trHeight w:val="270"/>
        </w:trPr>
        <w:tc>
          <w:tcPr>
            <w:tcW w:w="1100" w:type="dxa"/>
            <w:vAlign w:val="bottom"/>
          </w:tcPr>
          <w:p>
            <w:pPr>
              <w:spacing w:after="0"/>
              <w:rPr>
                <w:sz w:val="20"/>
                <w:szCs w:val="20"/>
                <w:color w:val="auto"/>
              </w:rPr>
            </w:pPr>
            <w:r>
              <w:rPr>
                <w:rFonts w:ascii="Arial" w:cs="Arial" w:eastAsia="Arial" w:hAnsi="Arial"/>
                <w:sz w:val="18"/>
                <w:szCs w:val="18"/>
                <w:color w:val="auto"/>
              </w:rPr>
              <w:t>10.2(c)</w:t>
            </w:r>
          </w:p>
        </w:tc>
        <w:tc>
          <w:tcPr>
            <w:tcW w:w="5560" w:type="dxa"/>
            <w:vAlign w:val="bottom"/>
          </w:tcPr>
          <w:p>
            <w:pPr>
              <w:ind w:left="320"/>
              <w:spacing w:after="0"/>
              <w:rPr>
                <w:sz w:val="20"/>
                <w:szCs w:val="20"/>
                <w:color w:val="auto"/>
              </w:rPr>
            </w:pPr>
            <w:r>
              <w:rPr>
                <w:rFonts w:ascii="Arial" w:cs="Arial" w:eastAsia="Arial" w:hAnsi="Arial"/>
                <w:sz w:val="18"/>
                <w:szCs w:val="18"/>
                <w:color w:val="auto"/>
              </w:rPr>
              <w:t>Executive Officers of The Scotts Miracle-Gro Company who are</w:t>
            </w:r>
          </w:p>
        </w:tc>
      </w:tr>
      <w:tr>
        <w:trPr>
          <w:trHeight w:val="225"/>
        </w:trPr>
        <w:tc>
          <w:tcPr>
            <w:tcW w:w="1100" w:type="dxa"/>
            <w:vAlign w:val="bottom"/>
          </w:tcPr>
          <w:p>
            <w:pPr>
              <w:spacing w:after="0"/>
              <w:rPr>
                <w:sz w:val="19"/>
                <w:szCs w:val="19"/>
                <w:color w:val="auto"/>
              </w:rPr>
            </w:pPr>
          </w:p>
        </w:tc>
        <w:tc>
          <w:tcPr>
            <w:tcW w:w="5560" w:type="dxa"/>
            <w:vAlign w:val="bottom"/>
          </w:tcPr>
          <w:p>
            <w:pPr>
              <w:ind w:left="320"/>
              <w:spacing w:after="0"/>
              <w:rPr>
                <w:sz w:val="20"/>
                <w:szCs w:val="20"/>
                <w:color w:val="auto"/>
              </w:rPr>
            </w:pPr>
            <w:r>
              <w:rPr>
                <w:rFonts w:ascii="Arial" w:cs="Arial" w:eastAsia="Arial" w:hAnsi="Arial"/>
                <w:sz w:val="18"/>
                <w:szCs w:val="18"/>
                <w:color w:val="auto"/>
              </w:rPr>
              <w:t>parties to form of Employee Confidentiality, Noncompetition,</w:t>
            </w:r>
          </w:p>
        </w:tc>
      </w:tr>
    </w:tbl>
    <w:p>
      <w:pPr>
        <w:ind w:left="2120"/>
        <w:spacing w:after="0" w:line="242" w:lineRule="auto"/>
        <w:rPr>
          <w:sz w:val="20"/>
          <w:szCs w:val="20"/>
          <w:color w:val="auto"/>
        </w:rPr>
      </w:pPr>
      <w:r>
        <w:rPr>
          <w:rFonts w:ascii="Arial" w:cs="Arial" w:eastAsia="Arial" w:hAnsi="Arial"/>
          <w:sz w:val="18"/>
          <w:szCs w:val="18"/>
          <w:color w:val="auto"/>
        </w:rPr>
        <w:t>Nonsolicitation Agreement for employees participating in The Scotts Company LLC Amended and Restated Executive Incentive Plan</w:t>
      </w:r>
    </w:p>
    <w:p>
      <w:pPr>
        <w:spacing w:after="0" w:line="31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1"/>
          <w:szCs w:val="11"/>
          <w:b w:val="1"/>
          <w:bCs w:val="1"/>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-78105</wp:posOffset>
            </wp:positionV>
            <wp:extent cx="19748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20"/>
        <w:spacing w:after="0" w:line="245"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July 1, 2006 (File No. 1-13292) [Exhibit 10.1]</w:t>
      </w:r>
    </w:p>
    <w:p>
      <w:pPr>
        <w:spacing w:after="0" w:line="64"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2008 (which was filed on November 25, 2008) (File No. 1-13292) [Exhibit 10.2(c)]</w:t>
      </w:r>
    </w:p>
    <w:p>
      <w:pPr>
        <w:sectPr>
          <w:pgSz w:w="11900" w:h="16838" w:orient="portrait"/>
          <w:cols w:equalWidth="0" w:num="2">
            <w:col w:w="7360" w:space="380"/>
            <w:col w:w="3000"/>
          </w:cols>
          <w:pgMar w:left="240" w:top="405" w:right="919" w:bottom="1440" w:gutter="0" w:footer="0" w:header="0"/>
          <w:type w:val="continuous"/>
        </w:sectPr>
      </w:pPr>
    </w:p>
    <w:bookmarkStart w:id="53" w:name="page54"/>
    <w:bookmarkEnd w:id="53"/>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jc w:val="right"/>
              <w:spacing w:after="0"/>
              <w:rPr>
                <w:rFonts w:ascii="Times New Roman" w:cs="Times New Roman" w:eastAsia="Times New Roman" w:hAnsi="Times New Roman"/>
                <w:sz w:val="18"/>
                <w:szCs w:val="18"/>
                <w:b w:val="1"/>
                <w:bCs w:val="1"/>
                <w:color w:val="0000EE"/>
                <w:w w:val="97"/>
              </w:rPr>
            </w:pPr>
            <w:hyperlink w:anchor="page64">
              <w:r>
                <w:rPr>
                  <w:rFonts w:ascii="Times New Roman" w:cs="Times New Roman" w:eastAsia="Times New Roman" w:hAnsi="Times New Roman"/>
                  <w:sz w:val="18"/>
                  <w:szCs w:val="18"/>
                  <w:b w:val="1"/>
                  <w:bCs w:val="1"/>
                  <w:color w:val="0000EE"/>
                  <w:w w:val="97"/>
                </w:rPr>
                <w:t>Table of Contents</w:t>
              </w:r>
            </w:hyperlink>
          </w:p>
        </w:tc>
        <w:tc>
          <w:tcPr>
            <w:tcW w:w="480" w:type="dxa"/>
            <w:vAlign w:val="bottom"/>
          </w:tcPr>
          <w:p>
            <w:pPr>
              <w:spacing w:after="0"/>
              <w:rPr>
                <w:sz w:val="17"/>
                <w:szCs w:val="17"/>
                <w:color w:val="auto"/>
              </w:rPr>
            </w:pPr>
          </w:p>
        </w:tc>
        <w:tc>
          <w:tcPr>
            <w:tcW w:w="5560" w:type="dxa"/>
            <w:vAlign w:val="bottom"/>
          </w:tcPr>
          <w:p>
            <w:pPr>
              <w:spacing w:after="0"/>
              <w:rPr>
                <w:sz w:val="17"/>
                <w:szCs w:val="17"/>
                <w:color w:val="auto"/>
              </w:rPr>
            </w:pPr>
          </w:p>
        </w:tc>
        <w:tc>
          <w:tcPr>
            <w:tcW w:w="3340" w:type="dxa"/>
            <w:vAlign w:val="bottom"/>
          </w:tcPr>
          <w:p>
            <w:pPr>
              <w:spacing w:after="0"/>
              <w:rPr>
                <w:sz w:val="17"/>
                <w:szCs w:val="17"/>
                <w:color w:val="auto"/>
              </w:rPr>
            </w:pPr>
          </w:p>
        </w:tc>
      </w:tr>
      <w:tr>
        <w:trPr>
          <w:trHeight w:val="511"/>
        </w:trPr>
        <w:tc>
          <w:tcPr>
            <w:tcW w:w="700" w:type="dxa"/>
            <w:vAlign w:val="bottom"/>
          </w:tcPr>
          <w:p>
            <w:pPr>
              <w:spacing w:after="0"/>
              <w:rPr>
                <w:sz w:val="24"/>
                <w:szCs w:val="24"/>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9"/>
              </w:rPr>
              <w:t>Exhibit</w:t>
            </w:r>
          </w:p>
        </w:tc>
        <w:tc>
          <w:tcPr>
            <w:tcW w:w="556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39"/>
        </w:trPr>
        <w:tc>
          <w:tcPr>
            <w:tcW w:w="700" w:type="dxa"/>
            <w:vAlign w:val="bottom"/>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9"/>
              </w:rPr>
              <w:t>No.</w:t>
            </w:r>
          </w:p>
        </w:tc>
        <w:tc>
          <w:tcPr>
            <w:tcW w:w="5560" w:type="dxa"/>
            <w:vAlign w:val="bottom"/>
            <w:tcBorders>
              <w:bottom w:val="single" w:sz="8" w:color="auto"/>
            </w:tcBorders>
          </w:tcPr>
          <w:p>
            <w:pPr>
              <w:ind w:left="2480"/>
              <w:spacing w:after="0"/>
              <w:rPr>
                <w:sz w:val="20"/>
                <w:szCs w:val="20"/>
                <w:color w:val="auto"/>
              </w:rPr>
            </w:pPr>
            <w:r>
              <w:rPr>
                <w:rFonts w:ascii="Arial" w:cs="Arial" w:eastAsia="Arial" w:hAnsi="Arial"/>
                <w:sz w:val="18"/>
                <w:szCs w:val="18"/>
                <w:color w:val="auto"/>
              </w:rPr>
              <w:t>Description</w:t>
            </w:r>
          </w:p>
        </w:tc>
        <w:tc>
          <w:tcPr>
            <w:tcW w:w="3340" w:type="dxa"/>
            <w:vAlign w:val="bottom"/>
            <w:tcBorders>
              <w:bottom w:val="single" w:sz="8" w:color="auto"/>
            </w:tcBorders>
          </w:tcPr>
          <w:p>
            <w:pPr>
              <w:ind w:left="1500"/>
              <w:spacing w:after="0"/>
              <w:rPr>
                <w:sz w:val="20"/>
                <w:szCs w:val="20"/>
                <w:color w:val="auto"/>
              </w:rPr>
            </w:pPr>
            <w:r>
              <w:rPr>
                <w:rFonts w:ascii="Arial" w:cs="Arial" w:eastAsia="Arial" w:hAnsi="Arial"/>
                <w:sz w:val="18"/>
                <w:szCs w:val="18"/>
                <w:color w:val="auto"/>
              </w:rPr>
              <w:t>Location</w:t>
            </w:r>
          </w:p>
        </w:tc>
      </w:tr>
      <w:tr>
        <w:trPr>
          <w:trHeight w:val="335"/>
        </w:trPr>
        <w:tc>
          <w:tcPr>
            <w:tcW w:w="1360" w:type="dxa"/>
            <w:vAlign w:val="bottom"/>
            <w:gridSpan w:val="2"/>
          </w:tcPr>
          <w:p>
            <w:pPr>
              <w:jc w:val="right"/>
              <w:ind w:right="230"/>
              <w:spacing w:after="0"/>
              <w:rPr>
                <w:sz w:val="20"/>
                <w:szCs w:val="20"/>
                <w:color w:val="auto"/>
              </w:rPr>
            </w:pPr>
            <w:r>
              <w:rPr>
                <w:rFonts w:ascii="Arial" w:cs="Arial" w:eastAsia="Arial" w:hAnsi="Arial"/>
                <w:sz w:val="18"/>
                <w:szCs w:val="18"/>
                <w:color w:val="auto"/>
              </w:rPr>
              <w:t>10.3</w:t>
            </w:r>
          </w:p>
        </w:tc>
        <w:tc>
          <w:tcPr>
            <w:tcW w:w="480" w:type="dxa"/>
            <w:vAlign w:val="bottom"/>
          </w:tcPr>
          <w:p>
            <w:pPr>
              <w:spacing w:after="0"/>
              <w:rPr>
                <w:sz w:val="24"/>
                <w:szCs w:val="24"/>
                <w:color w:val="auto"/>
              </w:rPr>
            </w:pPr>
          </w:p>
        </w:tc>
        <w:tc>
          <w:tcPr>
            <w:tcW w:w="5560" w:type="dxa"/>
            <w:vAlign w:val="bottom"/>
          </w:tcPr>
          <w:p>
            <w:pPr>
              <w:ind w:left="280"/>
              <w:spacing w:after="0"/>
              <w:rPr>
                <w:sz w:val="20"/>
                <w:szCs w:val="20"/>
                <w:color w:val="auto"/>
              </w:rPr>
            </w:pPr>
            <w:r>
              <w:rPr>
                <w:rFonts w:ascii="Arial" w:cs="Arial" w:eastAsia="Arial" w:hAnsi="Arial"/>
                <w:sz w:val="18"/>
                <w:szCs w:val="18"/>
                <w:color w:val="auto"/>
              </w:rPr>
              <w:t>The Scotts Company LLC Supplemental Incentive Plan for the</w:t>
            </w:r>
          </w:p>
        </w:tc>
        <w:tc>
          <w:tcPr>
            <w:tcW w:w="3340" w:type="dxa"/>
            <w:vAlign w:val="bottom"/>
          </w:tcPr>
          <w:p>
            <w:pPr>
              <w:ind w:left="340"/>
              <w:spacing w:after="0"/>
              <w:rPr>
                <w:sz w:val="20"/>
                <w:szCs w:val="20"/>
                <w:color w:val="auto"/>
              </w:rPr>
            </w:pPr>
            <w:r>
              <w:rPr>
                <w:rFonts w:ascii="Arial" w:cs="Arial" w:eastAsia="Arial" w:hAnsi="Arial"/>
                <w:sz w:val="18"/>
                <w:szCs w:val="18"/>
                <w:color w:val="auto"/>
              </w:rPr>
              <w:t>Incorporated herein by reference to</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560" w:type="dxa"/>
            <w:vAlign w:val="bottom"/>
          </w:tcPr>
          <w:p>
            <w:pPr>
              <w:ind w:left="280"/>
              <w:spacing w:after="0" w:line="202" w:lineRule="exact"/>
              <w:rPr>
                <w:sz w:val="20"/>
                <w:szCs w:val="20"/>
                <w:color w:val="auto"/>
              </w:rPr>
            </w:pPr>
            <w:r>
              <w:rPr>
                <w:rFonts w:ascii="Arial" w:cs="Arial" w:eastAsia="Arial" w:hAnsi="Arial"/>
                <w:sz w:val="18"/>
                <w:szCs w:val="18"/>
                <w:color w:val="auto"/>
              </w:rPr>
              <w:t>fiscal year ended September 30, 2008</w:t>
            </w:r>
          </w:p>
        </w:tc>
        <w:tc>
          <w:tcPr>
            <w:tcW w:w="3340" w:type="dxa"/>
            <w:vAlign w:val="bottom"/>
          </w:tcPr>
          <w:p>
            <w:pPr>
              <w:ind w:left="340"/>
              <w:spacing w:after="0" w:line="202" w:lineRule="exact"/>
              <w:rPr>
                <w:sz w:val="20"/>
                <w:szCs w:val="20"/>
                <w:color w:val="auto"/>
              </w:rPr>
            </w:pPr>
            <w:r>
              <w:rPr>
                <w:rFonts w:ascii="Arial" w:cs="Arial" w:eastAsia="Arial" w:hAnsi="Arial"/>
                <w:sz w:val="18"/>
                <w:szCs w:val="18"/>
                <w:color w:val="auto"/>
              </w:rPr>
              <w:t>the Registrant’s Quarterly Report on</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560" w:type="dxa"/>
            <w:vAlign w:val="bottom"/>
          </w:tcPr>
          <w:p>
            <w:pPr>
              <w:spacing w:after="0"/>
              <w:rPr>
                <w:sz w:val="17"/>
                <w:szCs w:val="17"/>
                <w:color w:val="auto"/>
              </w:rPr>
            </w:pPr>
          </w:p>
        </w:tc>
        <w:tc>
          <w:tcPr>
            <w:tcW w:w="3340" w:type="dxa"/>
            <w:vAlign w:val="bottom"/>
          </w:tcPr>
          <w:p>
            <w:pPr>
              <w:ind w:left="340"/>
              <w:spacing w:after="0" w:line="202" w:lineRule="exact"/>
              <w:rPr>
                <w:sz w:val="20"/>
                <w:szCs w:val="20"/>
                <w:color w:val="auto"/>
              </w:rPr>
            </w:pPr>
            <w:r>
              <w:rPr>
                <w:rFonts w:ascii="Arial" w:cs="Arial" w:eastAsia="Arial" w:hAnsi="Arial"/>
                <w:sz w:val="18"/>
                <w:szCs w:val="18"/>
                <w:color w:val="auto"/>
              </w:rPr>
              <w:t>Form 10-Q for the quarterly period</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560" w:type="dxa"/>
            <w:vAlign w:val="bottom"/>
          </w:tcPr>
          <w:p>
            <w:pPr>
              <w:spacing w:after="0"/>
              <w:rPr>
                <w:sz w:val="17"/>
                <w:szCs w:val="17"/>
                <w:color w:val="auto"/>
              </w:rPr>
            </w:pPr>
          </w:p>
        </w:tc>
        <w:tc>
          <w:tcPr>
            <w:tcW w:w="3340" w:type="dxa"/>
            <w:vAlign w:val="bottom"/>
          </w:tcPr>
          <w:p>
            <w:pPr>
              <w:ind w:left="340"/>
              <w:spacing w:after="0" w:line="202" w:lineRule="exact"/>
              <w:rPr>
                <w:sz w:val="20"/>
                <w:szCs w:val="20"/>
                <w:color w:val="auto"/>
              </w:rPr>
            </w:pPr>
            <w:r>
              <w:rPr>
                <w:rFonts w:ascii="Arial" w:cs="Arial" w:eastAsia="Arial" w:hAnsi="Arial"/>
                <w:sz w:val="18"/>
                <w:szCs w:val="18"/>
                <w:color w:val="auto"/>
              </w:rPr>
              <w:t>ended June 28, 2008 (File No. 1-</w:t>
            </w:r>
          </w:p>
        </w:tc>
      </w:tr>
      <w:tr>
        <w:trPr>
          <w:trHeight w:val="243"/>
        </w:trPr>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560" w:type="dxa"/>
            <w:vAlign w:val="bottom"/>
          </w:tcPr>
          <w:p>
            <w:pPr>
              <w:spacing w:after="0"/>
              <w:rPr>
                <w:sz w:val="21"/>
                <w:szCs w:val="21"/>
                <w:color w:val="auto"/>
              </w:rPr>
            </w:pPr>
          </w:p>
        </w:tc>
        <w:tc>
          <w:tcPr>
            <w:tcW w:w="3340" w:type="dxa"/>
            <w:vAlign w:val="bottom"/>
          </w:tcPr>
          <w:p>
            <w:pPr>
              <w:ind w:left="340"/>
              <w:spacing w:after="0"/>
              <w:rPr>
                <w:sz w:val="20"/>
                <w:szCs w:val="20"/>
                <w:color w:val="auto"/>
              </w:rPr>
            </w:pPr>
            <w:r>
              <w:rPr>
                <w:rFonts w:ascii="Arial" w:cs="Arial" w:eastAsia="Arial" w:hAnsi="Arial"/>
                <w:sz w:val="18"/>
                <w:szCs w:val="18"/>
                <w:color w:val="auto"/>
              </w:rPr>
              <w:t>13292) [Exhibit 10(c)]</w:t>
            </w:r>
          </w:p>
        </w:tc>
      </w:tr>
    </w:tbl>
    <w:p>
      <w:pPr>
        <w:spacing w:after="0" w:line="63" w:lineRule="exact"/>
        <w:rPr>
          <w:sz w:val="20"/>
          <w:szCs w:val="20"/>
          <w:color w:val="auto"/>
        </w:rPr>
      </w:pPr>
    </w:p>
    <w:p>
      <w:pPr>
        <w:sectPr>
          <w:pgSz w:w="11900" w:h="16838" w:orient="portrait"/>
          <w:cols w:equalWidth="0" w:num="1">
            <w:col w:w="10740"/>
          </w:cols>
          <w:pgMar w:left="240" w:top="405" w:right="919" w:bottom="1440" w:gutter="0" w:footer="0" w:header="0"/>
        </w:sectPr>
      </w:pPr>
    </w:p>
    <w:tbl>
      <w:tblPr>
        <w:tblLayout w:type="fixed"/>
        <w:tblInd w:w="700" w:type="dxa"/>
        <w:tblCellMar>
          <w:top w:w="0" w:type="dxa"/>
          <w:left w:w="0" w:type="dxa"/>
          <w:bottom w:w="0" w:type="dxa"/>
          <w:right w:w="0" w:type="dxa"/>
        </w:tblCellMar>
      </w:tblPr>
      <w:tr>
        <w:trPr>
          <w:trHeight w:val="207"/>
        </w:trPr>
        <w:tc>
          <w:tcPr>
            <w:tcW w:w="1120" w:type="dxa"/>
            <w:vAlign w:val="bottom"/>
          </w:tcPr>
          <w:p>
            <w:pPr>
              <w:spacing w:after="0"/>
              <w:rPr>
                <w:sz w:val="20"/>
                <w:szCs w:val="20"/>
                <w:color w:val="auto"/>
              </w:rPr>
            </w:pPr>
            <w:r>
              <w:rPr>
                <w:rFonts w:ascii="Arial" w:cs="Arial" w:eastAsia="Arial" w:hAnsi="Arial"/>
                <w:sz w:val="18"/>
                <w:szCs w:val="18"/>
                <w:color w:val="auto"/>
              </w:rPr>
              <w:t>10.4(a)</w:t>
            </w:r>
          </w:p>
        </w:tc>
        <w:tc>
          <w:tcPr>
            <w:tcW w:w="5620" w:type="dxa"/>
            <w:vAlign w:val="bottom"/>
            <w:gridSpan w:val="3"/>
          </w:tcPr>
          <w:p>
            <w:pPr>
              <w:ind w:left="300"/>
              <w:spacing w:after="0"/>
              <w:rPr>
                <w:sz w:val="20"/>
                <w:szCs w:val="20"/>
                <w:color w:val="auto"/>
              </w:rPr>
            </w:pPr>
            <w:r>
              <w:rPr>
                <w:rFonts w:ascii="Arial" w:cs="Arial" w:eastAsia="Arial" w:hAnsi="Arial"/>
                <w:sz w:val="18"/>
                <w:szCs w:val="18"/>
                <w:color w:val="auto"/>
              </w:rPr>
              <w:t>The Scotts Miracle-Gro Company Amended and Restated 1996</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5620" w:type="dxa"/>
            <w:vAlign w:val="bottom"/>
            <w:gridSpan w:val="3"/>
          </w:tcPr>
          <w:p>
            <w:pPr>
              <w:ind w:left="300"/>
              <w:spacing w:after="0"/>
              <w:rPr>
                <w:sz w:val="20"/>
                <w:szCs w:val="20"/>
                <w:color w:val="auto"/>
              </w:rPr>
            </w:pPr>
            <w:r>
              <w:rPr>
                <w:rFonts w:ascii="Arial" w:cs="Arial" w:eastAsia="Arial" w:hAnsi="Arial"/>
                <w:sz w:val="18"/>
                <w:szCs w:val="18"/>
                <w:color w:val="auto"/>
              </w:rPr>
              <w:t>Stock Option Plan (effective as of October 30, 2007)</w:t>
            </w:r>
          </w:p>
        </w:tc>
        <w:tc>
          <w:tcPr>
            <w:tcW w:w="0" w:type="dxa"/>
            <w:vAlign w:val="bottom"/>
          </w:tcPr>
          <w:p>
            <w:pPr>
              <w:spacing w:after="0"/>
              <w:rPr>
                <w:sz w:val="1"/>
                <w:szCs w:val="1"/>
                <w:color w:val="auto"/>
              </w:rPr>
            </w:pPr>
          </w:p>
        </w:tc>
      </w:tr>
      <w:tr>
        <w:trPr>
          <w:trHeight w:val="878"/>
        </w:trPr>
        <w:tc>
          <w:tcPr>
            <w:tcW w:w="1120" w:type="dxa"/>
            <w:vAlign w:val="bottom"/>
          </w:tcPr>
          <w:p>
            <w:pPr>
              <w:spacing w:after="0"/>
              <w:rPr>
                <w:sz w:val="20"/>
                <w:szCs w:val="20"/>
                <w:color w:val="auto"/>
              </w:rPr>
            </w:pPr>
            <w:r>
              <w:rPr>
                <w:rFonts w:ascii="Arial" w:cs="Arial" w:eastAsia="Arial" w:hAnsi="Arial"/>
                <w:sz w:val="18"/>
                <w:szCs w:val="18"/>
                <w:color w:val="auto"/>
              </w:rPr>
              <w:t>10.4(b)</w:t>
            </w:r>
          </w:p>
        </w:tc>
        <w:tc>
          <w:tcPr>
            <w:tcW w:w="5620" w:type="dxa"/>
            <w:vAlign w:val="bottom"/>
            <w:gridSpan w:val="3"/>
          </w:tcPr>
          <w:p>
            <w:pPr>
              <w:ind w:left="300"/>
              <w:spacing w:after="0"/>
              <w:rPr>
                <w:sz w:val="20"/>
                <w:szCs w:val="20"/>
                <w:color w:val="auto"/>
              </w:rPr>
            </w:pPr>
            <w:r>
              <w:rPr>
                <w:rFonts w:ascii="Arial" w:cs="Arial" w:eastAsia="Arial" w:hAnsi="Arial"/>
                <w:sz w:val="18"/>
                <w:szCs w:val="18"/>
                <w:color w:val="auto"/>
              </w:rPr>
              <w:t>Specimen form of Stock Option Agreement for Non-Qualified</w:t>
            </w: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5620" w:type="dxa"/>
            <w:vAlign w:val="bottom"/>
            <w:gridSpan w:val="3"/>
          </w:tcPr>
          <w:p>
            <w:pPr>
              <w:ind w:left="300"/>
              <w:spacing w:after="0" w:line="202" w:lineRule="exact"/>
              <w:rPr>
                <w:sz w:val="20"/>
                <w:szCs w:val="20"/>
                <w:color w:val="auto"/>
              </w:rPr>
            </w:pPr>
            <w:r>
              <w:rPr>
                <w:rFonts w:ascii="Arial" w:cs="Arial" w:eastAsia="Arial" w:hAnsi="Arial"/>
                <w:sz w:val="18"/>
                <w:szCs w:val="18"/>
                <w:color w:val="auto"/>
              </w:rPr>
              <w:t>Stock Options granted to employees under The Scotts Company</w:t>
            </w: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5620" w:type="dxa"/>
            <w:vAlign w:val="bottom"/>
            <w:gridSpan w:val="3"/>
          </w:tcPr>
          <w:p>
            <w:pPr>
              <w:ind w:left="300"/>
              <w:spacing w:after="0" w:line="202" w:lineRule="exact"/>
              <w:rPr>
                <w:sz w:val="20"/>
                <w:szCs w:val="20"/>
                <w:color w:val="auto"/>
              </w:rPr>
            </w:pPr>
            <w:r>
              <w:rPr>
                <w:rFonts w:ascii="Arial" w:cs="Arial" w:eastAsia="Arial" w:hAnsi="Arial"/>
                <w:sz w:val="18"/>
                <w:szCs w:val="18"/>
                <w:color w:val="auto"/>
              </w:rPr>
              <w:t>1996 Stock Option Plan (now known as The Scotts Miracle-Gro</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5620" w:type="dxa"/>
            <w:vAlign w:val="bottom"/>
            <w:gridSpan w:val="3"/>
          </w:tcPr>
          <w:p>
            <w:pPr>
              <w:ind w:left="300"/>
              <w:spacing w:after="0"/>
              <w:rPr>
                <w:sz w:val="20"/>
                <w:szCs w:val="20"/>
                <w:color w:val="auto"/>
              </w:rPr>
            </w:pPr>
            <w:r>
              <w:rPr>
                <w:rFonts w:ascii="Arial" w:cs="Arial" w:eastAsia="Arial" w:hAnsi="Arial"/>
                <w:sz w:val="18"/>
                <w:szCs w:val="18"/>
                <w:color w:val="auto"/>
              </w:rPr>
              <w:t>Company Amended and Restated 1996 Stock Option Plan)</w:t>
            </w:r>
          </w:p>
        </w:tc>
        <w:tc>
          <w:tcPr>
            <w:tcW w:w="0" w:type="dxa"/>
            <w:vAlign w:val="bottom"/>
          </w:tcPr>
          <w:p>
            <w:pPr>
              <w:spacing w:after="0"/>
              <w:rPr>
                <w:sz w:val="1"/>
                <w:szCs w:val="1"/>
                <w:color w:val="auto"/>
              </w:rPr>
            </w:pPr>
          </w:p>
        </w:tc>
      </w:tr>
      <w:tr>
        <w:trPr>
          <w:trHeight w:val="675"/>
        </w:trPr>
        <w:tc>
          <w:tcPr>
            <w:tcW w:w="1120" w:type="dxa"/>
            <w:vAlign w:val="bottom"/>
          </w:tcPr>
          <w:p>
            <w:pPr>
              <w:spacing w:after="0"/>
              <w:rPr>
                <w:sz w:val="20"/>
                <w:szCs w:val="20"/>
                <w:color w:val="auto"/>
              </w:rPr>
            </w:pPr>
            <w:r>
              <w:rPr>
                <w:rFonts w:ascii="Arial" w:cs="Arial" w:eastAsia="Arial" w:hAnsi="Arial"/>
                <w:sz w:val="18"/>
                <w:szCs w:val="18"/>
                <w:color w:val="auto"/>
              </w:rPr>
              <w:t>10.5(a)(i)</w:t>
            </w:r>
          </w:p>
        </w:tc>
        <w:tc>
          <w:tcPr>
            <w:tcW w:w="5620" w:type="dxa"/>
            <w:vAlign w:val="bottom"/>
            <w:gridSpan w:val="3"/>
          </w:tcPr>
          <w:p>
            <w:pPr>
              <w:ind w:left="300"/>
              <w:spacing w:after="0"/>
              <w:rPr>
                <w:sz w:val="20"/>
                <w:szCs w:val="20"/>
                <w:color w:val="auto"/>
              </w:rPr>
            </w:pPr>
            <w:r>
              <w:rPr>
                <w:rFonts w:ascii="Arial" w:cs="Arial" w:eastAsia="Arial" w:hAnsi="Arial"/>
                <w:sz w:val="18"/>
                <w:szCs w:val="18"/>
                <w:color w:val="auto"/>
              </w:rPr>
              <w:t>The Scotts Company Executive Retirement Plan (now known as</w:t>
            </w: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5620" w:type="dxa"/>
            <w:vAlign w:val="bottom"/>
            <w:gridSpan w:val="3"/>
          </w:tcPr>
          <w:p>
            <w:pPr>
              <w:ind w:left="300"/>
              <w:spacing w:after="0" w:line="202" w:lineRule="exact"/>
              <w:rPr>
                <w:sz w:val="20"/>
                <w:szCs w:val="20"/>
                <w:color w:val="auto"/>
              </w:rPr>
            </w:pPr>
            <w:r>
              <w:rPr>
                <w:rFonts w:ascii="Arial" w:cs="Arial" w:eastAsia="Arial" w:hAnsi="Arial"/>
                <w:sz w:val="18"/>
                <w:szCs w:val="18"/>
                <w:color w:val="auto"/>
              </w:rPr>
              <w:t>The Scotts Company LLC Executive Retirement Plan) [executed</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5620" w:type="dxa"/>
            <w:vAlign w:val="bottom"/>
            <w:gridSpan w:val="3"/>
          </w:tcPr>
          <w:p>
            <w:pPr>
              <w:ind w:left="300"/>
              <w:spacing w:after="0"/>
              <w:rPr>
                <w:sz w:val="20"/>
                <w:szCs w:val="20"/>
                <w:color w:val="auto"/>
              </w:rPr>
            </w:pPr>
            <w:r>
              <w:rPr>
                <w:rFonts w:ascii="Arial" w:cs="Arial" w:eastAsia="Arial" w:hAnsi="Arial"/>
                <w:sz w:val="18"/>
                <w:szCs w:val="18"/>
                <w:color w:val="auto"/>
              </w:rPr>
              <w:t>on November 19, 1998 and effective as of January 1, 1999]</w:t>
            </w:r>
          </w:p>
        </w:tc>
        <w:tc>
          <w:tcPr>
            <w:tcW w:w="0" w:type="dxa"/>
            <w:vAlign w:val="bottom"/>
          </w:tcPr>
          <w:p>
            <w:pPr>
              <w:spacing w:after="0"/>
              <w:rPr>
                <w:sz w:val="1"/>
                <w:szCs w:val="1"/>
                <w:color w:val="auto"/>
              </w:rPr>
            </w:pPr>
          </w:p>
        </w:tc>
      </w:tr>
      <w:tr>
        <w:trPr>
          <w:trHeight w:val="675"/>
        </w:trPr>
        <w:tc>
          <w:tcPr>
            <w:tcW w:w="1120" w:type="dxa"/>
            <w:vAlign w:val="bottom"/>
          </w:tcPr>
          <w:p>
            <w:pPr>
              <w:spacing w:after="0"/>
              <w:rPr>
                <w:sz w:val="20"/>
                <w:szCs w:val="20"/>
                <w:color w:val="auto"/>
              </w:rPr>
            </w:pPr>
            <w:r>
              <w:rPr>
                <w:rFonts w:ascii="Arial" w:cs="Arial" w:eastAsia="Arial" w:hAnsi="Arial"/>
                <w:sz w:val="18"/>
                <w:szCs w:val="18"/>
                <w:color w:val="auto"/>
              </w:rPr>
              <w:t>10.5(a)(ii)</w:t>
            </w:r>
          </w:p>
        </w:tc>
        <w:tc>
          <w:tcPr>
            <w:tcW w:w="5620" w:type="dxa"/>
            <w:vAlign w:val="bottom"/>
            <w:gridSpan w:val="3"/>
          </w:tcPr>
          <w:p>
            <w:pPr>
              <w:ind w:left="300"/>
              <w:spacing w:after="0"/>
              <w:rPr>
                <w:sz w:val="20"/>
                <w:szCs w:val="20"/>
                <w:color w:val="auto"/>
              </w:rPr>
            </w:pPr>
            <w:r>
              <w:rPr>
                <w:rFonts w:ascii="Arial" w:cs="Arial" w:eastAsia="Arial" w:hAnsi="Arial"/>
                <w:sz w:val="18"/>
                <w:szCs w:val="18"/>
                <w:color w:val="auto"/>
              </w:rPr>
              <w:t>First Amendment to The Scotts Company Executive Retirement</w:t>
            </w: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5620" w:type="dxa"/>
            <w:vAlign w:val="bottom"/>
            <w:gridSpan w:val="3"/>
          </w:tcPr>
          <w:p>
            <w:pPr>
              <w:ind w:left="300"/>
              <w:spacing w:after="0" w:line="202" w:lineRule="exact"/>
              <w:rPr>
                <w:sz w:val="20"/>
                <w:szCs w:val="20"/>
                <w:color w:val="auto"/>
              </w:rPr>
            </w:pPr>
            <w:r>
              <w:rPr>
                <w:rFonts w:ascii="Arial" w:cs="Arial" w:eastAsia="Arial" w:hAnsi="Arial"/>
                <w:sz w:val="18"/>
                <w:szCs w:val="18"/>
                <w:color w:val="auto"/>
              </w:rPr>
              <w:t>Plan (now known as The Scotts Company LLC Executive</w:t>
            </w: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5620" w:type="dxa"/>
            <w:vAlign w:val="bottom"/>
            <w:gridSpan w:val="3"/>
          </w:tcPr>
          <w:p>
            <w:pPr>
              <w:ind w:left="300"/>
              <w:spacing w:after="0" w:line="202" w:lineRule="exact"/>
              <w:rPr>
                <w:sz w:val="20"/>
                <w:szCs w:val="20"/>
                <w:color w:val="auto"/>
              </w:rPr>
            </w:pPr>
            <w:r>
              <w:rPr>
                <w:rFonts w:ascii="Arial" w:cs="Arial" w:eastAsia="Arial" w:hAnsi="Arial"/>
                <w:sz w:val="18"/>
                <w:szCs w:val="18"/>
                <w:color w:val="auto"/>
                <w:w w:val="99"/>
              </w:rPr>
              <w:t>Retirement Plan) [executed as of December 23, 1998 and effective</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5620" w:type="dxa"/>
            <w:vAlign w:val="bottom"/>
            <w:gridSpan w:val="3"/>
          </w:tcPr>
          <w:p>
            <w:pPr>
              <w:ind w:left="300"/>
              <w:spacing w:after="0"/>
              <w:rPr>
                <w:sz w:val="20"/>
                <w:szCs w:val="20"/>
                <w:color w:val="auto"/>
              </w:rPr>
            </w:pPr>
            <w:r>
              <w:rPr>
                <w:rFonts w:ascii="Arial" w:cs="Arial" w:eastAsia="Arial" w:hAnsi="Arial"/>
                <w:sz w:val="18"/>
                <w:szCs w:val="18"/>
                <w:color w:val="auto"/>
              </w:rPr>
              <w:t>as of January 1, 1999]</w:t>
            </w:r>
          </w:p>
        </w:tc>
        <w:tc>
          <w:tcPr>
            <w:tcW w:w="0" w:type="dxa"/>
            <w:vAlign w:val="bottom"/>
          </w:tcPr>
          <w:p>
            <w:pPr>
              <w:spacing w:after="0"/>
              <w:rPr>
                <w:sz w:val="1"/>
                <w:szCs w:val="1"/>
                <w:color w:val="auto"/>
              </w:rPr>
            </w:pPr>
          </w:p>
        </w:tc>
      </w:tr>
      <w:tr>
        <w:trPr>
          <w:trHeight w:val="473"/>
        </w:trPr>
        <w:tc>
          <w:tcPr>
            <w:tcW w:w="1120" w:type="dxa"/>
            <w:vAlign w:val="bottom"/>
          </w:tcPr>
          <w:p>
            <w:pPr>
              <w:spacing w:after="0"/>
              <w:rPr>
                <w:sz w:val="20"/>
                <w:szCs w:val="20"/>
                <w:color w:val="auto"/>
              </w:rPr>
            </w:pPr>
            <w:r>
              <w:rPr>
                <w:rFonts w:ascii="Arial" w:cs="Arial" w:eastAsia="Arial" w:hAnsi="Arial"/>
                <w:sz w:val="18"/>
                <w:szCs w:val="18"/>
                <w:color w:val="auto"/>
              </w:rPr>
              <w:t>10.5(a)(iii)</w:t>
            </w:r>
          </w:p>
        </w:tc>
        <w:tc>
          <w:tcPr>
            <w:tcW w:w="5620" w:type="dxa"/>
            <w:vAlign w:val="bottom"/>
            <w:gridSpan w:val="3"/>
          </w:tcPr>
          <w:p>
            <w:pPr>
              <w:ind w:left="300"/>
              <w:spacing w:after="0"/>
              <w:rPr>
                <w:sz w:val="20"/>
                <w:szCs w:val="20"/>
                <w:color w:val="auto"/>
              </w:rPr>
            </w:pPr>
            <w:r>
              <w:rPr>
                <w:rFonts w:ascii="Arial" w:cs="Arial" w:eastAsia="Arial" w:hAnsi="Arial"/>
                <w:sz w:val="18"/>
                <w:szCs w:val="18"/>
                <w:color w:val="auto"/>
              </w:rPr>
              <w:t>Second Amendment to The Scotts Company Executive</w:t>
            </w: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5620" w:type="dxa"/>
            <w:vAlign w:val="bottom"/>
            <w:gridSpan w:val="3"/>
          </w:tcPr>
          <w:p>
            <w:pPr>
              <w:ind w:left="300"/>
              <w:spacing w:after="0" w:line="202" w:lineRule="exact"/>
              <w:rPr>
                <w:sz w:val="20"/>
                <w:szCs w:val="20"/>
                <w:color w:val="auto"/>
              </w:rPr>
            </w:pPr>
            <w:r>
              <w:rPr>
                <w:rFonts w:ascii="Arial" w:cs="Arial" w:eastAsia="Arial" w:hAnsi="Arial"/>
                <w:sz w:val="18"/>
                <w:szCs w:val="18"/>
                <w:color w:val="auto"/>
              </w:rPr>
              <w:t>Retirement Plan (now known as The Scotts Company LLC</w:t>
            </w: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5620" w:type="dxa"/>
            <w:vAlign w:val="bottom"/>
            <w:gridSpan w:val="3"/>
          </w:tcPr>
          <w:p>
            <w:pPr>
              <w:ind w:left="300"/>
              <w:spacing w:after="0" w:line="202" w:lineRule="exact"/>
              <w:rPr>
                <w:sz w:val="20"/>
                <w:szCs w:val="20"/>
                <w:color w:val="auto"/>
              </w:rPr>
            </w:pPr>
            <w:r>
              <w:rPr>
                <w:rFonts w:ascii="Arial" w:cs="Arial" w:eastAsia="Arial" w:hAnsi="Arial"/>
                <w:sz w:val="18"/>
                <w:szCs w:val="18"/>
                <w:color w:val="auto"/>
              </w:rPr>
              <w:t>Executive Retirement Plan) [executed as of January 14, 2000 and</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5620" w:type="dxa"/>
            <w:vAlign w:val="bottom"/>
            <w:gridSpan w:val="3"/>
          </w:tcPr>
          <w:p>
            <w:pPr>
              <w:ind w:left="300"/>
              <w:spacing w:after="0"/>
              <w:rPr>
                <w:sz w:val="20"/>
                <w:szCs w:val="20"/>
                <w:color w:val="auto"/>
              </w:rPr>
            </w:pPr>
            <w:r>
              <w:rPr>
                <w:rFonts w:ascii="Arial" w:cs="Arial" w:eastAsia="Arial" w:hAnsi="Arial"/>
                <w:sz w:val="18"/>
                <w:szCs w:val="18"/>
                <w:color w:val="auto"/>
              </w:rPr>
              <w:t>effective as of January 1, 2000]</w:t>
            </w:r>
          </w:p>
        </w:tc>
        <w:tc>
          <w:tcPr>
            <w:tcW w:w="0" w:type="dxa"/>
            <w:vAlign w:val="bottom"/>
          </w:tcPr>
          <w:p>
            <w:pPr>
              <w:spacing w:after="0"/>
              <w:rPr>
                <w:sz w:val="1"/>
                <w:szCs w:val="1"/>
                <w:color w:val="auto"/>
              </w:rPr>
            </w:pPr>
          </w:p>
        </w:tc>
      </w:tr>
      <w:tr>
        <w:trPr>
          <w:trHeight w:val="473"/>
        </w:trPr>
        <w:tc>
          <w:tcPr>
            <w:tcW w:w="1120" w:type="dxa"/>
            <w:vAlign w:val="bottom"/>
          </w:tcPr>
          <w:p>
            <w:pPr>
              <w:spacing w:after="0"/>
              <w:rPr>
                <w:sz w:val="20"/>
                <w:szCs w:val="20"/>
                <w:color w:val="auto"/>
              </w:rPr>
            </w:pPr>
            <w:r>
              <w:rPr>
                <w:rFonts w:ascii="Arial" w:cs="Arial" w:eastAsia="Arial" w:hAnsi="Arial"/>
                <w:sz w:val="18"/>
                <w:szCs w:val="18"/>
                <w:color w:val="auto"/>
              </w:rPr>
              <w:t>10.5(a)(iv)</w:t>
            </w:r>
          </w:p>
        </w:tc>
        <w:tc>
          <w:tcPr>
            <w:tcW w:w="5620" w:type="dxa"/>
            <w:vAlign w:val="bottom"/>
            <w:gridSpan w:val="3"/>
          </w:tcPr>
          <w:p>
            <w:pPr>
              <w:ind w:left="300"/>
              <w:spacing w:after="0"/>
              <w:rPr>
                <w:sz w:val="20"/>
                <w:szCs w:val="20"/>
                <w:color w:val="auto"/>
              </w:rPr>
            </w:pPr>
            <w:r>
              <w:rPr>
                <w:rFonts w:ascii="Arial" w:cs="Arial" w:eastAsia="Arial" w:hAnsi="Arial"/>
                <w:sz w:val="18"/>
                <w:szCs w:val="18"/>
                <w:color w:val="auto"/>
              </w:rPr>
              <w:t>Third Amendment to The Scotts Company Executive Retirement</w:t>
            </w: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5620" w:type="dxa"/>
            <w:vAlign w:val="bottom"/>
            <w:gridSpan w:val="3"/>
          </w:tcPr>
          <w:p>
            <w:pPr>
              <w:ind w:left="300"/>
              <w:spacing w:after="0" w:line="202" w:lineRule="exact"/>
              <w:rPr>
                <w:sz w:val="20"/>
                <w:szCs w:val="20"/>
                <w:color w:val="auto"/>
              </w:rPr>
            </w:pPr>
            <w:r>
              <w:rPr>
                <w:rFonts w:ascii="Arial" w:cs="Arial" w:eastAsia="Arial" w:hAnsi="Arial"/>
                <w:sz w:val="18"/>
                <w:szCs w:val="18"/>
                <w:color w:val="auto"/>
              </w:rPr>
              <w:t>Plan (now known as The Scotts Company LLC Executive</w:t>
            </w: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5620" w:type="dxa"/>
            <w:vAlign w:val="bottom"/>
            <w:gridSpan w:val="3"/>
          </w:tcPr>
          <w:p>
            <w:pPr>
              <w:ind w:left="300"/>
              <w:spacing w:after="0" w:line="202" w:lineRule="exact"/>
              <w:rPr>
                <w:sz w:val="20"/>
                <w:szCs w:val="20"/>
                <w:color w:val="auto"/>
              </w:rPr>
            </w:pPr>
            <w:r>
              <w:rPr>
                <w:rFonts w:ascii="Arial" w:cs="Arial" w:eastAsia="Arial" w:hAnsi="Arial"/>
                <w:sz w:val="18"/>
                <w:szCs w:val="18"/>
                <w:color w:val="auto"/>
              </w:rPr>
              <w:t>Retirement Plan) [executed as of December 1, 2002 and effective</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5620" w:type="dxa"/>
            <w:vAlign w:val="bottom"/>
            <w:gridSpan w:val="3"/>
          </w:tcPr>
          <w:p>
            <w:pPr>
              <w:ind w:left="300"/>
              <w:spacing w:after="0"/>
              <w:rPr>
                <w:sz w:val="20"/>
                <w:szCs w:val="20"/>
                <w:color w:val="auto"/>
              </w:rPr>
            </w:pPr>
            <w:r>
              <w:rPr>
                <w:rFonts w:ascii="Arial" w:cs="Arial" w:eastAsia="Arial" w:hAnsi="Arial"/>
                <w:sz w:val="18"/>
                <w:szCs w:val="18"/>
                <w:color w:val="auto"/>
              </w:rPr>
              <w:t>as of January 1, 2003]</w:t>
            </w:r>
          </w:p>
        </w:tc>
        <w:tc>
          <w:tcPr>
            <w:tcW w:w="0" w:type="dxa"/>
            <w:vAlign w:val="bottom"/>
          </w:tcPr>
          <w:p>
            <w:pPr>
              <w:spacing w:after="0"/>
              <w:rPr>
                <w:sz w:val="1"/>
                <w:szCs w:val="1"/>
                <w:color w:val="auto"/>
              </w:rPr>
            </w:pPr>
          </w:p>
        </w:tc>
      </w:tr>
      <w:tr>
        <w:trPr>
          <w:trHeight w:val="473"/>
        </w:trPr>
        <w:tc>
          <w:tcPr>
            <w:tcW w:w="1120" w:type="dxa"/>
            <w:vAlign w:val="bottom"/>
          </w:tcPr>
          <w:p>
            <w:pPr>
              <w:spacing w:after="0"/>
              <w:rPr>
                <w:sz w:val="20"/>
                <w:szCs w:val="20"/>
                <w:color w:val="auto"/>
              </w:rPr>
            </w:pPr>
            <w:r>
              <w:rPr>
                <w:rFonts w:ascii="Arial" w:cs="Arial" w:eastAsia="Arial" w:hAnsi="Arial"/>
                <w:sz w:val="18"/>
                <w:szCs w:val="18"/>
                <w:color w:val="auto"/>
              </w:rPr>
              <w:t>10.5(a)(v)</w:t>
            </w:r>
          </w:p>
        </w:tc>
        <w:tc>
          <w:tcPr>
            <w:tcW w:w="5620" w:type="dxa"/>
            <w:vAlign w:val="bottom"/>
            <w:gridSpan w:val="3"/>
          </w:tcPr>
          <w:p>
            <w:pPr>
              <w:ind w:left="300"/>
              <w:spacing w:after="0"/>
              <w:rPr>
                <w:sz w:val="20"/>
                <w:szCs w:val="20"/>
                <w:color w:val="auto"/>
              </w:rPr>
            </w:pPr>
            <w:r>
              <w:rPr>
                <w:rFonts w:ascii="Arial" w:cs="Arial" w:eastAsia="Arial" w:hAnsi="Arial"/>
                <w:sz w:val="18"/>
                <w:szCs w:val="18"/>
                <w:color w:val="auto"/>
              </w:rPr>
              <w:t>Fourth Amendment to The Scotts Company Executive Retirement</w:t>
            </w: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5620" w:type="dxa"/>
            <w:vAlign w:val="bottom"/>
            <w:gridSpan w:val="3"/>
          </w:tcPr>
          <w:p>
            <w:pPr>
              <w:ind w:left="300"/>
              <w:spacing w:after="0" w:line="202" w:lineRule="exact"/>
              <w:rPr>
                <w:sz w:val="20"/>
                <w:szCs w:val="20"/>
                <w:color w:val="auto"/>
              </w:rPr>
            </w:pPr>
            <w:r>
              <w:rPr>
                <w:rFonts w:ascii="Arial" w:cs="Arial" w:eastAsia="Arial" w:hAnsi="Arial"/>
                <w:sz w:val="18"/>
                <w:szCs w:val="18"/>
                <w:color w:val="auto"/>
              </w:rPr>
              <w:t>Plan (now known as The Scotts Company LLC Executive</w:t>
            </w: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5620" w:type="dxa"/>
            <w:vAlign w:val="bottom"/>
            <w:gridSpan w:val="3"/>
          </w:tcPr>
          <w:p>
            <w:pPr>
              <w:ind w:left="300"/>
              <w:spacing w:after="0" w:line="202" w:lineRule="exact"/>
              <w:rPr>
                <w:sz w:val="20"/>
                <w:szCs w:val="20"/>
                <w:color w:val="auto"/>
              </w:rPr>
            </w:pPr>
            <w:r>
              <w:rPr>
                <w:rFonts w:ascii="Arial" w:cs="Arial" w:eastAsia="Arial" w:hAnsi="Arial"/>
                <w:sz w:val="18"/>
                <w:szCs w:val="18"/>
                <w:color w:val="auto"/>
              </w:rPr>
              <w:t>Retirement Plan) [executed as of May 5, 2004 and effective as of</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5620" w:type="dxa"/>
            <w:vAlign w:val="bottom"/>
            <w:gridSpan w:val="3"/>
          </w:tcPr>
          <w:p>
            <w:pPr>
              <w:ind w:left="300"/>
              <w:spacing w:after="0"/>
              <w:rPr>
                <w:sz w:val="20"/>
                <w:szCs w:val="20"/>
                <w:color w:val="auto"/>
              </w:rPr>
            </w:pPr>
            <w:r>
              <w:rPr>
                <w:rFonts w:ascii="Arial" w:cs="Arial" w:eastAsia="Arial" w:hAnsi="Arial"/>
                <w:sz w:val="18"/>
                <w:szCs w:val="18"/>
                <w:color w:val="auto"/>
              </w:rPr>
              <w:t>January 1, 2004]</w:t>
            </w:r>
          </w:p>
        </w:tc>
        <w:tc>
          <w:tcPr>
            <w:tcW w:w="0" w:type="dxa"/>
            <w:vAlign w:val="bottom"/>
          </w:tcPr>
          <w:p>
            <w:pPr>
              <w:spacing w:after="0"/>
              <w:rPr>
                <w:sz w:val="1"/>
                <w:szCs w:val="1"/>
                <w:color w:val="auto"/>
              </w:rPr>
            </w:pPr>
          </w:p>
        </w:tc>
      </w:tr>
      <w:tr>
        <w:trPr>
          <w:trHeight w:val="473"/>
        </w:trPr>
        <w:tc>
          <w:tcPr>
            <w:tcW w:w="1120" w:type="dxa"/>
            <w:vAlign w:val="bottom"/>
          </w:tcPr>
          <w:p>
            <w:pPr>
              <w:spacing w:after="0"/>
              <w:rPr>
                <w:sz w:val="20"/>
                <w:szCs w:val="20"/>
                <w:color w:val="auto"/>
              </w:rPr>
            </w:pPr>
            <w:r>
              <w:rPr>
                <w:rFonts w:ascii="Arial" w:cs="Arial" w:eastAsia="Arial" w:hAnsi="Arial"/>
                <w:sz w:val="18"/>
                <w:szCs w:val="18"/>
                <w:color w:val="auto"/>
              </w:rPr>
              <w:t>10.5(a)(vi)</w:t>
            </w:r>
          </w:p>
        </w:tc>
        <w:tc>
          <w:tcPr>
            <w:tcW w:w="5620" w:type="dxa"/>
            <w:vAlign w:val="bottom"/>
            <w:gridSpan w:val="3"/>
          </w:tcPr>
          <w:p>
            <w:pPr>
              <w:ind w:left="300"/>
              <w:spacing w:after="0"/>
              <w:rPr>
                <w:sz w:val="20"/>
                <w:szCs w:val="20"/>
                <w:color w:val="auto"/>
              </w:rPr>
            </w:pPr>
            <w:r>
              <w:rPr>
                <w:rFonts w:ascii="Arial" w:cs="Arial" w:eastAsia="Arial" w:hAnsi="Arial"/>
                <w:sz w:val="18"/>
                <w:szCs w:val="18"/>
                <w:color w:val="auto"/>
              </w:rPr>
              <w:t>Fifth Amendment to The Scotts Company Executive Retirement</w:t>
            </w: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5620" w:type="dxa"/>
            <w:vAlign w:val="bottom"/>
            <w:gridSpan w:val="3"/>
          </w:tcPr>
          <w:p>
            <w:pPr>
              <w:ind w:left="300"/>
              <w:spacing w:after="0" w:line="202" w:lineRule="exact"/>
              <w:rPr>
                <w:sz w:val="20"/>
                <w:szCs w:val="20"/>
                <w:color w:val="auto"/>
              </w:rPr>
            </w:pPr>
            <w:r>
              <w:rPr>
                <w:rFonts w:ascii="Arial" w:cs="Arial" w:eastAsia="Arial" w:hAnsi="Arial"/>
                <w:sz w:val="18"/>
                <w:szCs w:val="18"/>
                <w:color w:val="auto"/>
              </w:rPr>
              <w:t>Plan (executed on May 6, 2005 and effective as of March 18,</w:t>
            </w: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5620" w:type="dxa"/>
            <w:vAlign w:val="bottom"/>
            <w:gridSpan w:val="3"/>
          </w:tcPr>
          <w:p>
            <w:pPr>
              <w:ind w:left="300"/>
              <w:spacing w:after="0" w:line="202" w:lineRule="exact"/>
              <w:rPr>
                <w:sz w:val="20"/>
                <w:szCs w:val="20"/>
                <w:color w:val="auto"/>
              </w:rPr>
            </w:pPr>
            <w:r>
              <w:rPr>
                <w:rFonts w:ascii="Arial" w:cs="Arial" w:eastAsia="Arial" w:hAnsi="Arial"/>
                <w:sz w:val="18"/>
                <w:szCs w:val="18"/>
                <w:color w:val="auto"/>
              </w:rPr>
              <w:t>2005) [amended the name of the plan to be The Scotts Company</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5620" w:type="dxa"/>
            <w:vAlign w:val="bottom"/>
            <w:gridSpan w:val="3"/>
          </w:tcPr>
          <w:p>
            <w:pPr>
              <w:ind w:left="300"/>
              <w:spacing w:after="0"/>
              <w:rPr>
                <w:sz w:val="20"/>
                <w:szCs w:val="20"/>
                <w:color w:val="auto"/>
              </w:rPr>
            </w:pPr>
            <w:r>
              <w:rPr>
                <w:rFonts w:ascii="Arial" w:cs="Arial" w:eastAsia="Arial" w:hAnsi="Arial"/>
                <w:sz w:val="18"/>
                <w:szCs w:val="18"/>
                <w:color w:val="auto"/>
              </w:rPr>
              <w:t>LLC Executive Retirement Plan]</w:t>
            </w:r>
          </w:p>
        </w:tc>
        <w:tc>
          <w:tcPr>
            <w:tcW w:w="0" w:type="dxa"/>
            <w:vAlign w:val="bottom"/>
          </w:tcPr>
          <w:p>
            <w:pPr>
              <w:spacing w:after="0"/>
              <w:rPr>
                <w:sz w:val="1"/>
                <w:szCs w:val="1"/>
                <w:color w:val="auto"/>
              </w:rPr>
            </w:pPr>
          </w:p>
        </w:tc>
      </w:tr>
      <w:tr>
        <w:trPr>
          <w:trHeight w:val="320"/>
        </w:trPr>
        <w:tc>
          <w:tcPr>
            <w:tcW w:w="1120" w:type="dxa"/>
            <w:vAlign w:val="bottom"/>
          </w:tcPr>
          <w:p>
            <w:pPr>
              <w:spacing w:after="0"/>
              <w:rPr>
                <w:sz w:val="24"/>
                <w:szCs w:val="24"/>
                <w:color w:val="auto"/>
              </w:rPr>
            </w:pPr>
          </w:p>
        </w:tc>
        <w:tc>
          <w:tcPr>
            <w:tcW w:w="3740" w:type="dxa"/>
            <w:vAlign w:val="bottom"/>
            <w:vMerge w:val="restart"/>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1120" w:type="dxa"/>
            <w:vAlign w:val="bottom"/>
          </w:tcPr>
          <w:p>
            <w:pPr>
              <w:spacing w:after="0"/>
              <w:rPr>
                <w:sz w:val="11"/>
                <w:szCs w:val="11"/>
                <w:color w:val="auto"/>
              </w:rPr>
            </w:pPr>
          </w:p>
        </w:tc>
        <w:tc>
          <w:tcPr>
            <w:tcW w:w="3740" w:type="dxa"/>
            <w:vAlign w:val="bottom"/>
            <w:vMerge w:val="continue"/>
          </w:tcPr>
          <w:p>
            <w:pPr>
              <w:spacing w:after="0"/>
              <w:rPr>
                <w:sz w:val="11"/>
                <w:szCs w:val="11"/>
                <w:color w:val="auto"/>
              </w:rPr>
            </w:pPr>
          </w:p>
        </w:tc>
        <w:tc>
          <w:tcPr>
            <w:tcW w:w="300" w:type="dxa"/>
            <w:vAlign w:val="bottom"/>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52</w:t>
            </w:r>
          </w:p>
        </w:tc>
        <w:tc>
          <w:tcPr>
            <w:tcW w:w="15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80"/>
        <w:spacing w:after="0" w:line="245"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2007 (File No. 1-13292) [Exhibit 10(d)(4)]</w:t>
      </w:r>
    </w:p>
    <w:p>
      <w:pPr>
        <w:spacing w:after="0" w:line="64" w:lineRule="exact"/>
        <w:rPr>
          <w:sz w:val="20"/>
          <w:szCs w:val="20"/>
          <w:color w:val="auto"/>
        </w:rPr>
      </w:pPr>
    </w:p>
    <w:p>
      <w:pPr>
        <w:ind w:right="200"/>
        <w:spacing w:after="0" w:line="243" w:lineRule="auto"/>
        <w:rPr>
          <w:sz w:val="20"/>
          <w:szCs w:val="20"/>
          <w:color w:val="auto"/>
        </w:rPr>
      </w:pPr>
      <w:r>
        <w:rPr>
          <w:rFonts w:ascii="Arial" w:cs="Arial" w:eastAsia="Arial" w:hAnsi="Arial"/>
          <w:sz w:val="18"/>
          <w:szCs w:val="18"/>
          <w:color w:val="auto"/>
        </w:rPr>
        <w:t>Incorporated herein by reference to the Current Report of The Scotts Company, an Ohio corporation (“Scotts”), on Form 8-K filed November 19, 2004 (File No. 1-13292) [Exhibit 10.7]</w:t>
      </w:r>
    </w:p>
    <w:p>
      <w:pPr>
        <w:spacing w:after="0" w:line="66" w:lineRule="exact"/>
        <w:rPr>
          <w:sz w:val="20"/>
          <w:szCs w:val="20"/>
          <w:color w:val="auto"/>
        </w:rPr>
      </w:pPr>
    </w:p>
    <w:p>
      <w:pPr>
        <w:ind w:right="200"/>
        <w:spacing w:after="0" w:line="241" w:lineRule="auto"/>
        <w:rPr>
          <w:sz w:val="20"/>
          <w:szCs w:val="20"/>
          <w:color w:val="auto"/>
        </w:rPr>
      </w:pPr>
      <w:r>
        <w:rPr>
          <w:rFonts w:ascii="Arial" w:cs="Arial" w:eastAsia="Arial" w:hAnsi="Arial"/>
          <w:sz w:val="18"/>
          <w:szCs w:val="18"/>
          <w:color w:val="auto"/>
        </w:rPr>
        <w:t>Incorporated herein by reference to the Registrant’s Registration Statement on Form S-8 filed on October 9, 2008 (File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No. 333-153925) [Exhibit 4.4]</w:t>
      </w:r>
    </w:p>
    <w:p>
      <w:pPr>
        <w:spacing w:after="0" w:line="82" w:lineRule="exact"/>
        <w:rPr>
          <w:sz w:val="20"/>
          <w:szCs w:val="20"/>
          <w:color w:val="auto"/>
        </w:rPr>
      </w:pPr>
    </w:p>
    <w:p>
      <w:pPr>
        <w:ind w:right="200"/>
        <w:spacing w:after="0" w:line="241" w:lineRule="auto"/>
        <w:rPr>
          <w:sz w:val="20"/>
          <w:szCs w:val="20"/>
          <w:color w:val="auto"/>
        </w:rPr>
      </w:pPr>
      <w:r>
        <w:rPr>
          <w:rFonts w:ascii="Arial" w:cs="Arial" w:eastAsia="Arial" w:hAnsi="Arial"/>
          <w:sz w:val="18"/>
          <w:szCs w:val="18"/>
          <w:color w:val="auto"/>
        </w:rPr>
        <w:t>Incorporated herein by reference to the Registrant’s Registration Statement on Form S-8 filed on October 9, 2008 (File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No. 333-153925) [Exhibit 4.5]</w:t>
      </w:r>
    </w:p>
    <w:p>
      <w:pPr>
        <w:spacing w:after="0" w:line="82" w:lineRule="exact"/>
        <w:rPr>
          <w:sz w:val="20"/>
          <w:szCs w:val="20"/>
          <w:color w:val="auto"/>
        </w:rPr>
      </w:pPr>
    </w:p>
    <w:p>
      <w:pPr>
        <w:ind w:right="200"/>
        <w:spacing w:after="0" w:line="241" w:lineRule="auto"/>
        <w:rPr>
          <w:sz w:val="20"/>
          <w:szCs w:val="20"/>
          <w:color w:val="auto"/>
        </w:rPr>
      </w:pPr>
      <w:r>
        <w:rPr>
          <w:rFonts w:ascii="Arial" w:cs="Arial" w:eastAsia="Arial" w:hAnsi="Arial"/>
          <w:sz w:val="18"/>
          <w:szCs w:val="18"/>
          <w:color w:val="auto"/>
        </w:rPr>
        <w:t>Incorporated herein by reference to the Registrant’s Registration Statement on Form S-8 filed on October 9, 2008 (File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No. 333-153925) [Exhibit 4.6]</w:t>
      </w:r>
    </w:p>
    <w:p>
      <w:pPr>
        <w:spacing w:after="0" w:line="82" w:lineRule="exact"/>
        <w:rPr>
          <w:sz w:val="20"/>
          <w:szCs w:val="20"/>
          <w:color w:val="auto"/>
        </w:rPr>
      </w:pPr>
    </w:p>
    <w:p>
      <w:pPr>
        <w:ind w:right="200"/>
        <w:spacing w:after="0" w:line="241" w:lineRule="auto"/>
        <w:rPr>
          <w:sz w:val="20"/>
          <w:szCs w:val="20"/>
          <w:color w:val="auto"/>
        </w:rPr>
      </w:pPr>
      <w:r>
        <w:rPr>
          <w:rFonts w:ascii="Arial" w:cs="Arial" w:eastAsia="Arial" w:hAnsi="Arial"/>
          <w:sz w:val="18"/>
          <w:szCs w:val="18"/>
          <w:color w:val="auto"/>
        </w:rPr>
        <w:t>Incorporated herein by reference to the Registrant’s Registration Statement on Form S-8 filed on October 9, 2008 (File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No. 333-153925) [Exhibit 4.7]</w:t>
      </w:r>
    </w:p>
    <w:p>
      <w:pPr>
        <w:spacing w:after="0" w:line="82" w:lineRule="exact"/>
        <w:rPr>
          <w:sz w:val="20"/>
          <w:szCs w:val="20"/>
          <w:color w:val="auto"/>
        </w:rPr>
      </w:pPr>
    </w:p>
    <w:p>
      <w:pPr>
        <w:ind w:right="200"/>
        <w:spacing w:after="0" w:line="241" w:lineRule="auto"/>
        <w:rPr>
          <w:sz w:val="20"/>
          <w:szCs w:val="20"/>
          <w:color w:val="auto"/>
        </w:rPr>
      </w:pPr>
      <w:r>
        <w:rPr>
          <w:rFonts w:ascii="Arial" w:cs="Arial" w:eastAsia="Arial" w:hAnsi="Arial"/>
          <w:sz w:val="18"/>
          <w:szCs w:val="18"/>
          <w:color w:val="auto"/>
        </w:rPr>
        <w:t>Incorporated herein by reference to the Registrant’s Registration Statement on Form S-8 filed on October 9, 2008 (File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No. 333-153925) [Exhibit 4.8]</w:t>
      </w:r>
    </w:p>
    <w:p>
      <w:pPr>
        <w:spacing w:after="0" w:line="82" w:lineRule="exact"/>
        <w:rPr>
          <w:sz w:val="20"/>
          <w:szCs w:val="20"/>
          <w:color w:val="auto"/>
        </w:rPr>
      </w:pPr>
    </w:p>
    <w:p>
      <w:pPr>
        <w:ind w:right="200"/>
        <w:spacing w:after="0" w:line="241" w:lineRule="auto"/>
        <w:rPr>
          <w:sz w:val="20"/>
          <w:szCs w:val="20"/>
          <w:color w:val="auto"/>
        </w:rPr>
      </w:pPr>
      <w:r>
        <w:rPr>
          <w:rFonts w:ascii="Arial" w:cs="Arial" w:eastAsia="Arial" w:hAnsi="Arial"/>
          <w:sz w:val="18"/>
          <w:szCs w:val="18"/>
          <w:color w:val="auto"/>
        </w:rPr>
        <w:t>Incorporated herein by reference to the Registrant’s Registration Statement on Form S-8 filed on October 9, 2008 (File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No. 333-153925) [Exhibit 4.9]</w:t>
      </w:r>
    </w:p>
    <w:p>
      <w:pPr>
        <w:sectPr>
          <w:pgSz w:w="11900" w:h="16838" w:orient="portrait"/>
          <w:cols w:equalWidth="0" w:num="2">
            <w:col w:w="7440" w:space="300"/>
            <w:col w:w="3000"/>
          </w:cols>
          <w:pgMar w:left="240" w:top="405" w:right="919" w:bottom="1440" w:gutter="0" w:footer="0" w:header="0"/>
          <w:type w:val="continuous"/>
        </w:sectPr>
      </w:pPr>
    </w:p>
    <w:bookmarkStart w:id="54" w:name="page55"/>
    <w:bookmarkEnd w:id="54"/>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Times New Roman" w:cs="Times New Roman" w:eastAsia="Times New Roman" w:hAnsi="Times New Roman"/>
                <w:sz w:val="18"/>
                <w:szCs w:val="18"/>
                <w:b w:val="1"/>
                <w:bCs w:val="1"/>
                <w:color w:val="0000EE"/>
                <w:w w:val="97"/>
              </w:rPr>
            </w:pPr>
            <w:hyperlink w:anchor="page64">
              <w:r>
                <w:rPr>
                  <w:rFonts w:ascii="Times New Roman" w:cs="Times New Roman" w:eastAsia="Times New Roman" w:hAnsi="Times New Roman"/>
                  <w:sz w:val="18"/>
                  <w:szCs w:val="18"/>
                  <w:b w:val="1"/>
                  <w:bCs w:val="1"/>
                  <w:color w:val="0000EE"/>
                  <w:w w:val="97"/>
                </w:rPr>
                <w:t>Table of Contents</w:t>
              </w:r>
            </w:hyperlink>
          </w:p>
        </w:tc>
        <w:tc>
          <w:tcPr>
            <w:tcW w:w="48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3300" w:type="dxa"/>
            <w:vAlign w:val="bottom"/>
          </w:tcPr>
          <w:p>
            <w:pPr>
              <w:spacing w:after="0"/>
              <w:rPr>
                <w:sz w:val="17"/>
                <w:szCs w:val="17"/>
                <w:color w:val="auto"/>
              </w:rPr>
            </w:pPr>
          </w:p>
        </w:tc>
      </w:tr>
      <w:tr>
        <w:trPr>
          <w:trHeight w:val="511"/>
        </w:trPr>
        <w:tc>
          <w:tcPr>
            <w:tcW w:w="700" w:type="dxa"/>
            <w:vAlign w:val="bottom"/>
          </w:tcPr>
          <w:p>
            <w:pPr>
              <w:spacing w:after="0"/>
              <w:rPr>
                <w:sz w:val="24"/>
                <w:szCs w:val="24"/>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9"/>
              </w:rPr>
              <w:t>Exhibit</w:t>
            </w:r>
          </w:p>
        </w:tc>
        <w:tc>
          <w:tcPr>
            <w:tcW w:w="560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239"/>
        </w:trPr>
        <w:tc>
          <w:tcPr>
            <w:tcW w:w="700" w:type="dxa"/>
            <w:vAlign w:val="bottom"/>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9"/>
              </w:rPr>
              <w:t>No.</w:t>
            </w:r>
          </w:p>
        </w:tc>
        <w:tc>
          <w:tcPr>
            <w:tcW w:w="5600" w:type="dxa"/>
            <w:vAlign w:val="bottom"/>
            <w:tcBorders>
              <w:bottom w:val="single" w:sz="8" w:color="auto"/>
            </w:tcBorders>
          </w:tcPr>
          <w:p>
            <w:pPr>
              <w:ind w:left="2480"/>
              <w:spacing w:after="0"/>
              <w:rPr>
                <w:sz w:val="20"/>
                <w:szCs w:val="20"/>
                <w:color w:val="auto"/>
              </w:rPr>
            </w:pPr>
            <w:r>
              <w:rPr>
                <w:rFonts w:ascii="Arial" w:cs="Arial" w:eastAsia="Arial" w:hAnsi="Arial"/>
                <w:sz w:val="18"/>
                <w:szCs w:val="18"/>
                <w:color w:val="auto"/>
              </w:rPr>
              <w:t>Description</w:t>
            </w:r>
          </w:p>
        </w:tc>
        <w:tc>
          <w:tcPr>
            <w:tcW w:w="3300" w:type="dxa"/>
            <w:vAlign w:val="bottom"/>
            <w:tcBorders>
              <w:bottom w:val="single" w:sz="8" w:color="auto"/>
            </w:tcBorders>
          </w:tcPr>
          <w:p>
            <w:pPr>
              <w:ind w:left="1460"/>
              <w:spacing w:after="0"/>
              <w:rPr>
                <w:sz w:val="20"/>
                <w:szCs w:val="20"/>
                <w:color w:val="auto"/>
              </w:rPr>
            </w:pPr>
            <w:r>
              <w:rPr>
                <w:rFonts w:ascii="Arial" w:cs="Arial" w:eastAsia="Arial" w:hAnsi="Arial"/>
                <w:sz w:val="18"/>
                <w:szCs w:val="18"/>
                <w:color w:val="auto"/>
              </w:rPr>
              <w:t>Location</w:t>
            </w:r>
          </w:p>
        </w:tc>
      </w:tr>
      <w:tr>
        <w:trPr>
          <w:trHeight w:val="335"/>
        </w:trPr>
        <w:tc>
          <w:tcPr>
            <w:tcW w:w="1840" w:type="dxa"/>
            <w:vAlign w:val="bottom"/>
            <w:gridSpan w:val="3"/>
          </w:tcPr>
          <w:p>
            <w:pPr>
              <w:ind w:left="700"/>
              <w:spacing w:after="0"/>
              <w:rPr>
                <w:sz w:val="20"/>
                <w:szCs w:val="20"/>
                <w:color w:val="auto"/>
              </w:rPr>
            </w:pPr>
            <w:r>
              <w:rPr>
                <w:rFonts w:ascii="Arial" w:cs="Arial" w:eastAsia="Arial" w:hAnsi="Arial"/>
                <w:sz w:val="18"/>
                <w:szCs w:val="18"/>
                <w:color w:val="auto"/>
              </w:rPr>
              <w:t>10.5(a)(vii)</w:t>
            </w:r>
          </w:p>
        </w:tc>
        <w:tc>
          <w:tcPr>
            <w:tcW w:w="5600" w:type="dxa"/>
            <w:vAlign w:val="bottom"/>
          </w:tcPr>
          <w:p>
            <w:pPr>
              <w:ind w:left="280"/>
              <w:spacing w:after="0"/>
              <w:rPr>
                <w:sz w:val="20"/>
                <w:szCs w:val="20"/>
                <w:color w:val="auto"/>
              </w:rPr>
            </w:pPr>
            <w:r>
              <w:rPr>
                <w:rFonts w:ascii="Arial" w:cs="Arial" w:eastAsia="Arial" w:hAnsi="Arial"/>
                <w:sz w:val="18"/>
                <w:szCs w:val="18"/>
                <w:color w:val="auto"/>
              </w:rPr>
              <w:t>Sixth Amendment to The Scotts Company LLC Executive</w:t>
            </w:r>
          </w:p>
        </w:tc>
        <w:tc>
          <w:tcPr>
            <w:tcW w:w="3300" w:type="dxa"/>
            <w:vAlign w:val="bottom"/>
          </w:tcPr>
          <w:p>
            <w:pPr>
              <w:ind w:left="300"/>
              <w:spacing w:after="0"/>
              <w:rPr>
                <w:sz w:val="20"/>
                <w:szCs w:val="20"/>
                <w:color w:val="auto"/>
              </w:rPr>
            </w:pPr>
            <w:r>
              <w:rPr>
                <w:rFonts w:ascii="Arial" w:cs="Arial" w:eastAsia="Arial" w:hAnsi="Arial"/>
                <w:sz w:val="18"/>
                <w:szCs w:val="18"/>
                <w:color w:val="auto"/>
              </w:rPr>
              <w:t>Incorporated herein by reference to</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0" w:type="dxa"/>
            <w:vAlign w:val="bottom"/>
          </w:tcPr>
          <w:p>
            <w:pPr>
              <w:ind w:left="280"/>
              <w:spacing w:after="0" w:line="202" w:lineRule="exact"/>
              <w:rPr>
                <w:sz w:val="20"/>
                <w:szCs w:val="20"/>
                <w:color w:val="auto"/>
              </w:rPr>
            </w:pPr>
            <w:r>
              <w:rPr>
                <w:rFonts w:ascii="Arial" w:cs="Arial" w:eastAsia="Arial" w:hAnsi="Arial"/>
                <w:sz w:val="18"/>
                <w:szCs w:val="18"/>
                <w:color w:val="auto"/>
              </w:rPr>
              <w:t>Retirement Plan (executed and effective as of October 8, 2008)</w:t>
            </w:r>
          </w:p>
        </w:tc>
        <w:tc>
          <w:tcPr>
            <w:tcW w:w="3300" w:type="dxa"/>
            <w:vAlign w:val="bottom"/>
          </w:tcPr>
          <w:p>
            <w:pPr>
              <w:ind w:left="300"/>
              <w:spacing w:after="0" w:line="202" w:lineRule="exact"/>
              <w:rPr>
                <w:sz w:val="20"/>
                <w:szCs w:val="20"/>
                <w:color w:val="auto"/>
              </w:rPr>
            </w:pPr>
            <w:r>
              <w:rPr>
                <w:rFonts w:ascii="Arial" w:cs="Arial" w:eastAsia="Arial" w:hAnsi="Arial"/>
                <w:sz w:val="18"/>
                <w:szCs w:val="18"/>
                <w:color w:val="auto"/>
              </w:rPr>
              <w:t>the Registrant’s Current Report on</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3300" w:type="dxa"/>
            <w:vAlign w:val="bottom"/>
          </w:tcPr>
          <w:p>
            <w:pPr>
              <w:ind w:left="300"/>
              <w:spacing w:after="0" w:line="202" w:lineRule="exact"/>
              <w:rPr>
                <w:sz w:val="20"/>
                <w:szCs w:val="20"/>
                <w:color w:val="auto"/>
              </w:rPr>
            </w:pPr>
            <w:r>
              <w:rPr>
                <w:rFonts w:ascii="Arial" w:cs="Arial" w:eastAsia="Arial" w:hAnsi="Arial"/>
                <w:sz w:val="18"/>
                <w:szCs w:val="18"/>
                <w:color w:val="auto"/>
              </w:rPr>
              <w:t>Form 8-K filed October 15, 2008 (File</w:t>
            </w:r>
          </w:p>
        </w:tc>
      </w:tr>
      <w:tr>
        <w:trPr>
          <w:trHeight w:val="243"/>
        </w:trPr>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600" w:type="dxa"/>
            <w:vAlign w:val="bottom"/>
          </w:tcPr>
          <w:p>
            <w:pPr>
              <w:spacing w:after="0"/>
              <w:rPr>
                <w:sz w:val="21"/>
                <w:szCs w:val="21"/>
                <w:color w:val="auto"/>
              </w:rPr>
            </w:pPr>
          </w:p>
        </w:tc>
        <w:tc>
          <w:tcPr>
            <w:tcW w:w="3300" w:type="dxa"/>
            <w:vAlign w:val="bottom"/>
          </w:tcPr>
          <w:p>
            <w:pPr>
              <w:ind w:left="300"/>
              <w:spacing w:after="0"/>
              <w:rPr>
                <w:sz w:val="20"/>
                <w:szCs w:val="20"/>
                <w:color w:val="auto"/>
              </w:rPr>
            </w:pPr>
            <w:r>
              <w:rPr>
                <w:rFonts w:ascii="Arial" w:cs="Arial" w:eastAsia="Arial" w:hAnsi="Arial"/>
                <w:sz w:val="18"/>
                <w:szCs w:val="18"/>
                <w:color w:val="auto"/>
              </w:rPr>
              <w:t>No. 1-13292) [Exhibit 10.1.7]</w:t>
            </w:r>
          </w:p>
        </w:tc>
      </w:tr>
    </w:tbl>
    <w:p>
      <w:pPr>
        <w:spacing w:after="0" w:line="63" w:lineRule="exact"/>
        <w:rPr>
          <w:sz w:val="20"/>
          <w:szCs w:val="20"/>
          <w:color w:val="auto"/>
        </w:rPr>
      </w:pPr>
    </w:p>
    <w:p>
      <w:pPr>
        <w:sectPr>
          <w:pgSz w:w="11900" w:h="16838" w:orient="portrait"/>
          <w:cols w:equalWidth="0" w:num="1">
            <w:col w:w="10740"/>
          </w:cols>
          <w:pgMar w:left="240" w:top="405" w:right="919" w:bottom="1440" w:gutter="0" w:footer="0" w:header="0"/>
        </w:sectPr>
      </w:pPr>
    </w:p>
    <w:tbl>
      <w:tblPr>
        <w:tblLayout w:type="fixed"/>
        <w:tblInd w:w="700" w:type="dxa"/>
        <w:tblCellMar>
          <w:top w:w="0" w:type="dxa"/>
          <w:left w:w="0" w:type="dxa"/>
          <w:bottom w:w="0" w:type="dxa"/>
          <w:right w:w="0" w:type="dxa"/>
        </w:tblCellMar>
      </w:tblPr>
      <w:tr>
        <w:trPr>
          <w:trHeight w:val="207"/>
        </w:trPr>
        <w:tc>
          <w:tcPr>
            <w:tcW w:w="1080" w:type="dxa"/>
            <w:vAlign w:val="bottom"/>
          </w:tcPr>
          <w:p>
            <w:pPr>
              <w:spacing w:after="0"/>
              <w:rPr>
                <w:sz w:val="20"/>
                <w:szCs w:val="20"/>
                <w:color w:val="auto"/>
              </w:rPr>
            </w:pPr>
            <w:r>
              <w:rPr>
                <w:rFonts w:ascii="Arial" w:cs="Arial" w:eastAsia="Arial" w:hAnsi="Arial"/>
                <w:sz w:val="18"/>
                <w:szCs w:val="18"/>
                <w:color w:val="auto"/>
              </w:rPr>
              <w:t>10.5(b)(i)</w:t>
            </w:r>
          </w:p>
        </w:tc>
        <w:tc>
          <w:tcPr>
            <w:tcW w:w="5640" w:type="dxa"/>
            <w:vAlign w:val="bottom"/>
          </w:tcPr>
          <w:p>
            <w:pPr>
              <w:ind w:left="340"/>
              <w:spacing w:after="0"/>
              <w:rPr>
                <w:sz w:val="20"/>
                <w:szCs w:val="20"/>
                <w:color w:val="auto"/>
              </w:rPr>
            </w:pPr>
            <w:r>
              <w:rPr>
                <w:rFonts w:ascii="Arial" w:cs="Arial" w:eastAsia="Arial" w:hAnsi="Arial"/>
                <w:sz w:val="18"/>
                <w:szCs w:val="18"/>
                <w:color w:val="auto"/>
              </w:rPr>
              <w:t>Trust Agreement between The Scotts Company and Fidelity</w:t>
            </w:r>
          </w:p>
        </w:tc>
      </w:tr>
      <w:tr>
        <w:trPr>
          <w:trHeight w:val="203"/>
        </w:trPr>
        <w:tc>
          <w:tcPr>
            <w:tcW w:w="1080" w:type="dxa"/>
            <w:vAlign w:val="bottom"/>
          </w:tcPr>
          <w:p>
            <w:pPr>
              <w:spacing w:after="0"/>
              <w:rPr>
                <w:sz w:val="17"/>
                <w:szCs w:val="17"/>
                <w:color w:val="auto"/>
              </w:rPr>
            </w:pPr>
          </w:p>
        </w:tc>
        <w:tc>
          <w:tcPr>
            <w:tcW w:w="5640" w:type="dxa"/>
            <w:vAlign w:val="bottom"/>
          </w:tcPr>
          <w:p>
            <w:pPr>
              <w:ind w:left="340"/>
              <w:spacing w:after="0" w:line="202" w:lineRule="exact"/>
              <w:rPr>
                <w:sz w:val="20"/>
                <w:szCs w:val="20"/>
                <w:color w:val="auto"/>
              </w:rPr>
            </w:pPr>
            <w:r>
              <w:rPr>
                <w:rFonts w:ascii="Arial" w:cs="Arial" w:eastAsia="Arial" w:hAnsi="Arial"/>
                <w:sz w:val="18"/>
                <w:szCs w:val="18"/>
                <w:color w:val="auto"/>
              </w:rPr>
              <w:t>Management Trust Company for The Scotts Company</w:t>
            </w:r>
          </w:p>
        </w:tc>
      </w:tr>
      <w:tr>
        <w:trPr>
          <w:trHeight w:val="203"/>
        </w:trPr>
        <w:tc>
          <w:tcPr>
            <w:tcW w:w="1080" w:type="dxa"/>
            <w:vAlign w:val="bottom"/>
          </w:tcPr>
          <w:p>
            <w:pPr>
              <w:spacing w:after="0"/>
              <w:rPr>
                <w:sz w:val="17"/>
                <w:szCs w:val="17"/>
                <w:color w:val="auto"/>
              </w:rPr>
            </w:pPr>
          </w:p>
        </w:tc>
        <w:tc>
          <w:tcPr>
            <w:tcW w:w="5640" w:type="dxa"/>
            <w:vAlign w:val="bottom"/>
          </w:tcPr>
          <w:p>
            <w:pPr>
              <w:ind w:left="340"/>
              <w:spacing w:after="0" w:line="202" w:lineRule="exact"/>
              <w:rPr>
                <w:sz w:val="20"/>
                <w:szCs w:val="20"/>
                <w:color w:val="auto"/>
              </w:rPr>
            </w:pPr>
            <w:r>
              <w:rPr>
                <w:rFonts w:ascii="Arial" w:cs="Arial" w:eastAsia="Arial" w:hAnsi="Arial"/>
                <w:sz w:val="18"/>
                <w:szCs w:val="18"/>
                <w:color w:val="auto"/>
                <w:w w:val="99"/>
              </w:rPr>
              <w:t>Nonqualified Deferred Compensation Trust established to assist in</w:t>
            </w:r>
          </w:p>
        </w:tc>
      </w:tr>
      <w:tr>
        <w:trPr>
          <w:trHeight w:val="203"/>
        </w:trPr>
        <w:tc>
          <w:tcPr>
            <w:tcW w:w="1080" w:type="dxa"/>
            <w:vAlign w:val="bottom"/>
          </w:tcPr>
          <w:p>
            <w:pPr>
              <w:spacing w:after="0"/>
              <w:rPr>
                <w:sz w:val="17"/>
                <w:szCs w:val="17"/>
                <w:color w:val="auto"/>
              </w:rPr>
            </w:pPr>
          </w:p>
        </w:tc>
        <w:tc>
          <w:tcPr>
            <w:tcW w:w="5640" w:type="dxa"/>
            <w:vAlign w:val="bottom"/>
          </w:tcPr>
          <w:p>
            <w:pPr>
              <w:ind w:left="340"/>
              <w:spacing w:after="0" w:line="202" w:lineRule="exact"/>
              <w:rPr>
                <w:sz w:val="20"/>
                <w:szCs w:val="20"/>
                <w:color w:val="auto"/>
              </w:rPr>
            </w:pPr>
            <w:r>
              <w:rPr>
                <w:rFonts w:ascii="Arial" w:cs="Arial" w:eastAsia="Arial" w:hAnsi="Arial"/>
                <w:sz w:val="18"/>
                <w:szCs w:val="18"/>
                <w:color w:val="auto"/>
              </w:rPr>
              <w:t>discharging obligations under The Scotts Company Nonqualified</w:t>
            </w:r>
          </w:p>
        </w:tc>
      </w:tr>
      <w:tr>
        <w:trPr>
          <w:trHeight w:val="203"/>
        </w:trPr>
        <w:tc>
          <w:tcPr>
            <w:tcW w:w="1080" w:type="dxa"/>
            <w:vAlign w:val="bottom"/>
          </w:tcPr>
          <w:p>
            <w:pPr>
              <w:spacing w:after="0"/>
              <w:rPr>
                <w:sz w:val="17"/>
                <w:szCs w:val="17"/>
                <w:color w:val="auto"/>
              </w:rPr>
            </w:pPr>
          </w:p>
        </w:tc>
        <w:tc>
          <w:tcPr>
            <w:tcW w:w="5640" w:type="dxa"/>
            <w:vAlign w:val="bottom"/>
          </w:tcPr>
          <w:p>
            <w:pPr>
              <w:ind w:left="340"/>
              <w:spacing w:after="0" w:line="202" w:lineRule="exact"/>
              <w:rPr>
                <w:sz w:val="20"/>
                <w:szCs w:val="20"/>
                <w:color w:val="auto"/>
              </w:rPr>
            </w:pPr>
            <w:r>
              <w:rPr>
                <w:rFonts w:ascii="Arial" w:cs="Arial" w:eastAsia="Arial" w:hAnsi="Arial"/>
                <w:sz w:val="18"/>
                <w:szCs w:val="18"/>
                <w:color w:val="auto"/>
                <w:w w:val="99"/>
              </w:rPr>
              <w:t>Deferred Compensation Plan (now known as The Scotts Company</w:t>
            </w:r>
          </w:p>
        </w:tc>
      </w:tr>
      <w:tr>
        <w:trPr>
          <w:trHeight w:val="243"/>
        </w:trPr>
        <w:tc>
          <w:tcPr>
            <w:tcW w:w="1080" w:type="dxa"/>
            <w:vAlign w:val="bottom"/>
          </w:tcPr>
          <w:p>
            <w:pPr>
              <w:spacing w:after="0"/>
              <w:rPr>
                <w:sz w:val="21"/>
                <w:szCs w:val="21"/>
                <w:color w:val="auto"/>
              </w:rPr>
            </w:pPr>
          </w:p>
        </w:tc>
        <w:tc>
          <w:tcPr>
            <w:tcW w:w="5640" w:type="dxa"/>
            <w:vAlign w:val="bottom"/>
          </w:tcPr>
          <w:p>
            <w:pPr>
              <w:ind w:left="340"/>
              <w:spacing w:after="0"/>
              <w:rPr>
                <w:sz w:val="20"/>
                <w:szCs w:val="20"/>
                <w:color w:val="auto"/>
              </w:rPr>
            </w:pPr>
            <w:r>
              <w:rPr>
                <w:rFonts w:ascii="Arial" w:cs="Arial" w:eastAsia="Arial" w:hAnsi="Arial"/>
                <w:sz w:val="18"/>
                <w:szCs w:val="18"/>
                <w:color w:val="auto"/>
              </w:rPr>
              <w:t>LLC Executive Retirement Plan), dated as of January 1, 1998</w:t>
            </w:r>
          </w:p>
        </w:tc>
      </w:tr>
    </w:tbl>
    <w:p>
      <w:pPr>
        <w:spacing w:after="0" w:line="20" w:lineRule="exact"/>
        <w:rPr>
          <w:sz w:val="20"/>
          <w:szCs w:val="20"/>
          <w:color w:val="auto"/>
        </w:rPr>
      </w:pPr>
      <w:r>
        <w:rPr>
          <w:sz w:val="20"/>
          <w:szCs w:val="20"/>
          <w:color w:val="auto"/>
        </w:rPr>
        <w:br w:type="column"/>
      </w:r>
    </w:p>
    <w:p>
      <w:pPr>
        <w:ind w:right="60"/>
        <w:spacing w:after="0" w:line="239"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2008 (which was filed on November 25, 2008) (File No. 1-13292)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[Exhibit 10.5(b)(i)]</w:t>
      </w:r>
    </w:p>
    <w:p>
      <w:pPr>
        <w:spacing w:after="0" w:line="77" w:lineRule="exact"/>
        <w:rPr>
          <w:sz w:val="20"/>
          <w:szCs w:val="20"/>
          <w:color w:val="auto"/>
        </w:rPr>
      </w:pPr>
    </w:p>
    <w:p>
      <w:pPr>
        <w:sectPr>
          <w:pgSz w:w="11900" w:h="16838" w:orient="portrait"/>
          <w:cols w:equalWidth="0" w:num="2">
            <w:col w:w="7420" w:space="320"/>
            <w:col w:w="3000"/>
          </w:cols>
          <w:pgMar w:left="240" w:top="405" w:right="919" w:bottom="1440" w:gutter="0" w:footer="0" w:header="0"/>
          <w:type w:val="continuous"/>
        </w:sectPr>
      </w:pPr>
    </w:p>
    <w:tbl>
      <w:tblPr>
        <w:tblLayout w:type="fixed"/>
        <w:tblInd w:w="70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Arial" w:cs="Arial" w:eastAsia="Arial" w:hAnsi="Arial"/>
                <w:sz w:val="18"/>
                <w:szCs w:val="18"/>
                <w:color w:val="auto"/>
              </w:rPr>
              <w:t>10.5(b)(ii)</w:t>
            </w:r>
          </w:p>
        </w:tc>
        <w:tc>
          <w:tcPr>
            <w:tcW w:w="5240" w:type="dxa"/>
            <w:vAlign w:val="bottom"/>
          </w:tcPr>
          <w:p>
            <w:pPr>
              <w:ind w:left="320"/>
              <w:spacing w:after="0"/>
              <w:rPr>
                <w:sz w:val="20"/>
                <w:szCs w:val="20"/>
                <w:color w:val="auto"/>
              </w:rPr>
            </w:pPr>
            <w:r>
              <w:rPr>
                <w:rFonts w:ascii="Arial" w:cs="Arial" w:eastAsia="Arial" w:hAnsi="Arial"/>
                <w:sz w:val="18"/>
                <w:szCs w:val="18"/>
                <w:color w:val="auto"/>
              </w:rPr>
              <w:t>First Amendment to Trust Agreement between Fidelity</w:t>
            </w:r>
          </w:p>
        </w:tc>
      </w:tr>
      <w:tr>
        <w:trPr>
          <w:trHeight w:val="203"/>
        </w:trPr>
        <w:tc>
          <w:tcPr>
            <w:tcW w:w="1100" w:type="dxa"/>
            <w:vAlign w:val="bottom"/>
          </w:tcPr>
          <w:p>
            <w:pPr>
              <w:spacing w:after="0"/>
              <w:rPr>
                <w:sz w:val="17"/>
                <w:szCs w:val="17"/>
                <w:color w:val="auto"/>
              </w:rPr>
            </w:pPr>
          </w:p>
        </w:tc>
        <w:tc>
          <w:tcPr>
            <w:tcW w:w="5240" w:type="dxa"/>
            <w:vAlign w:val="bottom"/>
          </w:tcPr>
          <w:p>
            <w:pPr>
              <w:ind w:left="320"/>
              <w:spacing w:after="0" w:line="202" w:lineRule="exact"/>
              <w:rPr>
                <w:sz w:val="20"/>
                <w:szCs w:val="20"/>
                <w:color w:val="auto"/>
              </w:rPr>
            </w:pPr>
            <w:r>
              <w:rPr>
                <w:rFonts w:ascii="Arial" w:cs="Arial" w:eastAsia="Arial" w:hAnsi="Arial"/>
                <w:sz w:val="18"/>
                <w:szCs w:val="18"/>
                <w:color w:val="auto"/>
              </w:rPr>
              <w:t>Management Trust Company and The Scotts Company with</w:t>
            </w:r>
          </w:p>
        </w:tc>
      </w:tr>
      <w:tr>
        <w:trPr>
          <w:trHeight w:val="203"/>
        </w:trPr>
        <w:tc>
          <w:tcPr>
            <w:tcW w:w="1100" w:type="dxa"/>
            <w:vAlign w:val="bottom"/>
          </w:tcPr>
          <w:p>
            <w:pPr>
              <w:spacing w:after="0"/>
              <w:rPr>
                <w:sz w:val="17"/>
                <w:szCs w:val="17"/>
                <w:color w:val="auto"/>
              </w:rPr>
            </w:pPr>
          </w:p>
        </w:tc>
        <w:tc>
          <w:tcPr>
            <w:tcW w:w="5240" w:type="dxa"/>
            <w:vAlign w:val="bottom"/>
          </w:tcPr>
          <w:p>
            <w:pPr>
              <w:ind w:left="320"/>
              <w:spacing w:after="0" w:line="202" w:lineRule="exact"/>
              <w:rPr>
                <w:sz w:val="20"/>
                <w:szCs w:val="20"/>
                <w:color w:val="auto"/>
              </w:rPr>
            </w:pPr>
            <w:r>
              <w:rPr>
                <w:rFonts w:ascii="Arial" w:cs="Arial" w:eastAsia="Arial" w:hAnsi="Arial"/>
                <w:sz w:val="18"/>
                <w:szCs w:val="18"/>
                <w:color w:val="auto"/>
              </w:rPr>
              <w:t>regard to The Scotts Company Nonqualified Deferred</w:t>
            </w:r>
          </w:p>
        </w:tc>
      </w:tr>
      <w:tr>
        <w:trPr>
          <w:trHeight w:val="203"/>
        </w:trPr>
        <w:tc>
          <w:tcPr>
            <w:tcW w:w="1100" w:type="dxa"/>
            <w:vAlign w:val="bottom"/>
          </w:tcPr>
          <w:p>
            <w:pPr>
              <w:spacing w:after="0"/>
              <w:rPr>
                <w:sz w:val="17"/>
                <w:szCs w:val="17"/>
                <w:color w:val="auto"/>
              </w:rPr>
            </w:pPr>
          </w:p>
        </w:tc>
        <w:tc>
          <w:tcPr>
            <w:tcW w:w="5240" w:type="dxa"/>
            <w:vAlign w:val="bottom"/>
          </w:tcPr>
          <w:p>
            <w:pPr>
              <w:ind w:left="320"/>
              <w:spacing w:after="0" w:line="202" w:lineRule="exact"/>
              <w:rPr>
                <w:sz w:val="20"/>
                <w:szCs w:val="20"/>
                <w:color w:val="auto"/>
              </w:rPr>
            </w:pPr>
            <w:r>
              <w:rPr>
                <w:rFonts w:ascii="Arial" w:cs="Arial" w:eastAsia="Arial" w:hAnsi="Arial"/>
                <w:sz w:val="18"/>
                <w:szCs w:val="18"/>
                <w:color w:val="auto"/>
                <w:w w:val="99"/>
              </w:rPr>
              <w:t>Compensation Plan (now known as The Scotts Company LLC</w:t>
            </w:r>
          </w:p>
        </w:tc>
      </w:tr>
      <w:tr>
        <w:trPr>
          <w:trHeight w:val="243"/>
        </w:trPr>
        <w:tc>
          <w:tcPr>
            <w:tcW w:w="1100" w:type="dxa"/>
            <w:vAlign w:val="bottom"/>
          </w:tcPr>
          <w:p>
            <w:pPr>
              <w:spacing w:after="0"/>
              <w:rPr>
                <w:sz w:val="21"/>
                <w:szCs w:val="21"/>
                <w:color w:val="auto"/>
              </w:rPr>
            </w:pPr>
          </w:p>
        </w:tc>
        <w:tc>
          <w:tcPr>
            <w:tcW w:w="5240" w:type="dxa"/>
            <w:vAlign w:val="bottom"/>
          </w:tcPr>
          <w:p>
            <w:pPr>
              <w:ind w:left="320"/>
              <w:spacing w:after="0"/>
              <w:rPr>
                <w:sz w:val="20"/>
                <w:szCs w:val="20"/>
                <w:color w:val="auto"/>
              </w:rPr>
            </w:pPr>
            <w:r>
              <w:rPr>
                <w:rFonts w:ascii="Arial" w:cs="Arial" w:eastAsia="Arial" w:hAnsi="Arial"/>
                <w:sz w:val="18"/>
                <w:szCs w:val="18"/>
                <w:color w:val="auto"/>
              </w:rPr>
              <w:t>Executive Retirement Plan), dated as of March 24, 1998</w:t>
            </w:r>
          </w:p>
        </w:tc>
      </w:tr>
    </w:tbl>
    <w:p>
      <w:pPr>
        <w:spacing w:after="0" w:line="20" w:lineRule="exact"/>
        <w:rPr>
          <w:sz w:val="20"/>
          <w:szCs w:val="20"/>
          <w:color w:val="auto"/>
        </w:rPr>
      </w:pPr>
      <w:r>
        <w:rPr>
          <w:sz w:val="20"/>
          <w:szCs w:val="20"/>
          <w:color w:val="auto"/>
        </w:rPr>
        <w:br w:type="column"/>
      </w:r>
    </w:p>
    <w:p>
      <w:pPr>
        <w:ind w:right="60"/>
        <w:spacing w:after="0" w:line="239"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2008 (which was filed on November 25, 2008) (File No. 1-13292)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[Exhibit 10.5(b)(ii)]</w:t>
      </w:r>
    </w:p>
    <w:p>
      <w:pPr>
        <w:spacing w:after="0" w:line="82" w:lineRule="exact"/>
        <w:rPr>
          <w:sz w:val="20"/>
          <w:szCs w:val="20"/>
          <w:color w:val="auto"/>
        </w:rPr>
      </w:pPr>
    </w:p>
    <w:p>
      <w:pPr>
        <w:sectPr>
          <w:pgSz w:w="11900" w:h="16838" w:orient="portrait"/>
          <w:cols w:equalWidth="0" w:num="2">
            <w:col w:w="7040" w:space="700"/>
            <w:col w:w="3000"/>
          </w:cols>
          <w:pgMar w:left="240" w:top="405" w:right="919" w:bottom="1440" w:gutter="0" w:footer="0" w:header="0"/>
          <w:type w:val="continuous"/>
        </w:sectPr>
      </w:pPr>
    </w:p>
    <w:p>
      <w:pPr>
        <w:ind w:left="700"/>
        <w:spacing w:after="0"/>
        <w:tabs>
          <w:tab w:leader="none" w:pos="2100" w:val="left"/>
        </w:tabs>
        <w:rPr>
          <w:sz w:val="20"/>
          <w:szCs w:val="20"/>
          <w:color w:val="auto"/>
        </w:rPr>
      </w:pPr>
      <w:r>
        <w:rPr>
          <w:rFonts w:ascii="Arial" w:cs="Arial" w:eastAsia="Arial" w:hAnsi="Arial"/>
          <w:sz w:val="18"/>
          <w:szCs w:val="18"/>
          <w:color w:val="auto"/>
        </w:rPr>
        <w:t>10.5(b)(iii)</w:t>
      </w:r>
      <w:r>
        <w:rPr>
          <w:sz w:val="20"/>
          <w:szCs w:val="20"/>
          <w:color w:val="auto"/>
        </w:rPr>
        <w:tab/>
      </w:r>
      <w:r>
        <w:rPr>
          <w:rFonts w:ascii="Arial" w:cs="Arial" w:eastAsia="Arial" w:hAnsi="Arial"/>
          <w:sz w:val="17"/>
          <w:szCs w:val="17"/>
          <w:color w:val="auto"/>
        </w:rPr>
        <w:t>Second Amendment to Trust Agreement between Fidelity</w:t>
      </w:r>
    </w:p>
    <w:p>
      <w:pPr>
        <w:spacing w:after="0" w:line="18" w:lineRule="exact"/>
        <w:rPr>
          <w:sz w:val="20"/>
          <w:szCs w:val="20"/>
          <w:color w:val="auto"/>
        </w:rPr>
      </w:pPr>
    </w:p>
    <w:p>
      <w:pPr>
        <w:ind w:left="2120"/>
        <w:spacing w:after="0" w:line="259" w:lineRule="auto"/>
        <w:rPr>
          <w:sz w:val="20"/>
          <w:szCs w:val="20"/>
          <w:color w:val="auto"/>
        </w:rPr>
      </w:pPr>
      <w:r>
        <w:rPr>
          <w:rFonts w:ascii="Arial" w:cs="Arial" w:eastAsia="Arial" w:hAnsi="Arial"/>
          <w:sz w:val="17"/>
          <w:szCs w:val="17"/>
          <w:color w:val="auto"/>
        </w:rPr>
        <w:t>Management Trust Company and The Scotts Company with regard to The Scotts Company Nonqualified Deferred Compensation Plan (now known as The Scotts Company LLC Executive Retirement Plan) [dated as of January 15, 1999]</w:t>
      </w:r>
    </w:p>
    <w:p>
      <w:pPr>
        <w:spacing w:after="0" w:line="20" w:lineRule="exact"/>
        <w:rPr>
          <w:sz w:val="20"/>
          <w:szCs w:val="20"/>
          <w:color w:val="auto"/>
        </w:rPr>
      </w:pPr>
      <w:r>
        <w:rPr>
          <w:sz w:val="20"/>
          <w:szCs w:val="20"/>
          <w:color w:val="auto"/>
        </w:rPr>
        <w:br w:type="column"/>
      </w:r>
    </w:p>
    <w:p>
      <w:pPr>
        <w:ind w:right="60"/>
        <w:spacing w:after="0" w:line="239"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2008 (which was filed on November 25, 2008) (File No. 1-13292)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[Exhibit 10.5(b)(iii)]</w:t>
      </w:r>
    </w:p>
    <w:p>
      <w:pPr>
        <w:spacing w:after="0" w:line="77" w:lineRule="exact"/>
        <w:rPr>
          <w:sz w:val="20"/>
          <w:szCs w:val="20"/>
          <w:color w:val="auto"/>
        </w:rPr>
      </w:pPr>
    </w:p>
    <w:p>
      <w:pPr>
        <w:sectPr>
          <w:pgSz w:w="11900" w:h="16838" w:orient="portrait"/>
          <w:cols w:equalWidth="0" w:num="2">
            <w:col w:w="7040" w:space="700"/>
            <w:col w:w="3000"/>
          </w:cols>
          <w:pgMar w:left="240" w:top="405" w:right="919" w:bottom="1440" w:gutter="0" w:footer="0" w:header="0"/>
          <w:type w:val="continuous"/>
        </w:sectPr>
      </w:pPr>
    </w:p>
    <w:tbl>
      <w:tblPr>
        <w:tblLayout w:type="fixed"/>
        <w:tblInd w:w="700" w:type="dxa"/>
        <w:tblCellMar>
          <w:top w:w="0" w:type="dxa"/>
          <w:left w:w="0" w:type="dxa"/>
          <w:bottom w:w="0" w:type="dxa"/>
          <w:right w:w="0" w:type="dxa"/>
        </w:tblCellMar>
      </w:tblPr>
      <w:tr>
        <w:trPr>
          <w:trHeight w:val="207"/>
        </w:trPr>
        <w:tc>
          <w:tcPr>
            <w:tcW w:w="1120" w:type="dxa"/>
            <w:vAlign w:val="bottom"/>
          </w:tcPr>
          <w:p>
            <w:pPr>
              <w:spacing w:after="0"/>
              <w:rPr>
                <w:sz w:val="20"/>
                <w:szCs w:val="20"/>
                <w:color w:val="auto"/>
              </w:rPr>
            </w:pPr>
            <w:r>
              <w:rPr>
                <w:rFonts w:ascii="Arial" w:cs="Arial" w:eastAsia="Arial" w:hAnsi="Arial"/>
                <w:sz w:val="18"/>
                <w:szCs w:val="18"/>
                <w:color w:val="auto"/>
              </w:rPr>
              <w:t>10.5(b)(iv)</w:t>
            </w:r>
          </w:p>
        </w:tc>
        <w:tc>
          <w:tcPr>
            <w:tcW w:w="5080" w:type="dxa"/>
            <w:vAlign w:val="bottom"/>
          </w:tcPr>
          <w:p>
            <w:pPr>
              <w:ind w:left="300"/>
              <w:spacing w:after="0"/>
              <w:rPr>
                <w:sz w:val="20"/>
                <w:szCs w:val="20"/>
                <w:color w:val="auto"/>
              </w:rPr>
            </w:pPr>
            <w:r>
              <w:rPr>
                <w:rFonts w:ascii="Arial" w:cs="Arial" w:eastAsia="Arial" w:hAnsi="Arial"/>
                <w:sz w:val="18"/>
                <w:szCs w:val="18"/>
                <w:color w:val="auto"/>
              </w:rPr>
              <w:t>Third Amendment to Trust Agreement between Fidelity</w:t>
            </w:r>
          </w:p>
        </w:tc>
      </w:tr>
      <w:tr>
        <w:trPr>
          <w:trHeight w:val="203"/>
        </w:trPr>
        <w:tc>
          <w:tcPr>
            <w:tcW w:w="1120" w:type="dxa"/>
            <w:vAlign w:val="bottom"/>
          </w:tcPr>
          <w:p>
            <w:pPr>
              <w:spacing w:after="0"/>
              <w:rPr>
                <w:sz w:val="17"/>
                <w:szCs w:val="17"/>
                <w:color w:val="auto"/>
              </w:rPr>
            </w:pPr>
          </w:p>
        </w:tc>
        <w:tc>
          <w:tcPr>
            <w:tcW w:w="5080" w:type="dxa"/>
            <w:vAlign w:val="bottom"/>
          </w:tcPr>
          <w:p>
            <w:pPr>
              <w:ind w:left="300"/>
              <w:spacing w:after="0" w:line="202" w:lineRule="exact"/>
              <w:rPr>
                <w:sz w:val="20"/>
                <w:szCs w:val="20"/>
                <w:color w:val="auto"/>
              </w:rPr>
            </w:pPr>
            <w:r>
              <w:rPr>
                <w:rFonts w:ascii="Arial" w:cs="Arial" w:eastAsia="Arial" w:hAnsi="Arial"/>
                <w:sz w:val="18"/>
                <w:szCs w:val="18"/>
                <w:color w:val="auto"/>
                <w:w w:val="99"/>
              </w:rPr>
              <w:t>Management Trust Company and The Scotts Company with</w:t>
            </w:r>
          </w:p>
        </w:tc>
      </w:tr>
      <w:tr>
        <w:trPr>
          <w:trHeight w:val="225"/>
        </w:trPr>
        <w:tc>
          <w:tcPr>
            <w:tcW w:w="1120" w:type="dxa"/>
            <w:vAlign w:val="bottom"/>
          </w:tcPr>
          <w:p>
            <w:pPr>
              <w:spacing w:after="0"/>
              <w:rPr>
                <w:sz w:val="19"/>
                <w:szCs w:val="19"/>
                <w:color w:val="auto"/>
              </w:rPr>
            </w:pPr>
          </w:p>
        </w:tc>
        <w:tc>
          <w:tcPr>
            <w:tcW w:w="5080" w:type="dxa"/>
            <w:vAlign w:val="bottom"/>
          </w:tcPr>
          <w:p>
            <w:pPr>
              <w:ind w:left="300"/>
              <w:spacing w:after="0"/>
              <w:rPr>
                <w:sz w:val="20"/>
                <w:szCs w:val="20"/>
                <w:color w:val="auto"/>
              </w:rPr>
            </w:pPr>
            <w:r>
              <w:rPr>
                <w:rFonts w:ascii="Arial" w:cs="Arial" w:eastAsia="Arial" w:hAnsi="Arial"/>
                <w:sz w:val="18"/>
                <w:szCs w:val="18"/>
                <w:color w:val="auto"/>
              </w:rPr>
              <w:t>regard to The Scotts Company Nonqualified Deferred</w:t>
            </w:r>
          </w:p>
        </w:tc>
      </w:tr>
    </w:tbl>
    <w:p>
      <w:pPr>
        <w:ind w:left="2120"/>
        <w:spacing w:after="0" w:line="251" w:lineRule="auto"/>
        <w:rPr>
          <w:sz w:val="20"/>
          <w:szCs w:val="20"/>
          <w:color w:val="auto"/>
        </w:rPr>
      </w:pPr>
      <w:r>
        <w:rPr>
          <w:rFonts w:ascii="Arial" w:cs="Arial" w:eastAsia="Arial" w:hAnsi="Arial"/>
          <w:sz w:val="18"/>
          <w:szCs w:val="18"/>
          <w:color w:val="auto"/>
        </w:rPr>
        <w:t>Compensation Plan (now known as The Scotts Company LLC Executive Retirement Plan) [dated as of July 1, 1999]</w:t>
      </w:r>
    </w:p>
    <w:p>
      <w:pPr>
        <w:spacing w:after="0" w:line="20" w:lineRule="exact"/>
        <w:rPr>
          <w:sz w:val="20"/>
          <w:szCs w:val="20"/>
          <w:color w:val="auto"/>
        </w:rPr>
      </w:pPr>
      <w:r>
        <w:rPr>
          <w:sz w:val="20"/>
          <w:szCs w:val="20"/>
          <w:color w:val="auto"/>
        </w:rPr>
        <w:br w:type="column"/>
      </w:r>
    </w:p>
    <w:p>
      <w:pPr>
        <w:ind w:right="60"/>
        <w:spacing w:after="0" w:line="239"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2008 (which was filed on November 25, 2008) (File No. 1-13292)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[Exhibit 10.5(b)(iv)]</w:t>
      </w:r>
    </w:p>
    <w:p>
      <w:pPr>
        <w:spacing w:after="0" w:line="77" w:lineRule="exact"/>
        <w:rPr>
          <w:sz w:val="20"/>
          <w:szCs w:val="20"/>
          <w:color w:val="auto"/>
        </w:rPr>
      </w:pPr>
    </w:p>
    <w:p>
      <w:pPr>
        <w:sectPr>
          <w:pgSz w:w="11900" w:h="16838" w:orient="portrait"/>
          <w:cols w:equalWidth="0" w:num="2">
            <w:col w:w="7040" w:space="700"/>
            <w:col w:w="3000"/>
          </w:cols>
          <w:pgMar w:left="240" w:top="405" w:right="919" w:bottom="1440" w:gutter="0" w:footer="0" w:header="0"/>
          <w:type w:val="continuous"/>
        </w:sectPr>
      </w:pPr>
    </w:p>
    <w:tbl>
      <w:tblPr>
        <w:tblLayout w:type="fixed"/>
        <w:tblInd w:w="70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Arial" w:cs="Arial" w:eastAsia="Arial" w:hAnsi="Arial"/>
                <w:sz w:val="18"/>
                <w:szCs w:val="18"/>
                <w:color w:val="auto"/>
              </w:rPr>
              <w:t>10.5(b)(v)</w:t>
            </w:r>
          </w:p>
        </w:tc>
        <w:tc>
          <w:tcPr>
            <w:tcW w:w="5420" w:type="dxa"/>
            <w:vAlign w:val="bottom"/>
          </w:tcPr>
          <w:p>
            <w:pPr>
              <w:ind w:left="320"/>
              <w:spacing w:after="0"/>
              <w:rPr>
                <w:sz w:val="20"/>
                <w:szCs w:val="20"/>
                <w:color w:val="auto"/>
              </w:rPr>
            </w:pPr>
            <w:r>
              <w:rPr>
                <w:rFonts w:ascii="Arial" w:cs="Arial" w:eastAsia="Arial" w:hAnsi="Arial"/>
                <w:sz w:val="18"/>
                <w:szCs w:val="18"/>
                <w:color w:val="auto"/>
              </w:rPr>
              <w:t>Fourth Amendment to Trust Agreement between Fidelity</w:t>
            </w:r>
          </w:p>
        </w:tc>
      </w:tr>
      <w:tr>
        <w:trPr>
          <w:trHeight w:val="203"/>
        </w:trPr>
        <w:tc>
          <w:tcPr>
            <w:tcW w:w="1100" w:type="dxa"/>
            <w:vAlign w:val="bottom"/>
          </w:tcPr>
          <w:p>
            <w:pPr>
              <w:spacing w:after="0"/>
              <w:rPr>
                <w:sz w:val="17"/>
                <w:szCs w:val="17"/>
                <w:color w:val="auto"/>
              </w:rPr>
            </w:pPr>
          </w:p>
        </w:tc>
        <w:tc>
          <w:tcPr>
            <w:tcW w:w="5420" w:type="dxa"/>
            <w:vAlign w:val="bottom"/>
          </w:tcPr>
          <w:p>
            <w:pPr>
              <w:ind w:left="320"/>
              <w:spacing w:after="0" w:line="202" w:lineRule="exact"/>
              <w:rPr>
                <w:sz w:val="20"/>
                <w:szCs w:val="20"/>
                <w:color w:val="auto"/>
              </w:rPr>
            </w:pPr>
            <w:r>
              <w:rPr>
                <w:rFonts w:ascii="Arial" w:cs="Arial" w:eastAsia="Arial" w:hAnsi="Arial"/>
                <w:sz w:val="18"/>
                <w:szCs w:val="18"/>
                <w:color w:val="auto"/>
              </w:rPr>
              <w:t>Management Trust Company and The Scotts Company with</w:t>
            </w:r>
          </w:p>
        </w:tc>
      </w:tr>
      <w:tr>
        <w:trPr>
          <w:trHeight w:val="203"/>
        </w:trPr>
        <w:tc>
          <w:tcPr>
            <w:tcW w:w="1100" w:type="dxa"/>
            <w:vAlign w:val="bottom"/>
          </w:tcPr>
          <w:p>
            <w:pPr>
              <w:spacing w:after="0"/>
              <w:rPr>
                <w:sz w:val="17"/>
                <w:szCs w:val="17"/>
                <w:color w:val="auto"/>
              </w:rPr>
            </w:pPr>
          </w:p>
        </w:tc>
        <w:tc>
          <w:tcPr>
            <w:tcW w:w="5420" w:type="dxa"/>
            <w:vAlign w:val="bottom"/>
          </w:tcPr>
          <w:p>
            <w:pPr>
              <w:ind w:left="320"/>
              <w:spacing w:after="0" w:line="202" w:lineRule="exact"/>
              <w:rPr>
                <w:sz w:val="20"/>
                <w:szCs w:val="20"/>
                <w:color w:val="auto"/>
              </w:rPr>
            </w:pPr>
            <w:r>
              <w:rPr>
                <w:rFonts w:ascii="Arial" w:cs="Arial" w:eastAsia="Arial" w:hAnsi="Arial"/>
                <w:sz w:val="18"/>
                <w:szCs w:val="18"/>
                <w:color w:val="auto"/>
              </w:rPr>
              <w:t>regard to The Scotts Company Executive Retirement Plan (now</w:t>
            </w:r>
          </w:p>
        </w:tc>
      </w:tr>
      <w:tr>
        <w:trPr>
          <w:trHeight w:val="203"/>
        </w:trPr>
        <w:tc>
          <w:tcPr>
            <w:tcW w:w="1100" w:type="dxa"/>
            <w:vAlign w:val="bottom"/>
          </w:tcPr>
          <w:p>
            <w:pPr>
              <w:spacing w:after="0"/>
              <w:rPr>
                <w:sz w:val="17"/>
                <w:szCs w:val="17"/>
                <w:color w:val="auto"/>
              </w:rPr>
            </w:pPr>
          </w:p>
        </w:tc>
        <w:tc>
          <w:tcPr>
            <w:tcW w:w="5420" w:type="dxa"/>
            <w:vAlign w:val="bottom"/>
          </w:tcPr>
          <w:p>
            <w:pPr>
              <w:ind w:left="320"/>
              <w:spacing w:after="0" w:line="202" w:lineRule="exact"/>
              <w:rPr>
                <w:sz w:val="20"/>
                <w:szCs w:val="20"/>
                <w:color w:val="auto"/>
              </w:rPr>
            </w:pPr>
            <w:r>
              <w:rPr>
                <w:rFonts w:ascii="Arial" w:cs="Arial" w:eastAsia="Arial" w:hAnsi="Arial"/>
                <w:sz w:val="18"/>
                <w:szCs w:val="18"/>
                <w:color w:val="auto"/>
                <w:w w:val="99"/>
              </w:rPr>
              <w:t>known as The Scotts Company LLC Executive Retirement Plan)</w:t>
            </w:r>
          </w:p>
        </w:tc>
      </w:tr>
      <w:tr>
        <w:trPr>
          <w:trHeight w:val="243"/>
        </w:trPr>
        <w:tc>
          <w:tcPr>
            <w:tcW w:w="1100" w:type="dxa"/>
            <w:vAlign w:val="bottom"/>
          </w:tcPr>
          <w:p>
            <w:pPr>
              <w:spacing w:after="0"/>
              <w:rPr>
                <w:sz w:val="21"/>
                <w:szCs w:val="21"/>
                <w:color w:val="auto"/>
              </w:rPr>
            </w:pPr>
          </w:p>
        </w:tc>
        <w:tc>
          <w:tcPr>
            <w:tcW w:w="5420" w:type="dxa"/>
            <w:vAlign w:val="bottom"/>
          </w:tcPr>
          <w:p>
            <w:pPr>
              <w:ind w:left="320"/>
              <w:spacing w:after="0"/>
              <w:rPr>
                <w:sz w:val="20"/>
                <w:szCs w:val="20"/>
                <w:color w:val="auto"/>
              </w:rPr>
            </w:pPr>
            <w:r>
              <w:rPr>
                <w:rFonts w:ascii="Arial" w:cs="Arial" w:eastAsia="Arial" w:hAnsi="Arial"/>
                <w:sz w:val="18"/>
                <w:szCs w:val="18"/>
                <w:color w:val="auto"/>
              </w:rPr>
              <w:t>[dated as of August 1, 1999]</w:t>
            </w:r>
          </w:p>
        </w:tc>
      </w:tr>
    </w:tbl>
    <w:p>
      <w:pPr>
        <w:spacing w:after="0" w:line="20" w:lineRule="exact"/>
        <w:rPr>
          <w:sz w:val="20"/>
          <w:szCs w:val="20"/>
          <w:color w:val="auto"/>
        </w:rPr>
      </w:pPr>
      <w:r>
        <w:rPr>
          <w:sz w:val="20"/>
          <w:szCs w:val="20"/>
          <w:color w:val="auto"/>
        </w:rPr>
        <w:br w:type="column"/>
      </w:r>
    </w:p>
    <w:p>
      <w:pPr>
        <w:ind w:right="60"/>
        <w:spacing w:after="0" w:line="239"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2008 (which was filed on November 25, 2008) (File No. 1-13292)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[Exhibit 10.5(b)(v)]</w:t>
      </w:r>
    </w:p>
    <w:p>
      <w:pPr>
        <w:spacing w:after="0" w:line="77" w:lineRule="exact"/>
        <w:rPr>
          <w:sz w:val="20"/>
          <w:szCs w:val="20"/>
          <w:color w:val="auto"/>
        </w:rPr>
      </w:pPr>
    </w:p>
    <w:p>
      <w:pPr>
        <w:sectPr>
          <w:pgSz w:w="11900" w:h="16838" w:orient="portrait"/>
          <w:cols w:equalWidth="0" w:num="2">
            <w:col w:w="7220" w:space="520"/>
            <w:col w:w="3000"/>
          </w:cols>
          <w:pgMar w:left="240" w:top="405" w:right="919" w:bottom="1440" w:gutter="0" w:footer="0" w:header="0"/>
          <w:type w:val="continuous"/>
        </w:sectPr>
      </w:pPr>
    </w:p>
    <w:tbl>
      <w:tblPr>
        <w:tblLayout w:type="fixed"/>
        <w:tblInd w:w="700" w:type="dxa"/>
        <w:tblCellMar>
          <w:top w:w="0" w:type="dxa"/>
          <w:left w:w="0" w:type="dxa"/>
          <w:bottom w:w="0" w:type="dxa"/>
          <w:right w:w="0" w:type="dxa"/>
        </w:tblCellMar>
      </w:tblPr>
      <w:tr>
        <w:trPr>
          <w:trHeight w:val="207"/>
        </w:trPr>
        <w:tc>
          <w:tcPr>
            <w:tcW w:w="1120" w:type="dxa"/>
            <w:vAlign w:val="bottom"/>
          </w:tcPr>
          <w:p>
            <w:pPr>
              <w:spacing w:after="0"/>
              <w:rPr>
                <w:sz w:val="20"/>
                <w:szCs w:val="20"/>
                <w:color w:val="auto"/>
              </w:rPr>
            </w:pPr>
            <w:r>
              <w:rPr>
                <w:rFonts w:ascii="Arial" w:cs="Arial" w:eastAsia="Arial" w:hAnsi="Arial"/>
                <w:sz w:val="18"/>
                <w:szCs w:val="18"/>
                <w:color w:val="auto"/>
              </w:rPr>
              <w:t>10.5(b)(vi)</w:t>
            </w:r>
          </w:p>
        </w:tc>
        <w:tc>
          <w:tcPr>
            <w:tcW w:w="5360" w:type="dxa"/>
            <w:vAlign w:val="bottom"/>
          </w:tcPr>
          <w:p>
            <w:pPr>
              <w:ind w:left="300"/>
              <w:spacing w:after="0"/>
              <w:rPr>
                <w:sz w:val="20"/>
                <w:szCs w:val="20"/>
                <w:color w:val="auto"/>
              </w:rPr>
            </w:pPr>
            <w:r>
              <w:rPr>
                <w:rFonts w:ascii="Arial" w:cs="Arial" w:eastAsia="Arial" w:hAnsi="Arial"/>
                <w:sz w:val="18"/>
                <w:szCs w:val="18"/>
                <w:color w:val="auto"/>
              </w:rPr>
              <w:t>Fifth Amendment to Trust Agreement between Fidelity</w:t>
            </w:r>
          </w:p>
        </w:tc>
      </w:tr>
      <w:tr>
        <w:trPr>
          <w:trHeight w:val="203"/>
        </w:trPr>
        <w:tc>
          <w:tcPr>
            <w:tcW w:w="1120" w:type="dxa"/>
            <w:vAlign w:val="bottom"/>
          </w:tcPr>
          <w:p>
            <w:pPr>
              <w:spacing w:after="0"/>
              <w:rPr>
                <w:sz w:val="17"/>
                <w:szCs w:val="17"/>
                <w:color w:val="auto"/>
              </w:rPr>
            </w:pPr>
          </w:p>
        </w:tc>
        <w:tc>
          <w:tcPr>
            <w:tcW w:w="5360" w:type="dxa"/>
            <w:vAlign w:val="bottom"/>
          </w:tcPr>
          <w:p>
            <w:pPr>
              <w:ind w:left="300"/>
              <w:spacing w:after="0" w:line="202" w:lineRule="exact"/>
              <w:rPr>
                <w:sz w:val="20"/>
                <w:szCs w:val="20"/>
                <w:color w:val="auto"/>
              </w:rPr>
            </w:pPr>
            <w:r>
              <w:rPr>
                <w:rFonts w:ascii="Arial" w:cs="Arial" w:eastAsia="Arial" w:hAnsi="Arial"/>
                <w:sz w:val="18"/>
                <w:szCs w:val="18"/>
                <w:color w:val="auto"/>
              </w:rPr>
              <w:t>Management Trust Company and The Scotts Company with</w:t>
            </w:r>
          </w:p>
        </w:tc>
      </w:tr>
      <w:tr>
        <w:trPr>
          <w:trHeight w:val="225"/>
        </w:trPr>
        <w:tc>
          <w:tcPr>
            <w:tcW w:w="1120" w:type="dxa"/>
            <w:vAlign w:val="bottom"/>
          </w:tcPr>
          <w:p>
            <w:pPr>
              <w:spacing w:after="0"/>
              <w:rPr>
                <w:sz w:val="19"/>
                <w:szCs w:val="19"/>
                <w:color w:val="auto"/>
              </w:rPr>
            </w:pPr>
          </w:p>
        </w:tc>
        <w:tc>
          <w:tcPr>
            <w:tcW w:w="5360" w:type="dxa"/>
            <w:vAlign w:val="bottom"/>
          </w:tcPr>
          <w:p>
            <w:pPr>
              <w:ind w:left="300"/>
              <w:spacing w:after="0"/>
              <w:rPr>
                <w:sz w:val="20"/>
                <w:szCs w:val="20"/>
                <w:color w:val="auto"/>
              </w:rPr>
            </w:pPr>
            <w:r>
              <w:rPr>
                <w:rFonts w:ascii="Arial" w:cs="Arial" w:eastAsia="Arial" w:hAnsi="Arial"/>
                <w:sz w:val="18"/>
                <w:szCs w:val="18"/>
                <w:color w:val="auto"/>
                <w:w w:val="99"/>
              </w:rPr>
              <w:t>regard to The Scotts Company Executive Retirement Plan (now</w:t>
            </w:r>
          </w:p>
        </w:tc>
      </w:tr>
    </w:tbl>
    <w:p>
      <w:pPr>
        <w:ind w:left="2120"/>
        <w:spacing w:after="0"/>
        <w:rPr>
          <w:sz w:val="20"/>
          <w:szCs w:val="20"/>
          <w:color w:val="auto"/>
        </w:rPr>
      </w:pPr>
      <w:r>
        <w:rPr>
          <w:rFonts w:ascii="Arial" w:cs="Arial" w:eastAsia="Arial" w:hAnsi="Arial"/>
          <w:sz w:val="17"/>
          <w:szCs w:val="17"/>
          <w:color w:val="auto"/>
        </w:rPr>
        <w:t>known as The Scotts Company LLC Executive Retirement Plan)</w:t>
      </w:r>
    </w:p>
    <w:p>
      <w:pPr>
        <w:spacing w:after="0" w:line="7"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[dated as of December 20, 2000]</w:t>
      </w:r>
    </w:p>
    <w:p>
      <w:pPr>
        <w:spacing w:after="0" w:line="200" w:lineRule="exact"/>
        <w:rPr>
          <w:sz w:val="20"/>
          <w:szCs w:val="20"/>
          <w:color w:val="auto"/>
        </w:rPr>
      </w:pPr>
    </w:p>
    <w:p>
      <w:pPr>
        <w:spacing w:after="0" w:line="33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1"/>
          <w:szCs w:val="11"/>
          <w:b w:val="1"/>
          <w:bCs w:val="1"/>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-78105</wp:posOffset>
            </wp:positionV>
            <wp:extent cx="19748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60"/>
        <w:spacing w:after="0" w:line="239"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2008 (which was filed on November 25, 2008) (File No. 1-13292)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[Exhibit 10.5(b)(vi)]</w:t>
      </w:r>
    </w:p>
    <w:p>
      <w:pPr>
        <w:sectPr>
          <w:pgSz w:w="11900" w:h="16838" w:orient="portrait"/>
          <w:cols w:equalWidth="0" w:num="2">
            <w:col w:w="7220" w:space="520"/>
            <w:col w:w="3000"/>
          </w:cols>
          <w:pgMar w:left="240" w:top="405" w:right="919" w:bottom="1440" w:gutter="0" w:footer="0" w:header="0"/>
          <w:type w:val="continuous"/>
        </w:sectPr>
      </w:pPr>
    </w:p>
    <w:bookmarkStart w:id="55" w:name="page56"/>
    <w:bookmarkEnd w:id="55"/>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Times New Roman" w:cs="Times New Roman" w:eastAsia="Times New Roman" w:hAnsi="Times New Roman"/>
                <w:sz w:val="18"/>
                <w:szCs w:val="18"/>
                <w:b w:val="1"/>
                <w:bCs w:val="1"/>
                <w:color w:val="0000EE"/>
                <w:w w:val="97"/>
              </w:rPr>
            </w:pPr>
            <w:hyperlink w:anchor="page64">
              <w:r>
                <w:rPr>
                  <w:rFonts w:ascii="Times New Roman" w:cs="Times New Roman" w:eastAsia="Times New Roman" w:hAnsi="Times New Roman"/>
                  <w:sz w:val="18"/>
                  <w:szCs w:val="18"/>
                  <w:b w:val="1"/>
                  <w:bCs w:val="1"/>
                  <w:color w:val="0000EE"/>
                  <w:w w:val="97"/>
                </w:rPr>
                <w:t>Table of Contents</w:t>
              </w:r>
            </w:hyperlink>
          </w:p>
        </w:tc>
        <w:tc>
          <w:tcPr>
            <w:tcW w:w="48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3260" w:type="dxa"/>
            <w:vAlign w:val="bottom"/>
          </w:tcPr>
          <w:p>
            <w:pPr>
              <w:spacing w:after="0"/>
              <w:rPr>
                <w:sz w:val="17"/>
                <w:szCs w:val="17"/>
                <w:color w:val="auto"/>
              </w:rPr>
            </w:pPr>
          </w:p>
        </w:tc>
      </w:tr>
      <w:tr>
        <w:trPr>
          <w:trHeight w:val="511"/>
        </w:trPr>
        <w:tc>
          <w:tcPr>
            <w:tcW w:w="700" w:type="dxa"/>
            <w:vAlign w:val="bottom"/>
          </w:tcPr>
          <w:p>
            <w:pPr>
              <w:spacing w:after="0"/>
              <w:rPr>
                <w:sz w:val="24"/>
                <w:szCs w:val="24"/>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9"/>
              </w:rPr>
              <w:t>Exhibit</w:t>
            </w:r>
          </w:p>
        </w:tc>
        <w:tc>
          <w:tcPr>
            <w:tcW w:w="564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239"/>
        </w:trPr>
        <w:tc>
          <w:tcPr>
            <w:tcW w:w="700" w:type="dxa"/>
            <w:vAlign w:val="bottom"/>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9"/>
              </w:rPr>
              <w:t>No.</w:t>
            </w:r>
          </w:p>
        </w:tc>
        <w:tc>
          <w:tcPr>
            <w:tcW w:w="5640" w:type="dxa"/>
            <w:vAlign w:val="bottom"/>
            <w:tcBorders>
              <w:bottom w:val="single" w:sz="8" w:color="auto"/>
            </w:tcBorders>
          </w:tcPr>
          <w:p>
            <w:pPr>
              <w:ind w:left="2480"/>
              <w:spacing w:after="0"/>
              <w:rPr>
                <w:sz w:val="20"/>
                <w:szCs w:val="20"/>
                <w:color w:val="auto"/>
              </w:rPr>
            </w:pPr>
            <w:r>
              <w:rPr>
                <w:rFonts w:ascii="Arial" w:cs="Arial" w:eastAsia="Arial" w:hAnsi="Arial"/>
                <w:sz w:val="18"/>
                <w:szCs w:val="18"/>
                <w:color w:val="auto"/>
              </w:rPr>
              <w:t>Description</w:t>
            </w:r>
          </w:p>
        </w:tc>
        <w:tc>
          <w:tcPr>
            <w:tcW w:w="3260" w:type="dxa"/>
            <w:vAlign w:val="bottom"/>
            <w:tcBorders>
              <w:bottom w:val="single" w:sz="8" w:color="auto"/>
            </w:tcBorders>
          </w:tcPr>
          <w:p>
            <w:pPr>
              <w:ind w:left="1420"/>
              <w:spacing w:after="0"/>
              <w:rPr>
                <w:sz w:val="20"/>
                <w:szCs w:val="20"/>
                <w:color w:val="auto"/>
              </w:rPr>
            </w:pPr>
            <w:r>
              <w:rPr>
                <w:rFonts w:ascii="Arial" w:cs="Arial" w:eastAsia="Arial" w:hAnsi="Arial"/>
                <w:sz w:val="18"/>
                <w:szCs w:val="18"/>
                <w:color w:val="auto"/>
              </w:rPr>
              <w:t>Location</w:t>
            </w:r>
          </w:p>
        </w:tc>
      </w:tr>
      <w:tr>
        <w:trPr>
          <w:trHeight w:val="335"/>
        </w:trPr>
        <w:tc>
          <w:tcPr>
            <w:tcW w:w="1840" w:type="dxa"/>
            <w:vAlign w:val="bottom"/>
            <w:gridSpan w:val="3"/>
          </w:tcPr>
          <w:p>
            <w:pPr>
              <w:ind w:left="700"/>
              <w:spacing w:after="0"/>
              <w:rPr>
                <w:sz w:val="20"/>
                <w:szCs w:val="20"/>
                <w:color w:val="auto"/>
              </w:rPr>
            </w:pPr>
            <w:r>
              <w:rPr>
                <w:rFonts w:ascii="Arial" w:cs="Arial" w:eastAsia="Arial" w:hAnsi="Arial"/>
                <w:sz w:val="18"/>
                <w:szCs w:val="18"/>
                <w:color w:val="auto"/>
              </w:rPr>
              <w:t>10.5(b)(vii)</w:t>
            </w:r>
          </w:p>
        </w:tc>
        <w:tc>
          <w:tcPr>
            <w:tcW w:w="5640" w:type="dxa"/>
            <w:vAlign w:val="bottom"/>
          </w:tcPr>
          <w:p>
            <w:pPr>
              <w:ind w:left="280"/>
              <w:spacing w:after="0"/>
              <w:rPr>
                <w:sz w:val="20"/>
                <w:szCs w:val="20"/>
                <w:color w:val="auto"/>
              </w:rPr>
            </w:pPr>
            <w:r>
              <w:rPr>
                <w:rFonts w:ascii="Arial" w:cs="Arial" w:eastAsia="Arial" w:hAnsi="Arial"/>
                <w:sz w:val="18"/>
                <w:szCs w:val="18"/>
                <w:color w:val="auto"/>
              </w:rPr>
              <w:t>Sixth Amendment to Trust Agreement between Fidelity</w:t>
            </w:r>
          </w:p>
        </w:tc>
        <w:tc>
          <w:tcPr>
            <w:tcW w:w="3260" w:type="dxa"/>
            <w:vAlign w:val="bottom"/>
          </w:tcPr>
          <w:p>
            <w:pPr>
              <w:ind w:left="260"/>
              <w:spacing w:after="0"/>
              <w:rPr>
                <w:sz w:val="20"/>
                <w:szCs w:val="20"/>
                <w:color w:val="auto"/>
              </w:rPr>
            </w:pPr>
            <w:r>
              <w:rPr>
                <w:rFonts w:ascii="Arial" w:cs="Arial" w:eastAsia="Arial" w:hAnsi="Arial"/>
                <w:sz w:val="18"/>
                <w:szCs w:val="18"/>
                <w:color w:val="auto"/>
              </w:rPr>
              <w:t>Incorporated herein by reference to</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40" w:type="dxa"/>
            <w:vAlign w:val="bottom"/>
          </w:tcPr>
          <w:p>
            <w:pPr>
              <w:ind w:left="280"/>
              <w:spacing w:after="0" w:line="202" w:lineRule="exact"/>
              <w:rPr>
                <w:sz w:val="20"/>
                <w:szCs w:val="20"/>
                <w:color w:val="auto"/>
              </w:rPr>
            </w:pPr>
            <w:r>
              <w:rPr>
                <w:rFonts w:ascii="Arial" w:cs="Arial" w:eastAsia="Arial" w:hAnsi="Arial"/>
                <w:sz w:val="18"/>
                <w:szCs w:val="18"/>
                <w:color w:val="auto"/>
              </w:rPr>
              <w:t>Management Trust Company and The Scotts Company with</w:t>
            </w:r>
          </w:p>
        </w:tc>
        <w:tc>
          <w:tcPr>
            <w:tcW w:w="3260" w:type="dxa"/>
            <w:vAlign w:val="bottom"/>
          </w:tcPr>
          <w:p>
            <w:pPr>
              <w:ind w:left="260"/>
              <w:spacing w:after="0" w:line="202" w:lineRule="exact"/>
              <w:rPr>
                <w:sz w:val="20"/>
                <w:szCs w:val="20"/>
                <w:color w:val="auto"/>
              </w:rPr>
            </w:pPr>
            <w:r>
              <w:rPr>
                <w:rFonts w:ascii="Arial" w:cs="Arial" w:eastAsia="Arial" w:hAnsi="Arial"/>
                <w:sz w:val="18"/>
                <w:szCs w:val="18"/>
                <w:color w:val="auto"/>
              </w:rPr>
              <w:t>the Registrant’s Annual Report on</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40" w:type="dxa"/>
            <w:vAlign w:val="bottom"/>
          </w:tcPr>
          <w:p>
            <w:pPr>
              <w:ind w:left="280"/>
              <w:spacing w:after="0" w:line="202" w:lineRule="exact"/>
              <w:rPr>
                <w:sz w:val="20"/>
                <w:szCs w:val="20"/>
                <w:color w:val="auto"/>
              </w:rPr>
            </w:pPr>
            <w:r>
              <w:rPr>
                <w:rFonts w:ascii="Arial" w:cs="Arial" w:eastAsia="Arial" w:hAnsi="Arial"/>
                <w:sz w:val="18"/>
                <w:szCs w:val="18"/>
                <w:color w:val="auto"/>
              </w:rPr>
              <w:t>regard to The Scotts Company Executive Retirement Plan (now</w:t>
            </w:r>
          </w:p>
        </w:tc>
        <w:tc>
          <w:tcPr>
            <w:tcW w:w="3260" w:type="dxa"/>
            <w:vAlign w:val="bottom"/>
          </w:tcPr>
          <w:p>
            <w:pPr>
              <w:ind w:left="260"/>
              <w:spacing w:after="0" w:line="202" w:lineRule="exact"/>
              <w:rPr>
                <w:sz w:val="20"/>
                <w:szCs w:val="20"/>
                <w:color w:val="auto"/>
              </w:rPr>
            </w:pPr>
            <w:r>
              <w:rPr>
                <w:rFonts w:ascii="Arial" w:cs="Arial" w:eastAsia="Arial" w:hAnsi="Arial"/>
                <w:sz w:val="18"/>
                <w:szCs w:val="18"/>
                <w:color w:val="auto"/>
              </w:rPr>
              <w:t>Form 10-K for the fiscal year ended</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40" w:type="dxa"/>
            <w:vAlign w:val="bottom"/>
          </w:tcPr>
          <w:p>
            <w:pPr>
              <w:ind w:left="280"/>
              <w:spacing w:after="0" w:line="202" w:lineRule="exact"/>
              <w:rPr>
                <w:sz w:val="20"/>
                <w:szCs w:val="20"/>
                <w:color w:val="auto"/>
              </w:rPr>
            </w:pPr>
            <w:r>
              <w:rPr>
                <w:rFonts w:ascii="Arial" w:cs="Arial" w:eastAsia="Arial" w:hAnsi="Arial"/>
                <w:sz w:val="18"/>
                <w:szCs w:val="18"/>
                <w:color w:val="auto"/>
              </w:rPr>
              <w:t>known as The Scotts Company LLC Executive Retirement Plan)</w:t>
            </w:r>
          </w:p>
        </w:tc>
        <w:tc>
          <w:tcPr>
            <w:tcW w:w="3260" w:type="dxa"/>
            <w:vAlign w:val="bottom"/>
          </w:tcPr>
          <w:p>
            <w:pPr>
              <w:ind w:left="260"/>
              <w:spacing w:after="0" w:line="202" w:lineRule="exact"/>
              <w:rPr>
                <w:sz w:val="20"/>
                <w:szCs w:val="20"/>
                <w:color w:val="auto"/>
              </w:rPr>
            </w:pPr>
            <w:r>
              <w:rPr>
                <w:rFonts w:ascii="Arial" w:cs="Arial" w:eastAsia="Arial" w:hAnsi="Arial"/>
                <w:sz w:val="18"/>
                <w:szCs w:val="18"/>
                <w:color w:val="auto"/>
              </w:rPr>
              <w:t>September 30, 2008 (which was filed</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40" w:type="dxa"/>
            <w:vAlign w:val="bottom"/>
          </w:tcPr>
          <w:p>
            <w:pPr>
              <w:ind w:left="280"/>
              <w:spacing w:after="0" w:line="202" w:lineRule="exact"/>
              <w:rPr>
                <w:sz w:val="20"/>
                <w:szCs w:val="20"/>
                <w:color w:val="auto"/>
              </w:rPr>
            </w:pPr>
            <w:r>
              <w:rPr>
                <w:rFonts w:ascii="Arial" w:cs="Arial" w:eastAsia="Arial" w:hAnsi="Arial"/>
                <w:sz w:val="18"/>
                <w:szCs w:val="18"/>
                <w:color w:val="auto"/>
              </w:rPr>
              <w:t>[effective as of November 29, 2001]</w:t>
            </w:r>
          </w:p>
        </w:tc>
        <w:tc>
          <w:tcPr>
            <w:tcW w:w="3260" w:type="dxa"/>
            <w:vAlign w:val="bottom"/>
          </w:tcPr>
          <w:p>
            <w:pPr>
              <w:ind w:left="260"/>
              <w:spacing w:after="0" w:line="202" w:lineRule="exact"/>
              <w:rPr>
                <w:sz w:val="20"/>
                <w:szCs w:val="20"/>
                <w:color w:val="auto"/>
              </w:rPr>
            </w:pPr>
            <w:r>
              <w:rPr>
                <w:rFonts w:ascii="Arial" w:cs="Arial" w:eastAsia="Arial" w:hAnsi="Arial"/>
                <w:sz w:val="18"/>
                <w:szCs w:val="18"/>
                <w:color w:val="auto"/>
              </w:rPr>
              <w:t>on November 25, 2008) (File</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3260" w:type="dxa"/>
            <w:vAlign w:val="bottom"/>
          </w:tcPr>
          <w:p>
            <w:pPr>
              <w:ind w:left="260"/>
              <w:spacing w:after="0" w:line="202" w:lineRule="exact"/>
              <w:rPr>
                <w:sz w:val="20"/>
                <w:szCs w:val="20"/>
                <w:color w:val="auto"/>
              </w:rPr>
            </w:pPr>
            <w:r>
              <w:rPr>
                <w:rFonts w:ascii="Arial" w:cs="Arial" w:eastAsia="Arial" w:hAnsi="Arial"/>
                <w:sz w:val="18"/>
                <w:szCs w:val="18"/>
                <w:color w:val="auto"/>
              </w:rPr>
              <w:t>No. 1-13292)</w:t>
            </w:r>
          </w:p>
        </w:tc>
      </w:tr>
      <w:tr>
        <w:trPr>
          <w:trHeight w:val="243"/>
        </w:trPr>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640" w:type="dxa"/>
            <w:vAlign w:val="bottom"/>
          </w:tcPr>
          <w:p>
            <w:pPr>
              <w:spacing w:after="0"/>
              <w:rPr>
                <w:sz w:val="21"/>
                <w:szCs w:val="21"/>
                <w:color w:val="auto"/>
              </w:rPr>
            </w:pPr>
          </w:p>
        </w:tc>
        <w:tc>
          <w:tcPr>
            <w:tcW w:w="3260" w:type="dxa"/>
            <w:vAlign w:val="bottom"/>
          </w:tcPr>
          <w:p>
            <w:pPr>
              <w:ind w:left="260"/>
              <w:spacing w:after="0"/>
              <w:rPr>
                <w:sz w:val="20"/>
                <w:szCs w:val="20"/>
                <w:color w:val="auto"/>
              </w:rPr>
            </w:pPr>
            <w:r>
              <w:rPr>
                <w:rFonts w:ascii="Arial" w:cs="Arial" w:eastAsia="Arial" w:hAnsi="Arial"/>
                <w:sz w:val="18"/>
                <w:szCs w:val="18"/>
                <w:color w:val="auto"/>
              </w:rPr>
              <w:t>[Exhibit 10.5(b)(vii)]</w:t>
            </w:r>
          </w:p>
        </w:tc>
      </w:tr>
    </w:tbl>
    <w:p>
      <w:pPr>
        <w:spacing w:after="0" w:line="63" w:lineRule="exact"/>
        <w:rPr>
          <w:sz w:val="20"/>
          <w:szCs w:val="20"/>
          <w:color w:val="auto"/>
        </w:rPr>
      </w:pPr>
    </w:p>
    <w:p>
      <w:pPr>
        <w:sectPr>
          <w:pgSz w:w="11900" w:h="16838" w:orient="portrait"/>
          <w:cols w:equalWidth="0" w:num="1">
            <w:col w:w="10740"/>
          </w:cols>
          <w:pgMar w:left="240" w:top="405" w:right="919" w:bottom="1440" w:gutter="0" w:footer="0" w:header="0"/>
        </w:sectPr>
      </w:pPr>
    </w:p>
    <w:tbl>
      <w:tblPr>
        <w:tblLayout w:type="fixed"/>
        <w:tblInd w:w="700" w:type="dxa"/>
        <w:tblCellMar>
          <w:top w:w="0" w:type="dxa"/>
          <w:left w:w="0" w:type="dxa"/>
          <w:bottom w:w="0" w:type="dxa"/>
          <w:right w:w="0" w:type="dxa"/>
        </w:tblCellMar>
      </w:tblPr>
      <w:tr>
        <w:trPr>
          <w:trHeight w:val="207"/>
        </w:trPr>
        <w:tc>
          <w:tcPr>
            <w:tcW w:w="1160" w:type="dxa"/>
            <w:vAlign w:val="bottom"/>
          </w:tcPr>
          <w:p>
            <w:pPr>
              <w:spacing w:after="0"/>
              <w:rPr>
                <w:sz w:val="20"/>
                <w:szCs w:val="20"/>
                <w:color w:val="auto"/>
              </w:rPr>
            </w:pPr>
            <w:r>
              <w:rPr>
                <w:rFonts w:ascii="Arial" w:cs="Arial" w:eastAsia="Arial" w:hAnsi="Arial"/>
                <w:sz w:val="18"/>
                <w:szCs w:val="18"/>
                <w:color w:val="auto"/>
              </w:rPr>
              <w:t>10.5(b)(viii)</w:t>
            </w:r>
          </w:p>
        </w:tc>
        <w:tc>
          <w:tcPr>
            <w:tcW w:w="5420" w:type="dxa"/>
            <w:vAlign w:val="bottom"/>
            <w:gridSpan w:val="3"/>
          </w:tcPr>
          <w:p>
            <w:pPr>
              <w:ind w:left="260"/>
              <w:spacing w:after="0"/>
              <w:rPr>
                <w:sz w:val="20"/>
                <w:szCs w:val="20"/>
                <w:color w:val="auto"/>
              </w:rPr>
            </w:pPr>
            <w:r>
              <w:rPr>
                <w:rFonts w:ascii="Arial" w:cs="Arial" w:eastAsia="Arial" w:hAnsi="Arial"/>
                <w:sz w:val="18"/>
                <w:szCs w:val="18"/>
                <w:color w:val="auto"/>
              </w:rPr>
              <w:t>Seventh Amendment to Trust Agreement between Fidelity</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5420" w:type="dxa"/>
            <w:vAlign w:val="bottom"/>
            <w:gridSpan w:val="3"/>
          </w:tcPr>
          <w:p>
            <w:pPr>
              <w:ind w:left="260"/>
              <w:spacing w:after="0" w:line="202" w:lineRule="exact"/>
              <w:rPr>
                <w:sz w:val="20"/>
                <w:szCs w:val="20"/>
                <w:color w:val="auto"/>
              </w:rPr>
            </w:pPr>
            <w:r>
              <w:rPr>
                <w:rFonts w:ascii="Arial" w:cs="Arial" w:eastAsia="Arial" w:hAnsi="Arial"/>
                <w:sz w:val="18"/>
                <w:szCs w:val="18"/>
                <w:color w:val="auto"/>
              </w:rPr>
              <w:t>Management Trust Company and The Scotts Company with</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5420" w:type="dxa"/>
            <w:vAlign w:val="bottom"/>
            <w:gridSpan w:val="3"/>
          </w:tcPr>
          <w:p>
            <w:pPr>
              <w:ind w:left="260"/>
              <w:spacing w:after="0" w:line="202" w:lineRule="exact"/>
              <w:rPr>
                <w:sz w:val="20"/>
                <w:szCs w:val="20"/>
                <w:color w:val="auto"/>
              </w:rPr>
            </w:pPr>
            <w:r>
              <w:rPr>
                <w:rFonts w:ascii="Arial" w:cs="Arial" w:eastAsia="Arial" w:hAnsi="Arial"/>
                <w:sz w:val="18"/>
                <w:szCs w:val="18"/>
                <w:color w:val="auto"/>
              </w:rPr>
              <w:t>regard to The Scotts Company Executive Retirement Plan (now</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5420" w:type="dxa"/>
            <w:vAlign w:val="bottom"/>
            <w:gridSpan w:val="3"/>
          </w:tcPr>
          <w:p>
            <w:pPr>
              <w:ind w:left="260"/>
              <w:spacing w:after="0" w:line="202" w:lineRule="exact"/>
              <w:rPr>
                <w:sz w:val="20"/>
                <w:szCs w:val="20"/>
                <w:color w:val="auto"/>
              </w:rPr>
            </w:pPr>
            <w:r>
              <w:rPr>
                <w:rFonts w:ascii="Arial" w:cs="Arial" w:eastAsia="Arial" w:hAnsi="Arial"/>
                <w:sz w:val="18"/>
                <w:szCs w:val="18"/>
                <w:color w:val="auto"/>
              </w:rPr>
              <w:t>known as The Scotts Company LLC Executive Retirement Plan)</w:t>
            </w: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5420" w:type="dxa"/>
            <w:vAlign w:val="bottom"/>
            <w:gridSpan w:val="3"/>
          </w:tcPr>
          <w:p>
            <w:pPr>
              <w:ind w:left="260"/>
              <w:spacing w:after="0"/>
              <w:rPr>
                <w:sz w:val="20"/>
                <w:szCs w:val="20"/>
                <w:color w:val="auto"/>
              </w:rPr>
            </w:pPr>
            <w:r>
              <w:rPr>
                <w:rFonts w:ascii="Arial" w:cs="Arial" w:eastAsia="Arial" w:hAnsi="Arial"/>
                <w:sz w:val="18"/>
                <w:szCs w:val="18"/>
                <w:color w:val="auto"/>
              </w:rPr>
              <w:t>[dated as of September 1, 2002]</w:t>
            </w:r>
          </w:p>
        </w:tc>
        <w:tc>
          <w:tcPr>
            <w:tcW w:w="0" w:type="dxa"/>
            <w:vAlign w:val="bottom"/>
          </w:tcPr>
          <w:p>
            <w:pPr>
              <w:spacing w:after="0"/>
              <w:rPr>
                <w:sz w:val="1"/>
                <w:szCs w:val="1"/>
                <w:color w:val="auto"/>
              </w:rPr>
            </w:pPr>
          </w:p>
        </w:tc>
      </w:tr>
      <w:tr>
        <w:trPr>
          <w:trHeight w:val="675"/>
        </w:trPr>
        <w:tc>
          <w:tcPr>
            <w:tcW w:w="1160" w:type="dxa"/>
            <w:vAlign w:val="bottom"/>
          </w:tcPr>
          <w:p>
            <w:pPr>
              <w:spacing w:after="0"/>
              <w:rPr>
                <w:sz w:val="20"/>
                <w:szCs w:val="20"/>
                <w:color w:val="auto"/>
              </w:rPr>
            </w:pPr>
            <w:r>
              <w:rPr>
                <w:rFonts w:ascii="Arial" w:cs="Arial" w:eastAsia="Arial" w:hAnsi="Arial"/>
                <w:sz w:val="18"/>
                <w:szCs w:val="18"/>
                <w:color w:val="auto"/>
              </w:rPr>
              <w:t>10.5(b)(ix)</w:t>
            </w:r>
          </w:p>
        </w:tc>
        <w:tc>
          <w:tcPr>
            <w:tcW w:w="5420" w:type="dxa"/>
            <w:vAlign w:val="bottom"/>
            <w:gridSpan w:val="3"/>
          </w:tcPr>
          <w:p>
            <w:pPr>
              <w:ind w:left="260"/>
              <w:spacing w:after="0"/>
              <w:rPr>
                <w:sz w:val="20"/>
                <w:szCs w:val="20"/>
                <w:color w:val="auto"/>
              </w:rPr>
            </w:pPr>
            <w:r>
              <w:rPr>
                <w:rFonts w:ascii="Arial" w:cs="Arial" w:eastAsia="Arial" w:hAnsi="Arial"/>
                <w:sz w:val="18"/>
                <w:szCs w:val="18"/>
                <w:color w:val="auto"/>
              </w:rPr>
              <w:t>Eighth Amendment to Trust Agreement between Fidelity</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5420" w:type="dxa"/>
            <w:vAlign w:val="bottom"/>
            <w:gridSpan w:val="3"/>
          </w:tcPr>
          <w:p>
            <w:pPr>
              <w:ind w:left="260"/>
              <w:spacing w:after="0" w:line="202" w:lineRule="exact"/>
              <w:rPr>
                <w:sz w:val="20"/>
                <w:szCs w:val="20"/>
                <w:color w:val="auto"/>
              </w:rPr>
            </w:pPr>
            <w:r>
              <w:rPr>
                <w:rFonts w:ascii="Arial" w:cs="Arial" w:eastAsia="Arial" w:hAnsi="Arial"/>
                <w:sz w:val="18"/>
                <w:szCs w:val="18"/>
                <w:color w:val="auto"/>
              </w:rPr>
              <w:t>Management Trust Company and The Scotts Company with</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5420" w:type="dxa"/>
            <w:vAlign w:val="bottom"/>
            <w:gridSpan w:val="3"/>
          </w:tcPr>
          <w:p>
            <w:pPr>
              <w:ind w:left="260"/>
              <w:spacing w:after="0" w:line="202" w:lineRule="exact"/>
              <w:rPr>
                <w:sz w:val="20"/>
                <w:szCs w:val="20"/>
                <w:color w:val="auto"/>
              </w:rPr>
            </w:pPr>
            <w:r>
              <w:rPr>
                <w:rFonts w:ascii="Arial" w:cs="Arial" w:eastAsia="Arial" w:hAnsi="Arial"/>
                <w:sz w:val="18"/>
                <w:szCs w:val="18"/>
                <w:color w:val="auto"/>
              </w:rPr>
              <w:t>regard to The Scotts Company Executive Retirement Plan (now</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5420" w:type="dxa"/>
            <w:vAlign w:val="bottom"/>
            <w:gridSpan w:val="3"/>
          </w:tcPr>
          <w:p>
            <w:pPr>
              <w:ind w:left="260"/>
              <w:spacing w:after="0" w:line="202" w:lineRule="exact"/>
              <w:rPr>
                <w:sz w:val="20"/>
                <w:szCs w:val="20"/>
                <w:color w:val="auto"/>
              </w:rPr>
            </w:pPr>
            <w:r>
              <w:rPr>
                <w:rFonts w:ascii="Arial" w:cs="Arial" w:eastAsia="Arial" w:hAnsi="Arial"/>
                <w:sz w:val="18"/>
                <w:szCs w:val="18"/>
                <w:color w:val="auto"/>
              </w:rPr>
              <w:t>known as The Scotts Company LLC Executive Retirement Plan)</w:t>
            </w: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5420" w:type="dxa"/>
            <w:vAlign w:val="bottom"/>
            <w:gridSpan w:val="3"/>
          </w:tcPr>
          <w:p>
            <w:pPr>
              <w:ind w:left="260"/>
              <w:spacing w:after="0"/>
              <w:rPr>
                <w:sz w:val="20"/>
                <w:szCs w:val="20"/>
                <w:color w:val="auto"/>
              </w:rPr>
            </w:pPr>
            <w:r>
              <w:rPr>
                <w:rFonts w:ascii="Arial" w:cs="Arial" w:eastAsia="Arial" w:hAnsi="Arial"/>
                <w:sz w:val="18"/>
                <w:szCs w:val="18"/>
                <w:color w:val="auto"/>
              </w:rPr>
              <w:t>[dated as of December 31, 2002]</w:t>
            </w:r>
          </w:p>
        </w:tc>
        <w:tc>
          <w:tcPr>
            <w:tcW w:w="0" w:type="dxa"/>
            <w:vAlign w:val="bottom"/>
          </w:tcPr>
          <w:p>
            <w:pPr>
              <w:spacing w:after="0"/>
              <w:rPr>
                <w:sz w:val="1"/>
                <w:szCs w:val="1"/>
                <w:color w:val="auto"/>
              </w:rPr>
            </w:pPr>
          </w:p>
        </w:tc>
      </w:tr>
      <w:tr>
        <w:trPr>
          <w:trHeight w:val="675"/>
        </w:trPr>
        <w:tc>
          <w:tcPr>
            <w:tcW w:w="1160" w:type="dxa"/>
            <w:vAlign w:val="bottom"/>
          </w:tcPr>
          <w:p>
            <w:pPr>
              <w:spacing w:after="0"/>
              <w:rPr>
                <w:sz w:val="20"/>
                <w:szCs w:val="20"/>
                <w:color w:val="auto"/>
              </w:rPr>
            </w:pPr>
            <w:r>
              <w:rPr>
                <w:rFonts w:ascii="Arial" w:cs="Arial" w:eastAsia="Arial" w:hAnsi="Arial"/>
                <w:sz w:val="18"/>
                <w:szCs w:val="18"/>
                <w:color w:val="auto"/>
              </w:rPr>
              <w:t>10.5(b)(x)</w:t>
            </w:r>
          </w:p>
        </w:tc>
        <w:tc>
          <w:tcPr>
            <w:tcW w:w="5420" w:type="dxa"/>
            <w:vAlign w:val="bottom"/>
            <w:gridSpan w:val="3"/>
          </w:tcPr>
          <w:p>
            <w:pPr>
              <w:ind w:left="260"/>
              <w:spacing w:after="0"/>
              <w:rPr>
                <w:sz w:val="20"/>
                <w:szCs w:val="20"/>
                <w:color w:val="auto"/>
              </w:rPr>
            </w:pPr>
            <w:r>
              <w:rPr>
                <w:rFonts w:ascii="Arial" w:cs="Arial" w:eastAsia="Arial" w:hAnsi="Arial"/>
                <w:sz w:val="18"/>
                <w:szCs w:val="18"/>
                <w:color w:val="auto"/>
              </w:rPr>
              <w:t>Ninth Amendment to Trust Agreement between Fidelity</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5420" w:type="dxa"/>
            <w:vAlign w:val="bottom"/>
            <w:gridSpan w:val="3"/>
          </w:tcPr>
          <w:p>
            <w:pPr>
              <w:ind w:left="260"/>
              <w:spacing w:after="0" w:line="202" w:lineRule="exact"/>
              <w:rPr>
                <w:sz w:val="20"/>
                <w:szCs w:val="20"/>
                <w:color w:val="auto"/>
              </w:rPr>
            </w:pPr>
            <w:r>
              <w:rPr>
                <w:rFonts w:ascii="Arial" w:cs="Arial" w:eastAsia="Arial" w:hAnsi="Arial"/>
                <w:sz w:val="18"/>
                <w:szCs w:val="18"/>
                <w:color w:val="auto"/>
              </w:rPr>
              <w:t>Management Trust Company and The Scotts Company with</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5420" w:type="dxa"/>
            <w:vAlign w:val="bottom"/>
            <w:gridSpan w:val="3"/>
          </w:tcPr>
          <w:p>
            <w:pPr>
              <w:ind w:left="260"/>
              <w:spacing w:after="0" w:line="202" w:lineRule="exact"/>
              <w:rPr>
                <w:sz w:val="20"/>
                <w:szCs w:val="20"/>
                <w:color w:val="auto"/>
              </w:rPr>
            </w:pPr>
            <w:r>
              <w:rPr>
                <w:rFonts w:ascii="Arial" w:cs="Arial" w:eastAsia="Arial" w:hAnsi="Arial"/>
                <w:sz w:val="18"/>
                <w:szCs w:val="18"/>
                <w:color w:val="auto"/>
              </w:rPr>
              <w:t>regard to The Scotts Company Executive Retirement Plan (now</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5420" w:type="dxa"/>
            <w:vAlign w:val="bottom"/>
            <w:gridSpan w:val="3"/>
          </w:tcPr>
          <w:p>
            <w:pPr>
              <w:ind w:left="260"/>
              <w:spacing w:after="0" w:line="202" w:lineRule="exact"/>
              <w:rPr>
                <w:sz w:val="20"/>
                <w:szCs w:val="20"/>
                <w:color w:val="auto"/>
              </w:rPr>
            </w:pPr>
            <w:r>
              <w:rPr>
                <w:rFonts w:ascii="Arial" w:cs="Arial" w:eastAsia="Arial" w:hAnsi="Arial"/>
                <w:sz w:val="18"/>
                <w:szCs w:val="18"/>
                <w:color w:val="auto"/>
              </w:rPr>
              <w:t>known as The Scotts Company LLC Executive Retirement Plan)</w:t>
            </w: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5420" w:type="dxa"/>
            <w:vAlign w:val="bottom"/>
            <w:gridSpan w:val="3"/>
          </w:tcPr>
          <w:p>
            <w:pPr>
              <w:ind w:left="260"/>
              <w:spacing w:after="0"/>
              <w:rPr>
                <w:sz w:val="20"/>
                <w:szCs w:val="20"/>
                <w:color w:val="auto"/>
              </w:rPr>
            </w:pPr>
            <w:r>
              <w:rPr>
                <w:rFonts w:ascii="Arial" w:cs="Arial" w:eastAsia="Arial" w:hAnsi="Arial"/>
                <w:sz w:val="18"/>
                <w:szCs w:val="18"/>
                <w:color w:val="auto"/>
              </w:rPr>
              <w:t>[dated as of October 15, 2004]</w:t>
            </w:r>
          </w:p>
        </w:tc>
        <w:tc>
          <w:tcPr>
            <w:tcW w:w="0" w:type="dxa"/>
            <w:vAlign w:val="bottom"/>
          </w:tcPr>
          <w:p>
            <w:pPr>
              <w:spacing w:after="0"/>
              <w:rPr>
                <w:sz w:val="1"/>
                <w:szCs w:val="1"/>
                <w:color w:val="auto"/>
              </w:rPr>
            </w:pPr>
          </w:p>
        </w:tc>
      </w:tr>
      <w:tr>
        <w:trPr>
          <w:trHeight w:val="675"/>
        </w:trPr>
        <w:tc>
          <w:tcPr>
            <w:tcW w:w="1160" w:type="dxa"/>
            <w:vAlign w:val="bottom"/>
          </w:tcPr>
          <w:p>
            <w:pPr>
              <w:spacing w:after="0"/>
              <w:rPr>
                <w:sz w:val="20"/>
                <w:szCs w:val="20"/>
                <w:color w:val="auto"/>
              </w:rPr>
            </w:pPr>
            <w:r>
              <w:rPr>
                <w:rFonts w:ascii="Arial" w:cs="Arial" w:eastAsia="Arial" w:hAnsi="Arial"/>
                <w:sz w:val="18"/>
                <w:szCs w:val="18"/>
                <w:color w:val="auto"/>
              </w:rPr>
              <w:t>10.5(b)(xi)</w:t>
            </w:r>
          </w:p>
        </w:tc>
        <w:tc>
          <w:tcPr>
            <w:tcW w:w="5420" w:type="dxa"/>
            <w:vAlign w:val="bottom"/>
            <w:gridSpan w:val="3"/>
          </w:tcPr>
          <w:p>
            <w:pPr>
              <w:ind w:left="260"/>
              <w:spacing w:after="0"/>
              <w:rPr>
                <w:sz w:val="20"/>
                <w:szCs w:val="20"/>
                <w:color w:val="auto"/>
              </w:rPr>
            </w:pPr>
            <w:r>
              <w:rPr>
                <w:rFonts w:ascii="Arial" w:cs="Arial" w:eastAsia="Arial" w:hAnsi="Arial"/>
                <w:sz w:val="18"/>
                <w:szCs w:val="18"/>
                <w:color w:val="auto"/>
              </w:rPr>
              <w:t>Tenth Amendment to Trust Agreement between Fidelity</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5420" w:type="dxa"/>
            <w:vAlign w:val="bottom"/>
            <w:gridSpan w:val="3"/>
          </w:tcPr>
          <w:p>
            <w:pPr>
              <w:ind w:left="260"/>
              <w:spacing w:after="0" w:line="202" w:lineRule="exact"/>
              <w:rPr>
                <w:sz w:val="20"/>
                <w:szCs w:val="20"/>
                <w:color w:val="auto"/>
              </w:rPr>
            </w:pPr>
            <w:r>
              <w:rPr>
                <w:rFonts w:ascii="Arial" w:cs="Arial" w:eastAsia="Arial" w:hAnsi="Arial"/>
                <w:sz w:val="18"/>
                <w:szCs w:val="18"/>
                <w:color w:val="auto"/>
                <w:w w:val="99"/>
              </w:rPr>
              <w:t>Management Trust Company and The Scotts Company LLC with</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5420" w:type="dxa"/>
            <w:vAlign w:val="bottom"/>
            <w:gridSpan w:val="3"/>
          </w:tcPr>
          <w:p>
            <w:pPr>
              <w:ind w:left="260"/>
              <w:spacing w:after="0" w:line="202" w:lineRule="exact"/>
              <w:rPr>
                <w:sz w:val="20"/>
                <w:szCs w:val="20"/>
                <w:color w:val="auto"/>
              </w:rPr>
            </w:pPr>
            <w:r>
              <w:rPr>
                <w:rFonts w:ascii="Arial" w:cs="Arial" w:eastAsia="Arial" w:hAnsi="Arial"/>
                <w:sz w:val="18"/>
                <w:szCs w:val="18"/>
                <w:color w:val="auto"/>
              </w:rPr>
              <w:t>regard to The Scotts Company Executive Retirement Plan (now</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5420" w:type="dxa"/>
            <w:vAlign w:val="bottom"/>
            <w:gridSpan w:val="3"/>
          </w:tcPr>
          <w:p>
            <w:pPr>
              <w:ind w:left="260"/>
              <w:spacing w:after="0" w:line="202" w:lineRule="exact"/>
              <w:rPr>
                <w:sz w:val="20"/>
                <w:szCs w:val="20"/>
                <w:color w:val="auto"/>
              </w:rPr>
            </w:pPr>
            <w:r>
              <w:rPr>
                <w:rFonts w:ascii="Arial" w:cs="Arial" w:eastAsia="Arial" w:hAnsi="Arial"/>
                <w:sz w:val="18"/>
                <w:szCs w:val="18"/>
                <w:color w:val="auto"/>
              </w:rPr>
              <w:t>known as The Scotts Company LLC Executive Retirement Plan)</w:t>
            </w: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5420" w:type="dxa"/>
            <w:vAlign w:val="bottom"/>
            <w:gridSpan w:val="3"/>
          </w:tcPr>
          <w:p>
            <w:pPr>
              <w:ind w:left="260"/>
              <w:spacing w:after="0"/>
              <w:rPr>
                <w:sz w:val="20"/>
                <w:szCs w:val="20"/>
                <w:color w:val="auto"/>
              </w:rPr>
            </w:pPr>
            <w:r>
              <w:rPr>
                <w:rFonts w:ascii="Arial" w:cs="Arial" w:eastAsia="Arial" w:hAnsi="Arial"/>
                <w:sz w:val="18"/>
                <w:szCs w:val="18"/>
                <w:color w:val="auto"/>
              </w:rPr>
              <w:t>[dated as of October 2, 2006]</w:t>
            </w:r>
          </w:p>
        </w:tc>
        <w:tc>
          <w:tcPr>
            <w:tcW w:w="0" w:type="dxa"/>
            <w:vAlign w:val="bottom"/>
          </w:tcPr>
          <w:p>
            <w:pPr>
              <w:spacing w:after="0"/>
              <w:rPr>
                <w:sz w:val="1"/>
                <w:szCs w:val="1"/>
                <w:color w:val="auto"/>
              </w:rPr>
            </w:pPr>
          </w:p>
        </w:tc>
      </w:tr>
      <w:tr>
        <w:trPr>
          <w:trHeight w:val="675"/>
        </w:trPr>
        <w:tc>
          <w:tcPr>
            <w:tcW w:w="1160" w:type="dxa"/>
            <w:vAlign w:val="bottom"/>
          </w:tcPr>
          <w:p>
            <w:pPr>
              <w:spacing w:after="0"/>
              <w:rPr>
                <w:sz w:val="20"/>
                <w:szCs w:val="20"/>
                <w:color w:val="auto"/>
              </w:rPr>
            </w:pPr>
            <w:r>
              <w:rPr>
                <w:rFonts w:ascii="Arial" w:cs="Arial" w:eastAsia="Arial" w:hAnsi="Arial"/>
                <w:sz w:val="18"/>
                <w:szCs w:val="18"/>
                <w:color w:val="auto"/>
              </w:rPr>
              <w:t>10.5(b)(xii)</w:t>
            </w:r>
          </w:p>
        </w:tc>
        <w:tc>
          <w:tcPr>
            <w:tcW w:w="5420" w:type="dxa"/>
            <w:vAlign w:val="bottom"/>
            <w:gridSpan w:val="3"/>
          </w:tcPr>
          <w:p>
            <w:pPr>
              <w:ind w:left="260"/>
              <w:spacing w:after="0"/>
              <w:rPr>
                <w:sz w:val="20"/>
                <w:szCs w:val="20"/>
                <w:color w:val="auto"/>
              </w:rPr>
            </w:pPr>
            <w:r>
              <w:rPr>
                <w:rFonts w:ascii="Arial" w:cs="Arial" w:eastAsia="Arial" w:hAnsi="Arial"/>
                <w:sz w:val="18"/>
                <w:szCs w:val="18"/>
                <w:color w:val="auto"/>
              </w:rPr>
              <w:t>Eleventh Amendment to Trust Agreement between Fidelity</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5420" w:type="dxa"/>
            <w:vAlign w:val="bottom"/>
            <w:gridSpan w:val="3"/>
          </w:tcPr>
          <w:p>
            <w:pPr>
              <w:ind w:left="260"/>
              <w:spacing w:after="0" w:line="202" w:lineRule="exact"/>
              <w:rPr>
                <w:sz w:val="20"/>
                <w:szCs w:val="20"/>
                <w:color w:val="auto"/>
              </w:rPr>
            </w:pPr>
            <w:r>
              <w:rPr>
                <w:rFonts w:ascii="Arial" w:cs="Arial" w:eastAsia="Arial" w:hAnsi="Arial"/>
                <w:sz w:val="18"/>
                <w:szCs w:val="18"/>
                <w:color w:val="auto"/>
                <w:w w:val="99"/>
              </w:rPr>
              <w:t>Management Trust Company and The Scotts Company LLC with</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5420" w:type="dxa"/>
            <w:vAlign w:val="bottom"/>
            <w:gridSpan w:val="3"/>
          </w:tcPr>
          <w:p>
            <w:pPr>
              <w:ind w:left="260"/>
              <w:spacing w:after="0" w:line="202" w:lineRule="exact"/>
              <w:rPr>
                <w:sz w:val="20"/>
                <w:szCs w:val="20"/>
                <w:color w:val="auto"/>
              </w:rPr>
            </w:pPr>
            <w:r>
              <w:rPr>
                <w:rFonts w:ascii="Arial" w:cs="Arial" w:eastAsia="Arial" w:hAnsi="Arial"/>
                <w:sz w:val="18"/>
                <w:szCs w:val="18"/>
                <w:color w:val="auto"/>
              </w:rPr>
              <w:t>regard to The Scotts Company LLC Executive Retirement Plan</w:t>
            </w: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5420" w:type="dxa"/>
            <w:vAlign w:val="bottom"/>
            <w:gridSpan w:val="3"/>
          </w:tcPr>
          <w:p>
            <w:pPr>
              <w:ind w:left="260"/>
              <w:spacing w:after="0"/>
              <w:rPr>
                <w:sz w:val="20"/>
                <w:szCs w:val="20"/>
                <w:color w:val="auto"/>
              </w:rPr>
            </w:pPr>
            <w:r>
              <w:rPr>
                <w:rFonts w:ascii="Arial" w:cs="Arial" w:eastAsia="Arial" w:hAnsi="Arial"/>
                <w:sz w:val="18"/>
                <w:szCs w:val="18"/>
                <w:color w:val="auto"/>
              </w:rPr>
              <w:t>(dated as of February 9, 2007)</w:t>
            </w:r>
          </w:p>
        </w:tc>
        <w:tc>
          <w:tcPr>
            <w:tcW w:w="0" w:type="dxa"/>
            <w:vAlign w:val="bottom"/>
          </w:tcPr>
          <w:p>
            <w:pPr>
              <w:spacing w:after="0"/>
              <w:rPr>
                <w:sz w:val="1"/>
                <w:szCs w:val="1"/>
                <w:color w:val="auto"/>
              </w:rPr>
            </w:pPr>
          </w:p>
        </w:tc>
      </w:tr>
      <w:tr>
        <w:trPr>
          <w:trHeight w:val="878"/>
        </w:trPr>
        <w:tc>
          <w:tcPr>
            <w:tcW w:w="1160" w:type="dxa"/>
            <w:vAlign w:val="bottom"/>
          </w:tcPr>
          <w:p>
            <w:pPr>
              <w:spacing w:after="0"/>
              <w:rPr>
                <w:sz w:val="20"/>
                <w:szCs w:val="20"/>
                <w:color w:val="auto"/>
              </w:rPr>
            </w:pPr>
            <w:r>
              <w:rPr>
                <w:rFonts w:ascii="Arial" w:cs="Arial" w:eastAsia="Arial" w:hAnsi="Arial"/>
                <w:sz w:val="18"/>
                <w:szCs w:val="18"/>
                <w:color w:val="auto"/>
              </w:rPr>
              <w:t>10.5(c)</w:t>
            </w:r>
          </w:p>
        </w:tc>
        <w:tc>
          <w:tcPr>
            <w:tcW w:w="5420" w:type="dxa"/>
            <w:vAlign w:val="bottom"/>
            <w:gridSpan w:val="3"/>
          </w:tcPr>
          <w:p>
            <w:pPr>
              <w:ind w:left="260"/>
              <w:spacing w:after="0"/>
              <w:rPr>
                <w:sz w:val="20"/>
                <w:szCs w:val="20"/>
                <w:color w:val="auto"/>
              </w:rPr>
            </w:pPr>
            <w:r>
              <w:rPr>
                <w:rFonts w:ascii="Arial" w:cs="Arial" w:eastAsia="Arial" w:hAnsi="Arial"/>
                <w:sz w:val="18"/>
                <w:szCs w:val="18"/>
                <w:color w:val="auto"/>
              </w:rPr>
              <w:t>Form of Executive Retirement Plan Retention Award Agreement</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5420" w:type="dxa"/>
            <w:vAlign w:val="bottom"/>
            <w:gridSpan w:val="3"/>
          </w:tcPr>
          <w:p>
            <w:pPr>
              <w:ind w:left="260"/>
              <w:spacing w:after="0" w:line="202" w:lineRule="exact"/>
              <w:rPr>
                <w:sz w:val="20"/>
                <w:szCs w:val="20"/>
                <w:color w:val="auto"/>
              </w:rPr>
            </w:pPr>
            <w:r>
              <w:rPr>
                <w:rFonts w:ascii="Arial" w:cs="Arial" w:eastAsia="Arial" w:hAnsi="Arial"/>
                <w:sz w:val="18"/>
                <w:szCs w:val="18"/>
                <w:color w:val="auto"/>
              </w:rPr>
              <w:t>between The Scotts Company LLC and each of David C. Evans,</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5420" w:type="dxa"/>
            <w:vAlign w:val="bottom"/>
            <w:gridSpan w:val="3"/>
          </w:tcPr>
          <w:p>
            <w:pPr>
              <w:ind w:left="260"/>
              <w:spacing w:after="0" w:line="202" w:lineRule="exact"/>
              <w:rPr>
                <w:sz w:val="20"/>
                <w:szCs w:val="20"/>
                <w:color w:val="auto"/>
              </w:rPr>
            </w:pPr>
            <w:r>
              <w:rPr>
                <w:rFonts w:ascii="Arial" w:cs="Arial" w:eastAsia="Arial" w:hAnsi="Arial"/>
                <w:sz w:val="18"/>
                <w:szCs w:val="18"/>
                <w:color w:val="auto"/>
              </w:rPr>
              <w:t>Barry W. Sanders, Denise S. Stump, Michael C. Lukemire and</w:t>
            </w: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5420" w:type="dxa"/>
            <w:vAlign w:val="bottom"/>
            <w:gridSpan w:val="3"/>
          </w:tcPr>
          <w:p>
            <w:pPr>
              <w:ind w:left="260"/>
              <w:spacing w:after="0"/>
              <w:rPr>
                <w:sz w:val="20"/>
                <w:szCs w:val="20"/>
                <w:color w:val="auto"/>
              </w:rPr>
            </w:pPr>
            <w:r>
              <w:rPr>
                <w:rFonts w:ascii="Arial" w:cs="Arial" w:eastAsia="Arial" w:hAnsi="Arial"/>
                <w:sz w:val="18"/>
                <w:szCs w:val="18"/>
                <w:color w:val="auto"/>
              </w:rPr>
              <w:t>Vincent C. Brockman (entered into on November 4, 2008)</w:t>
            </w:r>
          </w:p>
        </w:tc>
        <w:tc>
          <w:tcPr>
            <w:tcW w:w="0" w:type="dxa"/>
            <w:vAlign w:val="bottom"/>
          </w:tcPr>
          <w:p>
            <w:pPr>
              <w:spacing w:after="0"/>
              <w:rPr>
                <w:sz w:val="1"/>
                <w:szCs w:val="1"/>
                <w:color w:val="auto"/>
              </w:rPr>
            </w:pPr>
          </w:p>
        </w:tc>
      </w:tr>
      <w:tr>
        <w:trPr>
          <w:trHeight w:val="118"/>
        </w:trPr>
        <w:tc>
          <w:tcPr>
            <w:tcW w:w="1160" w:type="dxa"/>
            <w:vAlign w:val="bottom"/>
          </w:tcPr>
          <w:p>
            <w:pPr>
              <w:spacing w:after="0"/>
              <w:rPr>
                <w:sz w:val="10"/>
                <w:szCs w:val="10"/>
                <w:color w:val="auto"/>
              </w:rPr>
            </w:pPr>
          </w:p>
        </w:tc>
        <w:tc>
          <w:tcPr>
            <w:tcW w:w="3700" w:type="dxa"/>
            <w:vAlign w:val="bottom"/>
            <w:vMerge w:val="restart"/>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160" w:type="dxa"/>
            <w:vAlign w:val="bottom"/>
          </w:tcPr>
          <w:p>
            <w:pPr>
              <w:spacing w:after="0"/>
              <w:rPr>
                <w:sz w:val="11"/>
                <w:szCs w:val="11"/>
                <w:color w:val="auto"/>
              </w:rPr>
            </w:pPr>
          </w:p>
        </w:tc>
        <w:tc>
          <w:tcPr>
            <w:tcW w:w="3700" w:type="dxa"/>
            <w:vAlign w:val="bottom"/>
            <w:vMerge w:val="continue"/>
          </w:tcPr>
          <w:p>
            <w:pPr>
              <w:spacing w:after="0"/>
              <w:rPr>
                <w:sz w:val="11"/>
                <w:szCs w:val="11"/>
                <w:color w:val="auto"/>
              </w:rPr>
            </w:pPr>
          </w:p>
        </w:tc>
        <w:tc>
          <w:tcPr>
            <w:tcW w:w="300" w:type="dxa"/>
            <w:vAlign w:val="bottom"/>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54</w:t>
            </w: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60"/>
        <w:spacing w:after="0" w:line="239"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2008 (which was filed on November 25, 2008) (File No. 1-13292)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[Exhibit 10.5(b)(viii)]</w:t>
      </w:r>
    </w:p>
    <w:p>
      <w:pPr>
        <w:spacing w:after="0" w:line="82"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2008 (which was filed on November 25, 2008) (File No. 1-13292)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[Exhibit 10.5(b)(ix)]</w:t>
      </w:r>
    </w:p>
    <w:p>
      <w:pPr>
        <w:spacing w:after="0" w:line="82"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2008 (which was filed on November 25, 2008) (File No. 1-13292)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[Exhibit 10.5(b)(x)]</w:t>
      </w:r>
    </w:p>
    <w:p>
      <w:pPr>
        <w:spacing w:after="0" w:line="82"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2008 (which was filed on November 25, 2008) (File No. 1-13292)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[Exhibit 10.5(b)(xi)]</w:t>
      </w:r>
    </w:p>
    <w:p>
      <w:pPr>
        <w:spacing w:after="0" w:line="82"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2008 (which was filed on November 25, 2008) (File No. 1-13292)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[Exhibit 10.5(b)(xii)]</w:t>
      </w:r>
    </w:p>
    <w:p>
      <w:pPr>
        <w:spacing w:after="0" w:line="82"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Incorporated herein by reference to the Registrant’s Current Report on Form 8-K filed October 15, 2008 (File No. 1-13292) [Exhibit 10.2]</w:t>
      </w:r>
    </w:p>
    <w:p>
      <w:pPr>
        <w:sectPr>
          <w:pgSz w:w="11900" w:h="16838" w:orient="portrait"/>
          <w:cols w:equalWidth="0" w:num="2">
            <w:col w:w="7280" w:space="460"/>
            <w:col w:w="3000"/>
          </w:cols>
          <w:pgMar w:left="240" w:top="405" w:right="919" w:bottom="1440" w:gutter="0" w:footer="0" w:header="0"/>
          <w:type w:val="continuous"/>
        </w:sectPr>
      </w:pPr>
    </w:p>
    <w:bookmarkStart w:id="56" w:name="page57"/>
    <w:bookmarkEnd w:id="56"/>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Times New Roman" w:cs="Times New Roman" w:eastAsia="Times New Roman" w:hAnsi="Times New Roman"/>
                <w:sz w:val="18"/>
                <w:szCs w:val="18"/>
                <w:b w:val="1"/>
                <w:bCs w:val="1"/>
                <w:color w:val="0000EE"/>
                <w:w w:val="97"/>
              </w:rPr>
            </w:pPr>
            <w:hyperlink w:anchor="page64">
              <w:r>
                <w:rPr>
                  <w:rFonts w:ascii="Times New Roman" w:cs="Times New Roman" w:eastAsia="Times New Roman" w:hAnsi="Times New Roman"/>
                  <w:sz w:val="18"/>
                  <w:szCs w:val="18"/>
                  <w:b w:val="1"/>
                  <w:bCs w:val="1"/>
                  <w:color w:val="0000EE"/>
                  <w:w w:val="97"/>
                </w:rPr>
                <w:t>Table of Contents</w:t>
              </w:r>
            </w:hyperlink>
          </w:p>
        </w:tc>
        <w:tc>
          <w:tcPr>
            <w:tcW w:w="480" w:type="dxa"/>
            <w:vAlign w:val="bottom"/>
          </w:tcPr>
          <w:p>
            <w:pPr>
              <w:spacing w:after="0"/>
              <w:rPr>
                <w:sz w:val="17"/>
                <w:szCs w:val="17"/>
                <w:color w:val="auto"/>
              </w:rPr>
            </w:pPr>
          </w:p>
        </w:tc>
        <w:tc>
          <w:tcPr>
            <w:tcW w:w="5740" w:type="dxa"/>
            <w:vAlign w:val="bottom"/>
          </w:tcPr>
          <w:p>
            <w:pPr>
              <w:spacing w:after="0"/>
              <w:rPr>
                <w:sz w:val="17"/>
                <w:szCs w:val="17"/>
                <w:color w:val="auto"/>
              </w:rPr>
            </w:pPr>
          </w:p>
        </w:tc>
        <w:tc>
          <w:tcPr>
            <w:tcW w:w="3160" w:type="dxa"/>
            <w:vAlign w:val="bottom"/>
          </w:tcPr>
          <w:p>
            <w:pPr>
              <w:spacing w:after="0"/>
              <w:rPr>
                <w:sz w:val="17"/>
                <w:szCs w:val="17"/>
                <w:color w:val="auto"/>
              </w:rPr>
            </w:pPr>
          </w:p>
        </w:tc>
      </w:tr>
      <w:tr>
        <w:trPr>
          <w:trHeight w:val="511"/>
        </w:trPr>
        <w:tc>
          <w:tcPr>
            <w:tcW w:w="700" w:type="dxa"/>
            <w:vAlign w:val="bottom"/>
          </w:tcPr>
          <w:p>
            <w:pPr>
              <w:spacing w:after="0"/>
              <w:rPr>
                <w:sz w:val="24"/>
                <w:szCs w:val="24"/>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9"/>
              </w:rPr>
              <w:t>Exhibit</w:t>
            </w:r>
          </w:p>
        </w:tc>
        <w:tc>
          <w:tcPr>
            <w:tcW w:w="574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39"/>
        </w:trPr>
        <w:tc>
          <w:tcPr>
            <w:tcW w:w="700" w:type="dxa"/>
            <w:vAlign w:val="bottom"/>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9"/>
              </w:rPr>
              <w:t>No.</w:t>
            </w:r>
          </w:p>
        </w:tc>
        <w:tc>
          <w:tcPr>
            <w:tcW w:w="5740" w:type="dxa"/>
            <w:vAlign w:val="bottom"/>
            <w:tcBorders>
              <w:bottom w:val="single" w:sz="8" w:color="auto"/>
            </w:tcBorders>
          </w:tcPr>
          <w:p>
            <w:pPr>
              <w:ind w:left="2480"/>
              <w:spacing w:after="0"/>
              <w:rPr>
                <w:sz w:val="20"/>
                <w:szCs w:val="20"/>
                <w:color w:val="auto"/>
              </w:rPr>
            </w:pPr>
            <w:r>
              <w:rPr>
                <w:rFonts w:ascii="Arial" w:cs="Arial" w:eastAsia="Arial" w:hAnsi="Arial"/>
                <w:sz w:val="18"/>
                <w:szCs w:val="18"/>
                <w:color w:val="auto"/>
              </w:rPr>
              <w:t>Description</w:t>
            </w:r>
          </w:p>
        </w:tc>
        <w:tc>
          <w:tcPr>
            <w:tcW w:w="3160" w:type="dxa"/>
            <w:vAlign w:val="bottom"/>
            <w:tcBorders>
              <w:bottom w:val="single" w:sz="8" w:color="auto"/>
            </w:tcBorders>
          </w:tcPr>
          <w:p>
            <w:pPr>
              <w:ind w:left="1320"/>
              <w:spacing w:after="0"/>
              <w:rPr>
                <w:sz w:val="20"/>
                <w:szCs w:val="20"/>
                <w:color w:val="auto"/>
              </w:rPr>
            </w:pPr>
            <w:r>
              <w:rPr>
                <w:rFonts w:ascii="Arial" w:cs="Arial" w:eastAsia="Arial" w:hAnsi="Arial"/>
                <w:sz w:val="18"/>
                <w:szCs w:val="18"/>
                <w:color w:val="auto"/>
              </w:rPr>
              <w:t>Location</w:t>
            </w:r>
          </w:p>
        </w:tc>
      </w:tr>
      <w:tr>
        <w:trPr>
          <w:trHeight w:val="335"/>
        </w:trPr>
        <w:tc>
          <w:tcPr>
            <w:tcW w:w="1840" w:type="dxa"/>
            <w:vAlign w:val="bottom"/>
            <w:gridSpan w:val="3"/>
          </w:tcPr>
          <w:p>
            <w:pPr>
              <w:ind w:left="700"/>
              <w:spacing w:after="0"/>
              <w:rPr>
                <w:sz w:val="20"/>
                <w:szCs w:val="20"/>
                <w:color w:val="auto"/>
              </w:rPr>
            </w:pPr>
            <w:r>
              <w:rPr>
                <w:rFonts w:ascii="Arial" w:cs="Arial" w:eastAsia="Arial" w:hAnsi="Arial"/>
                <w:sz w:val="18"/>
                <w:szCs w:val="18"/>
                <w:color w:val="auto"/>
              </w:rPr>
              <w:t>10.6(a)</w:t>
            </w:r>
          </w:p>
        </w:tc>
        <w:tc>
          <w:tcPr>
            <w:tcW w:w="5740" w:type="dxa"/>
            <w:vAlign w:val="bottom"/>
          </w:tcPr>
          <w:p>
            <w:pPr>
              <w:ind w:left="280"/>
              <w:spacing w:after="0"/>
              <w:rPr>
                <w:sz w:val="20"/>
                <w:szCs w:val="20"/>
                <w:color w:val="auto"/>
              </w:rPr>
            </w:pPr>
            <w:r>
              <w:rPr>
                <w:rFonts w:ascii="Arial" w:cs="Arial" w:eastAsia="Arial" w:hAnsi="Arial"/>
                <w:sz w:val="18"/>
                <w:szCs w:val="18"/>
                <w:color w:val="auto"/>
              </w:rPr>
              <w:t>The Scotts Miracle-Gro Company Amended and Restated 2003</w:t>
            </w:r>
          </w:p>
        </w:tc>
        <w:tc>
          <w:tcPr>
            <w:tcW w:w="3160" w:type="dxa"/>
            <w:vAlign w:val="bottom"/>
          </w:tcPr>
          <w:p>
            <w:pPr>
              <w:ind w:left="160"/>
              <w:spacing w:after="0"/>
              <w:rPr>
                <w:sz w:val="20"/>
                <w:szCs w:val="20"/>
                <w:color w:val="auto"/>
              </w:rPr>
            </w:pPr>
            <w:r>
              <w:rPr>
                <w:rFonts w:ascii="Arial" w:cs="Arial" w:eastAsia="Arial" w:hAnsi="Arial"/>
                <w:sz w:val="18"/>
                <w:szCs w:val="18"/>
                <w:color w:val="auto"/>
              </w:rPr>
              <w:t>Incorporated herein by reference to</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740" w:type="dxa"/>
            <w:vAlign w:val="bottom"/>
          </w:tcPr>
          <w:p>
            <w:pPr>
              <w:ind w:left="280"/>
              <w:spacing w:after="0" w:line="202" w:lineRule="exact"/>
              <w:rPr>
                <w:sz w:val="20"/>
                <w:szCs w:val="20"/>
                <w:color w:val="auto"/>
              </w:rPr>
            </w:pPr>
            <w:r>
              <w:rPr>
                <w:rFonts w:ascii="Arial" w:cs="Arial" w:eastAsia="Arial" w:hAnsi="Arial"/>
                <w:sz w:val="18"/>
                <w:szCs w:val="18"/>
                <w:color w:val="auto"/>
              </w:rPr>
              <w:t>Stock Option and Incentive Equity Plan (effective as of October 30,</w:t>
            </w:r>
          </w:p>
        </w:tc>
        <w:tc>
          <w:tcPr>
            <w:tcW w:w="3160" w:type="dxa"/>
            <w:vAlign w:val="bottom"/>
          </w:tcPr>
          <w:p>
            <w:pPr>
              <w:ind w:left="160"/>
              <w:spacing w:after="0" w:line="202" w:lineRule="exact"/>
              <w:rPr>
                <w:sz w:val="20"/>
                <w:szCs w:val="20"/>
                <w:color w:val="auto"/>
              </w:rPr>
            </w:pPr>
            <w:r>
              <w:rPr>
                <w:rFonts w:ascii="Arial" w:cs="Arial" w:eastAsia="Arial" w:hAnsi="Arial"/>
                <w:sz w:val="18"/>
                <w:szCs w:val="18"/>
                <w:color w:val="auto"/>
              </w:rPr>
              <w:t>the Registrant’s Annual Report on</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740" w:type="dxa"/>
            <w:vAlign w:val="bottom"/>
          </w:tcPr>
          <w:p>
            <w:pPr>
              <w:ind w:left="280"/>
              <w:spacing w:after="0" w:line="202" w:lineRule="exact"/>
              <w:rPr>
                <w:sz w:val="20"/>
                <w:szCs w:val="20"/>
                <w:color w:val="auto"/>
              </w:rPr>
            </w:pPr>
            <w:r>
              <w:rPr>
                <w:rFonts w:ascii="Arial" w:cs="Arial" w:eastAsia="Arial" w:hAnsi="Arial"/>
                <w:sz w:val="18"/>
                <w:szCs w:val="18"/>
                <w:color w:val="auto"/>
              </w:rPr>
              <w:t>2007)</w:t>
            </w:r>
          </w:p>
        </w:tc>
        <w:tc>
          <w:tcPr>
            <w:tcW w:w="3160" w:type="dxa"/>
            <w:vAlign w:val="bottom"/>
          </w:tcPr>
          <w:p>
            <w:pPr>
              <w:ind w:left="160"/>
              <w:spacing w:after="0" w:line="202" w:lineRule="exact"/>
              <w:rPr>
                <w:sz w:val="20"/>
                <w:szCs w:val="20"/>
                <w:color w:val="auto"/>
              </w:rPr>
            </w:pPr>
            <w:r>
              <w:rPr>
                <w:rFonts w:ascii="Arial" w:cs="Arial" w:eastAsia="Arial" w:hAnsi="Arial"/>
                <w:sz w:val="18"/>
                <w:szCs w:val="18"/>
                <w:color w:val="auto"/>
              </w:rPr>
              <w:t>Form 10-K for the fiscal year ended</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740" w:type="dxa"/>
            <w:vAlign w:val="bottom"/>
          </w:tcPr>
          <w:p>
            <w:pPr>
              <w:spacing w:after="0"/>
              <w:rPr>
                <w:sz w:val="17"/>
                <w:szCs w:val="17"/>
                <w:color w:val="auto"/>
              </w:rPr>
            </w:pPr>
          </w:p>
        </w:tc>
        <w:tc>
          <w:tcPr>
            <w:tcW w:w="3160" w:type="dxa"/>
            <w:vAlign w:val="bottom"/>
          </w:tcPr>
          <w:p>
            <w:pPr>
              <w:ind w:left="160"/>
              <w:spacing w:after="0" w:line="202" w:lineRule="exact"/>
              <w:rPr>
                <w:sz w:val="20"/>
                <w:szCs w:val="20"/>
                <w:color w:val="auto"/>
              </w:rPr>
            </w:pPr>
            <w:r>
              <w:rPr>
                <w:rFonts w:ascii="Arial" w:cs="Arial" w:eastAsia="Arial" w:hAnsi="Arial"/>
                <w:sz w:val="18"/>
                <w:szCs w:val="18"/>
                <w:color w:val="auto"/>
              </w:rPr>
              <w:t>September 30, 2007 (File No. 1-</w:t>
            </w:r>
          </w:p>
        </w:tc>
      </w:tr>
      <w:tr>
        <w:trPr>
          <w:trHeight w:val="243"/>
        </w:trPr>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740" w:type="dxa"/>
            <w:vAlign w:val="bottom"/>
          </w:tcPr>
          <w:p>
            <w:pPr>
              <w:spacing w:after="0"/>
              <w:rPr>
                <w:sz w:val="21"/>
                <w:szCs w:val="21"/>
                <w:color w:val="auto"/>
              </w:rPr>
            </w:pPr>
          </w:p>
        </w:tc>
        <w:tc>
          <w:tcPr>
            <w:tcW w:w="3160" w:type="dxa"/>
            <w:vAlign w:val="bottom"/>
          </w:tcPr>
          <w:p>
            <w:pPr>
              <w:ind w:left="160"/>
              <w:spacing w:after="0"/>
              <w:rPr>
                <w:sz w:val="20"/>
                <w:szCs w:val="20"/>
                <w:color w:val="auto"/>
              </w:rPr>
            </w:pPr>
            <w:r>
              <w:rPr>
                <w:rFonts w:ascii="Arial" w:cs="Arial" w:eastAsia="Arial" w:hAnsi="Arial"/>
                <w:sz w:val="18"/>
                <w:szCs w:val="18"/>
                <w:color w:val="auto"/>
              </w:rPr>
              <w:t>13292) [Exhibit 10(j)(3)]</w:t>
            </w:r>
          </w:p>
        </w:tc>
      </w:tr>
    </w:tbl>
    <w:p>
      <w:pPr>
        <w:spacing w:after="0" w:line="63" w:lineRule="exact"/>
        <w:rPr>
          <w:sz w:val="20"/>
          <w:szCs w:val="20"/>
          <w:color w:val="auto"/>
        </w:rPr>
      </w:pPr>
    </w:p>
    <w:p>
      <w:pPr>
        <w:sectPr>
          <w:pgSz w:w="11900" w:h="16838" w:orient="portrait"/>
          <w:cols w:equalWidth="0" w:num="1">
            <w:col w:w="10740"/>
          </w:cols>
          <w:pgMar w:left="240" w:top="405" w:right="919" w:bottom="1440" w:gutter="0" w:footer="0" w:header="0"/>
        </w:sectPr>
      </w:pPr>
    </w:p>
    <w:tbl>
      <w:tblPr>
        <w:tblLayout w:type="fixed"/>
        <w:tblInd w:w="700" w:type="dxa"/>
        <w:tblCellMar>
          <w:top w:w="0" w:type="dxa"/>
          <w:left w:w="0" w:type="dxa"/>
          <w:bottom w:w="0" w:type="dxa"/>
          <w:right w:w="0" w:type="dxa"/>
        </w:tblCellMar>
      </w:tblPr>
      <w:tr>
        <w:trPr>
          <w:trHeight w:val="207"/>
        </w:trPr>
        <w:tc>
          <w:tcPr>
            <w:tcW w:w="1080" w:type="dxa"/>
            <w:vAlign w:val="bottom"/>
          </w:tcPr>
          <w:p>
            <w:pPr>
              <w:spacing w:after="0"/>
              <w:rPr>
                <w:sz w:val="20"/>
                <w:szCs w:val="20"/>
                <w:color w:val="auto"/>
              </w:rPr>
            </w:pPr>
            <w:r>
              <w:rPr>
                <w:rFonts w:ascii="Arial" w:cs="Arial" w:eastAsia="Arial" w:hAnsi="Arial"/>
                <w:sz w:val="18"/>
                <w:szCs w:val="18"/>
                <w:color w:val="auto"/>
              </w:rPr>
              <w:t>10.6(b)(i)</w:t>
            </w:r>
          </w:p>
        </w:tc>
        <w:tc>
          <w:tcPr>
            <w:tcW w:w="5420" w:type="dxa"/>
            <w:vAlign w:val="bottom"/>
          </w:tcPr>
          <w:p>
            <w:pPr>
              <w:ind w:left="340"/>
              <w:spacing w:after="0"/>
              <w:rPr>
                <w:sz w:val="20"/>
                <w:szCs w:val="20"/>
                <w:color w:val="auto"/>
              </w:rPr>
            </w:pPr>
            <w:r>
              <w:rPr>
                <w:rFonts w:ascii="Arial" w:cs="Arial" w:eastAsia="Arial" w:hAnsi="Arial"/>
                <w:sz w:val="18"/>
                <w:szCs w:val="18"/>
                <w:color w:val="auto"/>
              </w:rPr>
              <w:t>Specimen form of Award Agreement for Directors used to</w:t>
            </w:r>
          </w:p>
        </w:tc>
      </w:tr>
      <w:tr>
        <w:trPr>
          <w:trHeight w:val="203"/>
        </w:trPr>
        <w:tc>
          <w:tcPr>
            <w:tcW w:w="1080" w:type="dxa"/>
            <w:vAlign w:val="bottom"/>
          </w:tcPr>
          <w:p>
            <w:pPr>
              <w:spacing w:after="0"/>
              <w:rPr>
                <w:sz w:val="17"/>
                <w:szCs w:val="17"/>
                <w:color w:val="auto"/>
              </w:rPr>
            </w:pPr>
          </w:p>
        </w:tc>
        <w:tc>
          <w:tcPr>
            <w:tcW w:w="5420" w:type="dxa"/>
            <w:vAlign w:val="bottom"/>
          </w:tcPr>
          <w:p>
            <w:pPr>
              <w:ind w:left="340"/>
              <w:spacing w:after="0" w:line="202" w:lineRule="exact"/>
              <w:rPr>
                <w:sz w:val="20"/>
                <w:szCs w:val="20"/>
                <w:color w:val="auto"/>
              </w:rPr>
            </w:pPr>
            <w:r>
              <w:rPr>
                <w:rFonts w:ascii="Arial" w:cs="Arial" w:eastAsia="Arial" w:hAnsi="Arial"/>
                <w:sz w:val="18"/>
                <w:szCs w:val="18"/>
                <w:color w:val="auto"/>
                <w:w w:val="99"/>
              </w:rPr>
              <w:t>evidence grants of Nonqualified Stock Options made under The</w:t>
            </w:r>
          </w:p>
        </w:tc>
      </w:tr>
      <w:tr>
        <w:trPr>
          <w:trHeight w:val="203"/>
        </w:trPr>
        <w:tc>
          <w:tcPr>
            <w:tcW w:w="1080" w:type="dxa"/>
            <w:vAlign w:val="bottom"/>
          </w:tcPr>
          <w:p>
            <w:pPr>
              <w:spacing w:after="0"/>
              <w:rPr>
                <w:sz w:val="17"/>
                <w:szCs w:val="17"/>
                <w:color w:val="auto"/>
              </w:rPr>
            </w:pPr>
          </w:p>
        </w:tc>
        <w:tc>
          <w:tcPr>
            <w:tcW w:w="5420" w:type="dxa"/>
            <w:vAlign w:val="bottom"/>
          </w:tcPr>
          <w:p>
            <w:pPr>
              <w:ind w:left="340"/>
              <w:spacing w:after="0" w:line="202" w:lineRule="exact"/>
              <w:rPr>
                <w:sz w:val="20"/>
                <w:szCs w:val="20"/>
                <w:color w:val="auto"/>
              </w:rPr>
            </w:pPr>
            <w:r>
              <w:rPr>
                <w:rFonts w:ascii="Arial" w:cs="Arial" w:eastAsia="Arial" w:hAnsi="Arial"/>
                <w:sz w:val="18"/>
                <w:szCs w:val="18"/>
                <w:color w:val="auto"/>
              </w:rPr>
              <w:t>Scotts Company 2003 Stock Option and Incentive Equity Plan</w:t>
            </w:r>
          </w:p>
        </w:tc>
      </w:tr>
      <w:tr>
        <w:trPr>
          <w:trHeight w:val="225"/>
        </w:trPr>
        <w:tc>
          <w:tcPr>
            <w:tcW w:w="1080" w:type="dxa"/>
            <w:vAlign w:val="bottom"/>
          </w:tcPr>
          <w:p>
            <w:pPr>
              <w:spacing w:after="0"/>
              <w:rPr>
                <w:sz w:val="19"/>
                <w:szCs w:val="19"/>
                <w:color w:val="auto"/>
              </w:rPr>
            </w:pPr>
          </w:p>
        </w:tc>
        <w:tc>
          <w:tcPr>
            <w:tcW w:w="5420" w:type="dxa"/>
            <w:vAlign w:val="bottom"/>
          </w:tcPr>
          <w:p>
            <w:pPr>
              <w:ind w:left="340"/>
              <w:spacing w:after="0"/>
              <w:rPr>
                <w:sz w:val="20"/>
                <w:szCs w:val="20"/>
                <w:color w:val="auto"/>
              </w:rPr>
            </w:pPr>
            <w:r>
              <w:rPr>
                <w:rFonts w:ascii="Arial" w:cs="Arial" w:eastAsia="Arial" w:hAnsi="Arial"/>
                <w:sz w:val="18"/>
                <w:szCs w:val="18"/>
                <w:color w:val="auto"/>
                <w:w w:val="99"/>
              </w:rPr>
              <w:t>(now known as The Scotts Miracle-Gro Company Amended and</w:t>
            </w:r>
          </w:p>
        </w:tc>
      </w:tr>
    </w:tbl>
    <w:p>
      <w:pPr>
        <w:ind w:left="2120" w:right="200"/>
        <w:spacing w:after="0" w:line="251" w:lineRule="auto"/>
        <w:rPr>
          <w:sz w:val="20"/>
          <w:szCs w:val="20"/>
          <w:color w:val="auto"/>
        </w:rPr>
      </w:pPr>
      <w:r>
        <w:rPr>
          <w:rFonts w:ascii="Arial" w:cs="Arial" w:eastAsia="Arial" w:hAnsi="Arial"/>
          <w:sz w:val="18"/>
          <w:szCs w:val="18"/>
          <w:color w:val="auto"/>
        </w:rPr>
        <w:t>Restated 2003 Stock Option and Incentive Equity Plan) [2003 version]</w:t>
      </w:r>
    </w:p>
    <w:p>
      <w:pPr>
        <w:spacing w:after="0" w:line="20" w:lineRule="exact"/>
        <w:rPr>
          <w:sz w:val="20"/>
          <w:szCs w:val="20"/>
          <w:color w:val="auto"/>
        </w:rPr>
      </w:pPr>
      <w:r>
        <w:rPr>
          <w:sz w:val="20"/>
          <w:szCs w:val="20"/>
          <w:color w:val="auto"/>
        </w:rPr>
        <w:br w:type="column"/>
      </w:r>
    </w:p>
    <w:p>
      <w:pPr>
        <w:jc w:val="both"/>
        <w:ind w:right="100"/>
        <w:spacing w:after="0" w:line="248" w:lineRule="auto"/>
        <w:rPr>
          <w:sz w:val="20"/>
          <w:szCs w:val="20"/>
          <w:color w:val="auto"/>
        </w:rPr>
      </w:pPr>
      <w:r>
        <w:rPr>
          <w:rFonts w:ascii="Arial" w:cs="Arial" w:eastAsia="Arial" w:hAnsi="Arial"/>
          <w:sz w:val="18"/>
          <w:szCs w:val="18"/>
          <w:color w:val="auto"/>
        </w:rPr>
        <w:t>Incorporated herein by reference to Scotts’ Current Report on Form 8-K filed November 19, 2004 (File No. 1-13292) [Exhibit 10.9]</w:t>
      </w:r>
    </w:p>
    <w:p>
      <w:pPr>
        <w:spacing w:after="0" w:line="463" w:lineRule="exact"/>
        <w:rPr>
          <w:sz w:val="20"/>
          <w:szCs w:val="20"/>
          <w:color w:val="auto"/>
        </w:rPr>
      </w:pPr>
    </w:p>
    <w:p>
      <w:pPr>
        <w:sectPr>
          <w:pgSz w:w="11900" w:h="16838" w:orient="portrait"/>
          <w:cols w:equalWidth="0" w:num="2">
            <w:col w:w="7200" w:space="540"/>
            <w:col w:w="3000"/>
          </w:cols>
          <w:pgMar w:left="240" w:top="405" w:right="919" w:bottom="1440" w:gutter="0" w:footer="0" w:header="0"/>
          <w:type w:val="continuous"/>
        </w:sectPr>
      </w:pPr>
    </w:p>
    <w:tbl>
      <w:tblPr>
        <w:tblLayout w:type="fixed"/>
        <w:tblInd w:w="70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Arial" w:cs="Arial" w:eastAsia="Arial" w:hAnsi="Arial"/>
                <w:sz w:val="18"/>
                <w:szCs w:val="18"/>
                <w:color w:val="auto"/>
              </w:rPr>
              <w:t>10.6(b)(ii)</w:t>
            </w:r>
          </w:p>
        </w:tc>
        <w:tc>
          <w:tcPr>
            <w:tcW w:w="5380" w:type="dxa"/>
            <w:vAlign w:val="bottom"/>
          </w:tcPr>
          <w:p>
            <w:pPr>
              <w:ind w:left="320"/>
              <w:spacing w:after="0"/>
              <w:rPr>
                <w:sz w:val="20"/>
                <w:szCs w:val="20"/>
                <w:color w:val="auto"/>
              </w:rPr>
            </w:pPr>
            <w:r>
              <w:rPr>
                <w:rFonts w:ascii="Arial" w:cs="Arial" w:eastAsia="Arial" w:hAnsi="Arial"/>
                <w:sz w:val="18"/>
                <w:szCs w:val="18"/>
                <w:color w:val="auto"/>
              </w:rPr>
              <w:t>Specimen form of Award Agreement for Directors used to</w:t>
            </w:r>
          </w:p>
        </w:tc>
      </w:tr>
      <w:tr>
        <w:trPr>
          <w:trHeight w:val="203"/>
        </w:trPr>
        <w:tc>
          <w:tcPr>
            <w:tcW w:w="1100" w:type="dxa"/>
            <w:vAlign w:val="bottom"/>
          </w:tcPr>
          <w:p>
            <w:pPr>
              <w:spacing w:after="0"/>
              <w:rPr>
                <w:sz w:val="17"/>
                <w:szCs w:val="17"/>
                <w:color w:val="auto"/>
              </w:rPr>
            </w:pPr>
          </w:p>
        </w:tc>
        <w:tc>
          <w:tcPr>
            <w:tcW w:w="5380" w:type="dxa"/>
            <w:vAlign w:val="bottom"/>
          </w:tcPr>
          <w:p>
            <w:pPr>
              <w:ind w:left="320"/>
              <w:spacing w:after="0" w:line="202" w:lineRule="exact"/>
              <w:rPr>
                <w:sz w:val="20"/>
                <w:szCs w:val="20"/>
                <w:color w:val="auto"/>
              </w:rPr>
            </w:pPr>
            <w:r>
              <w:rPr>
                <w:rFonts w:ascii="Arial" w:cs="Arial" w:eastAsia="Arial" w:hAnsi="Arial"/>
                <w:sz w:val="18"/>
                <w:szCs w:val="18"/>
                <w:color w:val="auto"/>
                <w:w w:val="99"/>
              </w:rPr>
              <w:t>evidence grants of Nonqualified Stock Options made under The</w:t>
            </w:r>
          </w:p>
        </w:tc>
      </w:tr>
      <w:tr>
        <w:trPr>
          <w:trHeight w:val="203"/>
        </w:trPr>
        <w:tc>
          <w:tcPr>
            <w:tcW w:w="1100" w:type="dxa"/>
            <w:vAlign w:val="bottom"/>
          </w:tcPr>
          <w:p>
            <w:pPr>
              <w:spacing w:after="0"/>
              <w:rPr>
                <w:sz w:val="17"/>
                <w:szCs w:val="17"/>
                <w:color w:val="auto"/>
              </w:rPr>
            </w:pPr>
          </w:p>
        </w:tc>
        <w:tc>
          <w:tcPr>
            <w:tcW w:w="5380" w:type="dxa"/>
            <w:vAlign w:val="bottom"/>
          </w:tcPr>
          <w:p>
            <w:pPr>
              <w:ind w:left="320"/>
              <w:spacing w:after="0" w:line="202" w:lineRule="exact"/>
              <w:rPr>
                <w:sz w:val="20"/>
                <w:szCs w:val="20"/>
                <w:color w:val="auto"/>
              </w:rPr>
            </w:pPr>
            <w:r>
              <w:rPr>
                <w:rFonts w:ascii="Arial" w:cs="Arial" w:eastAsia="Arial" w:hAnsi="Arial"/>
                <w:sz w:val="18"/>
                <w:szCs w:val="18"/>
                <w:color w:val="auto"/>
              </w:rPr>
              <w:t>Scotts Miracle-Gro Company 2003 Stock Option and Incentive</w:t>
            </w:r>
          </w:p>
        </w:tc>
      </w:tr>
      <w:tr>
        <w:trPr>
          <w:trHeight w:val="225"/>
        </w:trPr>
        <w:tc>
          <w:tcPr>
            <w:tcW w:w="1100" w:type="dxa"/>
            <w:vAlign w:val="bottom"/>
          </w:tcPr>
          <w:p>
            <w:pPr>
              <w:spacing w:after="0"/>
              <w:rPr>
                <w:sz w:val="19"/>
                <w:szCs w:val="19"/>
                <w:color w:val="auto"/>
              </w:rPr>
            </w:pPr>
          </w:p>
        </w:tc>
        <w:tc>
          <w:tcPr>
            <w:tcW w:w="5380" w:type="dxa"/>
            <w:vAlign w:val="bottom"/>
          </w:tcPr>
          <w:p>
            <w:pPr>
              <w:ind w:left="320"/>
              <w:spacing w:after="0"/>
              <w:rPr>
                <w:sz w:val="20"/>
                <w:szCs w:val="20"/>
                <w:color w:val="auto"/>
              </w:rPr>
            </w:pPr>
            <w:r>
              <w:rPr>
                <w:rFonts w:ascii="Arial" w:cs="Arial" w:eastAsia="Arial" w:hAnsi="Arial"/>
                <w:sz w:val="18"/>
                <w:szCs w:val="18"/>
                <w:color w:val="auto"/>
              </w:rPr>
              <w:t>Equity Plan (now known as The Scotts Miracle-Gro Company</w:t>
            </w:r>
          </w:p>
        </w:tc>
      </w:tr>
    </w:tbl>
    <w:p>
      <w:pPr>
        <w:ind w:left="2120"/>
        <w:spacing w:after="0" w:line="251" w:lineRule="auto"/>
        <w:rPr>
          <w:sz w:val="20"/>
          <w:szCs w:val="20"/>
          <w:color w:val="auto"/>
        </w:rPr>
      </w:pPr>
      <w:r>
        <w:rPr>
          <w:rFonts w:ascii="Arial" w:cs="Arial" w:eastAsia="Arial" w:hAnsi="Arial"/>
          <w:sz w:val="18"/>
          <w:szCs w:val="18"/>
          <w:color w:val="auto"/>
        </w:rPr>
        <w:t>Amended and Restated 2003 Stock Option and Incentive Equity Plan) [post-2003 version]</w:t>
      </w:r>
    </w:p>
    <w:p>
      <w:pPr>
        <w:spacing w:after="0" w:line="20" w:lineRule="exact"/>
        <w:rPr>
          <w:sz w:val="20"/>
          <w:szCs w:val="20"/>
          <w:color w:val="auto"/>
        </w:rPr>
      </w:pPr>
      <w:r>
        <w:rPr>
          <w:sz w:val="20"/>
          <w:szCs w:val="20"/>
          <w:color w:val="auto"/>
        </w:rPr>
        <w:br w:type="column"/>
      </w:r>
    </w:p>
    <w:p>
      <w:pPr>
        <w:ind w:right="180"/>
        <w:spacing w:after="0" w:line="245"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2005 (File No. 1-13292) [Exhibit 10(v)]</w:t>
      </w:r>
    </w:p>
    <w:p>
      <w:pPr>
        <w:spacing w:after="0" w:line="262" w:lineRule="exact"/>
        <w:rPr>
          <w:sz w:val="20"/>
          <w:szCs w:val="20"/>
          <w:color w:val="auto"/>
        </w:rPr>
      </w:pPr>
    </w:p>
    <w:p>
      <w:pPr>
        <w:sectPr>
          <w:pgSz w:w="11900" w:h="16838" w:orient="portrait"/>
          <w:cols w:equalWidth="0" w:num="2">
            <w:col w:w="7200" w:space="540"/>
            <w:col w:w="3000"/>
          </w:cols>
          <w:pgMar w:left="240" w:top="405" w:right="919" w:bottom="1440" w:gutter="0" w:footer="0" w:header="0"/>
          <w:type w:val="continuous"/>
        </w:sectPr>
      </w:pPr>
    </w:p>
    <w:tbl>
      <w:tblPr>
        <w:tblLayout w:type="fixed"/>
        <w:tblInd w:w="700" w:type="dxa"/>
        <w:tblCellMar>
          <w:top w:w="0" w:type="dxa"/>
          <w:left w:w="0" w:type="dxa"/>
          <w:bottom w:w="0" w:type="dxa"/>
          <w:right w:w="0" w:type="dxa"/>
        </w:tblCellMar>
      </w:tblPr>
      <w:tr>
        <w:trPr>
          <w:trHeight w:val="207"/>
        </w:trPr>
        <w:tc>
          <w:tcPr>
            <w:tcW w:w="1060" w:type="dxa"/>
            <w:vAlign w:val="bottom"/>
          </w:tcPr>
          <w:p>
            <w:pPr>
              <w:spacing w:after="0"/>
              <w:rPr>
                <w:sz w:val="20"/>
                <w:szCs w:val="20"/>
                <w:color w:val="auto"/>
              </w:rPr>
            </w:pPr>
            <w:r>
              <w:rPr>
                <w:rFonts w:ascii="Arial" w:cs="Arial" w:eastAsia="Arial" w:hAnsi="Arial"/>
                <w:sz w:val="18"/>
                <w:szCs w:val="18"/>
                <w:color w:val="auto"/>
              </w:rPr>
              <w:t>10.6(c)(i)</w:t>
            </w:r>
          </w:p>
        </w:tc>
        <w:tc>
          <w:tcPr>
            <w:tcW w:w="5580" w:type="dxa"/>
            <w:vAlign w:val="bottom"/>
          </w:tcPr>
          <w:p>
            <w:pPr>
              <w:ind w:left="360"/>
              <w:spacing w:after="0"/>
              <w:rPr>
                <w:sz w:val="20"/>
                <w:szCs w:val="20"/>
                <w:color w:val="auto"/>
              </w:rPr>
            </w:pPr>
            <w:r>
              <w:rPr>
                <w:rFonts w:ascii="Arial" w:cs="Arial" w:eastAsia="Arial" w:hAnsi="Arial"/>
                <w:sz w:val="18"/>
                <w:szCs w:val="18"/>
                <w:color w:val="auto"/>
              </w:rPr>
              <w:t>Specimen form of Award Agreement for Nondirectors used to</w:t>
            </w:r>
          </w:p>
        </w:tc>
      </w:tr>
      <w:tr>
        <w:trPr>
          <w:trHeight w:val="203"/>
        </w:trPr>
        <w:tc>
          <w:tcPr>
            <w:tcW w:w="1060" w:type="dxa"/>
            <w:vAlign w:val="bottom"/>
          </w:tcPr>
          <w:p>
            <w:pPr>
              <w:spacing w:after="0"/>
              <w:rPr>
                <w:sz w:val="17"/>
                <w:szCs w:val="17"/>
                <w:color w:val="auto"/>
              </w:rPr>
            </w:pPr>
          </w:p>
        </w:tc>
        <w:tc>
          <w:tcPr>
            <w:tcW w:w="5580" w:type="dxa"/>
            <w:vAlign w:val="bottom"/>
          </w:tcPr>
          <w:p>
            <w:pPr>
              <w:ind w:left="360"/>
              <w:spacing w:after="0" w:line="202" w:lineRule="exact"/>
              <w:rPr>
                <w:sz w:val="20"/>
                <w:szCs w:val="20"/>
                <w:color w:val="auto"/>
              </w:rPr>
            </w:pPr>
            <w:r>
              <w:rPr>
                <w:rFonts w:ascii="Arial" w:cs="Arial" w:eastAsia="Arial" w:hAnsi="Arial"/>
                <w:sz w:val="18"/>
                <w:szCs w:val="18"/>
                <w:color w:val="auto"/>
              </w:rPr>
              <w:t>evidence grants of Incentive Stock Options, Nonqualified Stock</w:t>
            </w:r>
          </w:p>
        </w:tc>
      </w:tr>
      <w:tr>
        <w:trPr>
          <w:trHeight w:val="203"/>
        </w:trPr>
        <w:tc>
          <w:tcPr>
            <w:tcW w:w="1060" w:type="dxa"/>
            <w:vAlign w:val="bottom"/>
          </w:tcPr>
          <w:p>
            <w:pPr>
              <w:spacing w:after="0"/>
              <w:rPr>
                <w:sz w:val="17"/>
                <w:szCs w:val="17"/>
                <w:color w:val="auto"/>
              </w:rPr>
            </w:pPr>
          </w:p>
        </w:tc>
        <w:tc>
          <w:tcPr>
            <w:tcW w:w="5580" w:type="dxa"/>
            <w:vAlign w:val="bottom"/>
          </w:tcPr>
          <w:p>
            <w:pPr>
              <w:ind w:left="360"/>
              <w:spacing w:after="0" w:line="202" w:lineRule="exact"/>
              <w:rPr>
                <w:sz w:val="20"/>
                <w:szCs w:val="20"/>
                <w:color w:val="auto"/>
              </w:rPr>
            </w:pPr>
            <w:r>
              <w:rPr>
                <w:rFonts w:ascii="Arial" w:cs="Arial" w:eastAsia="Arial" w:hAnsi="Arial"/>
                <w:sz w:val="18"/>
                <w:szCs w:val="18"/>
                <w:color w:val="auto"/>
              </w:rPr>
              <w:t>Options, Stock Appreciation Rights, Restricted Stock and</w:t>
            </w:r>
          </w:p>
        </w:tc>
      </w:tr>
      <w:tr>
        <w:trPr>
          <w:trHeight w:val="225"/>
        </w:trPr>
        <w:tc>
          <w:tcPr>
            <w:tcW w:w="1060" w:type="dxa"/>
            <w:vAlign w:val="bottom"/>
          </w:tcPr>
          <w:p>
            <w:pPr>
              <w:spacing w:after="0"/>
              <w:rPr>
                <w:sz w:val="19"/>
                <w:szCs w:val="19"/>
                <w:color w:val="auto"/>
              </w:rPr>
            </w:pPr>
          </w:p>
        </w:tc>
        <w:tc>
          <w:tcPr>
            <w:tcW w:w="5580" w:type="dxa"/>
            <w:vAlign w:val="bottom"/>
          </w:tcPr>
          <w:p>
            <w:pPr>
              <w:ind w:left="360"/>
              <w:spacing w:after="0"/>
              <w:rPr>
                <w:sz w:val="20"/>
                <w:szCs w:val="20"/>
                <w:color w:val="auto"/>
              </w:rPr>
            </w:pPr>
            <w:r>
              <w:rPr>
                <w:rFonts w:ascii="Arial" w:cs="Arial" w:eastAsia="Arial" w:hAnsi="Arial"/>
                <w:sz w:val="18"/>
                <w:szCs w:val="18"/>
                <w:color w:val="auto"/>
                <w:w w:val="99"/>
              </w:rPr>
              <w:t>Performance Stock made under The Scotts Company 2003 Stock</w:t>
            </w:r>
          </w:p>
        </w:tc>
      </w:tr>
    </w:tbl>
    <w:p>
      <w:pPr>
        <w:ind w:left="2120"/>
        <w:spacing w:after="0" w:line="264" w:lineRule="auto"/>
        <w:rPr>
          <w:sz w:val="20"/>
          <w:szCs w:val="20"/>
          <w:color w:val="auto"/>
        </w:rPr>
      </w:pPr>
      <w:r>
        <w:rPr>
          <w:rFonts w:ascii="Arial" w:cs="Arial" w:eastAsia="Arial" w:hAnsi="Arial"/>
          <w:sz w:val="17"/>
          <w:szCs w:val="17"/>
          <w:color w:val="auto"/>
        </w:rPr>
        <w:t>Option and Incentive Equity Plan (now known as The Scotts Miracle-Gro Company Amended and Restated 2003 Stock Option and Incentive Equity Plan) [pre-December 1, 2004 version]</w:t>
      </w:r>
    </w:p>
    <w:p>
      <w:pPr>
        <w:spacing w:after="0" w:line="20" w:lineRule="exact"/>
        <w:rPr>
          <w:sz w:val="20"/>
          <w:szCs w:val="20"/>
          <w:color w:val="auto"/>
        </w:rPr>
      </w:pPr>
      <w:r>
        <w:rPr>
          <w:sz w:val="20"/>
          <w:szCs w:val="20"/>
          <w:color w:val="auto"/>
        </w:rPr>
        <w:br w:type="column"/>
      </w:r>
    </w:p>
    <w:p>
      <w:pPr>
        <w:jc w:val="both"/>
        <w:ind w:right="100"/>
        <w:spacing w:after="0" w:line="248" w:lineRule="auto"/>
        <w:rPr>
          <w:sz w:val="20"/>
          <w:szCs w:val="20"/>
          <w:color w:val="auto"/>
        </w:rPr>
      </w:pPr>
      <w:r>
        <w:rPr>
          <w:rFonts w:ascii="Arial" w:cs="Arial" w:eastAsia="Arial" w:hAnsi="Arial"/>
          <w:sz w:val="18"/>
          <w:szCs w:val="18"/>
          <w:color w:val="auto"/>
        </w:rPr>
        <w:t>Incorporated herein by reference to Scotts’ Current Report on Form 8-K filed November 19, 2004 (File No. 1-13292) [Exhibit 10.8]</w:t>
      </w:r>
    </w:p>
    <w:p>
      <w:pPr>
        <w:spacing w:after="0" w:line="665" w:lineRule="exact"/>
        <w:rPr>
          <w:sz w:val="20"/>
          <w:szCs w:val="20"/>
          <w:color w:val="auto"/>
        </w:rPr>
      </w:pPr>
    </w:p>
    <w:p>
      <w:pPr>
        <w:sectPr>
          <w:pgSz w:w="11900" w:h="16838" w:orient="portrait"/>
          <w:cols w:equalWidth="0" w:num="2">
            <w:col w:w="7340" w:space="400"/>
            <w:col w:w="3000"/>
          </w:cols>
          <w:pgMar w:left="240" w:top="405" w:right="919" w:bottom="1440" w:gutter="0" w:footer="0" w:header="0"/>
          <w:type w:val="continuous"/>
        </w:sectPr>
      </w:pPr>
    </w:p>
    <w:tbl>
      <w:tblPr>
        <w:tblLayout w:type="fixed"/>
        <w:tblInd w:w="700" w:type="dxa"/>
        <w:tblCellMar>
          <w:top w:w="0" w:type="dxa"/>
          <w:left w:w="0" w:type="dxa"/>
          <w:bottom w:w="0" w:type="dxa"/>
          <w:right w:w="0" w:type="dxa"/>
        </w:tblCellMar>
      </w:tblPr>
      <w:tr>
        <w:trPr>
          <w:trHeight w:val="207"/>
        </w:trPr>
        <w:tc>
          <w:tcPr>
            <w:tcW w:w="1080" w:type="dxa"/>
            <w:vAlign w:val="bottom"/>
          </w:tcPr>
          <w:p>
            <w:pPr>
              <w:spacing w:after="0"/>
              <w:rPr>
                <w:sz w:val="20"/>
                <w:szCs w:val="20"/>
                <w:color w:val="auto"/>
              </w:rPr>
            </w:pPr>
            <w:r>
              <w:rPr>
                <w:rFonts w:ascii="Arial" w:cs="Arial" w:eastAsia="Arial" w:hAnsi="Arial"/>
                <w:sz w:val="18"/>
                <w:szCs w:val="18"/>
                <w:color w:val="auto"/>
              </w:rPr>
              <w:t>10.6(c)(ii)</w:t>
            </w:r>
          </w:p>
        </w:tc>
        <w:tc>
          <w:tcPr>
            <w:tcW w:w="5340" w:type="dxa"/>
            <w:vAlign w:val="bottom"/>
          </w:tcPr>
          <w:p>
            <w:pPr>
              <w:ind w:left="340"/>
              <w:spacing w:after="0"/>
              <w:rPr>
                <w:sz w:val="20"/>
                <w:szCs w:val="20"/>
                <w:color w:val="auto"/>
              </w:rPr>
            </w:pPr>
            <w:r>
              <w:rPr>
                <w:rFonts w:ascii="Arial" w:cs="Arial" w:eastAsia="Arial" w:hAnsi="Arial"/>
                <w:sz w:val="18"/>
                <w:szCs w:val="18"/>
                <w:color w:val="auto"/>
              </w:rPr>
              <w:t>Specimen form of Award Agreement for Nondirectors used to</w:t>
            </w:r>
          </w:p>
        </w:tc>
      </w:tr>
      <w:tr>
        <w:trPr>
          <w:trHeight w:val="203"/>
        </w:trPr>
        <w:tc>
          <w:tcPr>
            <w:tcW w:w="1080" w:type="dxa"/>
            <w:vAlign w:val="bottom"/>
          </w:tcPr>
          <w:p>
            <w:pPr>
              <w:spacing w:after="0"/>
              <w:rPr>
                <w:sz w:val="17"/>
                <w:szCs w:val="17"/>
                <w:color w:val="auto"/>
              </w:rPr>
            </w:pPr>
          </w:p>
        </w:tc>
        <w:tc>
          <w:tcPr>
            <w:tcW w:w="5340" w:type="dxa"/>
            <w:vAlign w:val="bottom"/>
          </w:tcPr>
          <w:p>
            <w:pPr>
              <w:ind w:left="340"/>
              <w:spacing w:after="0" w:line="202" w:lineRule="exact"/>
              <w:rPr>
                <w:sz w:val="20"/>
                <w:szCs w:val="20"/>
                <w:color w:val="auto"/>
              </w:rPr>
            </w:pPr>
            <w:r>
              <w:rPr>
                <w:rFonts w:ascii="Arial" w:cs="Arial" w:eastAsia="Arial" w:hAnsi="Arial"/>
                <w:sz w:val="18"/>
                <w:szCs w:val="18"/>
                <w:color w:val="auto"/>
                <w:w w:val="99"/>
              </w:rPr>
              <w:t>evidence grants of Incentive Stock Options, Nonqualified Stock</w:t>
            </w:r>
          </w:p>
        </w:tc>
      </w:tr>
      <w:tr>
        <w:trPr>
          <w:trHeight w:val="203"/>
        </w:trPr>
        <w:tc>
          <w:tcPr>
            <w:tcW w:w="1080" w:type="dxa"/>
            <w:vAlign w:val="bottom"/>
          </w:tcPr>
          <w:p>
            <w:pPr>
              <w:spacing w:after="0"/>
              <w:rPr>
                <w:sz w:val="17"/>
                <w:szCs w:val="17"/>
                <w:color w:val="auto"/>
              </w:rPr>
            </w:pPr>
          </w:p>
        </w:tc>
        <w:tc>
          <w:tcPr>
            <w:tcW w:w="5340" w:type="dxa"/>
            <w:vAlign w:val="bottom"/>
          </w:tcPr>
          <w:p>
            <w:pPr>
              <w:ind w:left="340"/>
              <w:spacing w:after="0" w:line="202" w:lineRule="exact"/>
              <w:rPr>
                <w:sz w:val="20"/>
                <w:szCs w:val="20"/>
                <w:color w:val="auto"/>
              </w:rPr>
            </w:pPr>
            <w:r>
              <w:rPr>
                <w:rFonts w:ascii="Arial" w:cs="Arial" w:eastAsia="Arial" w:hAnsi="Arial"/>
                <w:sz w:val="18"/>
                <w:szCs w:val="18"/>
                <w:color w:val="auto"/>
              </w:rPr>
              <w:t>Options, Stock Appreciation Rights, Restricted Stock and</w:t>
            </w:r>
          </w:p>
        </w:tc>
      </w:tr>
      <w:tr>
        <w:trPr>
          <w:trHeight w:val="225"/>
        </w:trPr>
        <w:tc>
          <w:tcPr>
            <w:tcW w:w="1080" w:type="dxa"/>
            <w:vAlign w:val="bottom"/>
          </w:tcPr>
          <w:p>
            <w:pPr>
              <w:spacing w:after="0"/>
              <w:rPr>
                <w:sz w:val="19"/>
                <w:szCs w:val="19"/>
                <w:color w:val="auto"/>
              </w:rPr>
            </w:pPr>
          </w:p>
        </w:tc>
        <w:tc>
          <w:tcPr>
            <w:tcW w:w="5340" w:type="dxa"/>
            <w:vAlign w:val="bottom"/>
          </w:tcPr>
          <w:p>
            <w:pPr>
              <w:ind w:left="340"/>
              <w:spacing w:after="0"/>
              <w:rPr>
                <w:sz w:val="20"/>
                <w:szCs w:val="20"/>
                <w:color w:val="auto"/>
              </w:rPr>
            </w:pPr>
            <w:r>
              <w:rPr>
                <w:rFonts w:ascii="Arial" w:cs="Arial" w:eastAsia="Arial" w:hAnsi="Arial"/>
                <w:sz w:val="18"/>
                <w:szCs w:val="18"/>
                <w:color w:val="auto"/>
              </w:rPr>
              <w:t>Performance Shares made under The Scotts Miracle-Gro</w:t>
            </w:r>
          </w:p>
        </w:tc>
      </w:tr>
    </w:tbl>
    <w:p>
      <w:pPr>
        <w:ind w:left="2120" w:right="120"/>
        <w:spacing w:after="0"/>
        <w:rPr>
          <w:sz w:val="20"/>
          <w:szCs w:val="20"/>
          <w:color w:val="auto"/>
        </w:rPr>
      </w:pPr>
      <w:r>
        <w:rPr>
          <w:rFonts w:ascii="Arial" w:cs="Arial" w:eastAsia="Arial" w:hAnsi="Arial"/>
          <w:sz w:val="18"/>
          <w:szCs w:val="18"/>
          <w:color w:val="auto"/>
        </w:rPr>
        <w:t>Company 2003 Stock Option and Incentive Equity Plan (now known as The Scotts Miracle-Gro Company Amended and Restated 2003 Stock Option and Incentive Equity Plan) [post-December 1, 2004 version]</w:t>
      </w:r>
    </w:p>
    <w:p>
      <w:pPr>
        <w:spacing w:after="0" w:line="20" w:lineRule="exact"/>
        <w:rPr>
          <w:sz w:val="20"/>
          <w:szCs w:val="20"/>
          <w:color w:val="auto"/>
        </w:rPr>
      </w:pPr>
      <w:r>
        <w:rPr>
          <w:sz w:val="20"/>
          <w:szCs w:val="20"/>
          <w:color w:val="auto"/>
        </w:rPr>
        <w:br w:type="column"/>
      </w:r>
    </w:p>
    <w:p>
      <w:pPr>
        <w:ind w:right="180"/>
        <w:spacing w:after="0" w:line="245"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2005 (File No. 1-13292) [Exhibit 10(u)]</w:t>
      </w:r>
    </w:p>
    <w:p>
      <w:pPr>
        <w:spacing w:after="0" w:line="667" w:lineRule="exact"/>
        <w:rPr>
          <w:sz w:val="20"/>
          <w:szCs w:val="20"/>
          <w:color w:val="auto"/>
        </w:rPr>
      </w:pPr>
    </w:p>
    <w:p>
      <w:pPr>
        <w:sectPr>
          <w:pgSz w:w="11900" w:h="16838" w:orient="portrait"/>
          <w:cols w:equalWidth="0" w:num="2">
            <w:col w:w="7120" w:space="620"/>
            <w:col w:w="3000"/>
          </w:cols>
          <w:pgMar w:left="240" w:top="405" w:right="919" w:bottom="1440" w:gutter="0" w:footer="0" w:header="0"/>
          <w:type w:val="continuous"/>
        </w:sectPr>
      </w:pPr>
    </w:p>
    <w:tbl>
      <w:tblPr>
        <w:tblLayout w:type="fixed"/>
        <w:tblInd w:w="70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Arial" w:cs="Arial" w:eastAsia="Arial" w:hAnsi="Arial"/>
                <w:sz w:val="18"/>
                <w:szCs w:val="18"/>
                <w:color w:val="auto"/>
              </w:rPr>
              <w:t>10.7(a)</w:t>
            </w:r>
          </w:p>
        </w:tc>
        <w:tc>
          <w:tcPr>
            <w:tcW w:w="5760" w:type="dxa"/>
            <w:vAlign w:val="bottom"/>
          </w:tcPr>
          <w:p>
            <w:pPr>
              <w:ind w:left="420"/>
              <w:spacing w:after="0"/>
              <w:rPr>
                <w:sz w:val="20"/>
                <w:szCs w:val="20"/>
                <w:color w:val="auto"/>
              </w:rPr>
            </w:pPr>
            <w:r>
              <w:rPr>
                <w:rFonts w:ascii="Arial" w:cs="Arial" w:eastAsia="Arial" w:hAnsi="Arial"/>
                <w:sz w:val="18"/>
                <w:szCs w:val="18"/>
                <w:color w:val="auto"/>
              </w:rPr>
              <w:t>The Scotts Miracle-Gro Company Amended and Restated 2006</w:t>
            </w:r>
          </w:p>
        </w:tc>
        <w:tc>
          <w:tcPr>
            <w:tcW w:w="3100" w:type="dxa"/>
            <w:vAlign w:val="bottom"/>
          </w:tcPr>
          <w:p>
            <w:pPr>
              <w:ind w:left="280"/>
              <w:spacing w:after="0"/>
              <w:rPr>
                <w:sz w:val="20"/>
                <w:szCs w:val="20"/>
                <w:color w:val="auto"/>
              </w:rPr>
            </w:pPr>
            <w:r>
              <w:rPr>
                <w:rFonts w:ascii="Arial" w:cs="Arial" w:eastAsia="Arial" w:hAnsi="Arial"/>
                <w:sz w:val="18"/>
                <w:szCs w:val="18"/>
                <w:color w:val="auto"/>
                <w:w w:val="99"/>
              </w:rPr>
              <w:t>Incorporated herein by reference to</w:t>
            </w:r>
          </w:p>
        </w:tc>
      </w:tr>
      <w:tr>
        <w:trPr>
          <w:trHeight w:val="203"/>
        </w:trPr>
        <w:tc>
          <w:tcPr>
            <w:tcW w:w="1000" w:type="dxa"/>
            <w:vAlign w:val="bottom"/>
          </w:tcPr>
          <w:p>
            <w:pPr>
              <w:spacing w:after="0"/>
              <w:rPr>
                <w:sz w:val="17"/>
                <w:szCs w:val="17"/>
                <w:color w:val="auto"/>
              </w:rPr>
            </w:pPr>
          </w:p>
        </w:tc>
        <w:tc>
          <w:tcPr>
            <w:tcW w:w="5760" w:type="dxa"/>
            <w:vAlign w:val="bottom"/>
          </w:tcPr>
          <w:p>
            <w:pPr>
              <w:ind w:left="420"/>
              <w:spacing w:after="0" w:line="202" w:lineRule="exact"/>
              <w:rPr>
                <w:sz w:val="20"/>
                <w:szCs w:val="20"/>
                <w:color w:val="auto"/>
              </w:rPr>
            </w:pPr>
            <w:r>
              <w:rPr>
                <w:rFonts w:ascii="Arial" w:cs="Arial" w:eastAsia="Arial" w:hAnsi="Arial"/>
                <w:sz w:val="18"/>
                <w:szCs w:val="18"/>
                <w:color w:val="auto"/>
              </w:rPr>
              <w:t>Long-Term Incentive Plan (effective as of October 30, 2007)</w:t>
            </w:r>
          </w:p>
        </w:tc>
        <w:tc>
          <w:tcPr>
            <w:tcW w:w="3100" w:type="dxa"/>
            <w:vAlign w:val="bottom"/>
          </w:tcPr>
          <w:p>
            <w:pPr>
              <w:ind w:left="280"/>
              <w:spacing w:after="0" w:line="202" w:lineRule="exact"/>
              <w:rPr>
                <w:sz w:val="20"/>
                <w:szCs w:val="20"/>
                <w:color w:val="auto"/>
              </w:rPr>
            </w:pPr>
            <w:r>
              <w:rPr>
                <w:rFonts w:ascii="Arial" w:cs="Arial" w:eastAsia="Arial" w:hAnsi="Arial"/>
                <w:sz w:val="18"/>
                <w:szCs w:val="18"/>
                <w:color w:val="auto"/>
              </w:rPr>
              <w:t>the Registrant’s Annual Report on</w:t>
            </w:r>
          </w:p>
        </w:tc>
      </w:tr>
      <w:tr>
        <w:trPr>
          <w:trHeight w:val="203"/>
        </w:trPr>
        <w:tc>
          <w:tcPr>
            <w:tcW w:w="1000" w:type="dxa"/>
            <w:vAlign w:val="bottom"/>
          </w:tcPr>
          <w:p>
            <w:pPr>
              <w:spacing w:after="0"/>
              <w:rPr>
                <w:sz w:val="17"/>
                <w:szCs w:val="17"/>
                <w:color w:val="auto"/>
              </w:rPr>
            </w:pPr>
          </w:p>
        </w:tc>
        <w:tc>
          <w:tcPr>
            <w:tcW w:w="5760" w:type="dxa"/>
            <w:vAlign w:val="bottom"/>
          </w:tcPr>
          <w:p>
            <w:pPr>
              <w:spacing w:after="0"/>
              <w:rPr>
                <w:sz w:val="17"/>
                <w:szCs w:val="17"/>
                <w:color w:val="auto"/>
              </w:rPr>
            </w:pPr>
          </w:p>
        </w:tc>
        <w:tc>
          <w:tcPr>
            <w:tcW w:w="3100" w:type="dxa"/>
            <w:vAlign w:val="bottom"/>
          </w:tcPr>
          <w:p>
            <w:pPr>
              <w:ind w:left="280"/>
              <w:spacing w:after="0" w:line="202" w:lineRule="exact"/>
              <w:rPr>
                <w:sz w:val="20"/>
                <w:szCs w:val="20"/>
                <w:color w:val="auto"/>
              </w:rPr>
            </w:pPr>
            <w:r>
              <w:rPr>
                <w:rFonts w:ascii="Arial" w:cs="Arial" w:eastAsia="Arial" w:hAnsi="Arial"/>
                <w:sz w:val="18"/>
                <w:szCs w:val="18"/>
                <w:color w:val="auto"/>
                <w:w w:val="99"/>
              </w:rPr>
              <w:t>Form 10-K for the fiscal year ended</w:t>
            </w:r>
          </w:p>
        </w:tc>
      </w:tr>
      <w:tr>
        <w:trPr>
          <w:trHeight w:val="203"/>
        </w:trPr>
        <w:tc>
          <w:tcPr>
            <w:tcW w:w="1000" w:type="dxa"/>
            <w:vAlign w:val="bottom"/>
          </w:tcPr>
          <w:p>
            <w:pPr>
              <w:spacing w:after="0"/>
              <w:rPr>
                <w:sz w:val="17"/>
                <w:szCs w:val="17"/>
                <w:color w:val="auto"/>
              </w:rPr>
            </w:pPr>
          </w:p>
        </w:tc>
        <w:tc>
          <w:tcPr>
            <w:tcW w:w="5760" w:type="dxa"/>
            <w:vAlign w:val="bottom"/>
          </w:tcPr>
          <w:p>
            <w:pPr>
              <w:spacing w:after="0"/>
              <w:rPr>
                <w:sz w:val="17"/>
                <w:szCs w:val="17"/>
                <w:color w:val="auto"/>
              </w:rPr>
            </w:pPr>
          </w:p>
        </w:tc>
        <w:tc>
          <w:tcPr>
            <w:tcW w:w="3100" w:type="dxa"/>
            <w:vAlign w:val="bottom"/>
          </w:tcPr>
          <w:p>
            <w:pPr>
              <w:ind w:left="280"/>
              <w:spacing w:after="0" w:line="202" w:lineRule="exact"/>
              <w:rPr>
                <w:sz w:val="20"/>
                <w:szCs w:val="20"/>
                <w:color w:val="auto"/>
              </w:rPr>
            </w:pPr>
            <w:r>
              <w:rPr>
                <w:rFonts w:ascii="Arial" w:cs="Arial" w:eastAsia="Arial" w:hAnsi="Arial"/>
                <w:sz w:val="18"/>
                <w:szCs w:val="18"/>
                <w:color w:val="auto"/>
              </w:rPr>
              <w:t>September 30, 2007 (File No. 1-</w:t>
            </w:r>
          </w:p>
        </w:tc>
      </w:tr>
      <w:tr>
        <w:trPr>
          <w:trHeight w:val="243"/>
        </w:trPr>
        <w:tc>
          <w:tcPr>
            <w:tcW w:w="100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3100" w:type="dxa"/>
            <w:vAlign w:val="bottom"/>
          </w:tcPr>
          <w:p>
            <w:pPr>
              <w:ind w:left="280"/>
              <w:spacing w:after="0"/>
              <w:rPr>
                <w:sz w:val="20"/>
                <w:szCs w:val="20"/>
                <w:color w:val="auto"/>
              </w:rPr>
            </w:pPr>
            <w:r>
              <w:rPr>
                <w:rFonts w:ascii="Arial" w:cs="Arial" w:eastAsia="Arial" w:hAnsi="Arial"/>
                <w:sz w:val="18"/>
                <w:szCs w:val="18"/>
                <w:color w:val="auto"/>
              </w:rPr>
              <w:t>13292) [Exhibit 10(r)(2)]</w:t>
            </w:r>
          </w:p>
        </w:tc>
      </w:tr>
    </w:tbl>
    <w:p>
      <w:pPr>
        <w:spacing w:after="0" w:line="63" w:lineRule="exact"/>
        <w:rPr>
          <w:sz w:val="20"/>
          <w:szCs w:val="20"/>
          <w:color w:val="auto"/>
        </w:rPr>
      </w:pPr>
    </w:p>
    <w:p>
      <w:pPr>
        <w:sectPr>
          <w:pgSz w:w="11900" w:h="16838" w:orient="portrait"/>
          <w:cols w:equalWidth="0" w:num="1">
            <w:col w:w="10740"/>
          </w:cols>
          <w:pgMar w:left="240" w:top="405" w:right="919" w:bottom="1440" w:gutter="0" w:footer="0" w:header="0"/>
          <w:type w:val="continuous"/>
        </w:sectPr>
      </w:pPr>
    </w:p>
    <w:tbl>
      <w:tblPr>
        <w:tblLayout w:type="fixed"/>
        <w:tblInd w:w="700" w:type="dxa"/>
        <w:tblCellMar>
          <w:top w:w="0" w:type="dxa"/>
          <w:left w:w="0" w:type="dxa"/>
          <w:bottom w:w="0" w:type="dxa"/>
          <w:right w:w="0" w:type="dxa"/>
        </w:tblCellMar>
      </w:tblPr>
      <w:tr>
        <w:trPr>
          <w:trHeight w:val="207"/>
        </w:trPr>
        <w:tc>
          <w:tcPr>
            <w:tcW w:w="1080" w:type="dxa"/>
            <w:vAlign w:val="bottom"/>
          </w:tcPr>
          <w:p>
            <w:pPr>
              <w:spacing w:after="0"/>
              <w:rPr>
                <w:sz w:val="20"/>
                <w:szCs w:val="20"/>
                <w:color w:val="auto"/>
              </w:rPr>
            </w:pPr>
            <w:r>
              <w:rPr>
                <w:rFonts w:ascii="Arial" w:cs="Arial" w:eastAsia="Arial" w:hAnsi="Arial"/>
                <w:sz w:val="18"/>
                <w:szCs w:val="18"/>
                <w:color w:val="auto"/>
              </w:rPr>
              <w:t>10.7(b)(i)</w:t>
            </w:r>
          </w:p>
        </w:tc>
        <w:tc>
          <w:tcPr>
            <w:tcW w:w="5420" w:type="dxa"/>
            <w:vAlign w:val="bottom"/>
          </w:tcPr>
          <w:p>
            <w:pPr>
              <w:ind w:left="340"/>
              <w:spacing w:after="0"/>
              <w:rPr>
                <w:sz w:val="20"/>
                <w:szCs w:val="20"/>
                <w:color w:val="auto"/>
              </w:rPr>
            </w:pPr>
            <w:r>
              <w:rPr>
                <w:rFonts w:ascii="Arial" w:cs="Arial" w:eastAsia="Arial" w:hAnsi="Arial"/>
                <w:sz w:val="18"/>
                <w:szCs w:val="18"/>
                <w:color w:val="auto"/>
                <w:w w:val="99"/>
              </w:rPr>
              <w:t>Specimen form of Award Agreement for Nonemployee Directors</w:t>
            </w:r>
          </w:p>
        </w:tc>
      </w:tr>
      <w:tr>
        <w:trPr>
          <w:trHeight w:val="225"/>
        </w:trPr>
        <w:tc>
          <w:tcPr>
            <w:tcW w:w="1080" w:type="dxa"/>
            <w:vAlign w:val="bottom"/>
          </w:tcPr>
          <w:p>
            <w:pPr>
              <w:spacing w:after="0"/>
              <w:rPr>
                <w:sz w:val="19"/>
                <w:szCs w:val="19"/>
                <w:color w:val="auto"/>
              </w:rPr>
            </w:pPr>
          </w:p>
        </w:tc>
        <w:tc>
          <w:tcPr>
            <w:tcW w:w="5420" w:type="dxa"/>
            <w:vAlign w:val="bottom"/>
          </w:tcPr>
          <w:p>
            <w:pPr>
              <w:ind w:left="340"/>
              <w:spacing w:after="0"/>
              <w:rPr>
                <w:sz w:val="20"/>
                <w:szCs w:val="20"/>
                <w:color w:val="auto"/>
              </w:rPr>
            </w:pPr>
            <w:r>
              <w:rPr>
                <w:rFonts w:ascii="Arial" w:cs="Arial" w:eastAsia="Arial" w:hAnsi="Arial"/>
                <w:sz w:val="18"/>
                <w:szCs w:val="18"/>
                <w:color w:val="auto"/>
              </w:rPr>
              <w:t>used to evidence grants of Time-Based Nonqualified Stock</w:t>
            </w:r>
          </w:p>
        </w:tc>
      </w:tr>
    </w:tbl>
    <w:p>
      <w:pPr>
        <w:ind w:left="2120"/>
        <w:spacing w:after="0"/>
        <w:rPr>
          <w:sz w:val="20"/>
          <w:szCs w:val="20"/>
          <w:color w:val="auto"/>
        </w:rPr>
      </w:pPr>
      <w:r>
        <w:rPr>
          <w:rFonts w:ascii="Arial" w:cs="Arial" w:eastAsia="Arial" w:hAnsi="Arial"/>
          <w:sz w:val="18"/>
          <w:szCs w:val="18"/>
          <w:color w:val="auto"/>
        </w:rPr>
        <w:t>Options which may be made under The Scotts Miracle-Gro Company 2006 Long-Term Incentive Plan (now known as The Scotts Miracle-Gro Company Amended and Restated 2006 Long-Term Incentive Plan)</w:t>
      </w:r>
    </w:p>
    <w:p>
      <w:pPr>
        <w:spacing w:after="0" w:line="11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1"/>
          <w:szCs w:val="11"/>
          <w:b w:val="1"/>
          <w:bCs w:val="1"/>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-78105</wp:posOffset>
            </wp:positionV>
            <wp:extent cx="19748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60"/>
        <w:spacing w:after="0" w:line="248" w:lineRule="auto"/>
        <w:rPr>
          <w:sz w:val="20"/>
          <w:szCs w:val="20"/>
          <w:color w:val="auto"/>
        </w:rPr>
      </w:pPr>
      <w:r>
        <w:rPr>
          <w:rFonts w:ascii="Arial" w:cs="Arial" w:eastAsia="Arial" w:hAnsi="Arial"/>
          <w:sz w:val="18"/>
          <w:szCs w:val="18"/>
          <w:color w:val="auto"/>
        </w:rPr>
        <w:t>Incorporated herein by reference to the Registrant’s Current Report on Form 8-K filed February 2, 2006 (File No. 1-13292) [Exhibit 10.3]</w:t>
      </w:r>
    </w:p>
    <w:p>
      <w:pPr>
        <w:sectPr>
          <w:pgSz w:w="11900" w:h="16838" w:orient="portrait"/>
          <w:cols w:equalWidth="0" w:num="2">
            <w:col w:w="7320" w:space="420"/>
            <w:col w:w="3000"/>
          </w:cols>
          <w:pgMar w:left="240" w:top="405" w:right="919" w:bottom="1440" w:gutter="0" w:footer="0" w:header="0"/>
          <w:type w:val="continuous"/>
        </w:sectPr>
      </w:pPr>
    </w:p>
    <w:bookmarkStart w:id="57" w:name="page58"/>
    <w:bookmarkEnd w:id="57"/>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Times New Roman" w:cs="Times New Roman" w:eastAsia="Times New Roman" w:hAnsi="Times New Roman"/>
                <w:sz w:val="18"/>
                <w:szCs w:val="18"/>
                <w:b w:val="1"/>
                <w:bCs w:val="1"/>
                <w:color w:val="0000EE"/>
                <w:w w:val="97"/>
              </w:rPr>
            </w:pPr>
            <w:hyperlink w:anchor="page64">
              <w:r>
                <w:rPr>
                  <w:rFonts w:ascii="Times New Roman" w:cs="Times New Roman" w:eastAsia="Times New Roman" w:hAnsi="Times New Roman"/>
                  <w:sz w:val="18"/>
                  <w:szCs w:val="18"/>
                  <w:b w:val="1"/>
                  <w:bCs w:val="1"/>
                  <w:color w:val="0000EE"/>
                  <w:w w:val="97"/>
                </w:rPr>
                <w:t>Table of Contents</w:t>
              </w:r>
            </w:hyperlink>
          </w:p>
        </w:tc>
        <w:tc>
          <w:tcPr>
            <w:tcW w:w="480" w:type="dxa"/>
            <w:vAlign w:val="bottom"/>
          </w:tcPr>
          <w:p>
            <w:pPr>
              <w:spacing w:after="0"/>
              <w:rPr>
                <w:sz w:val="17"/>
                <w:szCs w:val="17"/>
                <w:color w:val="auto"/>
              </w:rPr>
            </w:pPr>
          </w:p>
        </w:tc>
        <w:tc>
          <w:tcPr>
            <w:tcW w:w="5720" w:type="dxa"/>
            <w:vAlign w:val="bottom"/>
          </w:tcPr>
          <w:p>
            <w:pPr>
              <w:spacing w:after="0"/>
              <w:rPr>
                <w:sz w:val="17"/>
                <w:szCs w:val="17"/>
                <w:color w:val="auto"/>
              </w:rPr>
            </w:pPr>
          </w:p>
        </w:tc>
        <w:tc>
          <w:tcPr>
            <w:tcW w:w="3180" w:type="dxa"/>
            <w:vAlign w:val="bottom"/>
          </w:tcPr>
          <w:p>
            <w:pPr>
              <w:spacing w:after="0"/>
              <w:rPr>
                <w:sz w:val="17"/>
                <w:szCs w:val="17"/>
                <w:color w:val="auto"/>
              </w:rPr>
            </w:pPr>
          </w:p>
        </w:tc>
      </w:tr>
      <w:tr>
        <w:trPr>
          <w:trHeight w:val="511"/>
        </w:trPr>
        <w:tc>
          <w:tcPr>
            <w:tcW w:w="700" w:type="dxa"/>
            <w:vAlign w:val="bottom"/>
          </w:tcPr>
          <w:p>
            <w:pPr>
              <w:spacing w:after="0"/>
              <w:rPr>
                <w:sz w:val="24"/>
                <w:szCs w:val="24"/>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9"/>
              </w:rPr>
              <w:t>Exhibit</w:t>
            </w:r>
          </w:p>
        </w:tc>
        <w:tc>
          <w:tcPr>
            <w:tcW w:w="572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39"/>
        </w:trPr>
        <w:tc>
          <w:tcPr>
            <w:tcW w:w="700" w:type="dxa"/>
            <w:vAlign w:val="bottom"/>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9"/>
              </w:rPr>
              <w:t>No.</w:t>
            </w:r>
          </w:p>
        </w:tc>
        <w:tc>
          <w:tcPr>
            <w:tcW w:w="5720" w:type="dxa"/>
            <w:vAlign w:val="bottom"/>
            <w:tcBorders>
              <w:bottom w:val="single" w:sz="8" w:color="auto"/>
            </w:tcBorders>
          </w:tcPr>
          <w:p>
            <w:pPr>
              <w:ind w:left="2480"/>
              <w:spacing w:after="0"/>
              <w:rPr>
                <w:sz w:val="20"/>
                <w:szCs w:val="20"/>
                <w:color w:val="auto"/>
              </w:rPr>
            </w:pPr>
            <w:r>
              <w:rPr>
                <w:rFonts w:ascii="Arial" w:cs="Arial" w:eastAsia="Arial" w:hAnsi="Arial"/>
                <w:sz w:val="18"/>
                <w:szCs w:val="18"/>
                <w:color w:val="auto"/>
              </w:rPr>
              <w:t>Description</w:t>
            </w:r>
          </w:p>
        </w:tc>
        <w:tc>
          <w:tcPr>
            <w:tcW w:w="3180" w:type="dxa"/>
            <w:vAlign w:val="bottom"/>
            <w:tcBorders>
              <w:bottom w:val="single" w:sz="8" w:color="auto"/>
            </w:tcBorders>
          </w:tcPr>
          <w:p>
            <w:pPr>
              <w:ind w:left="1340"/>
              <w:spacing w:after="0"/>
              <w:rPr>
                <w:sz w:val="20"/>
                <w:szCs w:val="20"/>
                <w:color w:val="auto"/>
              </w:rPr>
            </w:pPr>
            <w:r>
              <w:rPr>
                <w:rFonts w:ascii="Arial" w:cs="Arial" w:eastAsia="Arial" w:hAnsi="Arial"/>
                <w:sz w:val="18"/>
                <w:szCs w:val="18"/>
                <w:color w:val="auto"/>
              </w:rPr>
              <w:t>Location</w:t>
            </w:r>
          </w:p>
        </w:tc>
      </w:tr>
      <w:tr>
        <w:trPr>
          <w:trHeight w:val="335"/>
        </w:trPr>
        <w:tc>
          <w:tcPr>
            <w:tcW w:w="1840" w:type="dxa"/>
            <w:vAlign w:val="bottom"/>
            <w:gridSpan w:val="3"/>
          </w:tcPr>
          <w:p>
            <w:pPr>
              <w:ind w:left="700"/>
              <w:spacing w:after="0"/>
              <w:rPr>
                <w:sz w:val="20"/>
                <w:szCs w:val="20"/>
                <w:color w:val="auto"/>
              </w:rPr>
            </w:pPr>
            <w:r>
              <w:rPr>
                <w:rFonts w:ascii="Arial" w:cs="Arial" w:eastAsia="Arial" w:hAnsi="Arial"/>
                <w:sz w:val="18"/>
                <w:szCs w:val="18"/>
                <w:color w:val="auto"/>
              </w:rPr>
              <w:t>10.7(b)(ii)</w:t>
            </w:r>
          </w:p>
        </w:tc>
        <w:tc>
          <w:tcPr>
            <w:tcW w:w="5720" w:type="dxa"/>
            <w:vAlign w:val="bottom"/>
          </w:tcPr>
          <w:p>
            <w:pPr>
              <w:ind w:left="280"/>
              <w:spacing w:after="0"/>
              <w:rPr>
                <w:sz w:val="20"/>
                <w:szCs w:val="20"/>
                <w:color w:val="auto"/>
              </w:rPr>
            </w:pPr>
            <w:r>
              <w:rPr>
                <w:rFonts w:ascii="Arial" w:cs="Arial" w:eastAsia="Arial" w:hAnsi="Arial"/>
                <w:sz w:val="18"/>
                <w:szCs w:val="18"/>
                <w:color w:val="auto"/>
              </w:rPr>
              <w:t>Specimen form of Stock Unit Award Agreement for Nonemployee</w:t>
            </w:r>
          </w:p>
        </w:tc>
        <w:tc>
          <w:tcPr>
            <w:tcW w:w="3180" w:type="dxa"/>
            <w:vAlign w:val="bottom"/>
          </w:tcPr>
          <w:p>
            <w:pPr>
              <w:ind w:left="180"/>
              <w:spacing w:after="0"/>
              <w:rPr>
                <w:sz w:val="20"/>
                <w:szCs w:val="20"/>
                <w:color w:val="auto"/>
              </w:rPr>
            </w:pPr>
            <w:r>
              <w:rPr>
                <w:rFonts w:ascii="Arial" w:cs="Arial" w:eastAsia="Arial" w:hAnsi="Arial"/>
                <w:sz w:val="18"/>
                <w:szCs w:val="18"/>
                <w:color w:val="auto"/>
              </w:rPr>
              <w:t>Incorporated herein by reference to</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720" w:type="dxa"/>
            <w:vAlign w:val="bottom"/>
          </w:tcPr>
          <w:p>
            <w:pPr>
              <w:ind w:left="280"/>
              <w:spacing w:after="0" w:line="202" w:lineRule="exact"/>
              <w:rPr>
                <w:sz w:val="20"/>
                <w:szCs w:val="20"/>
                <w:color w:val="auto"/>
              </w:rPr>
            </w:pPr>
            <w:r>
              <w:rPr>
                <w:rFonts w:ascii="Arial" w:cs="Arial" w:eastAsia="Arial" w:hAnsi="Arial"/>
                <w:sz w:val="18"/>
                <w:szCs w:val="18"/>
                <w:color w:val="auto"/>
              </w:rPr>
              <w:t>Directors (with Related Dividend Equivalents) used to evidence</w:t>
            </w:r>
          </w:p>
        </w:tc>
        <w:tc>
          <w:tcPr>
            <w:tcW w:w="3180" w:type="dxa"/>
            <w:vAlign w:val="bottom"/>
          </w:tcPr>
          <w:p>
            <w:pPr>
              <w:ind w:left="180"/>
              <w:spacing w:after="0" w:line="202" w:lineRule="exact"/>
              <w:rPr>
                <w:sz w:val="20"/>
                <w:szCs w:val="20"/>
                <w:color w:val="auto"/>
              </w:rPr>
            </w:pPr>
            <w:r>
              <w:rPr>
                <w:rFonts w:ascii="Arial" w:cs="Arial" w:eastAsia="Arial" w:hAnsi="Arial"/>
                <w:sz w:val="18"/>
                <w:szCs w:val="18"/>
                <w:color w:val="auto"/>
              </w:rPr>
              <w:t>the Registrant’s Quarterly Report on</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720" w:type="dxa"/>
            <w:vAlign w:val="bottom"/>
          </w:tcPr>
          <w:p>
            <w:pPr>
              <w:ind w:left="280"/>
              <w:spacing w:after="0" w:line="202" w:lineRule="exact"/>
              <w:rPr>
                <w:sz w:val="20"/>
                <w:szCs w:val="20"/>
                <w:color w:val="auto"/>
              </w:rPr>
            </w:pPr>
            <w:r>
              <w:rPr>
                <w:rFonts w:ascii="Arial" w:cs="Arial" w:eastAsia="Arial" w:hAnsi="Arial"/>
                <w:sz w:val="18"/>
                <w:szCs w:val="18"/>
                <w:color w:val="auto"/>
              </w:rPr>
              <w:t>grants of Stock Units which may be made under The Scotts</w:t>
            </w:r>
          </w:p>
        </w:tc>
        <w:tc>
          <w:tcPr>
            <w:tcW w:w="3180" w:type="dxa"/>
            <w:vAlign w:val="bottom"/>
          </w:tcPr>
          <w:p>
            <w:pPr>
              <w:ind w:left="180"/>
              <w:spacing w:after="0" w:line="202" w:lineRule="exact"/>
              <w:rPr>
                <w:sz w:val="20"/>
                <w:szCs w:val="20"/>
                <w:color w:val="auto"/>
              </w:rPr>
            </w:pPr>
            <w:r>
              <w:rPr>
                <w:rFonts w:ascii="Arial" w:cs="Arial" w:eastAsia="Arial" w:hAnsi="Arial"/>
                <w:sz w:val="18"/>
                <w:szCs w:val="18"/>
                <w:color w:val="auto"/>
              </w:rPr>
              <w:t>Form 10-Q for the quarterly period</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720" w:type="dxa"/>
            <w:vAlign w:val="bottom"/>
          </w:tcPr>
          <w:p>
            <w:pPr>
              <w:ind w:left="280"/>
              <w:spacing w:after="0" w:line="202" w:lineRule="exact"/>
              <w:rPr>
                <w:sz w:val="20"/>
                <w:szCs w:val="20"/>
                <w:color w:val="auto"/>
              </w:rPr>
            </w:pPr>
            <w:r>
              <w:rPr>
                <w:rFonts w:ascii="Arial" w:cs="Arial" w:eastAsia="Arial" w:hAnsi="Arial"/>
                <w:sz w:val="18"/>
                <w:szCs w:val="18"/>
                <w:color w:val="auto"/>
              </w:rPr>
              <w:t>Miracle-Gro Company Amended and Restated 2006 Long-Term</w:t>
            </w:r>
          </w:p>
        </w:tc>
        <w:tc>
          <w:tcPr>
            <w:tcW w:w="3180" w:type="dxa"/>
            <w:vAlign w:val="bottom"/>
          </w:tcPr>
          <w:p>
            <w:pPr>
              <w:ind w:left="180"/>
              <w:spacing w:after="0" w:line="202" w:lineRule="exact"/>
              <w:rPr>
                <w:sz w:val="20"/>
                <w:szCs w:val="20"/>
                <w:color w:val="auto"/>
              </w:rPr>
            </w:pPr>
            <w:r>
              <w:rPr>
                <w:rFonts w:ascii="Arial" w:cs="Arial" w:eastAsia="Arial" w:hAnsi="Arial"/>
                <w:sz w:val="18"/>
                <w:szCs w:val="18"/>
                <w:color w:val="auto"/>
              </w:rPr>
              <w:t>ended December 29, 2007 (File</w:t>
            </w:r>
          </w:p>
        </w:tc>
      </w:tr>
      <w:tr>
        <w:trPr>
          <w:trHeight w:val="243"/>
        </w:trPr>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720" w:type="dxa"/>
            <w:vAlign w:val="bottom"/>
          </w:tcPr>
          <w:p>
            <w:pPr>
              <w:ind w:left="280"/>
              <w:spacing w:after="0"/>
              <w:rPr>
                <w:sz w:val="20"/>
                <w:szCs w:val="20"/>
                <w:color w:val="auto"/>
              </w:rPr>
            </w:pPr>
            <w:r>
              <w:rPr>
                <w:rFonts w:ascii="Arial" w:cs="Arial" w:eastAsia="Arial" w:hAnsi="Arial"/>
                <w:sz w:val="18"/>
                <w:szCs w:val="18"/>
                <w:color w:val="auto"/>
              </w:rPr>
              <w:t>Incentive Plan (post-December 20, 2007 version)</w:t>
            </w:r>
          </w:p>
        </w:tc>
        <w:tc>
          <w:tcPr>
            <w:tcW w:w="3180" w:type="dxa"/>
            <w:vAlign w:val="bottom"/>
          </w:tcPr>
          <w:p>
            <w:pPr>
              <w:ind w:left="180"/>
              <w:spacing w:after="0"/>
              <w:rPr>
                <w:sz w:val="20"/>
                <w:szCs w:val="20"/>
                <w:color w:val="auto"/>
              </w:rPr>
            </w:pPr>
            <w:r>
              <w:rPr>
                <w:rFonts w:ascii="Arial" w:cs="Arial" w:eastAsia="Arial" w:hAnsi="Arial"/>
                <w:sz w:val="18"/>
                <w:szCs w:val="18"/>
                <w:color w:val="auto"/>
              </w:rPr>
              <w:t>No. 1-13292) [Exhibit 10(l)]</w:t>
            </w:r>
          </w:p>
        </w:tc>
      </w:tr>
      <w:tr>
        <w:trPr>
          <w:trHeight w:val="270"/>
        </w:trPr>
        <w:tc>
          <w:tcPr>
            <w:tcW w:w="1840" w:type="dxa"/>
            <w:vAlign w:val="bottom"/>
            <w:gridSpan w:val="3"/>
          </w:tcPr>
          <w:p>
            <w:pPr>
              <w:ind w:left="700"/>
              <w:spacing w:after="0"/>
              <w:rPr>
                <w:sz w:val="20"/>
                <w:szCs w:val="20"/>
                <w:color w:val="auto"/>
              </w:rPr>
            </w:pPr>
            <w:r>
              <w:rPr>
                <w:rFonts w:ascii="Arial" w:cs="Arial" w:eastAsia="Arial" w:hAnsi="Arial"/>
                <w:sz w:val="18"/>
                <w:szCs w:val="18"/>
                <w:color w:val="auto"/>
              </w:rPr>
              <w:t>10.7(b)(iii)</w:t>
            </w:r>
          </w:p>
        </w:tc>
        <w:tc>
          <w:tcPr>
            <w:tcW w:w="5720" w:type="dxa"/>
            <w:vAlign w:val="bottom"/>
          </w:tcPr>
          <w:p>
            <w:pPr>
              <w:ind w:left="280"/>
              <w:spacing w:after="0"/>
              <w:rPr>
                <w:sz w:val="20"/>
                <w:szCs w:val="20"/>
                <w:color w:val="auto"/>
              </w:rPr>
            </w:pPr>
            <w:r>
              <w:rPr>
                <w:rFonts w:ascii="Arial" w:cs="Arial" w:eastAsia="Arial" w:hAnsi="Arial"/>
                <w:sz w:val="18"/>
                <w:szCs w:val="18"/>
                <w:color w:val="auto"/>
              </w:rPr>
              <w:t>Specimen form of Deferred Stock Unit Award Agreement for</w:t>
            </w:r>
          </w:p>
        </w:tc>
        <w:tc>
          <w:tcPr>
            <w:tcW w:w="3180" w:type="dxa"/>
            <w:vAlign w:val="bottom"/>
          </w:tcPr>
          <w:p>
            <w:pPr>
              <w:ind w:left="180"/>
              <w:spacing w:after="0"/>
              <w:rPr>
                <w:sz w:val="20"/>
                <w:szCs w:val="20"/>
                <w:color w:val="auto"/>
              </w:rPr>
            </w:pPr>
            <w:r>
              <w:rPr>
                <w:rFonts w:ascii="Arial" w:cs="Arial" w:eastAsia="Arial" w:hAnsi="Arial"/>
                <w:sz w:val="18"/>
                <w:szCs w:val="18"/>
                <w:color w:val="auto"/>
              </w:rPr>
              <w:t>Incorporated herein by reference to</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720" w:type="dxa"/>
            <w:vAlign w:val="bottom"/>
          </w:tcPr>
          <w:p>
            <w:pPr>
              <w:ind w:left="280"/>
              <w:spacing w:after="0" w:line="202" w:lineRule="exact"/>
              <w:rPr>
                <w:sz w:val="20"/>
                <w:szCs w:val="20"/>
                <w:color w:val="auto"/>
              </w:rPr>
            </w:pPr>
            <w:r>
              <w:rPr>
                <w:rFonts w:ascii="Arial" w:cs="Arial" w:eastAsia="Arial" w:hAnsi="Arial"/>
                <w:sz w:val="18"/>
                <w:szCs w:val="18"/>
                <w:color w:val="auto"/>
              </w:rPr>
              <w:t>Nonemployee Directors (with Related Dividend Equivalents) used</w:t>
            </w:r>
          </w:p>
        </w:tc>
        <w:tc>
          <w:tcPr>
            <w:tcW w:w="3180" w:type="dxa"/>
            <w:vAlign w:val="bottom"/>
          </w:tcPr>
          <w:p>
            <w:pPr>
              <w:ind w:left="180"/>
              <w:spacing w:after="0" w:line="202" w:lineRule="exact"/>
              <w:rPr>
                <w:sz w:val="20"/>
                <w:szCs w:val="20"/>
                <w:color w:val="auto"/>
              </w:rPr>
            </w:pPr>
            <w:r>
              <w:rPr>
                <w:rFonts w:ascii="Arial" w:cs="Arial" w:eastAsia="Arial" w:hAnsi="Arial"/>
                <w:sz w:val="18"/>
                <w:szCs w:val="18"/>
                <w:color w:val="auto"/>
              </w:rPr>
              <w:t>the Registrant’s Quarterly Report on</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720" w:type="dxa"/>
            <w:vAlign w:val="bottom"/>
          </w:tcPr>
          <w:p>
            <w:pPr>
              <w:ind w:left="280"/>
              <w:spacing w:after="0" w:line="202" w:lineRule="exact"/>
              <w:rPr>
                <w:sz w:val="20"/>
                <w:szCs w:val="20"/>
                <w:color w:val="auto"/>
              </w:rPr>
            </w:pPr>
            <w:r>
              <w:rPr>
                <w:rFonts w:ascii="Arial" w:cs="Arial" w:eastAsia="Arial" w:hAnsi="Arial"/>
                <w:sz w:val="18"/>
                <w:szCs w:val="18"/>
                <w:color w:val="auto"/>
              </w:rPr>
              <w:t>to evidence grants of Deferred Stock Units which may be made</w:t>
            </w:r>
          </w:p>
        </w:tc>
        <w:tc>
          <w:tcPr>
            <w:tcW w:w="3180" w:type="dxa"/>
            <w:vAlign w:val="bottom"/>
          </w:tcPr>
          <w:p>
            <w:pPr>
              <w:ind w:left="180"/>
              <w:spacing w:after="0" w:line="202" w:lineRule="exact"/>
              <w:rPr>
                <w:sz w:val="20"/>
                <w:szCs w:val="20"/>
                <w:color w:val="auto"/>
              </w:rPr>
            </w:pPr>
            <w:r>
              <w:rPr>
                <w:rFonts w:ascii="Arial" w:cs="Arial" w:eastAsia="Arial" w:hAnsi="Arial"/>
                <w:sz w:val="18"/>
                <w:szCs w:val="18"/>
                <w:color w:val="auto"/>
              </w:rPr>
              <w:t>Form 10-Q for the quarterly period</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720" w:type="dxa"/>
            <w:vAlign w:val="bottom"/>
          </w:tcPr>
          <w:p>
            <w:pPr>
              <w:ind w:left="280"/>
              <w:spacing w:after="0" w:line="202" w:lineRule="exact"/>
              <w:rPr>
                <w:sz w:val="20"/>
                <w:szCs w:val="20"/>
                <w:color w:val="auto"/>
              </w:rPr>
            </w:pPr>
            <w:r>
              <w:rPr>
                <w:rFonts w:ascii="Arial" w:cs="Arial" w:eastAsia="Arial" w:hAnsi="Arial"/>
                <w:sz w:val="18"/>
                <w:szCs w:val="18"/>
                <w:color w:val="auto"/>
              </w:rPr>
              <w:t>under The Scotts Miracle-Gro Company Amended and Restated</w:t>
            </w:r>
          </w:p>
        </w:tc>
        <w:tc>
          <w:tcPr>
            <w:tcW w:w="3180" w:type="dxa"/>
            <w:vAlign w:val="bottom"/>
          </w:tcPr>
          <w:p>
            <w:pPr>
              <w:ind w:left="180"/>
              <w:spacing w:after="0" w:line="202" w:lineRule="exact"/>
              <w:rPr>
                <w:sz w:val="20"/>
                <w:szCs w:val="20"/>
                <w:color w:val="auto"/>
              </w:rPr>
            </w:pPr>
            <w:r>
              <w:rPr>
                <w:rFonts w:ascii="Arial" w:cs="Arial" w:eastAsia="Arial" w:hAnsi="Arial"/>
                <w:sz w:val="18"/>
                <w:szCs w:val="18"/>
                <w:color w:val="auto"/>
              </w:rPr>
              <w:t>ended December 29, 2007 (File</w:t>
            </w:r>
          </w:p>
        </w:tc>
      </w:tr>
      <w:tr>
        <w:trPr>
          <w:trHeight w:val="243"/>
        </w:trPr>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720" w:type="dxa"/>
            <w:vAlign w:val="bottom"/>
          </w:tcPr>
          <w:p>
            <w:pPr>
              <w:ind w:left="280"/>
              <w:spacing w:after="0"/>
              <w:rPr>
                <w:sz w:val="20"/>
                <w:szCs w:val="20"/>
                <w:color w:val="auto"/>
              </w:rPr>
            </w:pPr>
            <w:r>
              <w:rPr>
                <w:rFonts w:ascii="Arial" w:cs="Arial" w:eastAsia="Arial" w:hAnsi="Arial"/>
                <w:sz w:val="18"/>
                <w:szCs w:val="18"/>
                <w:color w:val="auto"/>
              </w:rPr>
              <w:t>2006 Long-Term Incentive Plan (post-February 3, 2008 version)</w:t>
            </w:r>
          </w:p>
        </w:tc>
        <w:tc>
          <w:tcPr>
            <w:tcW w:w="3180" w:type="dxa"/>
            <w:vAlign w:val="bottom"/>
          </w:tcPr>
          <w:p>
            <w:pPr>
              <w:ind w:left="180"/>
              <w:spacing w:after="0"/>
              <w:rPr>
                <w:sz w:val="20"/>
                <w:szCs w:val="20"/>
                <w:color w:val="auto"/>
              </w:rPr>
            </w:pPr>
            <w:r>
              <w:rPr>
                <w:rFonts w:ascii="Arial" w:cs="Arial" w:eastAsia="Arial" w:hAnsi="Arial"/>
                <w:sz w:val="18"/>
                <w:szCs w:val="18"/>
                <w:color w:val="auto"/>
              </w:rPr>
              <w:t>No. 1-13292) [Exhibit 10(m)]</w:t>
            </w:r>
          </w:p>
        </w:tc>
      </w:tr>
      <w:tr>
        <w:trPr>
          <w:trHeight w:val="270"/>
        </w:trPr>
        <w:tc>
          <w:tcPr>
            <w:tcW w:w="1840" w:type="dxa"/>
            <w:vAlign w:val="bottom"/>
            <w:gridSpan w:val="3"/>
          </w:tcPr>
          <w:p>
            <w:pPr>
              <w:ind w:left="700"/>
              <w:spacing w:after="0"/>
              <w:rPr>
                <w:sz w:val="20"/>
                <w:szCs w:val="20"/>
                <w:color w:val="auto"/>
              </w:rPr>
            </w:pPr>
            <w:r>
              <w:rPr>
                <w:rFonts w:ascii="Arial" w:cs="Arial" w:eastAsia="Arial" w:hAnsi="Arial"/>
                <w:sz w:val="18"/>
                <w:szCs w:val="18"/>
                <w:color w:val="auto"/>
              </w:rPr>
              <w:t>10.7(c)(i)</w:t>
            </w:r>
          </w:p>
        </w:tc>
        <w:tc>
          <w:tcPr>
            <w:tcW w:w="5720" w:type="dxa"/>
            <w:vAlign w:val="bottom"/>
          </w:tcPr>
          <w:p>
            <w:pPr>
              <w:ind w:left="280"/>
              <w:spacing w:after="0"/>
              <w:rPr>
                <w:sz w:val="20"/>
                <w:szCs w:val="20"/>
                <w:color w:val="auto"/>
              </w:rPr>
            </w:pPr>
            <w:r>
              <w:rPr>
                <w:rFonts w:ascii="Arial" w:cs="Arial" w:eastAsia="Arial" w:hAnsi="Arial"/>
                <w:sz w:val="18"/>
                <w:szCs w:val="18"/>
                <w:color w:val="auto"/>
              </w:rPr>
              <w:t>Specimen form of Award Agreement used to evidence grants of</w:t>
            </w:r>
          </w:p>
        </w:tc>
        <w:tc>
          <w:tcPr>
            <w:tcW w:w="3180" w:type="dxa"/>
            <w:vAlign w:val="bottom"/>
          </w:tcPr>
          <w:p>
            <w:pPr>
              <w:ind w:left="180"/>
              <w:spacing w:after="0"/>
              <w:rPr>
                <w:sz w:val="20"/>
                <w:szCs w:val="20"/>
                <w:color w:val="auto"/>
              </w:rPr>
            </w:pPr>
            <w:r>
              <w:rPr>
                <w:rFonts w:ascii="Arial" w:cs="Arial" w:eastAsia="Arial" w:hAnsi="Arial"/>
                <w:sz w:val="18"/>
                <w:szCs w:val="18"/>
                <w:color w:val="auto"/>
              </w:rPr>
              <w:t>Incorporated herein by reference to</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720" w:type="dxa"/>
            <w:vAlign w:val="bottom"/>
          </w:tcPr>
          <w:p>
            <w:pPr>
              <w:ind w:left="280"/>
              <w:spacing w:after="0" w:line="202" w:lineRule="exact"/>
              <w:rPr>
                <w:sz w:val="20"/>
                <w:szCs w:val="20"/>
                <w:color w:val="auto"/>
              </w:rPr>
            </w:pPr>
            <w:r>
              <w:rPr>
                <w:rFonts w:ascii="Arial" w:cs="Arial" w:eastAsia="Arial" w:hAnsi="Arial"/>
                <w:sz w:val="18"/>
                <w:szCs w:val="18"/>
                <w:color w:val="auto"/>
              </w:rPr>
              <w:t>Restricted Stock Units, Performance Shares, Nonqualified Stock</w:t>
            </w:r>
          </w:p>
        </w:tc>
        <w:tc>
          <w:tcPr>
            <w:tcW w:w="3180" w:type="dxa"/>
            <w:vAlign w:val="bottom"/>
          </w:tcPr>
          <w:p>
            <w:pPr>
              <w:ind w:left="180"/>
              <w:spacing w:after="0" w:line="202" w:lineRule="exact"/>
              <w:rPr>
                <w:sz w:val="20"/>
                <w:szCs w:val="20"/>
                <w:color w:val="auto"/>
              </w:rPr>
            </w:pPr>
            <w:r>
              <w:rPr>
                <w:rFonts w:ascii="Arial" w:cs="Arial" w:eastAsia="Arial" w:hAnsi="Arial"/>
                <w:sz w:val="18"/>
                <w:szCs w:val="18"/>
                <w:color w:val="auto"/>
              </w:rPr>
              <w:t>the Registrant’s Quarterly Report on</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720" w:type="dxa"/>
            <w:vAlign w:val="bottom"/>
          </w:tcPr>
          <w:p>
            <w:pPr>
              <w:ind w:left="280"/>
              <w:spacing w:after="0" w:line="202" w:lineRule="exact"/>
              <w:rPr>
                <w:sz w:val="20"/>
                <w:szCs w:val="20"/>
                <w:color w:val="auto"/>
              </w:rPr>
            </w:pPr>
            <w:r>
              <w:rPr>
                <w:rFonts w:ascii="Arial" w:cs="Arial" w:eastAsia="Arial" w:hAnsi="Arial"/>
                <w:sz w:val="18"/>
                <w:szCs w:val="18"/>
                <w:color w:val="auto"/>
              </w:rPr>
              <w:t>Options, Incentive Stock Options, Restricted Stock and Stock</w:t>
            </w:r>
          </w:p>
        </w:tc>
        <w:tc>
          <w:tcPr>
            <w:tcW w:w="3180" w:type="dxa"/>
            <w:vAlign w:val="bottom"/>
          </w:tcPr>
          <w:p>
            <w:pPr>
              <w:ind w:left="180"/>
              <w:spacing w:after="0" w:line="202" w:lineRule="exact"/>
              <w:rPr>
                <w:sz w:val="20"/>
                <w:szCs w:val="20"/>
                <w:color w:val="auto"/>
              </w:rPr>
            </w:pPr>
            <w:r>
              <w:rPr>
                <w:rFonts w:ascii="Arial" w:cs="Arial" w:eastAsia="Arial" w:hAnsi="Arial"/>
                <w:sz w:val="18"/>
                <w:szCs w:val="18"/>
                <w:color w:val="auto"/>
              </w:rPr>
              <w:t>Form 10-Q for the quarterly period</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720" w:type="dxa"/>
            <w:vAlign w:val="bottom"/>
          </w:tcPr>
          <w:p>
            <w:pPr>
              <w:ind w:left="280"/>
              <w:spacing w:after="0" w:line="202" w:lineRule="exact"/>
              <w:rPr>
                <w:sz w:val="20"/>
                <w:szCs w:val="20"/>
                <w:color w:val="auto"/>
              </w:rPr>
            </w:pPr>
            <w:r>
              <w:rPr>
                <w:rFonts w:ascii="Arial" w:cs="Arial" w:eastAsia="Arial" w:hAnsi="Arial"/>
                <w:sz w:val="18"/>
                <w:szCs w:val="18"/>
                <w:color w:val="auto"/>
              </w:rPr>
              <w:t>Appreciation Rights made under The Scotts Miracle-Gro Company</w:t>
            </w:r>
          </w:p>
        </w:tc>
        <w:tc>
          <w:tcPr>
            <w:tcW w:w="3180" w:type="dxa"/>
            <w:vAlign w:val="bottom"/>
          </w:tcPr>
          <w:p>
            <w:pPr>
              <w:ind w:left="180"/>
              <w:spacing w:after="0" w:line="202" w:lineRule="exact"/>
              <w:rPr>
                <w:sz w:val="20"/>
                <w:szCs w:val="20"/>
                <w:color w:val="auto"/>
              </w:rPr>
            </w:pPr>
            <w:r>
              <w:rPr>
                <w:rFonts w:ascii="Arial" w:cs="Arial" w:eastAsia="Arial" w:hAnsi="Arial"/>
                <w:sz w:val="18"/>
                <w:szCs w:val="18"/>
                <w:color w:val="auto"/>
              </w:rPr>
              <w:t>ended December 31, 2005 (File</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720" w:type="dxa"/>
            <w:vAlign w:val="bottom"/>
          </w:tcPr>
          <w:p>
            <w:pPr>
              <w:ind w:left="280"/>
              <w:spacing w:after="0" w:line="202" w:lineRule="exact"/>
              <w:rPr>
                <w:sz w:val="20"/>
                <w:szCs w:val="20"/>
                <w:color w:val="auto"/>
              </w:rPr>
            </w:pPr>
            <w:r>
              <w:rPr>
                <w:rFonts w:ascii="Arial" w:cs="Arial" w:eastAsia="Arial" w:hAnsi="Arial"/>
                <w:sz w:val="18"/>
                <w:szCs w:val="18"/>
                <w:color w:val="auto"/>
              </w:rPr>
              <w:t>2006 Long-Term Incentive Plan (now known as The Scotts</w:t>
            </w:r>
          </w:p>
        </w:tc>
        <w:tc>
          <w:tcPr>
            <w:tcW w:w="3180" w:type="dxa"/>
            <w:vAlign w:val="bottom"/>
          </w:tcPr>
          <w:p>
            <w:pPr>
              <w:ind w:left="180"/>
              <w:spacing w:after="0" w:line="202" w:lineRule="exact"/>
              <w:rPr>
                <w:sz w:val="20"/>
                <w:szCs w:val="20"/>
                <w:color w:val="auto"/>
              </w:rPr>
            </w:pPr>
            <w:r>
              <w:rPr>
                <w:rFonts w:ascii="Arial" w:cs="Arial" w:eastAsia="Arial" w:hAnsi="Arial"/>
                <w:sz w:val="18"/>
                <w:szCs w:val="18"/>
                <w:color w:val="auto"/>
              </w:rPr>
              <w:t>No. 1-13292) [Exhibit 10(b)]</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720" w:type="dxa"/>
            <w:vAlign w:val="bottom"/>
          </w:tcPr>
          <w:p>
            <w:pPr>
              <w:ind w:left="280"/>
              <w:spacing w:after="0" w:line="202" w:lineRule="exact"/>
              <w:rPr>
                <w:sz w:val="20"/>
                <w:szCs w:val="20"/>
                <w:color w:val="auto"/>
              </w:rPr>
            </w:pPr>
            <w:r>
              <w:rPr>
                <w:rFonts w:ascii="Arial" w:cs="Arial" w:eastAsia="Arial" w:hAnsi="Arial"/>
                <w:sz w:val="18"/>
                <w:szCs w:val="18"/>
                <w:color w:val="auto"/>
              </w:rPr>
              <w:t>Miracle-Gro Company Amended and Restated 2006 Long-Term</w:t>
            </w:r>
          </w:p>
        </w:tc>
        <w:tc>
          <w:tcPr>
            <w:tcW w:w="3180" w:type="dxa"/>
            <w:vAlign w:val="bottom"/>
          </w:tcPr>
          <w:p>
            <w:pPr>
              <w:spacing w:after="0"/>
              <w:rPr>
                <w:sz w:val="17"/>
                <w:szCs w:val="17"/>
                <w:color w:val="auto"/>
              </w:rPr>
            </w:pPr>
          </w:p>
        </w:tc>
      </w:tr>
      <w:tr>
        <w:trPr>
          <w:trHeight w:val="243"/>
        </w:trPr>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720" w:type="dxa"/>
            <w:vAlign w:val="bottom"/>
          </w:tcPr>
          <w:p>
            <w:pPr>
              <w:ind w:left="280"/>
              <w:spacing w:after="0"/>
              <w:rPr>
                <w:sz w:val="20"/>
                <w:szCs w:val="20"/>
                <w:color w:val="auto"/>
              </w:rPr>
            </w:pPr>
            <w:r>
              <w:rPr>
                <w:rFonts w:ascii="Arial" w:cs="Arial" w:eastAsia="Arial" w:hAnsi="Arial"/>
                <w:sz w:val="18"/>
                <w:szCs w:val="18"/>
                <w:color w:val="auto"/>
              </w:rPr>
              <w:t>Incentive Plan) [pre-October 30, 2007 version]</w:t>
            </w:r>
          </w:p>
        </w:tc>
        <w:tc>
          <w:tcPr>
            <w:tcW w:w="3180" w:type="dxa"/>
            <w:vAlign w:val="bottom"/>
          </w:tcPr>
          <w:p>
            <w:pPr>
              <w:spacing w:after="0"/>
              <w:rPr>
                <w:sz w:val="21"/>
                <w:szCs w:val="21"/>
                <w:color w:val="auto"/>
              </w:rPr>
            </w:pPr>
          </w:p>
        </w:tc>
      </w:tr>
    </w:tbl>
    <w:p>
      <w:pPr>
        <w:spacing w:after="0" w:line="63" w:lineRule="exact"/>
        <w:rPr>
          <w:sz w:val="20"/>
          <w:szCs w:val="20"/>
          <w:color w:val="auto"/>
        </w:rPr>
      </w:pPr>
    </w:p>
    <w:p>
      <w:pPr>
        <w:sectPr>
          <w:pgSz w:w="11900" w:h="16838" w:orient="portrait"/>
          <w:cols w:equalWidth="0" w:num="1">
            <w:col w:w="10740"/>
          </w:cols>
          <w:pgMar w:left="240" w:top="405" w:right="919" w:bottom="1440" w:gutter="0" w:footer="0" w:header="0"/>
        </w:sectPr>
      </w:pPr>
    </w:p>
    <w:tbl>
      <w:tblPr>
        <w:tblLayout w:type="fixed"/>
        <w:tblInd w:w="700" w:type="dxa"/>
        <w:tblCellMar>
          <w:top w:w="0" w:type="dxa"/>
          <w:left w:w="0" w:type="dxa"/>
          <w:bottom w:w="0" w:type="dxa"/>
          <w:right w:w="0" w:type="dxa"/>
        </w:tblCellMar>
      </w:tblPr>
      <w:tr>
        <w:trPr>
          <w:trHeight w:val="207"/>
        </w:trPr>
        <w:tc>
          <w:tcPr>
            <w:tcW w:w="1080" w:type="dxa"/>
            <w:vAlign w:val="bottom"/>
          </w:tcPr>
          <w:p>
            <w:pPr>
              <w:spacing w:after="0"/>
              <w:rPr>
                <w:sz w:val="20"/>
                <w:szCs w:val="20"/>
                <w:color w:val="auto"/>
              </w:rPr>
            </w:pPr>
            <w:r>
              <w:rPr>
                <w:rFonts w:ascii="Arial" w:cs="Arial" w:eastAsia="Arial" w:hAnsi="Arial"/>
                <w:sz w:val="18"/>
                <w:szCs w:val="18"/>
                <w:color w:val="auto"/>
              </w:rPr>
              <w:t>10.7(c)(ii)</w:t>
            </w:r>
          </w:p>
        </w:tc>
        <w:tc>
          <w:tcPr>
            <w:tcW w:w="5620" w:type="dxa"/>
            <w:vAlign w:val="bottom"/>
          </w:tcPr>
          <w:p>
            <w:pPr>
              <w:ind w:left="340"/>
              <w:spacing w:after="0"/>
              <w:rPr>
                <w:sz w:val="20"/>
                <w:szCs w:val="20"/>
                <w:color w:val="auto"/>
              </w:rPr>
            </w:pPr>
            <w:r>
              <w:rPr>
                <w:rFonts w:ascii="Arial" w:cs="Arial" w:eastAsia="Arial" w:hAnsi="Arial"/>
                <w:sz w:val="18"/>
                <w:szCs w:val="18"/>
                <w:color w:val="auto"/>
              </w:rPr>
              <w:t>Specimen form of Award Agreement for Employees used to</w:t>
            </w:r>
          </w:p>
        </w:tc>
      </w:tr>
      <w:tr>
        <w:trPr>
          <w:trHeight w:val="203"/>
        </w:trPr>
        <w:tc>
          <w:tcPr>
            <w:tcW w:w="1080" w:type="dxa"/>
            <w:vAlign w:val="bottom"/>
          </w:tcPr>
          <w:p>
            <w:pPr>
              <w:spacing w:after="0"/>
              <w:rPr>
                <w:sz w:val="17"/>
                <w:szCs w:val="17"/>
                <w:color w:val="auto"/>
              </w:rPr>
            </w:pPr>
          </w:p>
        </w:tc>
        <w:tc>
          <w:tcPr>
            <w:tcW w:w="5620" w:type="dxa"/>
            <w:vAlign w:val="bottom"/>
          </w:tcPr>
          <w:p>
            <w:pPr>
              <w:ind w:left="340"/>
              <w:spacing w:after="0" w:line="202" w:lineRule="exact"/>
              <w:rPr>
                <w:sz w:val="20"/>
                <w:szCs w:val="20"/>
                <w:color w:val="auto"/>
              </w:rPr>
            </w:pPr>
            <w:r>
              <w:rPr>
                <w:rFonts w:ascii="Arial" w:cs="Arial" w:eastAsia="Arial" w:hAnsi="Arial"/>
                <w:sz w:val="18"/>
                <w:szCs w:val="18"/>
                <w:color w:val="auto"/>
              </w:rPr>
              <w:t>evidence grants of Nonqualified Stock Options, Restricted Stock,</w:t>
            </w:r>
          </w:p>
        </w:tc>
      </w:tr>
      <w:tr>
        <w:trPr>
          <w:trHeight w:val="203"/>
        </w:trPr>
        <w:tc>
          <w:tcPr>
            <w:tcW w:w="1080" w:type="dxa"/>
            <w:vAlign w:val="bottom"/>
          </w:tcPr>
          <w:p>
            <w:pPr>
              <w:spacing w:after="0"/>
              <w:rPr>
                <w:sz w:val="17"/>
                <w:szCs w:val="17"/>
                <w:color w:val="auto"/>
              </w:rPr>
            </w:pPr>
          </w:p>
        </w:tc>
        <w:tc>
          <w:tcPr>
            <w:tcW w:w="5620" w:type="dxa"/>
            <w:vAlign w:val="bottom"/>
          </w:tcPr>
          <w:p>
            <w:pPr>
              <w:ind w:left="340"/>
              <w:spacing w:after="0" w:line="202" w:lineRule="exact"/>
              <w:rPr>
                <w:sz w:val="20"/>
                <w:szCs w:val="20"/>
                <w:color w:val="auto"/>
              </w:rPr>
            </w:pPr>
            <w:r>
              <w:rPr>
                <w:rFonts w:ascii="Arial" w:cs="Arial" w:eastAsia="Arial" w:hAnsi="Arial"/>
                <w:sz w:val="18"/>
                <w:szCs w:val="18"/>
                <w:color w:val="auto"/>
              </w:rPr>
              <w:t>Performance Shares and Restricted Stock Units made under The</w:t>
            </w:r>
          </w:p>
        </w:tc>
      </w:tr>
      <w:tr>
        <w:trPr>
          <w:trHeight w:val="225"/>
        </w:trPr>
        <w:tc>
          <w:tcPr>
            <w:tcW w:w="1080" w:type="dxa"/>
            <w:vAlign w:val="bottom"/>
          </w:tcPr>
          <w:p>
            <w:pPr>
              <w:spacing w:after="0"/>
              <w:rPr>
                <w:sz w:val="19"/>
                <w:szCs w:val="19"/>
                <w:color w:val="auto"/>
              </w:rPr>
            </w:pPr>
          </w:p>
        </w:tc>
        <w:tc>
          <w:tcPr>
            <w:tcW w:w="5620" w:type="dxa"/>
            <w:vAlign w:val="bottom"/>
          </w:tcPr>
          <w:p>
            <w:pPr>
              <w:ind w:left="340"/>
              <w:spacing w:after="0"/>
              <w:rPr>
                <w:sz w:val="20"/>
                <w:szCs w:val="20"/>
                <w:color w:val="auto"/>
              </w:rPr>
            </w:pPr>
            <w:r>
              <w:rPr>
                <w:rFonts w:ascii="Arial" w:cs="Arial" w:eastAsia="Arial" w:hAnsi="Arial"/>
                <w:sz w:val="18"/>
                <w:szCs w:val="18"/>
                <w:color w:val="auto"/>
                <w:w w:val="99"/>
              </w:rPr>
              <w:t>Scotts Miracle-Gro Company 2006 Long-Term Incentive Plan (now</w:t>
            </w:r>
          </w:p>
        </w:tc>
      </w:tr>
    </w:tbl>
    <w:p>
      <w:pPr>
        <w:ind w:left="2120"/>
        <w:spacing w:after="0" w:line="242" w:lineRule="auto"/>
        <w:rPr>
          <w:sz w:val="20"/>
          <w:szCs w:val="20"/>
          <w:color w:val="auto"/>
        </w:rPr>
      </w:pPr>
      <w:r>
        <w:rPr>
          <w:rFonts w:ascii="Arial" w:cs="Arial" w:eastAsia="Arial" w:hAnsi="Arial"/>
          <w:sz w:val="18"/>
          <w:szCs w:val="18"/>
          <w:color w:val="auto"/>
        </w:rPr>
        <w:t>known as The Scotts Miracle-Gro Company Amended and Restated 2006 Long-Term Incentive Plan) [French Specimen] (pre-November 6, 2007 version)</w:t>
      </w:r>
    </w:p>
    <w:p>
      <w:pPr>
        <w:spacing w:after="0" w:line="20" w:lineRule="exact"/>
        <w:rPr>
          <w:sz w:val="20"/>
          <w:szCs w:val="20"/>
          <w:color w:val="auto"/>
        </w:rPr>
      </w:pPr>
      <w:r>
        <w:rPr>
          <w:sz w:val="20"/>
          <w:szCs w:val="20"/>
          <w:color w:val="auto"/>
        </w:rPr>
        <w:br w:type="column"/>
      </w:r>
    </w:p>
    <w:p>
      <w:pPr>
        <w:ind w:right="120"/>
        <w:spacing w:after="0" w:line="245"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December 30, 2006 (File No. 1-13292) [Exhibit 10.4]</w:t>
      </w:r>
    </w:p>
    <w:p>
      <w:pPr>
        <w:spacing w:after="0" w:line="464" w:lineRule="exact"/>
        <w:rPr>
          <w:sz w:val="20"/>
          <w:szCs w:val="20"/>
          <w:color w:val="auto"/>
        </w:rPr>
      </w:pPr>
    </w:p>
    <w:p>
      <w:pPr>
        <w:sectPr>
          <w:pgSz w:w="11900" w:h="16838" w:orient="portrait"/>
          <w:cols w:equalWidth="0" w:num="2">
            <w:col w:w="7420" w:space="320"/>
            <w:col w:w="3000"/>
          </w:cols>
          <w:pgMar w:left="240" w:top="405" w:right="919" w:bottom="1440" w:gutter="0" w:footer="0" w:header="0"/>
          <w:type w:val="continuous"/>
        </w:sectPr>
      </w:pPr>
    </w:p>
    <w:tbl>
      <w:tblPr>
        <w:tblLayout w:type="fixed"/>
        <w:tblInd w:w="700" w:type="dxa"/>
        <w:tblCellMar>
          <w:top w:w="0" w:type="dxa"/>
          <w:left w:w="0" w:type="dxa"/>
          <w:bottom w:w="0" w:type="dxa"/>
          <w:right w:w="0" w:type="dxa"/>
        </w:tblCellMar>
      </w:tblPr>
      <w:tr>
        <w:trPr>
          <w:trHeight w:val="207"/>
        </w:trPr>
        <w:tc>
          <w:tcPr>
            <w:tcW w:w="1080" w:type="dxa"/>
            <w:vAlign w:val="bottom"/>
          </w:tcPr>
          <w:p>
            <w:pPr>
              <w:spacing w:after="0"/>
              <w:rPr>
                <w:sz w:val="20"/>
                <w:szCs w:val="20"/>
                <w:color w:val="auto"/>
              </w:rPr>
            </w:pPr>
            <w:r>
              <w:rPr>
                <w:rFonts w:ascii="Arial" w:cs="Arial" w:eastAsia="Arial" w:hAnsi="Arial"/>
                <w:sz w:val="18"/>
                <w:szCs w:val="18"/>
                <w:color w:val="auto"/>
              </w:rPr>
              <w:t>10.7(d)(i)</w:t>
            </w:r>
          </w:p>
        </w:tc>
        <w:tc>
          <w:tcPr>
            <w:tcW w:w="5520" w:type="dxa"/>
            <w:vAlign w:val="bottom"/>
          </w:tcPr>
          <w:p>
            <w:pPr>
              <w:ind w:left="340"/>
              <w:spacing w:after="0"/>
              <w:rPr>
                <w:sz w:val="20"/>
                <w:szCs w:val="20"/>
                <w:color w:val="auto"/>
              </w:rPr>
            </w:pPr>
            <w:r>
              <w:rPr>
                <w:rFonts w:ascii="Arial" w:cs="Arial" w:eastAsia="Arial" w:hAnsi="Arial"/>
                <w:sz w:val="18"/>
                <w:szCs w:val="18"/>
                <w:color w:val="auto"/>
              </w:rPr>
              <w:t>Specimen form of Restricted Stock Unit Award Agreement for</w:t>
            </w:r>
          </w:p>
        </w:tc>
      </w:tr>
      <w:tr>
        <w:trPr>
          <w:trHeight w:val="225"/>
        </w:trPr>
        <w:tc>
          <w:tcPr>
            <w:tcW w:w="1080" w:type="dxa"/>
            <w:vAlign w:val="bottom"/>
          </w:tcPr>
          <w:p>
            <w:pPr>
              <w:spacing w:after="0"/>
              <w:rPr>
                <w:sz w:val="19"/>
                <w:szCs w:val="19"/>
                <w:color w:val="auto"/>
              </w:rPr>
            </w:pPr>
          </w:p>
        </w:tc>
        <w:tc>
          <w:tcPr>
            <w:tcW w:w="5520" w:type="dxa"/>
            <w:vAlign w:val="bottom"/>
          </w:tcPr>
          <w:p>
            <w:pPr>
              <w:ind w:left="340"/>
              <w:spacing w:after="0"/>
              <w:rPr>
                <w:sz w:val="20"/>
                <w:szCs w:val="20"/>
                <w:color w:val="auto"/>
              </w:rPr>
            </w:pPr>
            <w:r>
              <w:rPr>
                <w:rFonts w:ascii="Arial" w:cs="Arial" w:eastAsia="Arial" w:hAnsi="Arial"/>
                <w:sz w:val="18"/>
                <w:szCs w:val="18"/>
                <w:color w:val="auto"/>
                <w:w w:val="99"/>
              </w:rPr>
              <w:t>Employees (with Related Dividend Equivalents) used to evidence</w:t>
            </w:r>
          </w:p>
        </w:tc>
      </w:tr>
    </w:tbl>
    <w:p>
      <w:pPr>
        <w:ind w:left="2120"/>
        <w:spacing w:after="0" w:line="242" w:lineRule="auto"/>
        <w:rPr>
          <w:sz w:val="20"/>
          <w:szCs w:val="20"/>
          <w:color w:val="auto"/>
        </w:rPr>
      </w:pPr>
      <w:r>
        <w:rPr>
          <w:rFonts w:ascii="Arial" w:cs="Arial" w:eastAsia="Arial" w:hAnsi="Arial"/>
          <w:sz w:val="18"/>
          <w:szCs w:val="18"/>
          <w:color w:val="auto"/>
        </w:rPr>
        <w:t>grants of Restricted Stock Units which may be made under The Scotts Miracle-Gro Company Amended and Restated 2006 Long-Term Incentive Plan (post-October 8, 2008 version)</w:t>
      </w:r>
    </w:p>
    <w:p>
      <w:pPr>
        <w:spacing w:after="0" w:line="20" w:lineRule="exact"/>
        <w:rPr>
          <w:sz w:val="20"/>
          <w:szCs w:val="20"/>
          <w:color w:val="auto"/>
        </w:rPr>
      </w:pPr>
      <w:r>
        <w:rPr>
          <w:sz w:val="20"/>
          <w:szCs w:val="20"/>
          <w:color w:val="auto"/>
        </w:rPr>
        <w:br w:type="column"/>
      </w:r>
    </w:p>
    <w:p>
      <w:pPr>
        <w:ind w:right="60"/>
        <w:spacing w:after="0" w:line="239"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2008 (which was filed on November 25, 2008) (File No. 1-13292)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[Exhibit 10.7(d)(i)]</w:t>
      </w:r>
    </w:p>
    <w:p>
      <w:pPr>
        <w:spacing w:after="0" w:line="77" w:lineRule="exact"/>
        <w:rPr>
          <w:sz w:val="20"/>
          <w:szCs w:val="20"/>
          <w:color w:val="auto"/>
        </w:rPr>
      </w:pPr>
    </w:p>
    <w:p>
      <w:pPr>
        <w:sectPr>
          <w:pgSz w:w="11900" w:h="16838" w:orient="portrait"/>
          <w:cols w:equalWidth="0" w:num="2">
            <w:col w:w="7320" w:space="420"/>
            <w:col w:w="3000"/>
          </w:cols>
          <w:pgMar w:left="240" w:top="405" w:right="919" w:bottom="1440" w:gutter="0" w:footer="0" w:header="0"/>
          <w:type w:val="continuous"/>
        </w:sectPr>
      </w:pPr>
    </w:p>
    <w:tbl>
      <w:tblPr>
        <w:tblLayout w:type="fixed"/>
        <w:tblInd w:w="700" w:type="dxa"/>
        <w:tblCellMar>
          <w:top w:w="0" w:type="dxa"/>
          <w:left w:w="0" w:type="dxa"/>
          <w:bottom w:w="0" w:type="dxa"/>
          <w:right w:w="0" w:type="dxa"/>
        </w:tblCellMar>
      </w:tblPr>
      <w:tr>
        <w:trPr>
          <w:trHeight w:val="207"/>
        </w:trPr>
        <w:tc>
          <w:tcPr>
            <w:tcW w:w="1120" w:type="dxa"/>
            <w:vAlign w:val="bottom"/>
          </w:tcPr>
          <w:p>
            <w:pPr>
              <w:spacing w:after="0"/>
              <w:rPr>
                <w:sz w:val="20"/>
                <w:szCs w:val="20"/>
                <w:color w:val="auto"/>
              </w:rPr>
            </w:pPr>
            <w:r>
              <w:rPr>
                <w:rFonts w:ascii="Arial" w:cs="Arial" w:eastAsia="Arial" w:hAnsi="Arial"/>
                <w:sz w:val="18"/>
                <w:szCs w:val="18"/>
                <w:color w:val="auto"/>
              </w:rPr>
              <w:t>10.7(d)(ii)</w:t>
            </w:r>
          </w:p>
        </w:tc>
        <w:tc>
          <w:tcPr>
            <w:tcW w:w="5560" w:type="dxa"/>
            <w:vAlign w:val="bottom"/>
            <w:gridSpan w:val="3"/>
          </w:tcPr>
          <w:p>
            <w:pPr>
              <w:ind w:left="300"/>
              <w:spacing w:after="0"/>
              <w:rPr>
                <w:sz w:val="20"/>
                <w:szCs w:val="20"/>
                <w:color w:val="auto"/>
              </w:rPr>
            </w:pPr>
            <w:r>
              <w:rPr>
                <w:rFonts w:ascii="Arial" w:cs="Arial" w:eastAsia="Arial" w:hAnsi="Arial"/>
                <w:sz w:val="18"/>
                <w:szCs w:val="18"/>
                <w:color w:val="auto"/>
              </w:rPr>
              <w:t>Special Restricted Stock Unit Award Agreement for Employees</w:t>
            </w: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5560" w:type="dxa"/>
            <w:vAlign w:val="bottom"/>
            <w:gridSpan w:val="3"/>
          </w:tcPr>
          <w:p>
            <w:pPr>
              <w:ind w:left="300"/>
              <w:spacing w:after="0" w:line="202" w:lineRule="exact"/>
              <w:rPr>
                <w:sz w:val="20"/>
                <w:szCs w:val="20"/>
                <w:color w:val="auto"/>
              </w:rPr>
            </w:pPr>
            <w:r>
              <w:rPr>
                <w:rFonts w:ascii="Arial" w:cs="Arial" w:eastAsia="Arial" w:hAnsi="Arial"/>
                <w:sz w:val="18"/>
                <w:szCs w:val="18"/>
                <w:color w:val="auto"/>
                <w:w w:val="99"/>
              </w:rPr>
              <w:t>(with Related Dividend Equivalents) evidencing grant of Restricted</w:t>
            </w: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5560" w:type="dxa"/>
            <w:vAlign w:val="bottom"/>
            <w:gridSpan w:val="3"/>
          </w:tcPr>
          <w:p>
            <w:pPr>
              <w:ind w:left="300"/>
              <w:spacing w:after="0" w:line="202" w:lineRule="exact"/>
              <w:rPr>
                <w:sz w:val="20"/>
                <w:szCs w:val="20"/>
                <w:color w:val="auto"/>
              </w:rPr>
            </w:pPr>
            <w:r>
              <w:rPr>
                <w:rFonts w:ascii="Arial" w:cs="Arial" w:eastAsia="Arial" w:hAnsi="Arial"/>
                <w:sz w:val="18"/>
                <w:szCs w:val="18"/>
                <w:color w:val="auto"/>
                <w:w w:val="99"/>
              </w:rPr>
              <w:t>Stock Units made on October 8, 2008 to Mark R. Baker under The</w:t>
            </w: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5560" w:type="dxa"/>
            <w:vAlign w:val="bottom"/>
            <w:gridSpan w:val="3"/>
          </w:tcPr>
          <w:p>
            <w:pPr>
              <w:ind w:left="300"/>
              <w:spacing w:after="0" w:line="202" w:lineRule="exact"/>
              <w:rPr>
                <w:sz w:val="20"/>
                <w:szCs w:val="20"/>
                <w:color w:val="auto"/>
              </w:rPr>
            </w:pPr>
            <w:r>
              <w:rPr>
                <w:rFonts w:ascii="Arial" w:cs="Arial" w:eastAsia="Arial" w:hAnsi="Arial"/>
                <w:sz w:val="18"/>
                <w:szCs w:val="18"/>
                <w:color w:val="auto"/>
              </w:rPr>
              <w:t>Scotts Miracle-Gro Company Amended and Restated 2006 Long-</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5560" w:type="dxa"/>
            <w:vAlign w:val="bottom"/>
            <w:gridSpan w:val="3"/>
          </w:tcPr>
          <w:p>
            <w:pPr>
              <w:ind w:left="300"/>
              <w:spacing w:after="0"/>
              <w:rPr>
                <w:sz w:val="20"/>
                <w:szCs w:val="20"/>
                <w:color w:val="auto"/>
              </w:rPr>
            </w:pPr>
            <w:r>
              <w:rPr>
                <w:rFonts w:ascii="Arial" w:cs="Arial" w:eastAsia="Arial" w:hAnsi="Arial"/>
                <w:sz w:val="18"/>
                <w:szCs w:val="18"/>
                <w:color w:val="auto"/>
              </w:rPr>
              <w:t>Term Incentive Plan</w:t>
            </w:r>
          </w:p>
        </w:tc>
        <w:tc>
          <w:tcPr>
            <w:tcW w:w="0" w:type="dxa"/>
            <w:vAlign w:val="bottom"/>
          </w:tcPr>
          <w:p>
            <w:pPr>
              <w:spacing w:after="0"/>
              <w:rPr>
                <w:sz w:val="1"/>
                <w:szCs w:val="1"/>
                <w:color w:val="auto"/>
              </w:rPr>
            </w:pPr>
          </w:p>
        </w:tc>
      </w:tr>
      <w:tr>
        <w:trPr>
          <w:trHeight w:val="675"/>
        </w:trPr>
        <w:tc>
          <w:tcPr>
            <w:tcW w:w="1120" w:type="dxa"/>
            <w:vAlign w:val="bottom"/>
          </w:tcPr>
          <w:p>
            <w:pPr>
              <w:spacing w:after="0"/>
              <w:rPr>
                <w:sz w:val="20"/>
                <w:szCs w:val="20"/>
                <w:color w:val="auto"/>
              </w:rPr>
            </w:pPr>
            <w:r>
              <w:rPr>
                <w:rFonts w:ascii="Arial" w:cs="Arial" w:eastAsia="Arial" w:hAnsi="Arial"/>
                <w:sz w:val="18"/>
                <w:szCs w:val="18"/>
                <w:color w:val="auto"/>
              </w:rPr>
              <w:t>10.7(d)(iii)</w:t>
            </w:r>
          </w:p>
        </w:tc>
        <w:tc>
          <w:tcPr>
            <w:tcW w:w="5560" w:type="dxa"/>
            <w:vAlign w:val="bottom"/>
            <w:gridSpan w:val="3"/>
          </w:tcPr>
          <w:p>
            <w:pPr>
              <w:ind w:left="300"/>
              <w:spacing w:after="0"/>
              <w:rPr>
                <w:sz w:val="20"/>
                <w:szCs w:val="20"/>
                <w:color w:val="auto"/>
              </w:rPr>
            </w:pPr>
            <w:r>
              <w:rPr>
                <w:rFonts w:ascii="Arial" w:cs="Arial" w:eastAsia="Arial" w:hAnsi="Arial"/>
                <w:sz w:val="18"/>
                <w:szCs w:val="18"/>
                <w:color w:val="auto"/>
              </w:rPr>
              <w:t>Special Restricted Stock Unit Award Agreement evidencing grant</w:t>
            </w: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5560" w:type="dxa"/>
            <w:vAlign w:val="bottom"/>
            <w:gridSpan w:val="3"/>
          </w:tcPr>
          <w:p>
            <w:pPr>
              <w:ind w:left="300"/>
              <w:spacing w:after="0" w:line="202" w:lineRule="exact"/>
              <w:rPr>
                <w:sz w:val="20"/>
                <w:szCs w:val="20"/>
                <w:color w:val="auto"/>
              </w:rPr>
            </w:pPr>
            <w:r>
              <w:rPr>
                <w:rFonts w:ascii="Arial" w:cs="Arial" w:eastAsia="Arial" w:hAnsi="Arial"/>
                <w:sz w:val="18"/>
                <w:szCs w:val="18"/>
                <w:color w:val="auto"/>
              </w:rPr>
              <w:t>of Restricted Stock Units made on November 4, 2008 to Claude</w:t>
            </w: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5560" w:type="dxa"/>
            <w:vAlign w:val="bottom"/>
            <w:gridSpan w:val="3"/>
          </w:tcPr>
          <w:p>
            <w:pPr>
              <w:ind w:left="300"/>
              <w:spacing w:after="0" w:line="202" w:lineRule="exact"/>
              <w:rPr>
                <w:sz w:val="20"/>
                <w:szCs w:val="20"/>
                <w:color w:val="auto"/>
              </w:rPr>
            </w:pPr>
            <w:r>
              <w:rPr>
                <w:rFonts w:ascii="Arial" w:cs="Arial" w:eastAsia="Arial" w:hAnsi="Arial"/>
                <w:sz w:val="18"/>
                <w:szCs w:val="18"/>
                <w:color w:val="auto"/>
              </w:rPr>
              <w:t>Lopez under The Scotts Miracle-Gro Company Amended and</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5560" w:type="dxa"/>
            <w:vAlign w:val="bottom"/>
            <w:gridSpan w:val="3"/>
          </w:tcPr>
          <w:p>
            <w:pPr>
              <w:ind w:left="300"/>
              <w:spacing w:after="0"/>
              <w:rPr>
                <w:sz w:val="20"/>
                <w:szCs w:val="20"/>
                <w:color w:val="auto"/>
              </w:rPr>
            </w:pPr>
            <w:r>
              <w:rPr>
                <w:rFonts w:ascii="Arial" w:cs="Arial" w:eastAsia="Arial" w:hAnsi="Arial"/>
                <w:sz w:val="18"/>
                <w:szCs w:val="18"/>
                <w:color w:val="auto"/>
              </w:rPr>
              <w:t>Restated 2006 Long-Term Incentive Plan</w:t>
            </w:r>
          </w:p>
        </w:tc>
        <w:tc>
          <w:tcPr>
            <w:tcW w:w="0" w:type="dxa"/>
            <w:vAlign w:val="bottom"/>
          </w:tcPr>
          <w:p>
            <w:pPr>
              <w:spacing w:after="0"/>
              <w:rPr>
                <w:sz w:val="1"/>
                <w:szCs w:val="1"/>
                <w:color w:val="auto"/>
              </w:rPr>
            </w:pPr>
          </w:p>
        </w:tc>
      </w:tr>
      <w:tr>
        <w:trPr>
          <w:trHeight w:val="725"/>
        </w:trPr>
        <w:tc>
          <w:tcPr>
            <w:tcW w:w="1120" w:type="dxa"/>
            <w:vAlign w:val="bottom"/>
          </w:tcPr>
          <w:p>
            <w:pPr>
              <w:spacing w:after="0"/>
              <w:rPr>
                <w:sz w:val="24"/>
                <w:szCs w:val="24"/>
                <w:color w:val="auto"/>
              </w:rPr>
            </w:pPr>
          </w:p>
        </w:tc>
        <w:tc>
          <w:tcPr>
            <w:tcW w:w="3740" w:type="dxa"/>
            <w:vAlign w:val="bottom"/>
            <w:vMerge w:val="restart"/>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1120" w:type="dxa"/>
            <w:vAlign w:val="bottom"/>
          </w:tcPr>
          <w:p>
            <w:pPr>
              <w:spacing w:after="0"/>
              <w:rPr>
                <w:sz w:val="11"/>
                <w:szCs w:val="11"/>
                <w:color w:val="auto"/>
              </w:rPr>
            </w:pPr>
          </w:p>
        </w:tc>
        <w:tc>
          <w:tcPr>
            <w:tcW w:w="3740" w:type="dxa"/>
            <w:vAlign w:val="bottom"/>
            <w:vMerge w:val="continue"/>
          </w:tcPr>
          <w:p>
            <w:pPr>
              <w:spacing w:after="0"/>
              <w:rPr>
                <w:sz w:val="11"/>
                <w:szCs w:val="11"/>
                <w:color w:val="auto"/>
              </w:rPr>
            </w:pPr>
          </w:p>
        </w:tc>
        <w:tc>
          <w:tcPr>
            <w:tcW w:w="300" w:type="dxa"/>
            <w:vAlign w:val="bottom"/>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56</w:t>
            </w: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60"/>
        <w:spacing w:after="0" w:line="239"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2008 (which was filed on November 25, 2008) (File No. 1-13292)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[Exhibit 10.7(d)(ii)]</w:t>
      </w:r>
    </w:p>
    <w:p>
      <w:pPr>
        <w:spacing w:after="0" w:line="82"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2008 (which was filed on November 25, 2008) (File No. 1-13292)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[Exhibit 10.7(d)(iii)]</w:t>
      </w:r>
    </w:p>
    <w:p>
      <w:pPr>
        <w:sectPr>
          <w:pgSz w:w="11900" w:h="16838" w:orient="portrait"/>
          <w:cols w:equalWidth="0" w:num="2">
            <w:col w:w="7380" w:space="360"/>
            <w:col w:w="3000"/>
          </w:cols>
          <w:pgMar w:left="240" w:top="405" w:right="919" w:bottom="1440" w:gutter="0" w:footer="0" w:header="0"/>
          <w:type w:val="continuous"/>
        </w:sectPr>
      </w:pPr>
    </w:p>
    <w:bookmarkStart w:id="58" w:name="page59"/>
    <w:bookmarkEnd w:id="58"/>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Times New Roman" w:cs="Times New Roman" w:eastAsia="Times New Roman" w:hAnsi="Times New Roman"/>
                <w:sz w:val="18"/>
                <w:szCs w:val="18"/>
                <w:b w:val="1"/>
                <w:bCs w:val="1"/>
                <w:color w:val="0000EE"/>
                <w:w w:val="97"/>
              </w:rPr>
            </w:pPr>
            <w:hyperlink w:anchor="page64">
              <w:r>
                <w:rPr>
                  <w:rFonts w:ascii="Times New Roman" w:cs="Times New Roman" w:eastAsia="Times New Roman" w:hAnsi="Times New Roman"/>
                  <w:sz w:val="18"/>
                  <w:szCs w:val="18"/>
                  <w:b w:val="1"/>
                  <w:bCs w:val="1"/>
                  <w:color w:val="0000EE"/>
                  <w:w w:val="97"/>
                </w:rPr>
                <w:t>Table of Contents</w:t>
              </w:r>
            </w:hyperlink>
          </w:p>
        </w:tc>
        <w:tc>
          <w:tcPr>
            <w:tcW w:w="480" w:type="dxa"/>
            <w:vAlign w:val="bottom"/>
          </w:tcPr>
          <w:p>
            <w:pPr>
              <w:spacing w:after="0"/>
              <w:rPr>
                <w:sz w:val="17"/>
                <w:szCs w:val="17"/>
                <w:color w:val="auto"/>
              </w:rPr>
            </w:pPr>
          </w:p>
        </w:tc>
        <w:tc>
          <w:tcPr>
            <w:tcW w:w="5720" w:type="dxa"/>
            <w:vAlign w:val="bottom"/>
          </w:tcPr>
          <w:p>
            <w:pPr>
              <w:spacing w:after="0"/>
              <w:rPr>
                <w:sz w:val="17"/>
                <w:szCs w:val="17"/>
                <w:color w:val="auto"/>
              </w:rPr>
            </w:pPr>
          </w:p>
        </w:tc>
        <w:tc>
          <w:tcPr>
            <w:tcW w:w="3180" w:type="dxa"/>
            <w:vAlign w:val="bottom"/>
          </w:tcPr>
          <w:p>
            <w:pPr>
              <w:spacing w:after="0"/>
              <w:rPr>
                <w:sz w:val="17"/>
                <w:szCs w:val="17"/>
                <w:color w:val="auto"/>
              </w:rPr>
            </w:pPr>
          </w:p>
        </w:tc>
      </w:tr>
      <w:tr>
        <w:trPr>
          <w:trHeight w:val="511"/>
        </w:trPr>
        <w:tc>
          <w:tcPr>
            <w:tcW w:w="700" w:type="dxa"/>
            <w:vAlign w:val="bottom"/>
          </w:tcPr>
          <w:p>
            <w:pPr>
              <w:spacing w:after="0"/>
              <w:rPr>
                <w:sz w:val="24"/>
                <w:szCs w:val="24"/>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9"/>
              </w:rPr>
              <w:t>Exhibit</w:t>
            </w:r>
          </w:p>
        </w:tc>
        <w:tc>
          <w:tcPr>
            <w:tcW w:w="572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39"/>
        </w:trPr>
        <w:tc>
          <w:tcPr>
            <w:tcW w:w="700" w:type="dxa"/>
            <w:vAlign w:val="bottom"/>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9"/>
              </w:rPr>
              <w:t>No.</w:t>
            </w:r>
          </w:p>
        </w:tc>
        <w:tc>
          <w:tcPr>
            <w:tcW w:w="5720" w:type="dxa"/>
            <w:vAlign w:val="bottom"/>
            <w:tcBorders>
              <w:bottom w:val="single" w:sz="8" w:color="auto"/>
            </w:tcBorders>
          </w:tcPr>
          <w:p>
            <w:pPr>
              <w:ind w:left="2480"/>
              <w:spacing w:after="0"/>
              <w:rPr>
                <w:sz w:val="20"/>
                <w:szCs w:val="20"/>
                <w:color w:val="auto"/>
              </w:rPr>
            </w:pPr>
            <w:r>
              <w:rPr>
                <w:rFonts w:ascii="Arial" w:cs="Arial" w:eastAsia="Arial" w:hAnsi="Arial"/>
                <w:sz w:val="18"/>
                <w:szCs w:val="18"/>
                <w:color w:val="auto"/>
              </w:rPr>
              <w:t>Description</w:t>
            </w:r>
          </w:p>
        </w:tc>
        <w:tc>
          <w:tcPr>
            <w:tcW w:w="3180" w:type="dxa"/>
            <w:vAlign w:val="bottom"/>
            <w:tcBorders>
              <w:bottom w:val="single" w:sz="8" w:color="auto"/>
            </w:tcBorders>
          </w:tcPr>
          <w:p>
            <w:pPr>
              <w:ind w:left="1340"/>
              <w:spacing w:after="0"/>
              <w:rPr>
                <w:sz w:val="20"/>
                <w:szCs w:val="20"/>
                <w:color w:val="auto"/>
              </w:rPr>
            </w:pPr>
            <w:r>
              <w:rPr>
                <w:rFonts w:ascii="Arial" w:cs="Arial" w:eastAsia="Arial" w:hAnsi="Arial"/>
                <w:sz w:val="18"/>
                <w:szCs w:val="18"/>
                <w:color w:val="auto"/>
              </w:rPr>
              <w:t>Location</w:t>
            </w:r>
          </w:p>
        </w:tc>
      </w:tr>
      <w:tr>
        <w:trPr>
          <w:trHeight w:val="335"/>
        </w:trPr>
        <w:tc>
          <w:tcPr>
            <w:tcW w:w="1840" w:type="dxa"/>
            <w:vAlign w:val="bottom"/>
            <w:gridSpan w:val="3"/>
          </w:tcPr>
          <w:p>
            <w:pPr>
              <w:ind w:left="700"/>
              <w:spacing w:after="0"/>
              <w:rPr>
                <w:sz w:val="20"/>
                <w:szCs w:val="20"/>
                <w:color w:val="auto"/>
              </w:rPr>
            </w:pPr>
            <w:r>
              <w:rPr>
                <w:rFonts w:ascii="Arial" w:cs="Arial" w:eastAsia="Arial" w:hAnsi="Arial"/>
                <w:sz w:val="18"/>
                <w:szCs w:val="18"/>
                <w:color w:val="auto"/>
              </w:rPr>
              <w:t>10.7(e)(i)</w:t>
            </w:r>
          </w:p>
        </w:tc>
        <w:tc>
          <w:tcPr>
            <w:tcW w:w="5720" w:type="dxa"/>
            <w:vAlign w:val="bottom"/>
          </w:tcPr>
          <w:p>
            <w:pPr>
              <w:ind w:left="280"/>
              <w:spacing w:after="0"/>
              <w:rPr>
                <w:sz w:val="20"/>
                <w:szCs w:val="20"/>
                <w:color w:val="auto"/>
              </w:rPr>
            </w:pPr>
            <w:r>
              <w:rPr>
                <w:rFonts w:ascii="Arial" w:cs="Arial" w:eastAsia="Arial" w:hAnsi="Arial"/>
                <w:sz w:val="18"/>
                <w:szCs w:val="18"/>
                <w:color w:val="auto"/>
              </w:rPr>
              <w:t>Specimen form of Performance Share Award Agreement for</w:t>
            </w:r>
          </w:p>
        </w:tc>
        <w:tc>
          <w:tcPr>
            <w:tcW w:w="3180" w:type="dxa"/>
            <w:vAlign w:val="bottom"/>
          </w:tcPr>
          <w:p>
            <w:pPr>
              <w:ind w:left="180"/>
              <w:spacing w:after="0"/>
              <w:rPr>
                <w:sz w:val="20"/>
                <w:szCs w:val="20"/>
                <w:color w:val="auto"/>
              </w:rPr>
            </w:pPr>
            <w:r>
              <w:rPr>
                <w:rFonts w:ascii="Arial" w:cs="Arial" w:eastAsia="Arial" w:hAnsi="Arial"/>
                <w:sz w:val="18"/>
                <w:szCs w:val="18"/>
                <w:color w:val="auto"/>
              </w:rPr>
              <w:t>Incorporated herein by reference to</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720" w:type="dxa"/>
            <w:vAlign w:val="bottom"/>
          </w:tcPr>
          <w:p>
            <w:pPr>
              <w:ind w:left="280"/>
              <w:spacing w:after="0" w:line="202" w:lineRule="exact"/>
              <w:rPr>
                <w:sz w:val="20"/>
                <w:szCs w:val="20"/>
                <w:color w:val="auto"/>
              </w:rPr>
            </w:pPr>
            <w:r>
              <w:rPr>
                <w:rFonts w:ascii="Arial" w:cs="Arial" w:eastAsia="Arial" w:hAnsi="Arial"/>
                <w:sz w:val="18"/>
                <w:szCs w:val="18"/>
                <w:color w:val="auto"/>
              </w:rPr>
              <w:t>Employees (with Related Dividend Equivalents) used to evidence</w:t>
            </w:r>
          </w:p>
        </w:tc>
        <w:tc>
          <w:tcPr>
            <w:tcW w:w="3180" w:type="dxa"/>
            <w:vAlign w:val="bottom"/>
          </w:tcPr>
          <w:p>
            <w:pPr>
              <w:ind w:left="180"/>
              <w:spacing w:after="0" w:line="202" w:lineRule="exact"/>
              <w:rPr>
                <w:sz w:val="20"/>
                <w:szCs w:val="20"/>
                <w:color w:val="auto"/>
              </w:rPr>
            </w:pPr>
            <w:r>
              <w:rPr>
                <w:rFonts w:ascii="Arial" w:cs="Arial" w:eastAsia="Arial" w:hAnsi="Arial"/>
                <w:sz w:val="18"/>
                <w:szCs w:val="18"/>
                <w:color w:val="auto"/>
              </w:rPr>
              <w:t>the Registrant’s Annual Report on</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720" w:type="dxa"/>
            <w:vAlign w:val="bottom"/>
          </w:tcPr>
          <w:p>
            <w:pPr>
              <w:ind w:left="280"/>
              <w:spacing w:after="0" w:line="202" w:lineRule="exact"/>
              <w:rPr>
                <w:sz w:val="20"/>
                <w:szCs w:val="20"/>
                <w:color w:val="auto"/>
              </w:rPr>
            </w:pPr>
            <w:r>
              <w:rPr>
                <w:rFonts w:ascii="Arial" w:cs="Arial" w:eastAsia="Arial" w:hAnsi="Arial"/>
                <w:sz w:val="18"/>
                <w:szCs w:val="18"/>
                <w:color w:val="auto"/>
              </w:rPr>
              <w:t>grants of Performance Shares which may be made under The</w:t>
            </w:r>
          </w:p>
        </w:tc>
        <w:tc>
          <w:tcPr>
            <w:tcW w:w="3180" w:type="dxa"/>
            <w:vAlign w:val="bottom"/>
          </w:tcPr>
          <w:p>
            <w:pPr>
              <w:ind w:left="180"/>
              <w:spacing w:after="0" w:line="202" w:lineRule="exact"/>
              <w:rPr>
                <w:sz w:val="20"/>
                <w:szCs w:val="20"/>
                <w:color w:val="auto"/>
              </w:rPr>
            </w:pPr>
            <w:r>
              <w:rPr>
                <w:rFonts w:ascii="Arial" w:cs="Arial" w:eastAsia="Arial" w:hAnsi="Arial"/>
                <w:sz w:val="18"/>
                <w:szCs w:val="18"/>
                <w:color w:val="auto"/>
              </w:rPr>
              <w:t>Form 10-K for the fiscal year ended</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720" w:type="dxa"/>
            <w:vAlign w:val="bottom"/>
          </w:tcPr>
          <w:p>
            <w:pPr>
              <w:ind w:left="280"/>
              <w:spacing w:after="0" w:line="202" w:lineRule="exact"/>
              <w:rPr>
                <w:sz w:val="20"/>
                <w:szCs w:val="20"/>
                <w:color w:val="auto"/>
              </w:rPr>
            </w:pPr>
            <w:r>
              <w:rPr>
                <w:rFonts w:ascii="Arial" w:cs="Arial" w:eastAsia="Arial" w:hAnsi="Arial"/>
                <w:sz w:val="18"/>
                <w:szCs w:val="18"/>
                <w:color w:val="auto"/>
              </w:rPr>
              <w:t>Scotts Miracle-Gro Company 2006 Long-Term Incentive Plan (now</w:t>
            </w:r>
          </w:p>
        </w:tc>
        <w:tc>
          <w:tcPr>
            <w:tcW w:w="3180" w:type="dxa"/>
            <w:vAlign w:val="bottom"/>
          </w:tcPr>
          <w:p>
            <w:pPr>
              <w:ind w:left="180"/>
              <w:spacing w:after="0" w:line="202" w:lineRule="exact"/>
              <w:rPr>
                <w:sz w:val="20"/>
                <w:szCs w:val="20"/>
                <w:color w:val="auto"/>
              </w:rPr>
            </w:pPr>
            <w:r>
              <w:rPr>
                <w:rFonts w:ascii="Arial" w:cs="Arial" w:eastAsia="Arial" w:hAnsi="Arial"/>
                <w:sz w:val="18"/>
                <w:szCs w:val="18"/>
                <w:color w:val="auto"/>
              </w:rPr>
              <w:t>September 30, 2007 (File No. 1-</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720" w:type="dxa"/>
            <w:vAlign w:val="bottom"/>
          </w:tcPr>
          <w:p>
            <w:pPr>
              <w:ind w:left="280"/>
              <w:spacing w:after="0" w:line="202" w:lineRule="exact"/>
              <w:rPr>
                <w:sz w:val="20"/>
                <w:szCs w:val="20"/>
                <w:color w:val="auto"/>
              </w:rPr>
            </w:pPr>
            <w:r>
              <w:rPr>
                <w:rFonts w:ascii="Arial" w:cs="Arial" w:eastAsia="Arial" w:hAnsi="Arial"/>
                <w:sz w:val="18"/>
                <w:szCs w:val="18"/>
                <w:color w:val="auto"/>
              </w:rPr>
              <w:t>known as The Scotts Miracle-Gro Company Amended and</w:t>
            </w:r>
          </w:p>
        </w:tc>
        <w:tc>
          <w:tcPr>
            <w:tcW w:w="3180" w:type="dxa"/>
            <w:vAlign w:val="bottom"/>
          </w:tcPr>
          <w:p>
            <w:pPr>
              <w:ind w:left="180"/>
              <w:spacing w:after="0" w:line="202" w:lineRule="exact"/>
              <w:rPr>
                <w:sz w:val="20"/>
                <w:szCs w:val="20"/>
                <w:color w:val="auto"/>
              </w:rPr>
            </w:pPr>
            <w:r>
              <w:rPr>
                <w:rFonts w:ascii="Arial" w:cs="Arial" w:eastAsia="Arial" w:hAnsi="Arial"/>
                <w:sz w:val="18"/>
                <w:szCs w:val="18"/>
                <w:color w:val="auto"/>
              </w:rPr>
              <w:t>13292) [Exhibit 10(t)(5)]</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720" w:type="dxa"/>
            <w:vAlign w:val="bottom"/>
          </w:tcPr>
          <w:p>
            <w:pPr>
              <w:ind w:left="280"/>
              <w:spacing w:after="0" w:line="202" w:lineRule="exact"/>
              <w:rPr>
                <w:sz w:val="20"/>
                <w:szCs w:val="20"/>
                <w:color w:val="auto"/>
              </w:rPr>
            </w:pPr>
            <w:r>
              <w:rPr>
                <w:rFonts w:ascii="Arial" w:cs="Arial" w:eastAsia="Arial" w:hAnsi="Arial"/>
                <w:sz w:val="18"/>
                <w:szCs w:val="18"/>
                <w:color w:val="auto"/>
              </w:rPr>
              <w:t>Restated 2006 Long-Term Incentive Plan) [post-October 30, 2007</w:t>
            </w:r>
          </w:p>
        </w:tc>
        <w:tc>
          <w:tcPr>
            <w:tcW w:w="3180" w:type="dxa"/>
            <w:vAlign w:val="bottom"/>
          </w:tcPr>
          <w:p>
            <w:pPr>
              <w:spacing w:after="0"/>
              <w:rPr>
                <w:sz w:val="17"/>
                <w:szCs w:val="17"/>
                <w:color w:val="auto"/>
              </w:rPr>
            </w:pPr>
          </w:p>
        </w:tc>
      </w:tr>
      <w:tr>
        <w:trPr>
          <w:trHeight w:val="243"/>
        </w:trPr>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720" w:type="dxa"/>
            <w:vAlign w:val="bottom"/>
          </w:tcPr>
          <w:p>
            <w:pPr>
              <w:ind w:left="280"/>
              <w:spacing w:after="0"/>
              <w:rPr>
                <w:sz w:val="20"/>
                <w:szCs w:val="20"/>
                <w:color w:val="auto"/>
              </w:rPr>
            </w:pPr>
            <w:r>
              <w:rPr>
                <w:rFonts w:ascii="Arial" w:cs="Arial" w:eastAsia="Arial" w:hAnsi="Arial"/>
                <w:sz w:val="18"/>
                <w:szCs w:val="18"/>
                <w:color w:val="auto"/>
              </w:rPr>
              <w:t>version]</w:t>
            </w:r>
          </w:p>
        </w:tc>
        <w:tc>
          <w:tcPr>
            <w:tcW w:w="3180" w:type="dxa"/>
            <w:vAlign w:val="bottom"/>
          </w:tcPr>
          <w:p>
            <w:pPr>
              <w:spacing w:after="0"/>
              <w:rPr>
                <w:sz w:val="21"/>
                <w:szCs w:val="21"/>
                <w:color w:val="auto"/>
              </w:rPr>
            </w:pPr>
          </w:p>
        </w:tc>
      </w:tr>
    </w:tbl>
    <w:p>
      <w:pPr>
        <w:spacing w:after="0" w:line="63" w:lineRule="exact"/>
        <w:rPr>
          <w:sz w:val="20"/>
          <w:szCs w:val="20"/>
          <w:color w:val="auto"/>
        </w:rPr>
      </w:pPr>
    </w:p>
    <w:p>
      <w:pPr>
        <w:sectPr>
          <w:pgSz w:w="11900" w:h="16838" w:orient="portrait"/>
          <w:cols w:equalWidth="0" w:num="1">
            <w:col w:w="10740"/>
          </w:cols>
          <w:pgMar w:left="240" w:top="405" w:right="919" w:bottom="1440" w:gutter="0" w:footer="0" w:header="0"/>
        </w:sectPr>
      </w:pPr>
    </w:p>
    <w:tbl>
      <w:tblPr>
        <w:tblLayout w:type="fixed"/>
        <w:tblInd w:w="70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Arial" w:cs="Arial" w:eastAsia="Arial" w:hAnsi="Arial"/>
                <w:sz w:val="18"/>
                <w:szCs w:val="18"/>
                <w:color w:val="auto"/>
              </w:rPr>
              <w:t>10.7(e)(ii)</w:t>
            </w:r>
          </w:p>
        </w:tc>
        <w:tc>
          <w:tcPr>
            <w:tcW w:w="5600" w:type="dxa"/>
            <w:vAlign w:val="bottom"/>
          </w:tcPr>
          <w:p>
            <w:pPr>
              <w:ind w:left="320"/>
              <w:spacing w:after="0"/>
              <w:rPr>
                <w:sz w:val="20"/>
                <w:szCs w:val="20"/>
                <w:color w:val="auto"/>
              </w:rPr>
            </w:pPr>
            <w:r>
              <w:rPr>
                <w:rFonts w:ascii="Arial" w:cs="Arial" w:eastAsia="Arial" w:hAnsi="Arial"/>
                <w:sz w:val="18"/>
                <w:szCs w:val="18"/>
                <w:color w:val="auto"/>
              </w:rPr>
              <w:t>Special Performance Share Award Agreement (with Related</w:t>
            </w:r>
          </w:p>
        </w:tc>
      </w:tr>
      <w:tr>
        <w:trPr>
          <w:trHeight w:val="203"/>
        </w:trPr>
        <w:tc>
          <w:tcPr>
            <w:tcW w:w="1100" w:type="dxa"/>
            <w:vAlign w:val="bottom"/>
          </w:tcPr>
          <w:p>
            <w:pPr>
              <w:spacing w:after="0"/>
              <w:rPr>
                <w:sz w:val="17"/>
                <w:szCs w:val="17"/>
                <w:color w:val="auto"/>
              </w:rPr>
            </w:pPr>
          </w:p>
        </w:tc>
        <w:tc>
          <w:tcPr>
            <w:tcW w:w="5600" w:type="dxa"/>
            <w:vAlign w:val="bottom"/>
          </w:tcPr>
          <w:p>
            <w:pPr>
              <w:ind w:left="320"/>
              <w:spacing w:after="0" w:line="202" w:lineRule="exact"/>
              <w:rPr>
                <w:sz w:val="20"/>
                <w:szCs w:val="20"/>
                <w:color w:val="auto"/>
              </w:rPr>
            </w:pPr>
            <w:r>
              <w:rPr>
                <w:rFonts w:ascii="Arial" w:cs="Arial" w:eastAsia="Arial" w:hAnsi="Arial"/>
                <w:sz w:val="18"/>
                <w:szCs w:val="18"/>
                <w:color w:val="auto"/>
              </w:rPr>
              <w:t>Dividend Equivalents) evidencing grant of Performance Shares</w:t>
            </w:r>
          </w:p>
        </w:tc>
      </w:tr>
      <w:tr>
        <w:trPr>
          <w:trHeight w:val="203"/>
        </w:trPr>
        <w:tc>
          <w:tcPr>
            <w:tcW w:w="1100" w:type="dxa"/>
            <w:vAlign w:val="bottom"/>
          </w:tcPr>
          <w:p>
            <w:pPr>
              <w:spacing w:after="0"/>
              <w:rPr>
                <w:sz w:val="17"/>
                <w:szCs w:val="17"/>
                <w:color w:val="auto"/>
              </w:rPr>
            </w:pPr>
          </w:p>
        </w:tc>
        <w:tc>
          <w:tcPr>
            <w:tcW w:w="5600" w:type="dxa"/>
            <w:vAlign w:val="bottom"/>
          </w:tcPr>
          <w:p>
            <w:pPr>
              <w:ind w:left="320"/>
              <w:spacing w:after="0" w:line="202" w:lineRule="exact"/>
              <w:rPr>
                <w:sz w:val="20"/>
                <w:szCs w:val="20"/>
                <w:color w:val="auto"/>
              </w:rPr>
            </w:pPr>
            <w:r>
              <w:rPr>
                <w:rFonts w:ascii="Arial" w:cs="Arial" w:eastAsia="Arial" w:hAnsi="Arial"/>
                <w:sz w:val="18"/>
                <w:szCs w:val="18"/>
                <w:color w:val="auto"/>
              </w:rPr>
              <w:t>made on October 30, 2007 to Barry W. Sanders under The Scotts</w:t>
            </w:r>
          </w:p>
        </w:tc>
      </w:tr>
      <w:tr>
        <w:trPr>
          <w:trHeight w:val="203"/>
        </w:trPr>
        <w:tc>
          <w:tcPr>
            <w:tcW w:w="1100" w:type="dxa"/>
            <w:vAlign w:val="bottom"/>
          </w:tcPr>
          <w:p>
            <w:pPr>
              <w:spacing w:after="0"/>
              <w:rPr>
                <w:sz w:val="17"/>
                <w:szCs w:val="17"/>
                <w:color w:val="auto"/>
              </w:rPr>
            </w:pPr>
          </w:p>
        </w:tc>
        <w:tc>
          <w:tcPr>
            <w:tcW w:w="5600" w:type="dxa"/>
            <w:vAlign w:val="bottom"/>
          </w:tcPr>
          <w:p>
            <w:pPr>
              <w:ind w:left="320"/>
              <w:spacing w:after="0" w:line="202" w:lineRule="exact"/>
              <w:rPr>
                <w:sz w:val="20"/>
                <w:szCs w:val="20"/>
                <w:color w:val="auto"/>
              </w:rPr>
            </w:pPr>
            <w:r>
              <w:rPr>
                <w:rFonts w:ascii="Arial" w:cs="Arial" w:eastAsia="Arial" w:hAnsi="Arial"/>
                <w:sz w:val="18"/>
                <w:szCs w:val="18"/>
                <w:color w:val="auto"/>
              </w:rPr>
              <w:t>Miracle-Gro Company Amended and Restated 2006 Long-Term</w:t>
            </w:r>
          </w:p>
        </w:tc>
      </w:tr>
      <w:tr>
        <w:trPr>
          <w:trHeight w:val="203"/>
        </w:trPr>
        <w:tc>
          <w:tcPr>
            <w:tcW w:w="1100" w:type="dxa"/>
            <w:vAlign w:val="bottom"/>
          </w:tcPr>
          <w:p>
            <w:pPr>
              <w:spacing w:after="0"/>
              <w:rPr>
                <w:sz w:val="17"/>
                <w:szCs w:val="17"/>
                <w:color w:val="auto"/>
              </w:rPr>
            </w:pPr>
          </w:p>
        </w:tc>
        <w:tc>
          <w:tcPr>
            <w:tcW w:w="5600" w:type="dxa"/>
            <w:vAlign w:val="bottom"/>
          </w:tcPr>
          <w:p>
            <w:pPr>
              <w:ind w:left="320"/>
              <w:spacing w:after="0" w:line="202" w:lineRule="exact"/>
              <w:rPr>
                <w:sz w:val="20"/>
                <w:szCs w:val="20"/>
                <w:color w:val="auto"/>
              </w:rPr>
            </w:pPr>
            <w:r>
              <w:rPr>
                <w:rFonts w:ascii="Arial" w:cs="Arial" w:eastAsia="Arial" w:hAnsi="Arial"/>
                <w:sz w:val="18"/>
                <w:szCs w:val="18"/>
                <w:color w:val="auto"/>
              </w:rPr>
              <w:t>Incentive Plan (executed by The Scotts Miracle-Gro Company on</w:t>
            </w:r>
          </w:p>
        </w:tc>
      </w:tr>
      <w:tr>
        <w:trPr>
          <w:trHeight w:val="243"/>
        </w:trPr>
        <w:tc>
          <w:tcPr>
            <w:tcW w:w="1100" w:type="dxa"/>
            <w:vAlign w:val="bottom"/>
          </w:tcPr>
          <w:p>
            <w:pPr>
              <w:spacing w:after="0"/>
              <w:rPr>
                <w:sz w:val="21"/>
                <w:szCs w:val="21"/>
                <w:color w:val="auto"/>
              </w:rPr>
            </w:pPr>
          </w:p>
        </w:tc>
        <w:tc>
          <w:tcPr>
            <w:tcW w:w="5600" w:type="dxa"/>
            <w:vAlign w:val="bottom"/>
          </w:tcPr>
          <w:p>
            <w:pPr>
              <w:ind w:left="320"/>
              <w:spacing w:after="0"/>
              <w:rPr>
                <w:sz w:val="20"/>
                <w:szCs w:val="20"/>
                <w:color w:val="auto"/>
              </w:rPr>
            </w:pPr>
            <w:r>
              <w:rPr>
                <w:rFonts w:ascii="Arial" w:cs="Arial" w:eastAsia="Arial" w:hAnsi="Arial"/>
                <w:sz w:val="18"/>
                <w:szCs w:val="18"/>
                <w:color w:val="auto"/>
                <w:w w:val="99"/>
              </w:rPr>
              <w:t>December 20, 2007 and by Barry W. Sanders on January 7, 2008)</w:t>
            </w:r>
          </w:p>
        </w:tc>
      </w:tr>
    </w:tbl>
    <w:p>
      <w:pPr>
        <w:spacing w:after="0" w:line="20" w:lineRule="exact"/>
        <w:rPr>
          <w:sz w:val="20"/>
          <w:szCs w:val="20"/>
          <w:color w:val="auto"/>
        </w:rPr>
      </w:pPr>
      <w:r>
        <w:rPr>
          <w:sz w:val="20"/>
          <w:szCs w:val="20"/>
          <w:color w:val="auto"/>
        </w:rPr>
        <w:br w:type="column"/>
      </w:r>
    </w:p>
    <w:p>
      <w:pPr>
        <w:ind w:right="120"/>
        <w:spacing w:after="0" w:line="245"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December 29, 2007 (File No. 1-13292) [Exhibit 10(n)]</w:t>
      </w:r>
    </w:p>
    <w:p>
      <w:pPr>
        <w:spacing w:after="0" w:line="262" w:lineRule="exact"/>
        <w:rPr>
          <w:sz w:val="20"/>
          <w:szCs w:val="20"/>
          <w:color w:val="auto"/>
        </w:rPr>
      </w:pPr>
    </w:p>
    <w:p>
      <w:pPr>
        <w:sectPr>
          <w:pgSz w:w="11900" w:h="16838" w:orient="portrait"/>
          <w:cols w:equalWidth="0" w:num="2">
            <w:col w:w="7400" w:space="340"/>
            <w:col w:w="3000"/>
          </w:cols>
          <w:pgMar w:left="240" w:top="405" w:right="919" w:bottom="1440" w:gutter="0" w:footer="0" w:header="0"/>
          <w:type w:val="continuous"/>
        </w:sectPr>
      </w:pPr>
    </w:p>
    <w:tbl>
      <w:tblPr>
        <w:tblLayout w:type="fixed"/>
        <w:tblInd w:w="70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Arial" w:cs="Arial" w:eastAsia="Arial" w:hAnsi="Arial"/>
                <w:sz w:val="18"/>
                <w:szCs w:val="18"/>
                <w:color w:val="auto"/>
              </w:rPr>
              <w:t>10.7(f)(i)</w:t>
            </w:r>
          </w:p>
        </w:tc>
        <w:tc>
          <w:tcPr>
            <w:tcW w:w="5660" w:type="dxa"/>
            <w:vAlign w:val="bottom"/>
          </w:tcPr>
          <w:p>
            <w:pPr>
              <w:ind w:left="380"/>
              <w:spacing w:after="0"/>
              <w:rPr>
                <w:sz w:val="20"/>
                <w:szCs w:val="20"/>
                <w:color w:val="auto"/>
              </w:rPr>
            </w:pPr>
            <w:r>
              <w:rPr>
                <w:rFonts w:ascii="Arial" w:cs="Arial" w:eastAsia="Arial" w:hAnsi="Arial"/>
                <w:sz w:val="18"/>
                <w:szCs w:val="18"/>
                <w:color w:val="auto"/>
                <w:w w:val="99"/>
              </w:rPr>
              <w:t>Specimen form of Nonqualified Stock Option Award Agreement for</w:t>
            </w:r>
          </w:p>
        </w:tc>
      </w:tr>
      <w:tr>
        <w:trPr>
          <w:trHeight w:val="203"/>
        </w:trPr>
        <w:tc>
          <w:tcPr>
            <w:tcW w:w="1040" w:type="dxa"/>
            <w:vAlign w:val="bottom"/>
          </w:tcPr>
          <w:p>
            <w:pPr>
              <w:spacing w:after="0"/>
              <w:rPr>
                <w:sz w:val="17"/>
                <w:szCs w:val="17"/>
                <w:color w:val="auto"/>
              </w:rPr>
            </w:pPr>
          </w:p>
        </w:tc>
        <w:tc>
          <w:tcPr>
            <w:tcW w:w="5660" w:type="dxa"/>
            <w:vAlign w:val="bottom"/>
          </w:tcPr>
          <w:p>
            <w:pPr>
              <w:ind w:left="380"/>
              <w:spacing w:after="0" w:line="202" w:lineRule="exact"/>
              <w:rPr>
                <w:sz w:val="20"/>
                <w:szCs w:val="20"/>
                <w:color w:val="auto"/>
              </w:rPr>
            </w:pPr>
            <w:r>
              <w:rPr>
                <w:rFonts w:ascii="Arial" w:cs="Arial" w:eastAsia="Arial" w:hAnsi="Arial"/>
                <w:sz w:val="18"/>
                <w:szCs w:val="18"/>
                <w:color w:val="auto"/>
                <w:w w:val="99"/>
              </w:rPr>
              <w:t>Employees used to evidence grants of Nonqualified Stock Options</w:t>
            </w:r>
          </w:p>
        </w:tc>
      </w:tr>
      <w:tr>
        <w:trPr>
          <w:trHeight w:val="203"/>
        </w:trPr>
        <w:tc>
          <w:tcPr>
            <w:tcW w:w="1040" w:type="dxa"/>
            <w:vAlign w:val="bottom"/>
          </w:tcPr>
          <w:p>
            <w:pPr>
              <w:spacing w:after="0"/>
              <w:rPr>
                <w:sz w:val="17"/>
                <w:szCs w:val="17"/>
                <w:color w:val="auto"/>
              </w:rPr>
            </w:pPr>
          </w:p>
        </w:tc>
        <w:tc>
          <w:tcPr>
            <w:tcW w:w="5660" w:type="dxa"/>
            <w:vAlign w:val="bottom"/>
          </w:tcPr>
          <w:p>
            <w:pPr>
              <w:ind w:left="380"/>
              <w:spacing w:after="0" w:line="202" w:lineRule="exact"/>
              <w:rPr>
                <w:sz w:val="20"/>
                <w:szCs w:val="20"/>
                <w:color w:val="auto"/>
              </w:rPr>
            </w:pPr>
            <w:r>
              <w:rPr>
                <w:rFonts w:ascii="Arial" w:cs="Arial" w:eastAsia="Arial" w:hAnsi="Arial"/>
                <w:sz w:val="18"/>
                <w:szCs w:val="18"/>
                <w:color w:val="auto"/>
              </w:rPr>
              <w:t>made under The Scotts Miracle-Gro Company 2006 Long-Term</w:t>
            </w:r>
          </w:p>
        </w:tc>
      </w:tr>
      <w:tr>
        <w:trPr>
          <w:trHeight w:val="203"/>
        </w:trPr>
        <w:tc>
          <w:tcPr>
            <w:tcW w:w="1040" w:type="dxa"/>
            <w:vAlign w:val="bottom"/>
          </w:tcPr>
          <w:p>
            <w:pPr>
              <w:spacing w:after="0"/>
              <w:rPr>
                <w:sz w:val="17"/>
                <w:szCs w:val="17"/>
                <w:color w:val="auto"/>
              </w:rPr>
            </w:pPr>
          </w:p>
        </w:tc>
        <w:tc>
          <w:tcPr>
            <w:tcW w:w="5660" w:type="dxa"/>
            <w:vAlign w:val="bottom"/>
          </w:tcPr>
          <w:p>
            <w:pPr>
              <w:ind w:left="380"/>
              <w:spacing w:after="0" w:line="202" w:lineRule="exact"/>
              <w:rPr>
                <w:sz w:val="20"/>
                <w:szCs w:val="20"/>
                <w:color w:val="auto"/>
              </w:rPr>
            </w:pPr>
            <w:r>
              <w:rPr>
                <w:rFonts w:ascii="Arial" w:cs="Arial" w:eastAsia="Arial" w:hAnsi="Arial"/>
                <w:sz w:val="18"/>
                <w:szCs w:val="18"/>
                <w:color w:val="auto"/>
              </w:rPr>
              <w:t>Incentive Plan (now known as The Scotts Miracle-Gro Company</w:t>
            </w:r>
          </w:p>
        </w:tc>
      </w:tr>
      <w:tr>
        <w:trPr>
          <w:trHeight w:val="203"/>
        </w:trPr>
        <w:tc>
          <w:tcPr>
            <w:tcW w:w="1040" w:type="dxa"/>
            <w:vAlign w:val="bottom"/>
          </w:tcPr>
          <w:p>
            <w:pPr>
              <w:spacing w:after="0"/>
              <w:rPr>
                <w:sz w:val="17"/>
                <w:szCs w:val="17"/>
                <w:color w:val="auto"/>
              </w:rPr>
            </w:pPr>
          </w:p>
        </w:tc>
        <w:tc>
          <w:tcPr>
            <w:tcW w:w="5660" w:type="dxa"/>
            <w:vAlign w:val="bottom"/>
          </w:tcPr>
          <w:p>
            <w:pPr>
              <w:ind w:left="380"/>
              <w:spacing w:after="0" w:line="202" w:lineRule="exact"/>
              <w:rPr>
                <w:sz w:val="20"/>
                <w:szCs w:val="20"/>
                <w:color w:val="auto"/>
              </w:rPr>
            </w:pPr>
            <w:r>
              <w:rPr>
                <w:rFonts w:ascii="Arial" w:cs="Arial" w:eastAsia="Arial" w:hAnsi="Arial"/>
                <w:sz w:val="18"/>
                <w:szCs w:val="18"/>
                <w:color w:val="auto"/>
              </w:rPr>
              <w:t>Amended and Restated 2006 Long-Term Incentive Plan) [October</w:t>
            </w:r>
          </w:p>
        </w:tc>
      </w:tr>
      <w:tr>
        <w:trPr>
          <w:trHeight w:val="243"/>
        </w:trPr>
        <w:tc>
          <w:tcPr>
            <w:tcW w:w="1040" w:type="dxa"/>
            <w:vAlign w:val="bottom"/>
          </w:tcPr>
          <w:p>
            <w:pPr>
              <w:spacing w:after="0"/>
              <w:rPr>
                <w:sz w:val="21"/>
                <w:szCs w:val="21"/>
                <w:color w:val="auto"/>
              </w:rPr>
            </w:pPr>
          </w:p>
        </w:tc>
        <w:tc>
          <w:tcPr>
            <w:tcW w:w="5660" w:type="dxa"/>
            <w:vAlign w:val="bottom"/>
          </w:tcPr>
          <w:p>
            <w:pPr>
              <w:ind w:left="380"/>
              <w:spacing w:after="0"/>
              <w:rPr>
                <w:sz w:val="20"/>
                <w:szCs w:val="20"/>
                <w:color w:val="auto"/>
              </w:rPr>
            </w:pPr>
            <w:r>
              <w:rPr>
                <w:rFonts w:ascii="Arial" w:cs="Arial" w:eastAsia="Arial" w:hAnsi="Arial"/>
                <w:sz w:val="18"/>
                <w:szCs w:val="18"/>
                <w:color w:val="auto"/>
              </w:rPr>
              <w:t>30, 2007 through October 8, 2008 version]</w:t>
            </w:r>
          </w:p>
        </w:tc>
      </w:tr>
    </w:tbl>
    <w:p>
      <w:pPr>
        <w:spacing w:after="0" w:line="20" w:lineRule="exact"/>
        <w:rPr>
          <w:sz w:val="20"/>
          <w:szCs w:val="20"/>
          <w:color w:val="auto"/>
        </w:rPr>
      </w:pPr>
      <w:r>
        <w:rPr>
          <w:sz w:val="20"/>
          <w:szCs w:val="20"/>
          <w:color w:val="auto"/>
        </w:rPr>
        <w:br w:type="column"/>
      </w:r>
    </w:p>
    <w:p>
      <w:pPr>
        <w:ind w:right="180"/>
        <w:spacing w:after="0" w:line="245"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2007 (File No. 1-13292) [Exhibit 10(t)(3)]</w:t>
      </w:r>
    </w:p>
    <w:p>
      <w:pPr>
        <w:spacing w:after="0" w:line="262" w:lineRule="exact"/>
        <w:rPr>
          <w:sz w:val="20"/>
          <w:szCs w:val="20"/>
          <w:color w:val="auto"/>
        </w:rPr>
      </w:pPr>
    </w:p>
    <w:p>
      <w:pPr>
        <w:sectPr>
          <w:pgSz w:w="11900" w:h="16838" w:orient="portrait"/>
          <w:cols w:equalWidth="0" w:num="2">
            <w:col w:w="7400" w:space="340"/>
            <w:col w:w="3000"/>
          </w:cols>
          <w:pgMar w:left="240" w:top="405" w:right="919" w:bottom="1440" w:gutter="0" w:footer="0" w:header="0"/>
          <w:type w:val="continuous"/>
        </w:sectPr>
      </w:pPr>
    </w:p>
    <w:tbl>
      <w:tblPr>
        <w:tblLayout w:type="fixed"/>
        <w:tblInd w:w="70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Arial" w:cs="Arial" w:eastAsia="Arial" w:hAnsi="Arial"/>
                <w:sz w:val="18"/>
                <w:szCs w:val="18"/>
                <w:color w:val="auto"/>
              </w:rPr>
              <w:t>10.7(f)(ii)</w:t>
            </w:r>
          </w:p>
        </w:tc>
        <w:tc>
          <w:tcPr>
            <w:tcW w:w="5600" w:type="dxa"/>
            <w:vAlign w:val="bottom"/>
          </w:tcPr>
          <w:p>
            <w:pPr>
              <w:ind w:left="320"/>
              <w:spacing w:after="0"/>
              <w:rPr>
                <w:sz w:val="20"/>
                <w:szCs w:val="20"/>
                <w:color w:val="auto"/>
              </w:rPr>
            </w:pPr>
            <w:r>
              <w:rPr>
                <w:rFonts w:ascii="Arial" w:cs="Arial" w:eastAsia="Arial" w:hAnsi="Arial"/>
                <w:sz w:val="18"/>
                <w:szCs w:val="18"/>
                <w:color w:val="auto"/>
                <w:w w:val="99"/>
              </w:rPr>
              <w:t>Specimen form of Nonqualified Stock Option Award Agreement for</w:t>
            </w:r>
          </w:p>
        </w:tc>
      </w:tr>
      <w:tr>
        <w:trPr>
          <w:trHeight w:val="203"/>
        </w:trPr>
        <w:tc>
          <w:tcPr>
            <w:tcW w:w="1100" w:type="dxa"/>
            <w:vAlign w:val="bottom"/>
          </w:tcPr>
          <w:p>
            <w:pPr>
              <w:spacing w:after="0"/>
              <w:rPr>
                <w:sz w:val="17"/>
                <w:szCs w:val="17"/>
                <w:color w:val="auto"/>
              </w:rPr>
            </w:pPr>
          </w:p>
        </w:tc>
        <w:tc>
          <w:tcPr>
            <w:tcW w:w="5600" w:type="dxa"/>
            <w:vAlign w:val="bottom"/>
          </w:tcPr>
          <w:p>
            <w:pPr>
              <w:ind w:left="320"/>
              <w:spacing w:after="0" w:line="202" w:lineRule="exact"/>
              <w:rPr>
                <w:sz w:val="20"/>
                <w:szCs w:val="20"/>
                <w:color w:val="auto"/>
              </w:rPr>
            </w:pPr>
            <w:r>
              <w:rPr>
                <w:rFonts w:ascii="Arial" w:cs="Arial" w:eastAsia="Arial" w:hAnsi="Arial"/>
                <w:sz w:val="18"/>
                <w:szCs w:val="18"/>
                <w:color w:val="auto"/>
                <w:w w:val="99"/>
              </w:rPr>
              <w:t>Employees used to evidence grants of Nonqualified Stock Options</w:t>
            </w:r>
          </w:p>
        </w:tc>
      </w:tr>
      <w:tr>
        <w:trPr>
          <w:trHeight w:val="203"/>
        </w:trPr>
        <w:tc>
          <w:tcPr>
            <w:tcW w:w="1100" w:type="dxa"/>
            <w:vAlign w:val="bottom"/>
          </w:tcPr>
          <w:p>
            <w:pPr>
              <w:spacing w:after="0"/>
              <w:rPr>
                <w:sz w:val="17"/>
                <w:szCs w:val="17"/>
                <w:color w:val="auto"/>
              </w:rPr>
            </w:pPr>
          </w:p>
        </w:tc>
        <w:tc>
          <w:tcPr>
            <w:tcW w:w="5600" w:type="dxa"/>
            <w:vAlign w:val="bottom"/>
          </w:tcPr>
          <w:p>
            <w:pPr>
              <w:ind w:left="320"/>
              <w:spacing w:after="0" w:line="202" w:lineRule="exact"/>
              <w:rPr>
                <w:sz w:val="20"/>
                <w:szCs w:val="20"/>
                <w:color w:val="auto"/>
              </w:rPr>
            </w:pPr>
            <w:r>
              <w:rPr>
                <w:rFonts w:ascii="Arial" w:cs="Arial" w:eastAsia="Arial" w:hAnsi="Arial"/>
                <w:sz w:val="18"/>
                <w:szCs w:val="18"/>
                <w:color w:val="auto"/>
              </w:rPr>
              <w:t>which may be made under The Scotts Miracle-Gro Company</w:t>
            </w:r>
          </w:p>
        </w:tc>
      </w:tr>
      <w:tr>
        <w:trPr>
          <w:trHeight w:val="203"/>
        </w:trPr>
        <w:tc>
          <w:tcPr>
            <w:tcW w:w="1100" w:type="dxa"/>
            <w:vAlign w:val="bottom"/>
          </w:tcPr>
          <w:p>
            <w:pPr>
              <w:spacing w:after="0"/>
              <w:rPr>
                <w:sz w:val="17"/>
                <w:szCs w:val="17"/>
                <w:color w:val="auto"/>
              </w:rPr>
            </w:pPr>
          </w:p>
        </w:tc>
        <w:tc>
          <w:tcPr>
            <w:tcW w:w="5600" w:type="dxa"/>
            <w:vAlign w:val="bottom"/>
          </w:tcPr>
          <w:p>
            <w:pPr>
              <w:ind w:left="320"/>
              <w:spacing w:after="0" w:line="202" w:lineRule="exact"/>
              <w:rPr>
                <w:sz w:val="20"/>
                <w:szCs w:val="20"/>
                <w:color w:val="auto"/>
              </w:rPr>
            </w:pPr>
            <w:r>
              <w:rPr>
                <w:rFonts w:ascii="Arial" w:cs="Arial" w:eastAsia="Arial" w:hAnsi="Arial"/>
                <w:sz w:val="18"/>
                <w:szCs w:val="18"/>
                <w:color w:val="auto"/>
              </w:rPr>
              <w:t>Amended and Restated 2006 Long-Term Incentive Plan (post-</w:t>
            </w:r>
          </w:p>
        </w:tc>
      </w:tr>
      <w:tr>
        <w:trPr>
          <w:trHeight w:val="243"/>
        </w:trPr>
        <w:tc>
          <w:tcPr>
            <w:tcW w:w="1100" w:type="dxa"/>
            <w:vAlign w:val="bottom"/>
          </w:tcPr>
          <w:p>
            <w:pPr>
              <w:spacing w:after="0"/>
              <w:rPr>
                <w:sz w:val="21"/>
                <w:szCs w:val="21"/>
                <w:color w:val="auto"/>
              </w:rPr>
            </w:pPr>
          </w:p>
        </w:tc>
        <w:tc>
          <w:tcPr>
            <w:tcW w:w="5600" w:type="dxa"/>
            <w:vAlign w:val="bottom"/>
          </w:tcPr>
          <w:p>
            <w:pPr>
              <w:ind w:left="320"/>
              <w:spacing w:after="0"/>
              <w:rPr>
                <w:sz w:val="20"/>
                <w:szCs w:val="20"/>
                <w:color w:val="auto"/>
              </w:rPr>
            </w:pPr>
            <w:r>
              <w:rPr>
                <w:rFonts w:ascii="Arial" w:cs="Arial" w:eastAsia="Arial" w:hAnsi="Arial"/>
                <w:sz w:val="18"/>
                <w:szCs w:val="18"/>
                <w:color w:val="auto"/>
              </w:rPr>
              <w:t>October 8, 2008 version)</w:t>
            </w:r>
          </w:p>
        </w:tc>
      </w:tr>
      <w:tr>
        <w:trPr>
          <w:trHeight w:val="675"/>
        </w:trPr>
        <w:tc>
          <w:tcPr>
            <w:tcW w:w="1100" w:type="dxa"/>
            <w:vAlign w:val="bottom"/>
          </w:tcPr>
          <w:p>
            <w:pPr>
              <w:spacing w:after="0"/>
              <w:rPr>
                <w:sz w:val="20"/>
                <w:szCs w:val="20"/>
                <w:color w:val="auto"/>
              </w:rPr>
            </w:pPr>
            <w:r>
              <w:rPr>
                <w:rFonts w:ascii="Arial" w:cs="Arial" w:eastAsia="Arial" w:hAnsi="Arial"/>
                <w:sz w:val="18"/>
                <w:szCs w:val="18"/>
                <w:color w:val="auto"/>
              </w:rPr>
              <w:t>10.7(f)(iii)</w:t>
            </w:r>
          </w:p>
        </w:tc>
        <w:tc>
          <w:tcPr>
            <w:tcW w:w="5600" w:type="dxa"/>
            <w:vAlign w:val="bottom"/>
          </w:tcPr>
          <w:p>
            <w:pPr>
              <w:ind w:left="320"/>
              <w:spacing w:after="0"/>
              <w:rPr>
                <w:sz w:val="20"/>
                <w:szCs w:val="20"/>
                <w:color w:val="auto"/>
              </w:rPr>
            </w:pPr>
            <w:r>
              <w:rPr>
                <w:rFonts w:ascii="Arial" w:cs="Arial" w:eastAsia="Arial" w:hAnsi="Arial"/>
                <w:sz w:val="18"/>
                <w:szCs w:val="18"/>
                <w:color w:val="auto"/>
              </w:rPr>
              <w:t>Special Nonqualified Stock Option Award Agreement for</w:t>
            </w:r>
          </w:p>
        </w:tc>
      </w:tr>
      <w:tr>
        <w:trPr>
          <w:trHeight w:val="203"/>
        </w:trPr>
        <w:tc>
          <w:tcPr>
            <w:tcW w:w="1100" w:type="dxa"/>
            <w:vAlign w:val="bottom"/>
          </w:tcPr>
          <w:p>
            <w:pPr>
              <w:spacing w:after="0"/>
              <w:rPr>
                <w:sz w:val="17"/>
                <w:szCs w:val="17"/>
                <w:color w:val="auto"/>
              </w:rPr>
            </w:pPr>
          </w:p>
        </w:tc>
        <w:tc>
          <w:tcPr>
            <w:tcW w:w="5600" w:type="dxa"/>
            <w:vAlign w:val="bottom"/>
          </w:tcPr>
          <w:p>
            <w:pPr>
              <w:ind w:left="320"/>
              <w:spacing w:after="0" w:line="202" w:lineRule="exact"/>
              <w:rPr>
                <w:sz w:val="20"/>
                <w:szCs w:val="20"/>
                <w:color w:val="auto"/>
              </w:rPr>
            </w:pPr>
            <w:r>
              <w:rPr>
                <w:rFonts w:ascii="Arial" w:cs="Arial" w:eastAsia="Arial" w:hAnsi="Arial"/>
                <w:sz w:val="18"/>
                <w:szCs w:val="18"/>
                <w:color w:val="auto"/>
              </w:rPr>
              <w:t>Employees evidencing grant of Nonqualified Stock Options made</w:t>
            </w:r>
          </w:p>
        </w:tc>
      </w:tr>
      <w:tr>
        <w:trPr>
          <w:trHeight w:val="203"/>
        </w:trPr>
        <w:tc>
          <w:tcPr>
            <w:tcW w:w="1100" w:type="dxa"/>
            <w:vAlign w:val="bottom"/>
          </w:tcPr>
          <w:p>
            <w:pPr>
              <w:spacing w:after="0"/>
              <w:rPr>
                <w:sz w:val="17"/>
                <w:szCs w:val="17"/>
                <w:color w:val="auto"/>
              </w:rPr>
            </w:pPr>
          </w:p>
        </w:tc>
        <w:tc>
          <w:tcPr>
            <w:tcW w:w="5600" w:type="dxa"/>
            <w:vAlign w:val="bottom"/>
          </w:tcPr>
          <w:p>
            <w:pPr>
              <w:ind w:left="320"/>
              <w:spacing w:after="0" w:line="202" w:lineRule="exact"/>
              <w:rPr>
                <w:sz w:val="20"/>
                <w:szCs w:val="20"/>
                <w:color w:val="auto"/>
              </w:rPr>
            </w:pPr>
            <w:r>
              <w:rPr>
                <w:rFonts w:ascii="Arial" w:cs="Arial" w:eastAsia="Arial" w:hAnsi="Arial"/>
                <w:sz w:val="18"/>
                <w:szCs w:val="18"/>
                <w:color w:val="auto"/>
              </w:rPr>
              <w:t>on October 8, 2008 to Mark R. Baker under The Scotts Miracle-</w:t>
            </w:r>
          </w:p>
        </w:tc>
      </w:tr>
      <w:tr>
        <w:trPr>
          <w:trHeight w:val="203"/>
        </w:trPr>
        <w:tc>
          <w:tcPr>
            <w:tcW w:w="1100" w:type="dxa"/>
            <w:vAlign w:val="bottom"/>
          </w:tcPr>
          <w:p>
            <w:pPr>
              <w:spacing w:after="0"/>
              <w:rPr>
                <w:sz w:val="17"/>
                <w:szCs w:val="17"/>
                <w:color w:val="auto"/>
              </w:rPr>
            </w:pPr>
          </w:p>
        </w:tc>
        <w:tc>
          <w:tcPr>
            <w:tcW w:w="5600" w:type="dxa"/>
            <w:vAlign w:val="bottom"/>
          </w:tcPr>
          <w:p>
            <w:pPr>
              <w:ind w:left="320"/>
              <w:spacing w:after="0" w:line="202" w:lineRule="exact"/>
              <w:rPr>
                <w:sz w:val="20"/>
                <w:szCs w:val="20"/>
                <w:color w:val="auto"/>
              </w:rPr>
            </w:pPr>
            <w:r>
              <w:rPr>
                <w:rFonts w:ascii="Arial" w:cs="Arial" w:eastAsia="Arial" w:hAnsi="Arial"/>
                <w:sz w:val="18"/>
                <w:szCs w:val="18"/>
                <w:color w:val="auto"/>
              </w:rPr>
              <w:t>Gro Company Amended and Restated 2006 Long-Term Incentive</w:t>
            </w:r>
          </w:p>
        </w:tc>
      </w:tr>
      <w:tr>
        <w:trPr>
          <w:trHeight w:val="243"/>
        </w:trPr>
        <w:tc>
          <w:tcPr>
            <w:tcW w:w="1100" w:type="dxa"/>
            <w:vAlign w:val="bottom"/>
          </w:tcPr>
          <w:p>
            <w:pPr>
              <w:spacing w:after="0"/>
              <w:rPr>
                <w:sz w:val="21"/>
                <w:szCs w:val="21"/>
                <w:color w:val="auto"/>
              </w:rPr>
            </w:pPr>
          </w:p>
        </w:tc>
        <w:tc>
          <w:tcPr>
            <w:tcW w:w="5600" w:type="dxa"/>
            <w:vAlign w:val="bottom"/>
          </w:tcPr>
          <w:p>
            <w:pPr>
              <w:ind w:left="320"/>
              <w:spacing w:after="0"/>
              <w:rPr>
                <w:sz w:val="20"/>
                <w:szCs w:val="20"/>
                <w:color w:val="auto"/>
              </w:rPr>
            </w:pPr>
            <w:r>
              <w:rPr>
                <w:rFonts w:ascii="Arial" w:cs="Arial" w:eastAsia="Arial" w:hAnsi="Arial"/>
                <w:sz w:val="18"/>
                <w:szCs w:val="18"/>
                <w:color w:val="auto"/>
              </w:rPr>
              <w:t>Plan</w:t>
            </w:r>
          </w:p>
        </w:tc>
      </w:tr>
      <w:tr>
        <w:trPr>
          <w:trHeight w:val="675"/>
        </w:trPr>
        <w:tc>
          <w:tcPr>
            <w:tcW w:w="1100" w:type="dxa"/>
            <w:vAlign w:val="bottom"/>
          </w:tcPr>
          <w:p>
            <w:pPr>
              <w:spacing w:after="0"/>
              <w:rPr>
                <w:sz w:val="20"/>
                <w:szCs w:val="20"/>
                <w:color w:val="auto"/>
              </w:rPr>
            </w:pPr>
            <w:r>
              <w:rPr>
                <w:rFonts w:ascii="Arial" w:cs="Arial" w:eastAsia="Arial" w:hAnsi="Arial"/>
                <w:sz w:val="18"/>
                <w:szCs w:val="18"/>
                <w:color w:val="auto"/>
              </w:rPr>
              <w:t>10.7(f)(iv)</w:t>
            </w:r>
          </w:p>
        </w:tc>
        <w:tc>
          <w:tcPr>
            <w:tcW w:w="5600" w:type="dxa"/>
            <w:vAlign w:val="bottom"/>
          </w:tcPr>
          <w:p>
            <w:pPr>
              <w:ind w:left="320"/>
              <w:spacing w:after="0"/>
              <w:rPr>
                <w:sz w:val="20"/>
                <w:szCs w:val="20"/>
                <w:color w:val="auto"/>
              </w:rPr>
            </w:pPr>
            <w:r>
              <w:rPr>
                <w:rFonts w:ascii="Arial" w:cs="Arial" w:eastAsia="Arial" w:hAnsi="Arial"/>
                <w:sz w:val="18"/>
                <w:szCs w:val="18"/>
                <w:color w:val="auto"/>
                <w:w w:val="99"/>
              </w:rPr>
              <w:t>Specimen form of Nonqualified Stock Option Award Agreement for</w:t>
            </w:r>
          </w:p>
        </w:tc>
      </w:tr>
      <w:tr>
        <w:trPr>
          <w:trHeight w:val="203"/>
        </w:trPr>
        <w:tc>
          <w:tcPr>
            <w:tcW w:w="1100" w:type="dxa"/>
            <w:vAlign w:val="bottom"/>
          </w:tcPr>
          <w:p>
            <w:pPr>
              <w:spacing w:after="0"/>
              <w:rPr>
                <w:sz w:val="17"/>
                <w:szCs w:val="17"/>
                <w:color w:val="auto"/>
              </w:rPr>
            </w:pPr>
          </w:p>
        </w:tc>
        <w:tc>
          <w:tcPr>
            <w:tcW w:w="5600" w:type="dxa"/>
            <w:vAlign w:val="bottom"/>
          </w:tcPr>
          <w:p>
            <w:pPr>
              <w:ind w:left="320"/>
              <w:spacing w:after="0" w:line="202" w:lineRule="exact"/>
              <w:rPr>
                <w:sz w:val="20"/>
                <w:szCs w:val="20"/>
                <w:color w:val="auto"/>
              </w:rPr>
            </w:pPr>
            <w:r>
              <w:rPr>
                <w:rFonts w:ascii="Arial" w:cs="Arial" w:eastAsia="Arial" w:hAnsi="Arial"/>
                <w:sz w:val="18"/>
                <w:szCs w:val="18"/>
                <w:color w:val="auto"/>
                <w:w w:val="99"/>
              </w:rPr>
              <w:t>Employees used to evidence grants of Nonqualified Stock Options</w:t>
            </w:r>
          </w:p>
        </w:tc>
      </w:tr>
      <w:tr>
        <w:trPr>
          <w:trHeight w:val="203"/>
        </w:trPr>
        <w:tc>
          <w:tcPr>
            <w:tcW w:w="1100" w:type="dxa"/>
            <w:vAlign w:val="bottom"/>
          </w:tcPr>
          <w:p>
            <w:pPr>
              <w:spacing w:after="0"/>
              <w:rPr>
                <w:sz w:val="17"/>
                <w:szCs w:val="17"/>
                <w:color w:val="auto"/>
              </w:rPr>
            </w:pPr>
          </w:p>
        </w:tc>
        <w:tc>
          <w:tcPr>
            <w:tcW w:w="5600" w:type="dxa"/>
            <w:vAlign w:val="bottom"/>
          </w:tcPr>
          <w:p>
            <w:pPr>
              <w:ind w:left="320"/>
              <w:spacing w:after="0" w:line="202" w:lineRule="exact"/>
              <w:rPr>
                <w:sz w:val="20"/>
                <w:szCs w:val="20"/>
                <w:color w:val="auto"/>
              </w:rPr>
            </w:pPr>
            <w:r>
              <w:rPr>
                <w:rFonts w:ascii="Arial" w:cs="Arial" w:eastAsia="Arial" w:hAnsi="Arial"/>
                <w:sz w:val="18"/>
                <w:szCs w:val="18"/>
                <w:color w:val="auto"/>
              </w:rPr>
              <w:t>which may be made under The Scotts Miracle-Gro Company</w:t>
            </w:r>
          </w:p>
        </w:tc>
      </w:tr>
      <w:tr>
        <w:trPr>
          <w:trHeight w:val="203"/>
        </w:trPr>
        <w:tc>
          <w:tcPr>
            <w:tcW w:w="1100" w:type="dxa"/>
            <w:vAlign w:val="bottom"/>
          </w:tcPr>
          <w:p>
            <w:pPr>
              <w:spacing w:after="0"/>
              <w:rPr>
                <w:sz w:val="17"/>
                <w:szCs w:val="17"/>
                <w:color w:val="auto"/>
              </w:rPr>
            </w:pPr>
          </w:p>
        </w:tc>
        <w:tc>
          <w:tcPr>
            <w:tcW w:w="5600" w:type="dxa"/>
            <w:vAlign w:val="bottom"/>
          </w:tcPr>
          <w:p>
            <w:pPr>
              <w:ind w:left="320"/>
              <w:spacing w:after="0" w:line="202" w:lineRule="exact"/>
              <w:rPr>
                <w:sz w:val="20"/>
                <w:szCs w:val="20"/>
                <w:color w:val="auto"/>
              </w:rPr>
            </w:pPr>
            <w:r>
              <w:rPr>
                <w:rFonts w:ascii="Arial" w:cs="Arial" w:eastAsia="Arial" w:hAnsi="Arial"/>
                <w:sz w:val="18"/>
                <w:szCs w:val="18"/>
                <w:color w:val="auto"/>
              </w:rPr>
              <w:t>Amended and Restated 2006 Long-Term Incentive Plan (French</w:t>
            </w:r>
          </w:p>
        </w:tc>
      </w:tr>
      <w:tr>
        <w:trPr>
          <w:trHeight w:val="243"/>
        </w:trPr>
        <w:tc>
          <w:tcPr>
            <w:tcW w:w="1100" w:type="dxa"/>
            <w:vAlign w:val="bottom"/>
          </w:tcPr>
          <w:p>
            <w:pPr>
              <w:spacing w:after="0"/>
              <w:rPr>
                <w:sz w:val="21"/>
                <w:szCs w:val="21"/>
                <w:color w:val="auto"/>
              </w:rPr>
            </w:pPr>
          </w:p>
        </w:tc>
        <w:tc>
          <w:tcPr>
            <w:tcW w:w="5600" w:type="dxa"/>
            <w:vAlign w:val="bottom"/>
          </w:tcPr>
          <w:p>
            <w:pPr>
              <w:ind w:left="320"/>
              <w:spacing w:after="0"/>
              <w:rPr>
                <w:sz w:val="20"/>
                <w:szCs w:val="20"/>
                <w:color w:val="auto"/>
              </w:rPr>
            </w:pPr>
            <w:r>
              <w:rPr>
                <w:rFonts w:ascii="Arial" w:cs="Arial" w:eastAsia="Arial" w:hAnsi="Arial"/>
                <w:sz w:val="18"/>
                <w:szCs w:val="18"/>
                <w:color w:val="auto"/>
              </w:rPr>
              <w:t>Specimen)</w:t>
            </w:r>
          </w:p>
        </w:tc>
      </w:tr>
      <w:tr>
        <w:trPr>
          <w:trHeight w:val="270"/>
        </w:trPr>
        <w:tc>
          <w:tcPr>
            <w:tcW w:w="1100" w:type="dxa"/>
            <w:vAlign w:val="bottom"/>
          </w:tcPr>
          <w:p>
            <w:pPr>
              <w:spacing w:after="0"/>
              <w:rPr>
                <w:sz w:val="20"/>
                <w:szCs w:val="20"/>
                <w:color w:val="auto"/>
              </w:rPr>
            </w:pPr>
            <w:r>
              <w:rPr>
                <w:rFonts w:ascii="Arial" w:cs="Arial" w:eastAsia="Arial" w:hAnsi="Arial"/>
                <w:sz w:val="18"/>
                <w:szCs w:val="18"/>
                <w:color w:val="auto"/>
              </w:rPr>
              <w:t>10.7(g)(i)</w:t>
            </w:r>
          </w:p>
        </w:tc>
        <w:tc>
          <w:tcPr>
            <w:tcW w:w="5600" w:type="dxa"/>
            <w:vAlign w:val="bottom"/>
          </w:tcPr>
          <w:p>
            <w:pPr>
              <w:ind w:left="320"/>
              <w:spacing w:after="0"/>
              <w:rPr>
                <w:sz w:val="20"/>
                <w:szCs w:val="20"/>
                <w:color w:val="auto"/>
              </w:rPr>
            </w:pPr>
            <w:r>
              <w:rPr>
                <w:rFonts w:ascii="Arial" w:cs="Arial" w:eastAsia="Arial" w:hAnsi="Arial"/>
                <w:sz w:val="18"/>
                <w:szCs w:val="18"/>
                <w:color w:val="auto"/>
              </w:rPr>
              <w:t>Form of letter agreement amending grants of Restricted Stock</w:t>
            </w:r>
          </w:p>
        </w:tc>
      </w:tr>
      <w:tr>
        <w:trPr>
          <w:trHeight w:val="203"/>
        </w:trPr>
        <w:tc>
          <w:tcPr>
            <w:tcW w:w="1100" w:type="dxa"/>
            <w:vAlign w:val="bottom"/>
          </w:tcPr>
          <w:p>
            <w:pPr>
              <w:spacing w:after="0"/>
              <w:rPr>
                <w:sz w:val="17"/>
                <w:szCs w:val="17"/>
                <w:color w:val="auto"/>
              </w:rPr>
            </w:pPr>
          </w:p>
        </w:tc>
        <w:tc>
          <w:tcPr>
            <w:tcW w:w="5600" w:type="dxa"/>
            <w:vAlign w:val="bottom"/>
          </w:tcPr>
          <w:p>
            <w:pPr>
              <w:ind w:left="320"/>
              <w:spacing w:after="0" w:line="202" w:lineRule="exact"/>
              <w:rPr>
                <w:sz w:val="20"/>
                <w:szCs w:val="20"/>
                <w:color w:val="auto"/>
              </w:rPr>
            </w:pPr>
            <w:r>
              <w:rPr>
                <w:rFonts w:ascii="Arial" w:cs="Arial" w:eastAsia="Arial" w:hAnsi="Arial"/>
                <w:sz w:val="18"/>
                <w:szCs w:val="18"/>
                <w:color w:val="auto"/>
              </w:rPr>
              <w:t>made under The Scotts Miracle-Gro Company 2006 Long-Term</w:t>
            </w:r>
          </w:p>
        </w:tc>
      </w:tr>
      <w:tr>
        <w:trPr>
          <w:trHeight w:val="225"/>
        </w:trPr>
        <w:tc>
          <w:tcPr>
            <w:tcW w:w="1100" w:type="dxa"/>
            <w:vAlign w:val="bottom"/>
          </w:tcPr>
          <w:p>
            <w:pPr>
              <w:spacing w:after="0"/>
              <w:rPr>
                <w:sz w:val="19"/>
                <w:szCs w:val="19"/>
                <w:color w:val="auto"/>
              </w:rPr>
            </w:pPr>
          </w:p>
        </w:tc>
        <w:tc>
          <w:tcPr>
            <w:tcW w:w="5600" w:type="dxa"/>
            <w:vAlign w:val="bottom"/>
          </w:tcPr>
          <w:p>
            <w:pPr>
              <w:ind w:left="320"/>
              <w:spacing w:after="0"/>
              <w:rPr>
                <w:sz w:val="20"/>
                <w:szCs w:val="20"/>
                <w:color w:val="auto"/>
              </w:rPr>
            </w:pPr>
            <w:r>
              <w:rPr>
                <w:rFonts w:ascii="Arial" w:cs="Arial" w:eastAsia="Arial" w:hAnsi="Arial"/>
                <w:sz w:val="18"/>
                <w:szCs w:val="18"/>
                <w:color w:val="auto"/>
              </w:rPr>
              <w:t>Incentive Plan (now known as The Scotts Miracle-Gro Company</w:t>
            </w:r>
          </w:p>
        </w:tc>
      </w:tr>
    </w:tbl>
    <w:p>
      <w:pPr>
        <w:ind w:left="2120" w:right="20"/>
        <w:spacing w:after="0" w:line="251" w:lineRule="auto"/>
        <w:rPr>
          <w:sz w:val="20"/>
          <w:szCs w:val="20"/>
          <w:color w:val="auto"/>
        </w:rPr>
      </w:pPr>
      <w:r>
        <w:rPr>
          <w:rFonts w:ascii="Arial" w:cs="Arial" w:eastAsia="Arial" w:hAnsi="Arial"/>
          <w:sz w:val="18"/>
          <w:szCs w:val="18"/>
          <w:color w:val="auto"/>
        </w:rPr>
        <w:t>Amended and Restated 2006 Long-Term Incentive Plan) [effective as of October 30, 2007]</w:t>
      </w:r>
    </w:p>
    <w:p>
      <w:pPr>
        <w:spacing w:after="0" w:line="10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1"/>
          <w:szCs w:val="11"/>
          <w:b w:val="1"/>
          <w:bCs w:val="1"/>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-78105</wp:posOffset>
            </wp:positionV>
            <wp:extent cx="19748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60"/>
        <w:spacing w:after="0" w:line="239"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2008 (which was filed on November 25, 2008) (File No. 1-13292)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[Exhibit 10.7(f)(ii)]</w:t>
      </w:r>
    </w:p>
    <w:p>
      <w:pPr>
        <w:spacing w:after="0" w:line="82"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2008 (which was filed on November 25, 2008) (File No. 1-13292)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[Exhibit 10.7(f)(iii)]</w:t>
      </w:r>
    </w:p>
    <w:p>
      <w:pPr>
        <w:spacing w:after="0" w:line="82" w:lineRule="exact"/>
        <w:rPr>
          <w:sz w:val="20"/>
          <w:szCs w:val="20"/>
          <w:color w:val="auto"/>
        </w:rPr>
      </w:pPr>
    </w:p>
    <w:p>
      <w:pPr>
        <w:ind w:right="120"/>
        <w:spacing w:after="0" w:line="245"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March 29, 2008 (File No. 1-13292) [Exhibit 10(c)(2)]</w:t>
      </w:r>
    </w:p>
    <w:p>
      <w:pPr>
        <w:spacing w:after="0" w:line="64" w:lineRule="exact"/>
        <w:rPr>
          <w:sz w:val="20"/>
          <w:szCs w:val="20"/>
          <w:color w:val="auto"/>
        </w:rPr>
      </w:pPr>
    </w:p>
    <w:p>
      <w:pPr>
        <w:ind w:right="180"/>
        <w:spacing w:after="0" w:line="245"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2007 (File No. 1-13292) [Exhibit 10(t)(2)]</w:t>
      </w:r>
    </w:p>
    <w:p>
      <w:pPr>
        <w:sectPr>
          <w:pgSz w:w="11900" w:h="16838" w:orient="portrait"/>
          <w:cols w:equalWidth="0" w:num="2">
            <w:col w:w="7400" w:space="340"/>
            <w:col w:w="3000"/>
          </w:cols>
          <w:pgMar w:left="240" w:top="405" w:right="919" w:bottom="1440" w:gutter="0" w:footer="0" w:header="0"/>
          <w:type w:val="continuous"/>
        </w:sectPr>
      </w:pPr>
    </w:p>
    <w:bookmarkStart w:id="59" w:name="page60"/>
    <w:bookmarkEnd w:id="59"/>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Times New Roman" w:cs="Times New Roman" w:eastAsia="Times New Roman" w:hAnsi="Times New Roman"/>
                <w:sz w:val="18"/>
                <w:szCs w:val="18"/>
                <w:b w:val="1"/>
                <w:bCs w:val="1"/>
                <w:color w:val="0000EE"/>
                <w:w w:val="97"/>
              </w:rPr>
            </w:pPr>
            <w:hyperlink w:anchor="page64">
              <w:r>
                <w:rPr>
                  <w:rFonts w:ascii="Times New Roman" w:cs="Times New Roman" w:eastAsia="Times New Roman" w:hAnsi="Times New Roman"/>
                  <w:sz w:val="18"/>
                  <w:szCs w:val="18"/>
                  <w:b w:val="1"/>
                  <w:bCs w:val="1"/>
                  <w:color w:val="0000EE"/>
                  <w:w w:val="97"/>
                </w:rPr>
                <w:t>Table of Contents</w:t>
              </w:r>
            </w:hyperlink>
          </w:p>
        </w:tc>
        <w:tc>
          <w:tcPr>
            <w:tcW w:w="480" w:type="dxa"/>
            <w:vAlign w:val="bottom"/>
          </w:tcPr>
          <w:p>
            <w:pPr>
              <w:spacing w:after="0"/>
              <w:rPr>
                <w:sz w:val="17"/>
                <w:szCs w:val="17"/>
                <w:color w:val="auto"/>
              </w:rPr>
            </w:pPr>
          </w:p>
        </w:tc>
        <w:tc>
          <w:tcPr>
            <w:tcW w:w="5740" w:type="dxa"/>
            <w:vAlign w:val="bottom"/>
          </w:tcPr>
          <w:p>
            <w:pPr>
              <w:spacing w:after="0"/>
              <w:rPr>
                <w:sz w:val="17"/>
                <w:szCs w:val="17"/>
                <w:color w:val="auto"/>
              </w:rPr>
            </w:pPr>
          </w:p>
        </w:tc>
        <w:tc>
          <w:tcPr>
            <w:tcW w:w="3160" w:type="dxa"/>
            <w:vAlign w:val="bottom"/>
          </w:tcPr>
          <w:p>
            <w:pPr>
              <w:spacing w:after="0"/>
              <w:rPr>
                <w:sz w:val="17"/>
                <w:szCs w:val="17"/>
                <w:color w:val="auto"/>
              </w:rPr>
            </w:pPr>
          </w:p>
        </w:tc>
      </w:tr>
      <w:tr>
        <w:trPr>
          <w:trHeight w:val="511"/>
        </w:trPr>
        <w:tc>
          <w:tcPr>
            <w:tcW w:w="700" w:type="dxa"/>
            <w:vAlign w:val="bottom"/>
          </w:tcPr>
          <w:p>
            <w:pPr>
              <w:spacing w:after="0"/>
              <w:rPr>
                <w:sz w:val="24"/>
                <w:szCs w:val="24"/>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9"/>
              </w:rPr>
              <w:t>Exhibit</w:t>
            </w:r>
          </w:p>
        </w:tc>
        <w:tc>
          <w:tcPr>
            <w:tcW w:w="574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39"/>
        </w:trPr>
        <w:tc>
          <w:tcPr>
            <w:tcW w:w="700" w:type="dxa"/>
            <w:vAlign w:val="bottom"/>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9"/>
              </w:rPr>
              <w:t>No.</w:t>
            </w:r>
          </w:p>
        </w:tc>
        <w:tc>
          <w:tcPr>
            <w:tcW w:w="5740" w:type="dxa"/>
            <w:vAlign w:val="bottom"/>
            <w:tcBorders>
              <w:bottom w:val="single" w:sz="8" w:color="auto"/>
            </w:tcBorders>
          </w:tcPr>
          <w:p>
            <w:pPr>
              <w:ind w:left="2480"/>
              <w:spacing w:after="0"/>
              <w:rPr>
                <w:sz w:val="20"/>
                <w:szCs w:val="20"/>
                <w:color w:val="auto"/>
              </w:rPr>
            </w:pPr>
            <w:r>
              <w:rPr>
                <w:rFonts w:ascii="Arial" w:cs="Arial" w:eastAsia="Arial" w:hAnsi="Arial"/>
                <w:sz w:val="18"/>
                <w:szCs w:val="18"/>
                <w:color w:val="auto"/>
              </w:rPr>
              <w:t>Description</w:t>
            </w:r>
          </w:p>
        </w:tc>
        <w:tc>
          <w:tcPr>
            <w:tcW w:w="3160" w:type="dxa"/>
            <w:vAlign w:val="bottom"/>
            <w:tcBorders>
              <w:bottom w:val="single" w:sz="8" w:color="auto"/>
            </w:tcBorders>
          </w:tcPr>
          <w:p>
            <w:pPr>
              <w:ind w:left="1320"/>
              <w:spacing w:after="0"/>
              <w:rPr>
                <w:sz w:val="20"/>
                <w:szCs w:val="20"/>
                <w:color w:val="auto"/>
              </w:rPr>
            </w:pPr>
            <w:r>
              <w:rPr>
                <w:rFonts w:ascii="Arial" w:cs="Arial" w:eastAsia="Arial" w:hAnsi="Arial"/>
                <w:sz w:val="18"/>
                <w:szCs w:val="18"/>
                <w:color w:val="auto"/>
              </w:rPr>
              <w:t>Location</w:t>
            </w:r>
          </w:p>
        </w:tc>
      </w:tr>
      <w:tr>
        <w:trPr>
          <w:trHeight w:val="335"/>
        </w:trPr>
        <w:tc>
          <w:tcPr>
            <w:tcW w:w="1840" w:type="dxa"/>
            <w:vAlign w:val="bottom"/>
            <w:gridSpan w:val="3"/>
          </w:tcPr>
          <w:p>
            <w:pPr>
              <w:ind w:left="700"/>
              <w:spacing w:after="0"/>
              <w:rPr>
                <w:sz w:val="20"/>
                <w:szCs w:val="20"/>
                <w:color w:val="auto"/>
              </w:rPr>
            </w:pPr>
            <w:r>
              <w:rPr>
                <w:rFonts w:ascii="Arial" w:cs="Arial" w:eastAsia="Arial" w:hAnsi="Arial"/>
                <w:sz w:val="18"/>
                <w:szCs w:val="18"/>
                <w:color w:val="auto"/>
              </w:rPr>
              <w:t>10.7(g)(ii)</w:t>
            </w:r>
          </w:p>
        </w:tc>
        <w:tc>
          <w:tcPr>
            <w:tcW w:w="5740" w:type="dxa"/>
            <w:vAlign w:val="bottom"/>
          </w:tcPr>
          <w:p>
            <w:pPr>
              <w:ind w:left="280"/>
              <w:spacing w:after="0"/>
              <w:rPr>
                <w:sz w:val="20"/>
                <w:szCs w:val="20"/>
                <w:color w:val="auto"/>
              </w:rPr>
            </w:pPr>
            <w:r>
              <w:rPr>
                <w:rFonts w:ascii="Arial" w:cs="Arial" w:eastAsia="Arial" w:hAnsi="Arial"/>
                <w:sz w:val="18"/>
                <w:szCs w:val="18"/>
                <w:color w:val="auto"/>
              </w:rPr>
              <w:t>Specimen form of Restricted Stock Award Agreement for</w:t>
            </w:r>
          </w:p>
        </w:tc>
        <w:tc>
          <w:tcPr>
            <w:tcW w:w="3160" w:type="dxa"/>
            <w:vAlign w:val="bottom"/>
          </w:tcPr>
          <w:p>
            <w:pPr>
              <w:ind w:left="160"/>
              <w:spacing w:after="0"/>
              <w:rPr>
                <w:sz w:val="20"/>
                <w:szCs w:val="20"/>
                <w:color w:val="auto"/>
              </w:rPr>
            </w:pPr>
            <w:r>
              <w:rPr>
                <w:rFonts w:ascii="Arial" w:cs="Arial" w:eastAsia="Arial" w:hAnsi="Arial"/>
                <w:sz w:val="18"/>
                <w:szCs w:val="18"/>
                <w:color w:val="auto"/>
              </w:rPr>
              <w:t>Incorporated herein by reference to</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740" w:type="dxa"/>
            <w:vAlign w:val="bottom"/>
          </w:tcPr>
          <w:p>
            <w:pPr>
              <w:ind w:left="280"/>
              <w:spacing w:after="0" w:line="202" w:lineRule="exact"/>
              <w:rPr>
                <w:sz w:val="20"/>
                <w:szCs w:val="20"/>
                <w:color w:val="auto"/>
              </w:rPr>
            </w:pPr>
            <w:r>
              <w:rPr>
                <w:rFonts w:ascii="Arial" w:cs="Arial" w:eastAsia="Arial" w:hAnsi="Arial"/>
                <w:sz w:val="18"/>
                <w:szCs w:val="18"/>
                <w:color w:val="auto"/>
              </w:rPr>
              <w:t>Employees used to evidence grants of Restricted Stock made</w:t>
            </w:r>
          </w:p>
        </w:tc>
        <w:tc>
          <w:tcPr>
            <w:tcW w:w="3160" w:type="dxa"/>
            <w:vAlign w:val="bottom"/>
          </w:tcPr>
          <w:p>
            <w:pPr>
              <w:ind w:left="160"/>
              <w:spacing w:after="0" w:line="202" w:lineRule="exact"/>
              <w:rPr>
                <w:sz w:val="20"/>
                <w:szCs w:val="20"/>
                <w:color w:val="auto"/>
              </w:rPr>
            </w:pPr>
            <w:r>
              <w:rPr>
                <w:rFonts w:ascii="Arial" w:cs="Arial" w:eastAsia="Arial" w:hAnsi="Arial"/>
                <w:sz w:val="18"/>
                <w:szCs w:val="18"/>
                <w:color w:val="auto"/>
              </w:rPr>
              <w:t>the Registrant’s Annual Report on</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740" w:type="dxa"/>
            <w:vAlign w:val="bottom"/>
          </w:tcPr>
          <w:p>
            <w:pPr>
              <w:ind w:left="280"/>
              <w:spacing w:after="0" w:line="202" w:lineRule="exact"/>
              <w:rPr>
                <w:sz w:val="20"/>
                <w:szCs w:val="20"/>
                <w:color w:val="auto"/>
              </w:rPr>
            </w:pPr>
            <w:r>
              <w:rPr>
                <w:rFonts w:ascii="Arial" w:cs="Arial" w:eastAsia="Arial" w:hAnsi="Arial"/>
                <w:sz w:val="18"/>
                <w:szCs w:val="18"/>
                <w:color w:val="auto"/>
              </w:rPr>
              <w:t>under The Scotts Miracle-Gro Company 2006 Long-Term Incentive</w:t>
            </w:r>
          </w:p>
        </w:tc>
        <w:tc>
          <w:tcPr>
            <w:tcW w:w="3160" w:type="dxa"/>
            <w:vAlign w:val="bottom"/>
          </w:tcPr>
          <w:p>
            <w:pPr>
              <w:ind w:left="160"/>
              <w:spacing w:after="0" w:line="202" w:lineRule="exact"/>
              <w:rPr>
                <w:sz w:val="20"/>
                <w:szCs w:val="20"/>
                <w:color w:val="auto"/>
              </w:rPr>
            </w:pPr>
            <w:r>
              <w:rPr>
                <w:rFonts w:ascii="Arial" w:cs="Arial" w:eastAsia="Arial" w:hAnsi="Arial"/>
                <w:sz w:val="18"/>
                <w:szCs w:val="18"/>
                <w:color w:val="auto"/>
              </w:rPr>
              <w:t>Form 10-K for the fiscal year ended</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740" w:type="dxa"/>
            <w:vAlign w:val="bottom"/>
          </w:tcPr>
          <w:p>
            <w:pPr>
              <w:ind w:left="280"/>
              <w:spacing w:after="0" w:line="202" w:lineRule="exact"/>
              <w:rPr>
                <w:sz w:val="20"/>
                <w:szCs w:val="20"/>
                <w:color w:val="auto"/>
              </w:rPr>
            </w:pPr>
            <w:r>
              <w:rPr>
                <w:rFonts w:ascii="Arial" w:cs="Arial" w:eastAsia="Arial" w:hAnsi="Arial"/>
                <w:sz w:val="18"/>
                <w:szCs w:val="18"/>
                <w:color w:val="auto"/>
              </w:rPr>
              <w:t>Plan (now known as The Scotts Miracle-Gro Company Amended</w:t>
            </w:r>
          </w:p>
        </w:tc>
        <w:tc>
          <w:tcPr>
            <w:tcW w:w="3160" w:type="dxa"/>
            <w:vAlign w:val="bottom"/>
          </w:tcPr>
          <w:p>
            <w:pPr>
              <w:ind w:left="160"/>
              <w:spacing w:after="0" w:line="202" w:lineRule="exact"/>
              <w:rPr>
                <w:sz w:val="20"/>
                <w:szCs w:val="20"/>
                <w:color w:val="auto"/>
              </w:rPr>
            </w:pPr>
            <w:r>
              <w:rPr>
                <w:rFonts w:ascii="Arial" w:cs="Arial" w:eastAsia="Arial" w:hAnsi="Arial"/>
                <w:sz w:val="18"/>
                <w:szCs w:val="18"/>
                <w:color w:val="auto"/>
              </w:rPr>
              <w:t>September 30, 2007 (File No. 1-</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740" w:type="dxa"/>
            <w:vAlign w:val="bottom"/>
          </w:tcPr>
          <w:p>
            <w:pPr>
              <w:ind w:left="280"/>
              <w:spacing w:after="0" w:line="202" w:lineRule="exact"/>
              <w:rPr>
                <w:sz w:val="20"/>
                <w:szCs w:val="20"/>
                <w:color w:val="auto"/>
              </w:rPr>
            </w:pPr>
            <w:r>
              <w:rPr>
                <w:rFonts w:ascii="Arial" w:cs="Arial" w:eastAsia="Arial" w:hAnsi="Arial"/>
                <w:sz w:val="18"/>
                <w:szCs w:val="18"/>
                <w:color w:val="auto"/>
              </w:rPr>
              <w:t>and Restated 2006 Long-Term Incentive Plan) [October 30, 2007</w:t>
            </w:r>
          </w:p>
        </w:tc>
        <w:tc>
          <w:tcPr>
            <w:tcW w:w="3160" w:type="dxa"/>
            <w:vAlign w:val="bottom"/>
          </w:tcPr>
          <w:p>
            <w:pPr>
              <w:ind w:left="160"/>
              <w:spacing w:after="0" w:line="202" w:lineRule="exact"/>
              <w:rPr>
                <w:sz w:val="20"/>
                <w:szCs w:val="20"/>
                <w:color w:val="auto"/>
              </w:rPr>
            </w:pPr>
            <w:r>
              <w:rPr>
                <w:rFonts w:ascii="Arial" w:cs="Arial" w:eastAsia="Arial" w:hAnsi="Arial"/>
                <w:sz w:val="18"/>
                <w:szCs w:val="18"/>
                <w:color w:val="auto"/>
              </w:rPr>
              <w:t>13292) [Exhibit 10(t)(4)]</w:t>
            </w:r>
          </w:p>
        </w:tc>
      </w:tr>
      <w:tr>
        <w:trPr>
          <w:trHeight w:val="243"/>
        </w:trPr>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740" w:type="dxa"/>
            <w:vAlign w:val="bottom"/>
          </w:tcPr>
          <w:p>
            <w:pPr>
              <w:ind w:left="280"/>
              <w:spacing w:after="0"/>
              <w:rPr>
                <w:sz w:val="20"/>
                <w:szCs w:val="20"/>
                <w:color w:val="auto"/>
              </w:rPr>
            </w:pPr>
            <w:r>
              <w:rPr>
                <w:rFonts w:ascii="Arial" w:cs="Arial" w:eastAsia="Arial" w:hAnsi="Arial"/>
                <w:sz w:val="18"/>
                <w:szCs w:val="18"/>
                <w:color w:val="auto"/>
              </w:rPr>
              <w:t>through October 8, 2008 version]</w:t>
            </w:r>
          </w:p>
        </w:tc>
        <w:tc>
          <w:tcPr>
            <w:tcW w:w="3160" w:type="dxa"/>
            <w:vAlign w:val="bottom"/>
          </w:tcPr>
          <w:p>
            <w:pPr>
              <w:spacing w:after="0"/>
              <w:rPr>
                <w:sz w:val="21"/>
                <w:szCs w:val="21"/>
                <w:color w:val="auto"/>
              </w:rPr>
            </w:pPr>
          </w:p>
        </w:tc>
      </w:tr>
    </w:tbl>
    <w:p>
      <w:pPr>
        <w:spacing w:after="0" w:line="63" w:lineRule="exact"/>
        <w:rPr>
          <w:sz w:val="20"/>
          <w:szCs w:val="20"/>
          <w:color w:val="auto"/>
        </w:rPr>
      </w:pPr>
    </w:p>
    <w:p>
      <w:pPr>
        <w:sectPr>
          <w:pgSz w:w="11900" w:h="16838" w:orient="portrait"/>
          <w:cols w:equalWidth="0" w:num="1">
            <w:col w:w="10740"/>
          </w:cols>
          <w:pgMar w:left="240" w:top="405" w:right="919" w:bottom="1440" w:gutter="0" w:footer="0" w:header="0"/>
        </w:sectPr>
      </w:pPr>
    </w:p>
    <w:tbl>
      <w:tblPr>
        <w:tblLayout w:type="fixed"/>
        <w:tblInd w:w="700" w:type="dxa"/>
        <w:tblCellMar>
          <w:top w:w="0" w:type="dxa"/>
          <w:left w:w="0" w:type="dxa"/>
          <w:bottom w:w="0" w:type="dxa"/>
          <w:right w:w="0" w:type="dxa"/>
        </w:tblCellMar>
      </w:tblPr>
      <w:tr>
        <w:trPr>
          <w:trHeight w:val="207"/>
        </w:trPr>
        <w:tc>
          <w:tcPr>
            <w:tcW w:w="1120" w:type="dxa"/>
            <w:vAlign w:val="bottom"/>
          </w:tcPr>
          <w:p>
            <w:pPr>
              <w:spacing w:after="0"/>
              <w:rPr>
                <w:sz w:val="20"/>
                <w:szCs w:val="20"/>
                <w:color w:val="auto"/>
              </w:rPr>
            </w:pPr>
            <w:r>
              <w:rPr>
                <w:rFonts w:ascii="Arial" w:cs="Arial" w:eastAsia="Arial" w:hAnsi="Arial"/>
                <w:sz w:val="18"/>
                <w:szCs w:val="18"/>
                <w:color w:val="auto"/>
              </w:rPr>
              <w:t>10.7(g)(iii)</w:t>
            </w:r>
          </w:p>
        </w:tc>
        <w:tc>
          <w:tcPr>
            <w:tcW w:w="5600" w:type="dxa"/>
            <w:vAlign w:val="bottom"/>
          </w:tcPr>
          <w:p>
            <w:pPr>
              <w:ind w:left="300"/>
              <w:spacing w:after="0"/>
              <w:rPr>
                <w:sz w:val="20"/>
                <w:szCs w:val="20"/>
                <w:color w:val="auto"/>
              </w:rPr>
            </w:pPr>
            <w:r>
              <w:rPr>
                <w:rFonts w:ascii="Arial" w:cs="Arial" w:eastAsia="Arial" w:hAnsi="Arial"/>
                <w:sz w:val="18"/>
                <w:szCs w:val="18"/>
                <w:color w:val="auto"/>
              </w:rPr>
              <w:t>Specimen form of Restricted Stock Award Agreement for</w:t>
            </w:r>
          </w:p>
        </w:tc>
      </w:tr>
      <w:tr>
        <w:trPr>
          <w:trHeight w:val="203"/>
        </w:trPr>
        <w:tc>
          <w:tcPr>
            <w:tcW w:w="1120" w:type="dxa"/>
            <w:vAlign w:val="bottom"/>
          </w:tcPr>
          <w:p>
            <w:pPr>
              <w:spacing w:after="0"/>
              <w:rPr>
                <w:sz w:val="17"/>
                <w:szCs w:val="17"/>
                <w:color w:val="auto"/>
              </w:rPr>
            </w:pPr>
          </w:p>
        </w:tc>
        <w:tc>
          <w:tcPr>
            <w:tcW w:w="5600" w:type="dxa"/>
            <w:vAlign w:val="bottom"/>
          </w:tcPr>
          <w:p>
            <w:pPr>
              <w:ind w:left="300"/>
              <w:spacing w:after="0" w:line="202" w:lineRule="exact"/>
              <w:rPr>
                <w:sz w:val="20"/>
                <w:szCs w:val="20"/>
                <w:color w:val="auto"/>
              </w:rPr>
            </w:pPr>
            <w:r>
              <w:rPr>
                <w:rFonts w:ascii="Arial" w:cs="Arial" w:eastAsia="Arial" w:hAnsi="Arial"/>
                <w:sz w:val="18"/>
                <w:szCs w:val="18"/>
                <w:color w:val="auto"/>
                <w:w w:val="99"/>
              </w:rPr>
              <w:t>Employees used to evidence grants of Restricted Stock which may</w:t>
            </w:r>
          </w:p>
        </w:tc>
      </w:tr>
      <w:tr>
        <w:trPr>
          <w:trHeight w:val="203"/>
        </w:trPr>
        <w:tc>
          <w:tcPr>
            <w:tcW w:w="1120" w:type="dxa"/>
            <w:vAlign w:val="bottom"/>
          </w:tcPr>
          <w:p>
            <w:pPr>
              <w:spacing w:after="0"/>
              <w:rPr>
                <w:sz w:val="17"/>
                <w:szCs w:val="17"/>
                <w:color w:val="auto"/>
              </w:rPr>
            </w:pPr>
          </w:p>
        </w:tc>
        <w:tc>
          <w:tcPr>
            <w:tcW w:w="5600" w:type="dxa"/>
            <w:vAlign w:val="bottom"/>
          </w:tcPr>
          <w:p>
            <w:pPr>
              <w:ind w:left="300"/>
              <w:spacing w:after="0" w:line="202" w:lineRule="exact"/>
              <w:rPr>
                <w:sz w:val="20"/>
                <w:szCs w:val="20"/>
                <w:color w:val="auto"/>
              </w:rPr>
            </w:pPr>
            <w:r>
              <w:rPr>
                <w:rFonts w:ascii="Arial" w:cs="Arial" w:eastAsia="Arial" w:hAnsi="Arial"/>
                <w:sz w:val="18"/>
                <w:szCs w:val="18"/>
                <w:color w:val="auto"/>
              </w:rPr>
              <w:t>be made under The Scotts Miracle-Gro Company Amended and</w:t>
            </w:r>
          </w:p>
        </w:tc>
      </w:tr>
      <w:tr>
        <w:trPr>
          <w:trHeight w:val="203"/>
        </w:trPr>
        <w:tc>
          <w:tcPr>
            <w:tcW w:w="1120" w:type="dxa"/>
            <w:vAlign w:val="bottom"/>
          </w:tcPr>
          <w:p>
            <w:pPr>
              <w:spacing w:after="0"/>
              <w:rPr>
                <w:sz w:val="17"/>
                <w:szCs w:val="17"/>
                <w:color w:val="auto"/>
              </w:rPr>
            </w:pPr>
          </w:p>
        </w:tc>
        <w:tc>
          <w:tcPr>
            <w:tcW w:w="5600" w:type="dxa"/>
            <w:vAlign w:val="bottom"/>
          </w:tcPr>
          <w:p>
            <w:pPr>
              <w:ind w:left="300"/>
              <w:spacing w:after="0" w:line="202" w:lineRule="exact"/>
              <w:rPr>
                <w:sz w:val="20"/>
                <w:szCs w:val="20"/>
                <w:color w:val="auto"/>
              </w:rPr>
            </w:pPr>
            <w:r>
              <w:rPr>
                <w:rFonts w:ascii="Arial" w:cs="Arial" w:eastAsia="Arial" w:hAnsi="Arial"/>
                <w:sz w:val="18"/>
                <w:szCs w:val="18"/>
                <w:color w:val="auto"/>
              </w:rPr>
              <w:t>Restated 2006 Long-Term Incentive Plan (effective October 8,</w:t>
            </w:r>
          </w:p>
        </w:tc>
      </w:tr>
      <w:tr>
        <w:trPr>
          <w:trHeight w:val="243"/>
        </w:trPr>
        <w:tc>
          <w:tcPr>
            <w:tcW w:w="1120" w:type="dxa"/>
            <w:vAlign w:val="bottom"/>
          </w:tcPr>
          <w:p>
            <w:pPr>
              <w:spacing w:after="0"/>
              <w:rPr>
                <w:sz w:val="21"/>
                <w:szCs w:val="21"/>
                <w:color w:val="auto"/>
              </w:rPr>
            </w:pPr>
          </w:p>
        </w:tc>
        <w:tc>
          <w:tcPr>
            <w:tcW w:w="5600" w:type="dxa"/>
            <w:vAlign w:val="bottom"/>
          </w:tcPr>
          <w:p>
            <w:pPr>
              <w:ind w:left="300"/>
              <w:spacing w:after="0"/>
              <w:rPr>
                <w:sz w:val="20"/>
                <w:szCs w:val="20"/>
                <w:color w:val="auto"/>
              </w:rPr>
            </w:pPr>
            <w:r>
              <w:rPr>
                <w:rFonts w:ascii="Arial" w:cs="Arial" w:eastAsia="Arial" w:hAnsi="Arial"/>
                <w:sz w:val="18"/>
                <w:szCs w:val="18"/>
                <w:color w:val="auto"/>
              </w:rPr>
              <w:t>2008)</w:t>
            </w:r>
          </w:p>
        </w:tc>
      </w:tr>
      <w:tr>
        <w:trPr>
          <w:trHeight w:val="675"/>
        </w:trPr>
        <w:tc>
          <w:tcPr>
            <w:tcW w:w="1120" w:type="dxa"/>
            <w:vAlign w:val="bottom"/>
          </w:tcPr>
          <w:p>
            <w:pPr>
              <w:spacing w:after="0"/>
              <w:rPr>
                <w:sz w:val="20"/>
                <w:szCs w:val="20"/>
                <w:color w:val="auto"/>
              </w:rPr>
            </w:pPr>
            <w:r>
              <w:rPr>
                <w:rFonts w:ascii="Arial" w:cs="Arial" w:eastAsia="Arial" w:hAnsi="Arial"/>
                <w:sz w:val="18"/>
                <w:szCs w:val="18"/>
                <w:color w:val="auto"/>
              </w:rPr>
              <w:t>10.7(g)(iv)</w:t>
            </w:r>
          </w:p>
        </w:tc>
        <w:tc>
          <w:tcPr>
            <w:tcW w:w="5600" w:type="dxa"/>
            <w:vAlign w:val="bottom"/>
          </w:tcPr>
          <w:p>
            <w:pPr>
              <w:ind w:left="300"/>
              <w:spacing w:after="0"/>
              <w:rPr>
                <w:sz w:val="20"/>
                <w:szCs w:val="20"/>
                <w:color w:val="auto"/>
              </w:rPr>
            </w:pPr>
            <w:r>
              <w:rPr>
                <w:rFonts w:ascii="Arial" w:cs="Arial" w:eastAsia="Arial" w:hAnsi="Arial"/>
                <w:sz w:val="18"/>
                <w:szCs w:val="18"/>
                <w:color w:val="auto"/>
              </w:rPr>
              <w:t>Special Restricted Stock Award Agreement for Employees</w:t>
            </w:r>
          </w:p>
        </w:tc>
      </w:tr>
      <w:tr>
        <w:trPr>
          <w:trHeight w:val="203"/>
        </w:trPr>
        <w:tc>
          <w:tcPr>
            <w:tcW w:w="1120" w:type="dxa"/>
            <w:vAlign w:val="bottom"/>
          </w:tcPr>
          <w:p>
            <w:pPr>
              <w:spacing w:after="0"/>
              <w:rPr>
                <w:sz w:val="17"/>
                <w:szCs w:val="17"/>
                <w:color w:val="auto"/>
              </w:rPr>
            </w:pPr>
          </w:p>
        </w:tc>
        <w:tc>
          <w:tcPr>
            <w:tcW w:w="5600" w:type="dxa"/>
            <w:vAlign w:val="bottom"/>
          </w:tcPr>
          <w:p>
            <w:pPr>
              <w:ind w:left="300"/>
              <w:spacing w:after="0" w:line="202" w:lineRule="exact"/>
              <w:rPr>
                <w:sz w:val="20"/>
                <w:szCs w:val="20"/>
                <w:color w:val="auto"/>
              </w:rPr>
            </w:pPr>
            <w:r>
              <w:rPr>
                <w:rFonts w:ascii="Arial" w:cs="Arial" w:eastAsia="Arial" w:hAnsi="Arial"/>
                <w:sz w:val="18"/>
                <w:szCs w:val="18"/>
                <w:color w:val="auto"/>
              </w:rPr>
              <w:t>evidencing grant of Restricted Stock made on October 8, 2008 to</w:t>
            </w:r>
          </w:p>
        </w:tc>
      </w:tr>
      <w:tr>
        <w:trPr>
          <w:trHeight w:val="203"/>
        </w:trPr>
        <w:tc>
          <w:tcPr>
            <w:tcW w:w="1120" w:type="dxa"/>
            <w:vAlign w:val="bottom"/>
          </w:tcPr>
          <w:p>
            <w:pPr>
              <w:spacing w:after="0"/>
              <w:rPr>
                <w:sz w:val="17"/>
                <w:szCs w:val="17"/>
                <w:color w:val="auto"/>
              </w:rPr>
            </w:pPr>
          </w:p>
        </w:tc>
        <w:tc>
          <w:tcPr>
            <w:tcW w:w="5600" w:type="dxa"/>
            <w:vAlign w:val="bottom"/>
          </w:tcPr>
          <w:p>
            <w:pPr>
              <w:ind w:left="300"/>
              <w:spacing w:after="0" w:line="202" w:lineRule="exact"/>
              <w:rPr>
                <w:sz w:val="20"/>
                <w:szCs w:val="20"/>
                <w:color w:val="auto"/>
              </w:rPr>
            </w:pPr>
            <w:r>
              <w:rPr>
                <w:rFonts w:ascii="Arial" w:cs="Arial" w:eastAsia="Arial" w:hAnsi="Arial"/>
                <w:sz w:val="18"/>
                <w:szCs w:val="18"/>
                <w:color w:val="auto"/>
              </w:rPr>
              <w:t>Dr. Michael Kelty under The Scotts Miracle-Gro Company</w:t>
            </w:r>
          </w:p>
        </w:tc>
      </w:tr>
      <w:tr>
        <w:trPr>
          <w:trHeight w:val="243"/>
        </w:trPr>
        <w:tc>
          <w:tcPr>
            <w:tcW w:w="1120" w:type="dxa"/>
            <w:vAlign w:val="bottom"/>
          </w:tcPr>
          <w:p>
            <w:pPr>
              <w:spacing w:after="0"/>
              <w:rPr>
                <w:sz w:val="21"/>
                <w:szCs w:val="21"/>
                <w:color w:val="auto"/>
              </w:rPr>
            </w:pPr>
          </w:p>
        </w:tc>
        <w:tc>
          <w:tcPr>
            <w:tcW w:w="5600" w:type="dxa"/>
            <w:vAlign w:val="bottom"/>
          </w:tcPr>
          <w:p>
            <w:pPr>
              <w:ind w:left="300"/>
              <w:spacing w:after="0"/>
              <w:rPr>
                <w:sz w:val="20"/>
                <w:szCs w:val="20"/>
                <w:color w:val="auto"/>
              </w:rPr>
            </w:pPr>
            <w:r>
              <w:rPr>
                <w:rFonts w:ascii="Arial" w:cs="Arial" w:eastAsia="Arial" w:hAnsi="Arial"/>
                <w:sz w:val="18"/>
                <w:szCs w:val="18"/>
                <w:color w:val="auto"/>
              </w:rPr>
              <w:t>Amended and Restated 2006 Long-Term Incentive Plan</w:t>
            </w:r>
          </w:p>
        </w:tc>
      </w:tr>
      <w:tr>
        <w:trPr>
          <w:trHeight w:val="878"/>
        </w:trPr>
        <w:tc>
          <w:tcPr>
            <w:tcW w:w="1120" w:type="dxa"/>
            <w:vAlign w:val="bottom"/>
          </w:tcPr>
          <w:p>
            <w:pPr>
              <w:spacing w:after="0"/>
              <w:rPr>
                <w:sz w:val="20"/>
                <w:szCs w:val="20"/>
                <w:color w:val="auto"/>
              </w:rPr>
            </w:pPr>
            <w:r>
              <w:rPr>
                <w:rFonts w:ascii="Arial" w:cs="Arial" w:eastAsia="Arial" w:hAnsi="Arial"/>
                <w:sz w:val="18"/>
                <w:szCs w:val="18"/>
                <w:color w:val="auto"/>
              </w:rPr>
              <w:t>10.7(g)(v)</w:t>
            </w:r>
          </w:p>
        </w:tc>
        <w:tc>
          <w:tcPr>
            <w:tcW w:w="5600" w:type="dxa"/>
            <w:vAlign w:val="bottom"/>
          </w:tcPr>
          <w:p>
            <w:pPr>
              <w:ind w:left="300"/>
              <w:spacing w:after="0"/>
              <w:rPr>
                <w:sz w:val="20"/>
                <w:szCs w:val="20"/>
                <w:color w:val="auto"/>
              </w:rPr>
            </w:pPr>
            <w:r>
              <w:rPr>
                <w:rFonts w:ascii="Arial" w:cs="Arial" w:eastAsia="Arial" w:hAnsi="Arial"/>
                <w:sz w:val="18"/>
                <w:szCs w:val="18"/>
                <w:color w:val="auto"/>
              </w:rPr>
              <w:t>Special Restricted Stock Award Agreement for Employees</w:t>
            </w:r>
          </w:p>
        </w:tc>
      </w:tr>
      <w:tr>
        <w:trPr>
          <w:trHeight w:val="203"/>
        </w:trPr>
        <w:tc>
          <w:tcPr>
            <w:tcW w:w="1120" w:type="dxa"/>
            <w:vAlign w:val="bottom"/>
          </w:tcPr>
          <w:p>
            <w:pPr>
              <w:spacing w:after="0"/>
              <w:rPr>
                <w:sz w:val="17"/>
                <w:szCs w:val="17"/>
                <w:color w:val="auto"/>
              </w:rPr>
            </w:pPr>
          </w:p>
        </w:tc>
        <w:tc>
          <w:tcPr>
            <w:tcW w:w="5600" w:type="dxa"/>
            <w:vAlign w:val="bottom"/>
          </w:tcPr>
          <w:p>
            <w:pPr>
              <w:ind w:left="300"/>
              <w:spacing w:after="0" w:line="202" w:lineRule="exact"/>
              <w:rPr>
                <w:sz w:val="20"/>
                <w:szCs w:val="20"/>
                <w:color w:val="auto"/>
              </w:rPr>
            </w:pPr>
            <w:r>
              <w:rPr>
                <w:rFonts w:ascii="Arial" w:cs="Arial" w:eastAsia="Arial" w:hAnsi="Arial"/>
                <w:sz w:val="18"/>
                <w:szCs w:val="18"/>
                <w:color w:val="auto"/>
              </w:rPr>
              <w:t>evidencing grant of Restricted Stock made on October 1, 2008 to</w:t>
            </w:r>
          </w:p>
        </w:tc>
      </w:tr>
      <w:tr>
        <w:trPr>
          <w:trHeight w:val="203"/>
        </w:trPr>
        <w:tc>
          <w:tcPr>
            <w:tcW w:w="1120" w:type="dxa"/>
            <w:vAlign w:val="bottom"/>
          </w:tcPr>
          <w:p>
            <w:pPr>
              <w:spacing w:after="0"/>
              <w:rPr>
                <w:sz w:val="17"/>
                <w:szCs w:val="17"/>
                <w:color w:val="auto"/>
              </w:rPr>
            </w:pPr>
          </w:p>
        </w:tc>
        <w:tc>
          <w:tcPr>
            <w:tcW w:w="5600" w:type="dxa"/>
            <w:vAlign w:val="bottom"/>
          </w:tcPr>
          <w:p>
            <w:pPr>
              <w:ind w:left="300"/>
              <w:spacing w:after="0" w:line="202" w:lineRule="exact"/>
              <w:rPr>
                <w:sz w:val="20"/>
                <w:szCs w:val="20"/>
                <w:color w:val="auto"/>
              </w:rPr>
            </w:pPr>
            <w:r>
              <w:rPr>
                <w:rFonts w:ascii="Arial" w:cs="Arial" w:eastAsia="Arial" w:hAnsi="Arial"/>
                <w:sz w:val="18"/>
                <w:szCs w:val="18"/>
                <w:color w:val="auto"/>
              </w:rPr>
              <w:t>Mark R. Baker under The Scotts Miracle-Gro Company Amended</w:t>
            </w:r>
          </w:p>
        </w:tc>
      </w:tr>
      <w:tr>
        <w:trPr>
          <w:trHeight w:val="243"/>
        </w:trPr>
        <w:tc>
          <w:tcPr>
            <w:tcW w:w="1120" w:type="dxa"/>
            <w:vAlign w:val="bottom"/>
          </w:tcPr>
          <w:p>
            <w:pPr>
              <w:spacing w:after="0"/>
              <w:rPr>
                <w:sz w:val="21"/>
                <w:szCs w:val="21"/>
                <w:color w:val="auto"/>
              </w:rPr>
            </w:pPr>
          </w:p>
        </w:tc>
        <w:tc>
          <w:tcPr>
            <w:tcW w:w="5600" w:type="dxa"/>
            <w:vAlign w:val="bottom"/>
          </w:tcPr>
          <w:p>
            <w:pPr>
              <w:ind w:left="300"/>
              <w:spacing w:after="0"/>
              <w:rPr>
                <w:sz w:val="20"/>
                <w:szCs w:val="20"/>
                <w:color w:val="auto"/>
              </w:rPr>
            </w:pPr>
            <w:r>
              <w:rPr>
                <w:rFonts w:ascii="Arial" w:cs="Arial" w:eastAsia="Arial" w:hAnsi="Arial"/>
                <w:sz w:val="18"/>
                <w:szCs w:val="18"/>
                <w:color w:val="auto"/>
              </w:rPr>
              <w:t>and Restated 2006 Long-Term Incentive Plan</w:t>
            </w:r>
          </w:p>
        </w:tc>
      </w:tr>
      <w:tr>
        <w:trPr>
          <w:trHeight w:val="878"/>
        </w:trPr>
        <w:tc>
          <w:tcPr>
            <w:tcW w:w="1120" w:type="dxa"/>
            <w:vAlign w:val="bottom"/>
          </w:tcPr>
          <w:p>
            <w:pPr>
              <w:spacing w:after="0"/>
              <w:rPr>
                <w:sz w:val="20"/>
                <w:szCs w:val="20"/>
                <w:color w:val="auto"/>
              </w:rPr>
            </w:pPr>
            <w:r>
              <w:rPr>
                <w:rFonts w:ascii="Arial" w:cs="Arial" w:eastAsia="Arial" w:hAnsi="Arial"/>
                <w:sz w:val="18"/>
                <w:szCs w:val="18"/>
                <w:color w:val="auto"/>
              </w:rPr>
              <w:t>10.7(g)(vi)</w:t>
            </w:r>
          </w:p>
        </w:tc>
        <w:tc>
          <w:tcPr>
            <w:tcW w:w="5600" w:type="dxa"/>
            <w:vAlign w:val="bottom"/>
          </w:tcPr>
          <w:p>
            <w:pPr>
              <w:ind w:left="300"/>
              <w:spacing w:after="0"/>
              <w:rPr>
                <w:sz w:val="20"/>
                <w:szCs w:val="20"/>
                <w:color w:val="auto"/>
              </w:rPr>
            </w:pPr>
            <w:r>
              <w:rPr>
                <w:rFonts w:ascii="Arial" w:cs="Arial" w:eastAsia="Arial" w:hAnsi="Arial"/>
                <w:sz w:val="18"/>
                <w:szCs w:val="18"/>
                <w:color w:val="auto"/>
              </w:rPr>
              <w:t>Specimen form of Restricted Stock Award Agreement for</w:t>
            </w:r>
          </w:p>
        </w:tc>
      </w:tr>
      <w:tr>
        <w:trPr>
          <w:trHeight w:val="203"/>
        </w:trPr>
        <w:tc>
          <w:tcPr>
            <w:tcW w:w="1120" w:type="dxa"/>
            <w:vAlign w:val="bottom"/>
          </w:tcPr>
          <w:p>
            <w:pPr>
              <w:spacing w:after="0"/>
              <w:rPr>
                <w:sz w:val="17"/>
                <w:szCs w:val="17"/>
                <w:color w:val="auto"/>
              </w:rPr>
            </w:pPr>
          </w:p>
        </w:tc>
        <w:tc>
          <w:tcPr>
            <w:tcW w:w="5600" w:type="dxa"/>
            <w:vAlign w:val="bottom"/>
          </w:tcPr>
          <w:p>
            <w:pPr>
              <w:ind w:left="300"/>
              <w:spacing w:after="0" w:line="202" w:lineRule="exact"/>
              <w:rPr>
                <w:sz w:val="20"/>
                <w:szCs w:val="20"/>
                <w:color w:val="auto"/>
              </w:rPr>
            </w:pPr>
            <w:r>
              <w:rPr>
                <w:rFonts w:ascii="Arial" w:cs="Arial" w:eastAsia="Arial" w:hAnsi="Arial"/>
                <w:sz w:val="18"/>
                <w:szCs w:val="18"/>
                <w:color w:val="auto"/>
                <w:w w:val="99"/>
              </w:rPr>
              <w:t>Employees used to evidence grants of Restricted Stock which may</w:t>
            </w:r>
          </w:p>
        </w:tc>
      </w:tr>
      <w:tr>
        <w:trPr>
          <w:trHeight w:val="203"/>
        </w:trPr>
        <w:tc>
          <w:tcPr>
            <w:tcW w:w="1120" w:type="dxa"/>
            <w:vAlign w:val="bottom"/>
          </w:tcPr>
          <w:p>
            <w:pPr>
              <w:spacing w:after="0"/>
              <w:rPr>
                <w:sz w:val="17"/>
                <w:szCs w:val="17"/>
                <w:color w:val="auto"/>
              </w:rPr>
            </w:pPr>
          </w:p>
        </w:tc>
        <w:tc>
          <w:tcPr>
            <w:tcW w:w="5600" w:type="dxa"/>
            <w:vAlign w:val="bottom"/>
          </w:tcPr>
          <w:p>
            <w:pPr>
              <w:ind w:left="300"/>
              <w:spacing w:after="0" w:line="202" w:lineRule="exact"/>
              <w:rPr>
                <w:sz w:val="20"/>
                <w:szCs w:val="20"/>
                <w:color w:val="auto"/>
              </w:rPr>
            </w:pPr>
            <w:r>
              <w:rPr>
                <w:rFonts w:ascii="Arial" w:cs="Arial" w:eastAsia="Arial" w:hAnsi="Arial"/>
                <w:sz w:val="18"/>
                <w:szCs w:val="18"/>
                <w:color w:val="auto"/>
              </w:rPr>
              <w:t>be made under The Scotts Miracle-Gro Company Amended and</w:t>
            </w:r>
          </w:p>
        </w:tc>
      </w:tr>
      <w:tr>
        <w:trPr>
          <w:trHeight w:val="203"/>
        </w:trPr>
        <w:tc>
          <w:tcPr>
            <w:tcW w:w="1120" w:type="dxa"/>
            <w:vAlign w:val="bottom"/>
          </w:tcPr>
          <w:p>
            <w:pPr>
              <w:spacing w:after="0"/>
              <w:rPr>
                <w:sz w:val="17"/>
                <w:szCs w:val="17"/>
                <w:color w:val="auto"/>
              </w:rPr>
            </w:pPr>
          </w:p>
        </w:tc>
        <w:tc>
          <w:tcPr>
            <w:tcW w:w="5600" w:type="dxa"/>
            <w:vAlign w:val="bottom"/>
          </w:tcPr>
          <w:p>
            <w:pPr>
              <w:ind w:left="300"/>
              <w:spacing w:after="0" w:line="202" w:lineRule="exact"/>
              <w:rPr>
                <w:sz w:val="20"/>
                <w:szCs w:val="20"/>
                <w:color w:val="auto"/>
              </w:rPr>
            </w:pPr>
            <w:r>
              <w:rPr>
                <w:rFonts w:ascii="Arial" w:cs="Arial" w:eastAsia="Arial" w:hAnsi="Arial"/>
                <w:sz w:val="18"/>
                <w:szCs w:val="18"/>
                <w:color w:val="auto"/>
              </w:rPr>
              <w:t>Restated 2006 Long-Term Incentive Plan (French Specimen)</w:t>
            </w:r>
          </w:p>
        </w:tc>
      </w:tr>
      <w:tr>
        <w:trPr>
          <w:trHeight w:val="243"/>
        </w:trPr>
        <w:tc>
          <w:tcPr>
            <w:tcW w:w="1120" w:type="dxa"/>
            <w:vAlign w:val="bottom"/>
          </w:tcPr>
          <w:p>
            <w:pPr>
              <w:spacing w:after="0"/>
              <w:rPr>
                <w:sz w:val="21"/>
                <w:szCs w:val="21"/>
                <w:color w:val="auto"/>
              </w:rPr>
            </w:pPr>
          </w:p>
        </w:tc>
        <w:tc>
          <w:tcPr>
            <w:tcW w:w="5600" w:type="dxa"/>
            <w:vAlign w:val="bottom"/>
          </w:tcPr>
          <w:p>
            <w:pPr>
              <w:ind w:left="300"/>
              <w:spacing w:after="0"/>
              <w:rPr>
                <w:sz w:val="20"/>
                <w:szCs w:val="20"/>
                <w:color w:val="auto"/>
              </w:rPr>
            </w:pPr>
            <w:r>
              <w:rPr>
                <w:rFonts w:ascii="Arial" w:cs="Arial" w:eastAsia="Arial" w:hAnsi="Arial"/>
                <w:sz w:val="18"/>
                <w:szCs w:val="18"/>
                <w:color w:val="auto"/>
              </w:rPr>
              <w:t>[post-November 6, 2007 version]</w:t>
            </w:r>
          </w:p>
        </w:tc>
      </w:tr>
      <w:tr>
        <w:trPr>
          <w:trHeight w:val="270"/>
        </w:trPr>
        <w:tc>
          <w:tcPr>
            <w:tcW w:w="1120" w:type="dxa"/>
            <w:vAlign w:val="bottom"/>
          </w:tcPr>
          <w:p>
            <w:pPr>
              <w:spacing w:after="0"/>
              <w:rPr>
                <w:sz w:val="20"/>
                <w:szCs w:val="20"/>
                <w:color w:val="auto"/>
              </w:rPr>
            </w:pPr>
            <w:r>
              <w:rPr>
                <w:rFonts w:ascii="Arial" w:cs="Arial" w:eastAsia="Arial" w:hAnsi="Arial"/>
                <w:sz w:val="18"/>
                <w:szCs w:val="18"/>
                <w:color w:val="auto"/>
              </w:rPr>
              <w:t>10.8(a)</w:t>
            </w:r>
          </w:p>
        </w:tc>
        <w:tc>
          <w:tcPr>
            <w:tcW w:w="5600" w:type="dxa"/>
            <w:vAlign w:val="bottom"/>
          </w:tcPr>
          <w:p>
            <w:pPr>
              <w:ind w:left="300"/>
              <w:spacing w:after="0"/>
              <w:rPr>
                <w:sz w:val="20"/>
                <w:szCs w:val="20"/>
                <w:color w:val="auto"/>
              </w:rPr>
            </w:pPr>
            <w:r>
              <w:rPr>
                <w:rFonts w:ascii="Arial" w:cs="Arial" w:eastAsia="Arial" w:hAnsi="Arial"/>
                <w:sz w:val="18"/>
                <w:szCs w:val="18"/>
                <w:color w:val="auto"/>
              </w:rPr>
              <w:t>The Scotts Miracle-Gro Company Discounted Stock Purchase</w:t>
            </w:r>
          </w:p>
        </w:tc>
      </w:tr>
      <w:tr>
        <w:trPr>
          <w:trHeight w:val="203"/>
        </w:trPr>
        <w:tc>
          <w:tcPr>
            <w:tcW w:w="1120" w:type="dxa"/>
            <w:vAlign w:val="bottom"/>
          </w:tcPr>
          <w:p>
            <w:pPr>
              <w:spacing w:after="0"/>
              <w:rPr>
                <w:sz w:val="17"/>
                <w:szCs w:val="17"/>
                <w:color w:val="auto"/>
              </w:rPr>
            </w:pPr>
          </w:p>
        </w:tc>
        <w:tc>
          <w:tcPr>
            <w:tcW w:w="5600" w:type="dxa"/>
            <w:vAlign w:val="bottom"/>
          </w:tcPr>
          <w:p>
            <w:pPr>
              <w:ind w:left="300"/>
              <w:spacing w:after="0" w:line="202" w:lineRule="exact"/>
              <w:rPr>
                <w:sz w:val="20"/>
                <w:szCs w:val="20"/>
                <w:color w:val="auto"/>
              </w:rPr>
            </w:pPr>
            <w:r>
              <w:rPr>
                <w:rFonts w:ascii="Arial" w:cs="Arial" w:eastAsia="Arial" w:hAnsi="Arial"/>
                <w:sz w:val="18"/>
                <w:szCs w:val="18"/>
                <w:color w:val="auto"/>
              </w:rPr>
              <w:t>Plan (As Amended and Restated as of January 26, 2006; Reflects</w:t>
            </w:r>
          </w:p>
        </w:tc>
      </w:tr>
      <w:tr>
        <w:trPr>
          <w:trHeight w:val="243"/>
        </w:trPr>
        <w:tc>
          <w:tcPr>
            <w:tcW w:w="1120" w:type="dxa"/>
            <w:vAlign w:val="bottom"/>
          </w:tcPr>
          <w:p>
            <w:pPr>
              <w:spacing w:after="0"/>
              <w:rPr>
                <w:sz w:val="21"/>
                <w:szCs w:val="21"/>
                <w:color w:val="auto"/>
              </w:rPr>
            </w:pPr>
          </w:p>
        </w:tc>
        <w:tc>
          <w:tcPr>
            <w:tcW w:w="5600" w:type="dxa"/>
            <w:vAlign w:val="bottom"/>
          </w:tcPr>
          <w:p>
            <w:pPr>
              <w:ind w:left="300"/>
              <w:spacing w:after="0"/>
              <w:rPr>
                <w:sz w:val="20"/>
                <w:szCs w:val="20"/>
                <w:color w:val="auto"/>
              </w:rPr>
            </w:pPr>
            <w:r>
              <w:rPr>
                <w:rFonts w:ascii="Arial" w:cs="Arial" w:eastAsia="Arial" w:hAnsi="Arial"/>
                <w:sz w:val="18"/>
                <w:szCs w:val="18"/>
                <w:color w:val="auto"/>
              </w:rPr>
              <w:t>2-for-1 Stock Split Distributed on November 9, 2005)</w:t>
            </w:r>
          </w:p>
        </w:tc>
      </w:tr>
      <w:tr>
        <w:trPr>
          <w:trHeight w:val="473"/>
        </w:trPr>
        <w:tc>
          <w:tcPr>
            <w:tcW w:w="1120" w:type="dxa"/>
            <w:vAlign w:val="bottom"/>
          </w:tcPr>
          <w:p>
            <w:pPr>
              <w:spacing w:after="0"/>
              <w:rPr>
                <w:sz w:val="20"/>
                <w:szCs w:val="20"/>
                <w:color w:val="auto"/>
              </w:rPr>
            </w:pPr>
            <w:r>
              <w:rPr>
                <w:rFonts w:ascii="Arial" w:cs="Arial" w:eastAsia="Arial" w:hAnsi="Arial"/>
                <w:sz w:val="18"/>
                <w:szCs w:val="18"/>
                <w:color w:val="auto"/>
              </w:rPr>
              <w:t>10.8(b)</w:t>
            </w:r>
          </w:p>
        </w:tc>
        <w:tc>
          <w:tcPr>
            <w:tcW w:w="5600" w:type="dxa"/>
            <w:vAlign w:val="bottom"/>
          </w:tcPr>
          <w:p>
            <w:pPr>
              <w:ind w:left="300"/>
              <w:spacing w:after="0"/>
              <w:rPr>
                <w:sz w:val="20"/>
                <w:szCs w:val="20"/>
                <w:color w:val="auto"/>
              </w:rPr>
            </w:pPr>
            <w:r>
              <w:rPr>
                <w:rFonts w:ascii="Arial" w:cs="Arial" w:eastAsia="Arial" w:hAnsi="Arial"/>
                <w:sz w:val="18"/>
                <w:szCs w:val="18"/>
                <w:color w:val="auto"/>
              </w:rPr>
              <w:t>Amendment to The Scotts Miracle-Gro Company Discounted</w:t>
            </w:r>
          </w:p>
        </w:tc>
      </w:tr>
      <w:tr>
        <w:trPr>
          <w:trHeight w:val="243"/>
        </w:trPr>
        <w:tc>
          <w:tcPr>
            <w:tcW w:w="1120" w:type="dxa"/>
            <w:vAlign w:val="bottom"/>
          </w:tcPr>
          <w:p>
            <w:pPr>
              <w:spacing w:after="0"/>
              <w:rPr>
                <w:sz w:val="21"/>
                <w:szCs w:val="21"/>
                <w:color w:val="auto"/>
              </w:rPr>
            </w:pPr>
          </w:p>
        </w:tc>
        <w:tc>
          <w:tcPr>
            <w:tcW w:w="5600" w:type="dxa"/>
            <w:vAlign w:val="bottom"/>
          </w:tcPr>
          <w:p>
            <w:pPr>
              <w:ind w:left="300"/>
              <w:spacing w:after="0"/>
              <w:rPr>
                <w:sz w:val="20"/>
                <w:szCs w:val="20"/>
                <w:color w:val="auto"/>
              </w:rPr>
            </w:pPr>
            <w:r>
              <w:rPr>
                <w:rFonts w:ascii="Arial" w:cs="Arial" w:eastAsia="Arial" w:hAnsi="Arial"/>
                <w:sz w:val="18"/>
                <w:szCs w:val="18"/>
                <w:color w:val="auto"/>
              </w:rPr>
              <w:t>Stock Purchase Plan (effective as of November 6, 2008)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1"/>
          <w:szCs w:val="11"/>
          <w:b w:val="1"/>
          <w:bCs w:val="1"/>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-78105</wp:posOffset>
            </wp:positionV>
            <wp:extent cx="19748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60"/>
        <w:spacing w:after="0" w:line="239"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2008 (which was filed on November 25, 2008) (File No. 1-13292)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[Exhibit 10.7(g)(iii)]</w:t>
      </w:r>
    </w:p>
    <w:p>
      <w:pPr>
        <w:spacing w:after="0" w:line="82"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2008 (which was filed on November 25, 2008) (File No. 1-13292)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[Exhibit 10.7(g)(iv)]</w:t>
      </w:r>
    </w:p>
    <w:p>
      <w:pPr>
        <w:spacing w:after="0" w:line="82"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2008 (which was filed on November 25, 2008) (File No. 1-13292)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[Exhibit 10.7(g)(v)]</w:t>
      </w:r>
    </w:p>
    <w:p>
      <w:pPr>
        <w:spacing w:after="0" w:line="82" w:lineRule="exact"/>
        <w:rPr>
          <w:sz w:val="20"/>
          <w:szCs w:val="20"/>
          <w:color w:val="auto"/>
        </w:rPr>
      </w:pPr>
    </w:p>
    <w:p>
      <w:pPr>
        <w:ind w:right="120"/>
        <w:spacing w:after="0" w:line="245"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March 29, 2008 (File No. 1-13292) [Exhibit 10(c)(1)]</w:t>
      </w:r>
    </w:p>
    <w:p>
      <w:pPr>
        <w:spacing w:after="0" w:line="64"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Incorporated herein by reference to the Registrant’s Current Report on Form 8-K filed February 2, 2006 (File No. 1-13292) [Exhibit 10.1]</w:t>
      </w:r>
    </w:p>
    <w:p>
      <w:pPr>
        <w:spacing w:after="0" w:line="63"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2008 (which was filed on November 25, 2008) (File No. 1-13292)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[Exhibit 10.8(b)]</w:t>
      </w:r>
    </w:p>
    <w:p>
      <w:pPr>
        <w:sectPr>
          <w:pgSz w:w="11900" w:h="16838" w:orient="portrait"/>
          <w:cols w:equalWidth="0" w:num="2">
            <w:col w:w="7420" w:space="320"/>
            <w:col w:w="3000"/>
          </w:cols>
          <w:pgMar w:left="240" w:top="405" w:right="919" w:bottom="1440" w:gutter="0" w:footer="0" w:header="0"/>
          <w:type w:val="continuous"/>
        </w:sectPr>
      </w:pPr>
    </w:p>
    <w:bookmarkStart w:id="60" w:name="page61"/>
    <w:bookmarkEnd w:id="60"/>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jc w:val="right"/>
              <w:spacing w:after="0"/>
              <w:rPr>
                <w:rFonts w:ascii="Times New Roman" w:cs="Times New Roman" w:eastAsia="Times New Roman" w:hAnsi="Times New Roman"/>
                <w:sz w:val="18"/>
                <w:szCs w:val="18"/>
                <w:b w:val="1"/>
                <w:bCs w:val="1"/>
                <w:color w:val="0000EE"/>
                <w:w w:val="97"/>
              </w:rPr>
            </w:pPr>
            <w:hyperlink w:anchor="page64">
              <w:r>
                <w:rPr>
                  <w:rFonts w:ascii="Times New Roman" w:cs="Times New Roman" w:eastAsia="Times New Roman" w:hAnsi="Times New Roman"/>
                  <w:sz w:val="18"/>
                  <w:szCs w:val="18"/>
                  <w:b w:val="1"/>
                  <w:bCs w:val="1"/>
                  <w:color w:val="0000EE"/>
                  <w:w w:val="97"/>
                </w:rPr>
                <w:t>Table of Contents</w:t>
              </w:r>
            </w:hyperlink>
          </w:p>
        </w:tc>
        <w:tc>
          <w:tcPr>
            <w:tcW w:w="480" w:type="dxa"/>
            <w:vAlign w:val="bottom"/>
          </w:tcPr>
          <w:p>
            <w:pPr>
              <w:spacing w:after="0"/>
              <w:rPr>
                <w:sz w:val="17"/>
                <w:szCs w:val="17"/>
                <w:color w:val="auto"/>
              </w:rPr>
            </w:pPr>
          </w:p>
        </w:tc>
        <w:tc>
          <w:tcPr>
            <w:tcW w:w="5740" w:type="dxa"/>
            <w:vAlign w:val="bottom"/>
          </w:tcPr>
          <w:p>
            <w:pPr>
              <w:spacing w:after="0"/>
              <w:rPr>
                <w:sz w:val="17"/>
                <w:szCs w:val="17"/>
                <w:color w:val="auto"/>
              </w:rPr>
            </w:pPr>
          </w:p>
        </w:tc>
        <w:tc>
          <w:tcPr>
            <w:tcW w:w="3160" w:type="dxa"/>
            <w:vAlign w:val="bottom"/>
          </w:tcPr>
          <w:p>
            <w:pPr>
              <w:spacing w:after="0"/>
              <w:rPr>
                <w:sz w:val="17"/>
                <w:szCs w:val="17"/>
                <w:color w:val="auto"/>
              </w:rPr>
            </w:pPr>
          </w:p>
        </w:tc>
      </w:tr>
      <w:tr>
        <w:trPr>
          <w:trHeight w:val="511"/>
        </w:trPr>
        <w:tc>
          <w:tcPr>
            <w:tcW w:w="700" w:type="dxa"/>
            <w:vAlign w:val="bottom"/>
          </w:tcPr>
          <w:p>
            <w:pPr>
              <w:spacing w:after="0"/>
              <w:rPr>
                <w:sz w:val="24"/>
                <w:szCs w:val="24"/>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9"/>
              </w:rPr>
              <w:t>Exhibit</w:t>
            </w:r>
          </w:p>
        </w:tc>
        <w:tc>
          <w:tcPr>
            <w:tcW w:w="574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39"/>
        </w:trPr>
        <w:tc>
          <w:tcPr>
            <w:tcW w:w="700" w:type="dxa"/>
            <w:vAlign w:val="bottom"/>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9"/>
              </w:rPr>
              <w:t>No.</w:t>
            </w:r>
          </w:p>
        </w:tc>
        <w:tc>
          <w:tcPr>
            <w:tcW w:w="5740" w:type="dxa"/>
            <w:vAlign w:val="bottom"/>
            <w:tcBorders>
              <w:bottom w:val="single" w:sz="8" w:color="auto"/>
            </w:tcBorders>
          </w:tcPr>
          <w:p>
            <w:pPr>
              <w:ind w:left="2480"/>
              <w:spacing w:after="0"/>
              <w:rPr>
                <w:sz w:val="20"/>
                <w:szCs w:val="20"/>
                <w:color w:val="auto"/>
              </w:rPr>
            </w:pPr>
            <w:r>
              <w:rPr>
                <w:rFonts w:ascii="Arial" w:cs="Arial" w:eastAsia="Arial" w:hAnsi="Arial"/>
                <w:sz w:val="18"/>
                <w:szCs w:val="18"/>
                <w:color w:val="auto"/>
              </w:rPr>
              <w:t>Description</w:t>
            </w:r>
          </w:p>
        </w:tc>
        <w:tc>
          <w:tcPr>
            <w:tcW w:w="3160" w:type="dxa"/>
            <w:vAlign w:val="bottom"/>
            <w:tcBorders>
              <w:bottom w:val="single" w:sz="8" w:color="auto"/>
            </w:tcBorders>
          </w:tcPr>
          <w:p>
            <w:pPr>
              <w:ind w:left="1320"/>
              <w:spacing w:after="0"/>
              <w:rPr>
                <w:sz w:val="20"/>
                <w:szCs w:val="20"/>
                <w:color w:val="auto"/>
              </w:rPr>
            </w:pPr>
            <w:r>
              <w:rPr>
                <w:rFonts w:ascii="Arial" w:cs="Arial" w:eastAsia="Arial" w:hAnsi="Arial"/>
                <w:sz w:val="18"/>
                <w:szCs w:val="18"/>
                <w:color w:val="auto"/>
              </w:rPr>
              <w:t>Location</w:t>
            </w:r>
          </w:p>
        </w:tc>
      </w:tr>
      <w:tr>
        <w:trPr>
          <w:trHeight w:val="335"/>
        </w:trPr>
        <w:tc>
          <w:tcPr>
            <w:tcW w:w="1360" w:type="dxa"/>
            <w:vAlign w:val="bottom"/>
            <w:gridSpan w:val="2"/>
          </w:tcPr>
          <w:p>
            <w:pPr>
              <w:jc w:val="right"/>
              <w:ind w:right="230"/>
              <w:spacing w:after="0"/>
              <w:rPr>
                <w:sz w:val="20"/>
                <w:szCs w:val="20"/>
                <w:color w:val="auto"/>
              </w:rPr>
            </w:pPr>
            <w:r>
              <w:rPr>
                <w:rFonts w:ascii="Arial" w:cs="Arial" w:eastAsia="Arial" w:hAnsi="Arial"/>
                <w:sz w:val="18"/>
                <w:szCs w:val="18"/>
                <w:color w:val="auto"/>
              </w:rPr>
              <w:t>10.9</w:t>
            </w:r>
          </w:p>
        </w:tc>
        <w:tc>
          <w:tcPr>
            <w:tcW w:w="480" w:type="dxa"/>
            <w:vAlign w:val="bottom"/>
          </w:tcPr>
          <w:p>
            <w:pPr>
              <w:spacing w:after="0"/>
              <w:rPr>
                <w:sz w:val="24"/>
                <w:szCs w:val="24"/>
                <w:color w:val="auto"/>
              </w:rPr>
            </w:pPr>
          </w:p>
        </w:tc>
        <w:tc>
          <w:tcPr>
            <w:tcW w:w="5740" w:type="dxa"/>
            <w:vAlign w:val="bottom"/>
          </w:tcPr>
          <w:p>
            <w:pPr>
              <w:ind w:left="280"/>
              <w:spacing w:after="0"/>
              <w:rPr>
                <w:sz w:val="20"/>
                <w:szCs w:val="20"/>
                <w:color w:val="auto"/>
              </w:rPr>
            </w:pPr>
            <w:r>
              <w:rPr>
                <w:rFonts w:ascii="Arial" w:cs="Arial" w:eastAsia="Arial" w:hAnsi="Arial"/>
                <w:sz w:val="18"/>
                <w:szCs w:val="18"/>
                <w:color w:val="auto"/>
              </w:rPr>
              <w:t>Summary of Compensation for Directors of The Scotts Miracle-Gro</w:t>
            </w:r>
          </w:p>
        </w:tc>
        <w:tc>
          <w:tcPr>
            <w:tcW w:w="3160" w:type="dxa"/>
            <w:vAlign w:val="bottom"/>
          </w:tcPr>
          <w:p>
            <w:pPr>
              <w:ind w:left="160"/>
              <w:spacing w:after="0"/>
              <w:rPr>
                <w:sz w:val="20"/>
                <w:szCs w:val="20"/>
                <w:color w:val="auto"/>
              </w:rPr>
            </w:pPr>
            <w:r>
              <w:rPr>
                <w:rFonts w:ascii="Arial" w:cs="Arial" w:eastAsia="Arial" w:hAnsi="Arial"/>
                <w:sz w:val="18"/>
                <w:szCs w:val="18"/>
                <w:color w:val="auto"/>
              </w:rPr>
              <w:t>Incorporated herein by reference to</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740" w:type="dxa"/>
            <w:vAlign w:val="bottom"/>
          </w:tcPr>
          <w:p>
            <w:pPr>
              <w:ind w:left="280"/>
              <w:spacing w:after="0" w:line="202" w:lineRule="exact"/>
              <w:rPr>
                <w:sz w:val="20"/>
                <w:szCs w:val="20"/>
                <w:color w:val="auto"/>
              </w:rPr>
            </w:pPr>
            <w:r>
              <w:rPr>
                <w:rFonts w:ascii="Arial" w:cs="Arial" w:eastAsia="Arial" w:hAnsi="Arial"/>
                <w:sz w:val="18"/>
                <w:szCs w:val="18"/>
                <w:color w:val="auto"/>
              </w:rPr>
              <w:t>Company (effective as of February 4, 2008)</w:t>
            </w:r>
          </w:p>
        </w:tc>
        <w:tc>
          <w:tcPr>
            <w:tcW w:w="3160" w:type="dxa"/>
            <w:vAlign w:val="bottom"/>
          </w:tcPr>
          <w:p>
            <w:pPr>
              <w:ind w:left="160"/>
              <w:spacing w:after="0" w:line="202" w:lineRule="exact"/>
              <w:rPr>
                <w:sz w:val="20"/>
                <w:szCs w:val="20"/>
                <w:color w:val="auto"/>
              </w:rPr>
            </w:pPr>
            <w:r>
              <w:rPr>
                <w:rFonts w:ascii="Arial" w:cs="Arial" w:eastAsia="Arial" w:hAnsi="Arial"/>
                <w:sz w:val="18"/>
                <w:szCs w:val="18"/>
                <w:color w:val="auto"/>
              </w:rPr>
              <w:t>the Registrant’s Quarterly Report on</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740" w:type="dxa"/>
            <w:vAlign w:val="bottom"/>
          </w:tcPr>
          <w:p>
            <w:pPr>
              <w:spacing w:after="0"/>
              <w:rPr>
                <w:sz w:val="17"/>
                <w:szCs w:val="17"/>
                <w:color w:val="auto"/>
              </w:rPr>
            </w:pPr>
          </w:p>
        </w:tc>
        <w:tc>
          <w:tcPr>
            <w:tcW w:w="3160" w:type="dxa"/>
            <w:vAlign w:val="bottom"/>
          </w:tcPr>
          <w:p>
            <w:pPr>
              <w:ind w:left="160"/>
              <w:spacing w:after="0" w:line="202" w:lineRule="exact"/>
              <w:rPr>
                <w:sz w:val="20"/>
                <w:szCs w:val="20"/>
                <w:color w:val="auto"/>
              </w:rPr>
            </w:pPr>
            <w:r>
              <w:rPr>
                <w:rFonts w:ascii="Arial" w:cs="Arial" w:eastAsia="Arial" w:hAnsi="Arial"/>
                <w:sz w:val="18"/>
                <w:szCs w:val="18"/>
                <w:color w:val="auto"/>
              </w:rPr>
              <w:t>Form 10-Q for the quarterly period</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740" w:type="dxa"/>
            <w:vAlign w:val="bottom"/>
          </w:tcPr>
          <w:p>
            <w:pPr>
              <w:spacing w:after="0"/>
              <w:rPr>
                <w:sz w:val="17"/>
                <w:szCs w:val="17"/>
                <w:color w:val="auto"/>
              </w:rPr>
            </w:pPr>
          </w:p>
        </w:tc>
        <w:tc>
          <w:tcPr>
            <w:tcW w:w="3160" w:type="dxa"/>
            <w:vAlign w:val="bottom"/>
          </w:tcPr>
          <w:p>
            <w:pPr>
              <w:ind w:left="160"/>
              <w:spacing w:after="0" w:line="202" w:lineRule="exact"/>
              <w:rPr>
                <w:sz w:val="20"/>
                <w:szCs w:val="20"/>
                <w:color w:val="auto"/>
              </w:rPr>
            </w:pPr>
            <w:r>
              <w:rPr>
                <w:rFonts w:ascii="Arial" w:cs="Arial" w:eastAsia="Arial" w:hAnsi="Arial"/>
                <w:sz w:val="18"/>
                <w:szCs w:val="18"/>
                <w:color w:val="auto"/>
              </w:rPr>
              <w:t>ended December 29, 2007 (File</w:t>
            </w:r>
          </w:p>
        </w:tc>
      </w:tr>
      <w:tr>
        <w:trPr>
          <w:trHeight w:val="243"/>
        </w:trPr>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740" w:type="dxa"/>
            <w:vAlign w:val="bottom"/>
          </w:tcPr>
          <w:p>
            <w:pPr>
              <w:spacing w:after="0"/>
              <w:rPr>
                <w:sz w:val="21"/>
                <w:szCs w:val="21"/>
                <w:color w:val="auto"/>
              </w:rPr>
            </w:pPr>
          </w:p>
        </w:tc>
        <w:tc>
          <w:tcPr>
            <w:tcW w:w="3160" w:type="dxa"/>
            <w:vAlign w:val="bottom"/>
          </w:tcPr>
          <w:p>
            <w:pPr>
              <w:ind w:left="160"/>
              <w:spacing w:after="0"/>
              <w:rPr>
                <w:sz w:val="20"/>
                <w:szCs w:val="20"/>
                <w:color w:val="auto"/>
              </w:rPr>
            </w:pPr>
            <w:r>
              <w:rPr>
                <w:rFonts w:ascii="Arial" w:cs="Arial" w:eastAsia="Arial" w:hAnsi="Arial"/>
                <w:sz w:val="18"/>
                <w:szCs w:val="18"/>
                <w:color w:val="auto"/>
              </w:rPr>
              <w:t>No. 1-13292) [Exhibit 10(r)]</w:t>
            </w:r>
          </w:p>
        </w:tc>
      </w:tr>
    </w:tbl>
    <w:p>
      <w:pPr>
        <w:spacing w:after="0" w:line="63" w:lineRule="exact"/>
        <w:rPr>
          <w:sz w:val="20"/>
          <w:szCs w:val="20"/>
          <w:color w:val="auto"/>
        </w:rPr>
      </w:pPr>
    </w:p>
    <w:p>
      <w:pPr>
        <w:sectPr>
          <w:pgSz w:w="11900" w:h="16838" w:orient="portrait"/>
          <w:cols w:equalWidth="0" w:num="1">
            <w:col w:w="10740"/>
          </w:cols>
          <w:pgMar w:left="240" w:top="405" w:right="919" w:bottom="1440" w:gutter="0" w:footer="0" w:header="0"/>
        </w:sectPr>
      </w:pPr>
    </w:p>
    <w:tbl>
      <w:tblPr>
        <w:tblLayout w:type="fixed"/>
        <w:tblInd w:w="700" w:type="dxa"/>
        <w:tblCellMar>
          <w:top w:w="0" w:type="dxa"/>
          <w:left w:w="0" w:type="dxa"/>
          <w:bottom w:w="0" w:type="dxa"/>
          <w:right w:w="0" w:type="dxa"/>
        </w:tblCellMar>
      </w:tblPr>
      <w:tr>
        <w:trPr>
          <w:trHeight w:val="207"/>
        </w:trPr>
        <w:tc>
          <w:tcPr>
            <w:tcW w:w="940" w:type="dxa"/>
            <w:vAlign w:val="bottom"/>
          </w:tcPr>
          <w:p>
            <w:pPr>
              <w:jc w:val="right"/>
              <w:ind w:right="410"/>
              <w:spacing w:after="0"/>
              <w:rPr>
                <w:sz w:val="20"/>
                <w:szCs w:val="20"/>
                <w:color w:val="auto"/>
              </w:rPr>
            </w:pPr>
            <w:r>
              <w:rPr>
                <w:rFonts w:ascii="Arial" w:cs="Arial" w:eastAsia="Arial" w:hAnsi="Arial"/>
                <w:sz w:val="18"/>
                <w:szCs w:val="18"/>
                <w:color w:val="auto"/>
                <w:w w:val="93"/>
              </w:rPr>
              <w:t>10.10</w:t>
            </w:r>
          </w:p>
        </w:tc>
        <w:tc>
          <w:tcPr>
            <w:tcW w:w="5680" w:type="dxa"/>
            <w:vAlign w:val="bottom"/>
          </w:tcPr>
          <w:p>
            <w:pPr>
              <w:ind w:left="480"/>
              <w:spacing w:after="0"/>
              <w:rPr>
                <w:sz w:val="20"/>
                <w:szCs w:val="20"/>
                <w:color w:val="auto"/>
              </w:rPr>
            </w:pPr>
            <w:r>
              <w:rPr>
                <w:rFonts w:ascii="Arial" w:cs="Arial" w:eastAsia="Arial" w:hAnsi="Arial"/>
                <w:sz w:val="18"/>
                <w:szCs w:val="18"/>
                <w:color w:val="auto"/>
                <w:w w:val="99"/>
              </w:rPr>
              <w:t>Employment Agreement, dated as of May 19, 1995, between The</w:t>
            </w:r>
          </w:p>
        </w:tc>
      </w:tr>
      <w:tr>
        <w:trPr>
          <w:trHeight w:val="243"/>
        </w:trPr>
        <w:tc>
          <w:tcPr>
            <w:tcW w:w="940" w:type="dxa"/>
            <w:vAlign w:val="bottom"/>
          </w:tcPr>
          <w:p>
            <w:pPr>
              <w:spacing w:after="0"/>
              <w:rPr>
                <w:sz w:val="21"/>
                <w:szCs w:val="21"/>
                <w:color w:val="auto"/>
              </w:rPr>
            </w:pPr>
          </w:p>
        </w:tc>
        <w:tc>
          <w:tcPr>
            <w:tcW w:w="5680" w:type="dxa"/>
            <w:vAlign w:val="bottom"/>
          </w:tcPr>
          <w:p>
            <w:pPr>
              <w:ind w:left="480"/>
              <w:spacing w:after="0"/>
              <w:rPr>
                <w:sz w:val="20"/>
                <w:szCs w:val="20"/>
                <w:color w:val="auto"/>
              </w:rPr>
            </w:pPr>
            <w:r>
              <w:rPr>
                <w:rFonts w:ascii="Arial" w:cs="Arial" w:eastAsia="Arial" w:hAnsi="Arial"/>
                <w:sz w:val="18"/>
                <w:szCs w:val="18"/>
                <w:color w:val="auto"/>
              </w:rPr>
              <w:t>Scotts Company and James Hagedorn</w:t>
            </w:r>
          </w:p>
        </w:tc>
      </w:tr>
    </w:tbl>
    <w:p>
      <w:pPr>
        <w:spacing w:after="0" w:line="20" w:lineRule="exact"/>
        <w:rPr>
          <w:sz w:val="20"/>
          <w:szCs w:val="20"/>
          <w:color w:val="auto"/>
        </w:rPr>
      </w:pPr>
      <w:r>
        <w:rPr>
          <w:sz w:val="20"/>
          <w:szCs w:val="20"/>
          <w:color w:val="auto"/>
        </w:rPr>
        <w:br w:type="column"/>
      </w:r>
    </w:p>
    <w:p>
      <w:pPr>
        <w:jc w:val="both"/>
        <w:ind w:right="120"/>
        <w:spacing w:after="0" w:line="245" w:lineRule="auto"/>
        <w:rPr>
          <w:sz w:val="20"/>
          <w:szCs w:val="20"/>
          <w:color w:val="auto"/>
        </w:rPr>
      </w:pPr>
      <w:r>
        <w:rPr>
          <w:rFonts w:ascii="Arial" w:cs="Arial" w:eastAsia="Arial" w:hAnsi="Arial"/>
          <w:sz w:val="18"/>
          <w:szCs w:val="18"/>
          <w:color w:val="auto"/>
        </w:rPr>
        <w:t>Incorporated herein by reference to Scotts’ Annual Report on Form 10-K for the fiscal year ended September 30, 1995 (File No. 1-11593) [Exhibit 10(p)]</w:t>
      </w:r>
    </w:p>
    <w:p>
      <w:pPr>
        <w:spacing w:after="0" w:line="60" w:lineRule="exact"/>
        <w:rPr>
          <w:sz w:val="20"/>
          <w:szCs w:val="20"/>
          <w:color w:val="auto"/>
        </w:rPr>
      </w:pPr>
    </w:p>
    <w:p>
      <w:pPr>
        <w:sectPr>
          <w:pgSz w:w="11900" w:h="16838" w:orient="portrait"/>
          <w:cols w:equalWidth="0" w:num="2">
            <w:col w:w="7320" w:space="420"/>
            <w:col w:w="3000"/>
          </w:cols>
          <w:pgMar w:left="240" w:top="405" w:right="919" w:bottom="1440" w:gutter="0" w:footer="0" w:header="0"/>
          <w:type w:val="continuous"/>
        </w:sectPr>
      </w:pPr>
    </w:p>
    <w:tbl>
      <w:tblPr>
        <w:tblLayout w:type="fixed"/>
        <w:tblInd w:w="70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Arial" w:cs="Arial" w:eastAsia="Arial" w:hAnsi="Arial"/>
                <w:sz w:val="18"/>
                <w:szCs w:val="18"/>
                <w:color w:val="auto"/>
              </w:rPr>
              <w:t>10.11(a)</w:t>
            </w:r>
          </w:p>
        </w:tc>
        <w:tc>
          <w:tcPr>
            <w:tcW w:w="5640" w:type="dxa"/>
            <w:vAlign w:val="bottom"/>
          </w:tcPr>
          <w:p>
            <w:pPr>
              <w:ind w:left="380"/>
              <w:spacing w:after="0"/>
              <w:rPr>
                <w:sz w:val="20"/>
                <w:szCs w:val="20"/>
                <w:color w:val="auto"/>
              </w:rPr>
            </w:pPr>
            <w:r>
              <w:rPr>
                <w:rFonts w:ascii="Arial" w:cs="Arial" w:eastAsia="Arial" w:hAnsi="Arial"/>
                <w:sz w:val="18"/>
                <w:szCs w:val="18"/>
                <w:color w:val="auto"/>
                <w:w w:val="99"/>
              </w:rPr>
              <w:t>Letter agreement, dated June 5, 2000 and accepted by Mr. Norton</w:t>
            </w:r>
          </w:p>
        </w:tc>
      </w:tr>
      <w:tr>
        <w:trPr>
          <w:trHeight w:val="203"/>
        </w:trPr>
        <w:tc>
          <w:tcPr>
            <w:tcW w:w="1040" w:type="dxa"/>
            <w:vAlign w:val="bottom"/>
          </w:tcPr>
          <w:p>
            <w:pPr>
              <w:spacing w:after="0"/>
              <w:rPr>
                <w:sz w:val="17"/>
                <w:szCs w:val="17"/>
                <w:color w:val="auto"/>
              </w:rPr>
            </w:pPr>
          </w:p>
        </w:tc>
        <w:tc>
          <w:tcPr>
            <w:tcW w:w="5640" w:type="dxa"/>
            <w:vAlign w:val="bottom"/>
          </w:tcPr>
          <w:p>
            <w:pPr>
              <w:ind w:left="380"/>
              <w:spacing w:after="0" w:line="202" w:lineRule="exact"/>
              <w:rPr>
                <w:sz w:val="20"/>
                <w:szCs w:val="20"/>
                <w:color w:val="auto"/>
              </w:rPr>
            </w:pPr>
            <w:r>
              <w:rPr>
                <w:rFonts w:ascii="Arial" w:cs="Arial" w:eastAsia="Arial" w:hAnsi="Arial"/>
                <w:sz w:val="18"/>
                <w:szCs w:val="18"/>
                <w:color w:val="auto"/>
              </w:rPr>
              <w:t>on June 8, 2000, between The Scotts Company and Patrick J.</w:t>
            </w:r>
          </w:p>
        </w:tc>
      </w:tr>
      <w:tr>
        <w:trPr>
          <w:trHeight w:val="243"/>
        </w:trPr>
        <w:tc>
          <w:tcPr>
            <w:tcW w:w="1040" w:type="dxa"/>
            <w:vAlign w:val="bottom"/>
          </w:tcPr>
          <w:p>
            <w:pPr>
              <w:spacing w:after="0"/>
              <w:rPr>
                <w:sz w:val="21"/>
                <w:szCs w:val="21"/>
                <w:color w:val="auto"/>
              </w:rPr>
            </w:pPr>
          </w:p>
        </w:tc>
        <w:tc>
          <w:tcPr>
            <w:tcW w:w="5640" w:type="dxa"/>
            <w:vAlign w:val="bottom"/>
          </w:tcPr>
          <w:p>
            <w:pPr>
              <w:ind w:left="380"/>
              <w:spacing w:after="0"/>
              <w:rPr>
                <w:sz w:val="20"/>
                <w:szCs w:val="20"/>
                <w:color w:val="auto"/>
              </w:rPr>
            </w:pPr>
            <w:r>
              <w:rPr>
                <w:rFonts w:ascii="Arial" w:cs="Arial" w:eastAsia="Arial" w:hAnsi="Arial"/>
                <w:sz w:val="18"/>
                <w:szCs w:val="18"/>
                <w:color w:val="auto"/>
              </w:rPr>
              <w:t>Norton</w:t>
            </w:r>
          </w:p>
        </w:tc>
      </w:tr>
    </w:tbl>
    <w:p>
      <w:pPr>
        <w:spacing w:after="0" w:line="20" w:lineRule="exact"/>
        <w:rPr>
          <w:sz w:val="20"/>
          <w:szCs w:val="20"/>
          <w:color w:val="auto"/>
        </w:rPr>
      </w:pPr>
      <w:r>
        <w:rPr>
          <w:sz w:val="20"/>
          <w:szCs w:val="20"/>
          <w:color w:val="auto"/>
        </w:rPr>
        <w:br w:type="column"/>
      </w:r>
    </w:p>
    <w:p>
      <w:pPr>
        <w:jc w:val="both"/>
        <w:ind w:right="120"/>
        <w:spacing w:after="0" w:line="245" w:lineRule="auto"/>
        <w:rPr>
          <w:sz w:val="20"/>
          <w:szCs w:val="20"/>
          <w:color w:val="auto"/>
        </w:rPr>
      </w:pPr>
      <w:r>
        <w:rPr>
          <w:rFonts w:ascii="Arial" w:cs="Arial" w:eastAsia="Arial" w:hAnsi="Arial"/>
          <w:sz w:val="18"/>
          <w:szCs w:val="18"/>
          <w:color w:val="auto"/>
        </w:rPr>
        <w:t>Incorporated herein by reference to Scotts’ Annual Report on Form 10-K for the fiscal year ended September 30, 2000 (File No. 1-13292) [Exhibit 10(q)]</w:t>
      </w:r>
    </w:p>
    <w:p>
      <w:pPr>
        <w:spacing w:after="0" w:line="60" w:lineRule="exact"/>
        <w:rPr>
          <w:sz w:val="20"/>
          <w:szCs w:val="20"/>
          <w:color w:val="auto"/>
        </w:rPr>
      </w:pPr>
    </w:p>
    <w:p>
      <w:pPr>
        <w:sectPr>
          <w:pgSz w:w="11900" w:h="16838" w:orient="portrait"/>
          <w:cols w:equalWidth="0" w:num="2">
            <w:col w:w="7380" w:space="360"/>
            <w:col w:w="3000"/>
          </w:cols>
          <w:pgMar w:left="240" w:top="405" w:right="919" w:bottom="1440" w:gutter="0" w:footer="0" w:header="0"/>
          <w:type w:val="continuous"/>
        </w:sectPr>
      </w:pPr>
    </w:p>
    <w:tbl>
      <w:tblPr>
        <w:tblLayout w:type="fixed"/>
        <w:tblInd w:w="70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Arial" w:cs="Arial" w:eastAsia="Arial" w:hAnsi="Arial"/>
                <w:sz w:val="18"/>
                <w:szCs w:val="18"/>
                <w:color w:val="auto"/>
              </w:rPr>
              <w:t>10.11(b)</w:t>
            </w:r>
          </w:p>
        </w:tc>
        <w:tc>
          <w:tcPr>
            <w:tcW w:w="5660" w:type="dxa"/>
            <w:vAlign w:val="bottom"/>
          </w:tcPr>
          <w:p>
            <w:pPr>
              <w:ind w:left="380"/>
              <w:spacing w:after="0"/>
              <w:rPr>
                <w:sz w:val="20"/>
                <w:szCs w:val="20"/>
                <w:color w:val="auto"/>
              </w:rPr>
            </w:pPr>
            <w:r>
              <w:rPr>
                <w:rFonts w:ascii="Arial" w:cs="Arial" w:eastAsia="Arial" w:hAnsi="Arial"/>
                <w:sz w:val="18"/>
                <w:szCs w:val="18"/>
                <w:color w:val="auto"/>
              </w:rPr>
              <w:t>Letter agreement, dated November 5, 2002, and accepted by Mr.</w:t>
            </w:r>
          </w:p>
        </w:tc>
      </w:tr>
      <w:tr>
        <w:trPr>
          <w:trHeight w:val="203"/>
        </w:trPr>
        <w:tc>
          <w:tcPr>
            <w:tcW w:w="1040" w:type="dxa"/>
            <w:vAlign w:val="bottom"/>
          </w:tcPr>
          <w:p>
            <w:pPr>
              <w:spacing w:after="0"/>
              <w:rPr>
                <w:sz w:val="17"/>
                <w:szCs w:val="17"/>
                <w:color w:val="auto"/>
              </w:rPr>
            </w:pPr>
          </w:p>
        </w:tc>
        <w:tc>
          <w:tcPr>
            <w:tcW w:w="5660" w:type="dxa"/>
            <w:vAlign w:val="bottom"/>
          </w:tcPr>
          <w:p>
            <w:pPr>
              <w:ind w:left="380"/>
              <w:spacing w:after="0" w:line="202" w:lineRule="exact"/>
              <w:rPr>
                <w:sz w:val="20"/>
                <w:szCs w:val="20"/>
                <w:color w:val="auto"/>
              </w:rPr>
            </w:pPr>
            <w:r>
              <w:rPr>
                <w:rFonts w:ascii="Arial" w:cs="Arial" w:eastAsia="Arial" w:hAnsi="Arial"/>
                <w:sz w:val="18"/>
                <w:szCs w:val="18"/>
                <w:color w:val="auto"/>
              </w:rPr>
              <w:t>Norton on November 22, 2002, pertaining to the terms of</w:t>
            </w:r>
          </w:p>
        </w:tc>
      </w:tr>
      <w:tr>
        <w:trPr>
          <w:trHeight w:val="203"/>
        </w:trPr>
        <w:tc>
          <w:tcPr>
            <w:tcW w:w="1040" w:type="dxa"/>
            <w:vAlign w:val="bottom"/>
          </w:tcPr>
          <w:p>
            <w:pPr>
              <w:spacing w:after="0"/>
              <w:rPr>
                <w:sz w:val="17"/>
                <w:szCs w:val="17"/>
                <w:color w:val="auto"/>
              </w:rPr>
            </w:pPr>
          </w:p>
        </w:tc>
        <w:tc>
          <w:tcPr>
            <w:tcW w:w="5660" w:type="dxa"/>
            <w:vAlign w:val="bottom"/>
          </w:tcPr>
          <w:p>
            <w:pPr>
              <w:ind w:left="380"/>
              <w:spacing w:after="0" w:line="202" w:lineRule="exact"/>
              <w:rPr>
                <w:sz w:val="20"/>
                <w:szCs w:val="20"/>
                <w:color w:val="auto"/>
              </w:rPr>
            </w:pPr>
            <w:r>
              <w:rPr>
                <w:rFonts w:ascii="Arial" w:cs="Arial" w:eastAsia="Arial" w:hAnsi="Arial"/>
                <w:sz w:val="18"/>
                <w:szCs w:val="18"/>
                <w:color w:val="auto"/>
              </w:rPr>
              <w:t>employment of Patrick J. Norton through December 31, 2005, and</w:t>
            </w:r>
          </w:p>
        </w:tc>
      </w:tr>
      <w:tr>
        <w:trPr>
          <w:trHeight w:val="203"/>
        </w:trPr>
        <w:tc>
          <w:tcPr>
            <w:tcW w:w="1040" w:type="dxa"/>
            <w:vAlign w:val="bottom"/>
          </w:tcPr>
          <w:p>
            <w:pPr>
              <w:spacing w:after="0"/>
              <w:rPr>
                <w:sz w:val="17"/>
                <w:szCs w:val="17"/>
                <w:color w:val="auto"/>
              </w:rPr>
            </w:pPr>
          </w:p>
        </w:tc>
        <w:tc>
          <w:tcPr>
            <w:tcW w:w="5660" w:type="dxa"/>
            <w:vAlign w:val="bottom"/>
          </w:tcPr>
          <w:p>
            <w:pPr>
              <w:ind w:left="380"/>
              <w:spacing w:after="0" w:line="202" w:lineRule="exact"/>
              <w:rPr>
                <w:sz w:val="20"/>
                <w:szCs w:val="20"/>
                <w:color w:val="auto"/>
              </w:rPr>
            </w:pPr>
            <w:r>
              <w:rPr>
                <w:rFonts w:ascii="Arial" w:cs="Arial" w:eastAsia="Arial" w:hAnsi="Arial"/>
                <w:sz w:val="18"/>
                <w:szCs w:val="18"/>
                <w:color w:val="auto"/>
                <w:w w:val="99"/>
              </w:rPr>
              <w:t>superseding certain provisions of the letter agreement, dated June</w:t>
            </w:r>
          </w:p>
        </w:tc>
      </w:tr>
      <w:tr>
        <w:trPr>
          <w:trHeight w:val="243"/>
        </w:trPr>
        <w:tc>
          <w:tcPr>
            <w:tcW w:w="1040" w:type="dxa"/>
            <w:vAlign w:val="bottom"/>
          </w:tcPr>
          <w:p>
            <w:pPr>
              <w:spacing w:after="0"/>
              <w:rPr>
                <w:sz w:val="21"/>
                <w:szCs w:val="21"/>
                <w:color w:val="auto"/>
              </w:rPr>
            </w:pPr>
          </w:p>
        </w:tc>
        <w:tc>
          <w:tcPr>
            <w:tcW w:w="5660" w:type="dxa"/>
            <w:vAlign w:val="bottom"/>
          </w:tcPr>
          <w:p>
            <w:pPr>
              <w:ind w:left="380"/>
              <w:spacing w:after="0"/>
              <w:rPr>
                <w:sz w:val="20"/>
                <w:szCs w:val="20"/>
                <w:color w:val="auto"/>
              </w:rPr>
            </w:pPr>
            <w:r>
              <w:rPr>
                <w:rFonts w:ascii="Arial" w:cs="Arial" w:eastAsia="Arial" w:hAnsi="Arial"/>
                <w:sz w:val="18"/>
                <w:szCs w:val="18"/>
                <w:color w:val="auto"/>
              </w:rPr>
              <w:t>5, 2000, between The Scotts Company and Mr. Norton</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10.11(c)</w:t>
            </w:r>
          </w:p>
        </w:tc>
        <w:tc>
          <w:tcPr>
            <w:tcW w:w="5660" w:type="dxa"/>
            <w:vAlign w:val="bottom"/>
          </w:tcPr>
          <w:p>
            <w:pPr>
              <w:ind w:left="380"/>
              <w:spacing w:after="0"/>
              <w:rPr>
                <w:sz w:val="20"/>
                <w:szCs w:val="20"/>
                <w:color w:val="auto"/>
              </w:rPr>
            </w:pPr>
            <w:r>
              <w:rPr>
                <w:rFonts w:ascii="Arial" w:cs="Arial" w:eastAsia="Arial" w:hAnsi="Arial"/>
                <w:sz w:val="18"/>
                <w:szCs w:val="18"/>
                <w:color w:val="auto"/>
              </w:rPr>
              <w:t>Letter of Extension, dated October 25, 2005, between The Scotts</w:t>
            </w:r>
          </w:p>
        </w:tc>
      </w:tr>
      <w:tr>
        <w:trPr>
          <w:trHeight w:val="243"/>
        </w:trPr>
        <w:tc>
          <w:tcPr>
            <w:tcW w:w="1040" w:type="dxa"/>
            <w:vAlign w:val="bottom"/>
          </w:tcPr>
          <w:p>
            <w:pPr>
              <w:spacing w:after="0"/>
              <w:rPr>
                <w:sz w:val="21"/>
                <w:szCs w:val="21"/>
                <w:color w:val="auto"/>
              </w:rPr>
            </w:pPr>
          </w:p>
        </w:tc>
        <w:tc>
          <w:tcPr>
            <w:tcW w:w="5660" w:type="dxa"/>
            <w:vAlign w:val="bottom"/>
          </w:tcPr>
          <w:p>
            <w:pPr>
              <w:ind w:left="380"/>
              <w:spacing w:after="0"/>
              <w:rPr>
                <w:sz w:val="20"/>
                <w:szCs w:val="20"/>
                <w:color w:val="auto"/>
              </w:rPr>
            </w:pPr>
            <w:r>
              <w:rPr>
                <w:rFonts w:ascii="Arial" w:cs="Arial" w:eastAsia="Arial" w:hAnsi="Arial"/>
                <w:sz w:val="18"/>
                <w:szCs w:val="18"/>
                <w:color w:val="auto"/>
              </w:rPr>
              <w:t>Miracle-Gro Company and Patrick J. Norton</w:t>
            </w:r>
          </w:p>
        </w:tc>
      </w:tr>
      <w:tr>
        <w:trPr>
          <w:trHeight w:val="675"/>
        </w:trPr>
        <w:tc>
          <w:tcPr>
            <w:tcW w:w="1040" w:type="dxa"/>
            <w:vAlign w:val="bottom"/>
          </w:tcPr>
          <w:p>
            <w:pPr>
              <w:spacing w:after="0"/>
              <w:rPr>
                <w:sz w:val="20"/>
                <w:szCs w:val="20"/>
                <w:color w:val="auto"/>
              </w:rPr>
            </w:pPr>
            <w:r>
              <w:rPr>
                <w:rFonts w:ascii="Arial" w:cs="Arial" w:eastAsia="Arial" w:hAnsi="Arial"/>
                <w:sz w:val="18"/>
                <w:szCs w:val="18"/>
                <w:color w:val="auto"/>
              </w:rPr>
              <w:t>10.12</w:t>
            </w:r>
          </w:p>
        </w:tc>
        <w:tc>
          <w:tcPr>
            <w:tcW w:w="5660" w:type="dxa"/>
            <w:vAlign w:val="bottom"/>
          </w:tcPr>
          <w:p>
            <w:pPr>
              <w:ind w:left="380"/>
              <w:spacing w:after="0"/>
              <w:rPr>
                <w:sz w:val="20"/>
                <w:szCs w:val="20"/>
                <w:color w:val="auto"/>
              </w:rPr>
            </w:pPr>
            <w:r>
              <w:rPr>
                <w:rFonts w:ascii="Arial" w:cs="Arial" w:eastAsia="Arial" w:hAnsi="Arial"/>
                <w:sz w:val="18"/>
                <w:szCs w:val="18"/>
                <w:color w:val="auto"/>
                <w:w w:val="99"/>
              </w:rPr>
              <w:t>Employment Agreement, effective as of October 1, 2007, between</w:t>
            </w:r>
          </w:p>
        </w:tc>
      </w:tr>
      <w:tr>
        <w:trPr>
          <w:trHeight w:val="203"/>
        </w:trPr>
        <w:tc>
          <w:tcPr>
            <w:tcW w:w="1040" w:type="dxa"/>
            <w:vAlign w:val="bottom"/>
          </w:tcPr>
          <w:p>
            <w:pPr>
              <w:spacing w:after="0"/>
              <w:rPr>
                <w:sz w:val="17"/>
                <w:szCs w:val="17"/>
                <w:color w:val="auto"/>
              </w:rPr>
            </w:pPr>
          </w:p>
        </w:tc>
        <w:tc>
          <w:tcPr>
            <w:tcW w:w="5660" w:type="dxa"/>
            <w:vAlign w:val="bottom"/>
          </w:tcPr>
          <w:p>
            <w:pPr>
              <w:ind w:left="380"/>
              <w:spacing w:after="0" w:line="202" w:lineRule="exact"/>
              <w:rPr>
                <w:sz w:val="20"/>
                <w:szCs w:val="20"/>
                <w:color w:val="auto"/>
              </w:rPr>
            </w:pPr>
            <w:r>
              <w:rPr>
                <w:rFonts w:ascii="Arial" w:cs="Arial" w:eastAsia="Arial" w:hAnsi="Arial"/>
                <w:sz w:val="18"/>
                <w:szCs w:val="18"/>
                <w:color w:val="auto"/>
                <w:w w:val="99"/>
              </w:rPr>
              <w:t>The Scotts Company LLC and Barry W. Sanders (executed by Mr.</w:t>
            </w:r>
          </w:p>
        </w:tc>
      </w:tr>
      <w:tr>
        <w:trPr>
          <w:trHeight w:val="203"/>
        </w:trPr>
        <w:tc>
          <w:tcPr>
            <w:tcW w:w="1040" w:type="dxa"/>
            <w:vAlign w:val="bottom"/>
          </w:tcPr>
          <w:p>
            <w:pPr>
              <w:spacing w:after="0"/>
              <w:rPr>
                <w:sz w:val="17"/>
                <w:szCs w:val="17"/>
                <w:color w:val="auto"/>
              </w:rPr>
            </w:pPr>
          </w:p>
        </w:tc>
        <w:tc>
          <w:tcPr>
            <w:tcW w:w="5660" w:type="dxa"/>
            <w:vAlign w:val="bottom"/>
          </w:tcPr>
          <w:p>
            <w:pPr>
              <w:ind w:left="380"/>
              <w:spacing w:after="0" w:line="202" w:lineRule="exact"/>
              <w:rPr>
                <w:sz w:val="20"/>
                <w:szCs w:val="20"/>
                <w:color w:val="auto"/>
              </w:rPr>
            </w:pPr>
            <w:r>
              <w:rPr>
                <w:rFonts w:ascii="Arial" w:cs="Arial" w:eastAsia="Arial" w:hAnsi="Arial"/>
                <w:sz w:val="18"/>
                <w:szCs w:val="18"/>
                <w:color w:val="auto"/>
              </w:rPr>
              <w:t>Sanders on November 16, 2007 and on behalf of The Scotts</w:t>
            </w:r>
          </w:p>
        </w:tc>
      </w:tr>
      <w:tr>
        <w:trPr>
          <w:trHeight w:val="243"/>
        </w:trPr>
        <w:tc>
          <w:tcPr>
            <w:tcW w:w="1040" w:type="dxa"/>
            <w:vAlign w:val="bottom"/>
          </w:tcPr>
          <w:p>
            <w:pPr>
              <w:spacing w:after="0"/>
              <w:rPr>
                <w:sz w:val="21"/>
                <w:szCs w:val="21"/>
                <w:color w:val="auto"/>
              </w:rPr>
            </w:pPr>
          </w:p>
        </w:tc>
        <w:tc>
          <w:tcPr>
            <w:tcW w:w="5660" w:type="dxa"/>
            <w:vAlign w:val="bottom"/>
          </w:tcPr>
          <w:p>
            <w:pPr>
              <w:ind w:left="380"/>
              <w:spacing w:after="0"/>
              <w:rPr>
                <w:sz w:val="20"/>
                <w:szCs w:val="20"/>
                <w:color w:val="auto"/>
              </w:rPr>
            </w:pPr>
            <w:r>
              <w:rPr>
                <w:rFonts w:ascii="Arial" w:cs="Arial" w:eastAsia="Arial" w:hAnsi="Arial"/>
                <w:sz w:val="18"/>
                <w:szCs w:val="18"/>
                <w:color w:val="auto"/>
              </w:rPr>
              <w:t>Company LLC on November 19, 2007)</w:t>
            </w:r>
          </w:p>
        </w:tc>
      </w:tr>
    </w:tbl>
    <w:p>
      <w:pPr>
        <w:spacing w:after="0" w:line="20" w:lineRule="exact"/>
        <w:rPr>
          <w:sz w:val="20"/>
          <w:szCs w:val="20"/>
          <w:color w:val="auto"/>
        </w:rPr>
      </w:pPr>
      <w:r>
        <w:rPr>
          <w:sz w:val="20"/>
          <w:szCs w:val="20"/>
          <w:color w:val="auto"/>
        </w:rPr>
        <w:br w:type="column"/>
      </w:r>
    </w:p>
    <w:p>
      <w:pPr>
        <w:jc w:val="both"/>
        <w:ind w:right="120"/>
        <w:spacing w:after="0" w:line="245" w:lineRule="auto"/>
        <w:rPr>
          <w:sz w:val="20"/>
          <w:szCs w:val="20"/>
          <w:color w:val="auto"/>
        </w:rPr>
      </w:pPr>
      <w:r>
        <w:rPr>
          <w:rFonts w:ascii="Arial" w:cs="Arial" w:eastAsia="Arial" w:hAnsi="Arial"/>
          <w:sz w:val="18"/>
          <w:szCs w:val="18"/>
          <w:color w:val="auto"/>
        </w:rPr>
        <w:t>Incorporated herein by reference to Scotts’ Annual Report on Form 10-K for the fiscal year ended September 30, 2002 (File No. 1-13292) [Exhibit 10(q)]</w:t>
      </w:r>
    </w:p>
    <w:p>
      <w:pPr>
        <w:spacing w:after="0" w:line="64" w:lineRule="exact"/>
        <w:rPr>
          <w:sz w:val="20"/>
          <w:szCs w:val="20"/>
          <w:color w:val="auto"/>
        </w:rPr>
      </w:pPr>
    </w:p>
    <w:p>
      <w:pPr>
        <w:jc w:val="both"/>
        <w:ind w:right="200"/>
        <w:spacing w:after="0" w:line="268" w:lineRule="auto"/>
        <w:rPr>
          <w:sz w:val="20"/>
          <w:szCs w:val="20"/>
          <w:color w:val="auto"/>
        </w:rPr>
      </w:pPr>
      <w:r>
        <w:rPr>
          <w:rFonts w:ascii="Arial" w:cs="Arial" w:eastAsia="Arial" w:hAnsi="Arial"/>
          <w:sz w:val="17"/>
          <w:szCs w:val="17"/>
          <w:color w:val="auto"/>
        </w:rPr>
        <w:t>Incorporated herein by reference to the Registrant’s Current Report on Form 8-K filed December 14, 2005 (File No. 1-13292) [Exhibit 10.3]</w:t>
      </w:r>
    </w:p>
    <w:p>
      <w:pPr>
        <w:spacing w:after="0" w:line="45" w:lineRule="exact"/>
        <w:rPr>
          <w:sz w:val="20"/>
          <w:szCs w:val="20"/>
          <w:color w:val="auto"/>
        </w:rPr>
      </w:pPr>
    </w:p>
    <w:p>
      <w:pPr>
        <w:ind w:right="180"/>
        <w:spacing w:after="0" w:line="245"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2007 (File No. 1-13292) [Exhibit 10(m)]</w:t>
      </w:r>
    </w:p>
    <w:p>
      <w:pPr>
        <w:spacing w:after="0" w:line="60" w:lineRule="exact"/>
        <w:rPr>
          <w:sz w:val="20"/>
          <w:szCs w:val="20"/>
          <w:color w:val="auto"/>
        </w:rPr>
      </w:pPr>
    </w:p>
    <w:p>
      <w:pPr>
        <w:sectPr>
          <w:pgSz w:w="11900" w:h="16838" w:orient="portrait"/>
          <w:cols w:equalWidth="0" w:num="2">
            <w:col w:w="7400" w:space="340"/>
            <w:col w:w="3000"/>
          </w:cols>
          <w:pgMar w:left="240" w:top="405" w:right="919" w:bottom="1440" w:gutter="0" w:footer="0" w:header="0"/>
          <w:type w:val="continuous"/>
        </w:sectPr>
      </w:pPr>
    </w:p>
    <w:tbl>
      <w:tblPr>
        <w:tblLayout w:type="fixed"/>
        <w:tblInd w:w="700" w:type="dxa"/>
        <w:tblCellMar>
          <w:top w:w="0" w:type="dxa"/>
          <w:left w:w="0" w:type="dxa"/>
          <w:bottom w:w="0" w:type="dxa"/>
          <w:right w:w="0" w:type="dxa"/>
        </w:tblCellMar>
      </w:tblPr>
      <w:tr>
        <w:trPr>
          <w:trHeight w:val="207"/>
        </w:trPr>
        <w:tc>
          <w:tcPr>
            <w:tcW w:w="940" w:type="dxa"/>
            <w:vAlign w:val="bottom"/>
          </w:tcPr>
          <w:p>
            <w:pPr>
              <w:jc w:val="right"/>
              <w:ind w:right="410"/>
              <w:spacing w:after="0"/>
              <w:rPr>
                <w:sz w:val="20"/>
                <w:szCs w:val="20"/>
                <w:color w:val="auto"/>
              </w:rPr>
            </w:pPr>
            <w:r>
              <w:rPr>
                <w:rFonts w:ascii="Arial" w:cs="Arial" w:eastAsia="Arial" w:hAnsi="Arial"/>
                <w:sz w:val="18"/>
                <w:szCs w:val="18"/>
                <w:color w:val="auto"/>
                <w:w w:val="93"/>
              </w:rPr>
              <w:t>10.13</w:t>
            </w:r>
          </w:p>
        </w:tc>
        <w:tc>
          <w:tcPr>
            <w:tcW w:w="5740" w:type="dxa"/>
            <w:vAlign w:val="bottom"/>
          </w:tcPr>
          <w:p>
            <w:pPr>
              <w:ind w:left="480"/>
              <w:spacing w:after="0"/>
              <w:rPr>
                <w:sz w:val="20"/>
                <w:szCs w:val="20"/>
                <w:color w:val="auto"/>
              </w:rPr>
            </w:pPr>
            <w:r>
              <w:rPr>
                <w:rFonts w:ascii="Arial" w:cs="Arial" w:eastAsia="Arial" w:hAnsi="Arial"/>
                <w:sz w:val="18"/>
                <w:szCs w:val="18"/>
                <w:color w:val="auto"/>
                <w:w w:val="99"/>
              </w:rPr>
              <w:t>Employment Contract for an Unlimited Time, effective as of July 1,</w:t>
            </w:r>
          </w:p>
        </w:tc>
      </w:tr>
      <w:tr>
        <w:trPr>
          <w:trHeight w:val="225"/>
        </w:trPr>
        <w:tc>
          <w:tcPr>
            <w:tcW w:w="940" w:type="dxa"/>
            <w:vAlign w:val="bottom"/>
          </w:tcPr>
          <w:p>
            <w:pPr>
              <w:spacing w:after="0"/>
              <w:rPr>
                <w:sz w:val="19"/>
                <w:szCs w:val="19"/>
                <w:color w:val="auto"/>
              </w:rPr>
            </w:pPr>
          </w:p>
        </w:tc>
        <w:tc>
          <w:tcPr>
            <w:tcW w:w="5740" w:type="dxa"/>
            <w:vAlign w:val="bottom"/>
          </w:tcPr>
          <w:p>
            <w:pPr>
              <w:ind w:left="480"/>
              <w:spacing w:after="0"/>
              <w:rPr>
                <w:sz w:val="20"/>
                <w:szCs w:val="20"/>
                <w:color w:val="auto"/>
              </w:rPr>
            </w:pPr>
            <w:r>
              <w:rPr>
                <w:rFonts w:ascii="Arial" w:cs="Arial" w:eastAsia="Arial" w:hAnsi="Arial"/>
                <w:sz w:val="18"/>
                <w:szCs w:val="18"/>
                <w:color w:val="auto"/>
              </w:rPr>
              <w:t>2001, between The Scotts Company (now known as The Scotts</w:t>
            </w:r>
          </w:p>
        </w:tc>
      </w:tr>
    </w:tbl>
    <w:p>
      <w:pPr>
        <w:ind w:left="2120" w:right="20"/>
        <w:spacing w:after="0" w:line="251" w:lineRule="auto"/>
        <w:rPr>
          <w:sz w:val="20"/>
          <w:szCs w:val="20"/>
          <w:color w:val="auto"/>
        </w:rPr>
      </w:pPr>
      <w:r>
        <w:rPr>
          <w:rFonts w:ascii="Arial" w:cs="Arial" w:eastAsia="Arial" w:hAnsi="Arial"/>
          <w:sz w:val="18"/>
          <w:szCs w:val="18"/>
          <w:color w:val="auto"/>
        </w:rPr>
        <w:t>Company LLC) and Claude Lopez [English Translation — Original in French]</w:t>
      </w:r>
    </w:p>
    <w:p>
      <w:pPr>
        <w:spacing w:after="0" w:line="20" w:lineRule="exact"/>
        <w:rPr>
          <w:sz w:val="20"/>
          <w:szCs w:val="20"/>
          <w:color w:val="auto"/>
        </w:rPr>
      </w:pPr>
      <w:r>
        <w:rPr>
          <w:sz w:val="20"/>
          <w:szCs w:val="20"/>
          <w:color w:val="auto"/>
        </w:rPr>
        <w:br w:type="column"/>
      </w:r>
    </w:p>
    <w:p>
      <w:pPr>
        <w:ind w:right="180"/>
        <w:spacing w:after="0" w:line="245"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2007 (File No. 1-13292) [Exhibit 10(n)]</w:t>
      </w:r>
    </w:p>
    <w:p>
      <w:pPr>
        <w:spacing w:after="0" w:line="60" w:lineRule="exact"/>
        <w:rPr>
          <w:sz w:val="20"/>
          <w:szCs w:val="20"/>
          <w:color w:val="auto"/>
        </w:rPr>
      </w:pPr>
    </w:p>
    <w:p>
      <w:pPr>
        <w:sectPr>
          <w:pgSz w:w="11900" w:h="16838" w:orient="portrait"/>
          <w:cols w:equalWidth="0" w:num="2">
            <w:col w:w="7380" w:space="360"/>
            <w:col w:w="3000"/>
          </w:cols>
          <w:pgMar w:left="240" w:top="405" w:right="919" w:bottom="1440" w:gutter="0" w:footer="0" w:header="0"/>
          <w:type w:val="continuous"/>
        </w:sectPr>
      </w:pPr>
    </w:p>
    <w:tbl>
      <w:tblPr>
        <w:tblLayout w:type="fixed"/>
        <w:tblInd w:w="700" w:type="dxa"/>
        <w:tblCellMar>
          <w:top w:w="0" w:type="dxa"/>
          <w:left w:w="0" w:type="dxa"/>
          <w:bottom w:w="0" w:type="dxa"/>
          <w:right w:w="0" w:type="dxa"/>
        </w:tblCellMar>
      </w:tblPr>
      <w:tr>
        <w:trPr>
          <w:trHeight w:val="207"/>
        </w:trPr>
        <w:tc>
          <w:tcPr>
            <w:tcW w:w="940" w:type="dxa"/>
            <w:vAlign w:val="bottom"/>
          </w:tcPr>
          <w:p>
            <w:pPr>
              <w:jc w:val="right"/>
              <w:ind w:right="410"/>
              <w:spacing w:after="0"/>
              <w:rPr>
                <w:sz w:val="20"/>
                <w:szCs w:val="20"/>
                <w:color w:val="auto"/>
              </w:rPr>
            </w:pPr>
            <w:r>
              <w:rPr>
                <w:rFonts w:ascii="Arial" w:cs="Arial" w:eastAsia="Arial" w:hAnsi="Arial"/>
                <w:sz w:val="18"/>
                <w:szCs w:val="18"/>
                <w:color w:val="auto"/>
                <w:w w:val="93"/>
              </w:rPr>
              <w:t>10.14</w:t>
            </w:r>
          </w:p>
        </w:tc>
        <w:tc>
          <w:tcPr>
            <w:tcW w:w="5780" w:type="dxa"/>
            <w:vAlign w:val="bottom"/>
          </w:tcPr>
          <w:p>
            <w:pPr>
              <w:ind w:left="480"/>
              <w:spacing w:after="0"/>
              <w:rPr>
                <w:sz w:val="20"/>
                <w:szCs w:val="20"/>
                <w:color w:val="auto"/>
              </w:rPr>
            </w:pPr>
            <w:r>
              <w:rPr>
                <w:rFonts w:ascii="Arial" w:cs="Arial" w:eastAsia="Arial" w:hAnsi="Arial"/>
                <w:sz w:val="18"/>
                <w:szCs w:val="18"/>
                <w:color w:val="auto"/>
                <w:w w:val="99"/>
              </w:rPr>
              <w:t>Employment Agreement for David C. Evans, executed on behalf of</w:t>
            </w:r>
          </w:p>
        </w:tc>
      </w:tr>
      <w:tr>
        <w:trPr>
          <w:trHeight w:val="203"/>
        </w:trPr>
        <w:tc>
          <w:tcPr>
            <w:tcW w:w="940" w:type="dxa"/>
            <w:vAlign w:val="bottom"/>
          </w:tcPr>
          <w:p>
            <w:pPr>
              <w:spacing w:after="0"/>
              <w:rPr>
                <w:sz w:val="17"/>
                <w:szCs w:val="17"/>
                <w:color w:val="auto"/>
              </w:rPr>
            </w:pPr>
          </w:p>
        </w:tc>
        <w:tc>
          <w:tcPr>
            <w:tcW w:w="5780" w:type="dxa"/>
            <w:vAlign w:val="bottom"/>
          </w:tcPr>
          <w:p>
            <w:pPr>
              <w:ind w:left="480"/>
              <w:spacing w:after="0" w:line="202" w:lineRule="exact"/>
              <w:rPr>
                <w:sz w:val="20"/>
                <w:szCs w:val="20"/>
                <w:color w:val="auto"/>
              </w:rPr>
            </w:pPr>
            <w:r>
              <w:rPr>
                <w:rFonts w:ascii="Arial" w:cs="Arial" w:eastAsia="Arial" w:hAnsi="Arial"/>
                <w:sz w:val="18"/>
                <w:szCs w:val="18"/>
                <w:color w:val="auto"/>
              </w:rPr>
              <w:t>The Scotts Company LLC on November 19, 2007 and by David C.</w:t>
            </w:r>
          </w:p>
        </w:tc>
      </w:tr>
      <w:tr>
        <w:trPr>
          <w:trHeight w:val="243"/>
        </w:trPr>
        <w:tc>
          <w:tcPr>
            <w:tcW w:w="940" w:type="dxa"/>
            <w:vAlign w:val="bottom"/>
          </w:tcPr>
          <w:p>
            <w:pPr>
              <w:spacing w:after="0"/>
              <w:rPr>
                <w:sz w:val="21"/>
                <w:szCs w:val="21"/>
                <w:color w:val="auto"/>
              </w:rPr>
            </w:pPr>
          </w:p>
        </w:tc>
        <w:tc>
          <w:tcPr>
            <w:tcW w:w="5780" w:type="dxa"/>
            <w:vAlign w:val="bottom"/>
          </w:tcPr>
          <w:p>
            <w:pPr>
              <w:ind w:left="480"/>
              <w:spacing w:after="0"/>
              <w:rPr>
                <w:sz w:val="20"/>
                <w:szCs w:val="20"/>
                <w:color w:val="auto"/>
              </w:rPr>
            </w:pPr>
            <w:r>
              <w:rPr>
                <w:rFonts w:ascii="Arial" w:cs="Arial" w:eastAsia="Arial" w:hAnsi="Arial"/>
                <w:sz w:val="18"/>
                <w:szCs w:val="18"/>
                <w:color w:val="auto"/>
              </w:rPr>
              <w:t>Evans on December 3, 2007 and effective as of October 1, 2007</w:t>
            </w:r>
          </w:p>
        </w:tc>
      </w:tr>
      <w:tr>
        <w:trPr>
          <w:trHeight w:val="473"/>
        </w:trPr>
        <w:tc>
          <w:tcPr>
            <w:tcW w:w="940" w:type="dxa"/>
            <w:vAlign w:val="bottom"/>
          </w:tcPr>
          <w:p>
            <w:pPr>
              <w:jc w:val="right"/>
              <w:ind w:right="410"/>
              <w:spacing w:after="0"/>
              <w:rPr>
                <w:sz w:val="20"/>
                <w:szCs w:val="20"/>
                <w:color w:val="auto"/>
              </w:rPr>
            </w:pPr>
            <w:r>
              <w:rPr>
                <w:rFonts w:ascii="Arial" w:cs="Arial" w:eastAsia="Arial" w:hAnsi="Arial"/>
                <w:sz w:val="18"/>
                <w:szCs w:val="18"/>
                <w:color w:val="auto"/>
                <w:w w:val="93"/>
              </w:rPr>
              <w:t>10.15</w:t>
            </w:r>
          </w:p>
        </w:tc>
        <w:tc>
          <w:tcPr>
            <w:tcW w:w="5780" w:type="dxa"/>
            <w:vAlign w:val="bottom"/>
          </w:tcPr>
          <w:p>
            <w:pPr>
              <w:ind w:left="480"/>
              <w:spacing w:after="0"/>
              <w:rPr>
                <w:sz w:val="20"/>
                <w:szCs w:val="20"/>
                <w:color w:val="auto"/>
              </w:rPr>
            </w:pPr>
            <w:r>
              <w:rPr>
                <w:rFonts w:ascii="Arial" w:cs="Arial" w:eastAsia="Arial" w:hAnsi="Arial"/>
                <w:sz w:val="18"/>
                <w:szCs w:val="18"/>
                <w:color w:val="auto"/>
              </w:rPr>
              <w:t>Employment Agreement for Denise S. Stump, executed on behalf</w:t>
            </w:r>
          </w:p>
        </w:tc>
      </w:tr>
      <w:tr>
        <w:trPr>
          <w:trHeight w:val="225"/>
        </w:trPr>
        <w:tc>
          <w:tcPr>
            <w:tcW w:w="940" w:type="dxa"/>
            <w:vAlign w:val="bottom"/>
          </w:tcPr>
          <w:p>
            <w:pPr>
              <w:spacing w:after="0"/>
              <w:rPr>
                <w:sz w:val="19"/>
                <w:szCs w:val="19"/>
                <w:color w:val="auto"/>
              </w:rPr>
            </w:pPr>
          </w:p>
        </w:tc>
        <w:tc>
          <w:tcPr>
            <w:tcW w:w="5780" w:type="dxa"/>
            <w:vAlign w:val="bottom"/>
          </w:tcPr>
          <w:p>
            <w:pPr>
              <w:ind w:left="480"/>
              <w:spacing w:after="0"/>
              <w:rPr>
                <w:sz w:val="20"/>
                <w:szCs w:val="20"/>
                <w:color w:val="auto"/>
              </w:rPr>
            </w:pPr>
            <w:r>
              <w:rPr>
                <w:rFonts w:ascii="Arial" w:cs="Arial" w:eastAsia="Arial" w:hAnsi="Arial"/>
                <w:sz w:val="18"/>
                <w:szCs w:val="18"/>
                <w:color w:val="auto"/>
              </w:rPr>
              <w:t>of The Scotts Company LLC on November 19, 2007 and by</w:t>
            </w:r>
          </w:p>
        </w:tc>
      </w:tr>
    </w:tbl>
    <w:p>
      <w:pPr>
        <w:ind w:left="2120" w:right="580"/>
        <w:spacing w:after="0" w:line="251" w:lineRule="auto"/>
        <w:rPr>
          <w:sz w:val="20"/>
          <w:szCs w:val="20"/>
          <w:color w:val="auto"/>
        </w:rPr>
      </w:pPr>
      <w:r>
        <w:rPr>
          <w:rFonts w:ascii="Arial" w:cs="Arial" w:eastAsia="Arial" w:hAnsi="Arial"/>
          <w:sz w:val="18"/>
          <w:szCs w:val="18"/>
          <w:color w:val="auto"/>
        </w:rPr>
        <w:t>Denise S. Stump on December 11, 2007 and effective as of October 1, 2007</w:t>
      </w:r>
    </w:p>
    <w:p>
      <w:pPr>
        <w:spacing w:after="0" w:line="10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1"/>
          <w:szCs w:val="11"/>
          <w:b w:val="1"/>
          <w:bCs w:val="1"/>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-78105</wp:posOffset>
            </wp:positionV>
            <wp:extent cx="19748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200"/>
        <w:spacing w:after="0" w:line="268" w:lineRule="auto"/>
        <w:rPr>
          <w:sz w:val="20"/>
          <w:szCs w:val="20"/>
          <w:color w:val="auto"/>
        </w:rPr>
      </w:pPr>
      <w:r>
        <w:rPr>
          <w:rFonts w:ascii="Arial" w:cs="Arial" w:eastAsia="Arial" w:hAnsi="Arial"/>
          <w:sz w:val="17"/>
          <w:szCs w:val="17"/>
          <w:color w:val="auto"/>
        </w:rPr>
        <w:t>Incorporated herein by reference to the Registrant’s Current Report on Form 8-K filed December 7, 2007 (File No. 1-13292) [Exhibit 10.1]</w:t>
      </w:r>
    </w:p>
    <w:p>
      <w:pPr>
        <w:spacing w:after="0" w:line="45" w:lineRule="exact"/>
        <w:rPr>
          <w:sz w:val="20"/>
          <w:szCs w:val="20"/>
          <w:color w:val="auto"/>
        </w:rPr>
      </w:pPr>
    </w:p>
    <w:p>
      <w:pPr>
        <w:jc w:val="both"/>
        <w:ind w:right="200"/>
        <w:spacing w:after="0" w:line="268" w:lineRule="auto"/>
        <w:rPr>
          <w:sz w:val="20"/>
          <w:szCs w:val="20"/>
          <w:color w:val="auto"/>
        </w:rPr>
      </w:pPr>
      <w:r>
        <w:rPr>
          <w:rFonts w:ascii="Arial" w:cs="Arial" w:eastAsia="Arial" w:hAnsi="Arial"/>
          <w:sz w:val="17"/>
          <w:szCs w:val="17"/>
          <w:color w:val="auto"/>
        </w:rPr>
        <w:t>Incorporated herein by reference to the Registrant’s Current Report on Form 8-K filed December 17, 2007 (File No. 1-13292) [Exhibit 10.1]</w:t>
      </w:r>
    </w:p>
    <w:p>
      <w:pPr>
        <w:sectPr>
          <w:pgSz w:w="11900" w:h="16838" w:orient="portrait"/>
          <w:cols w:equalWidth="0" w:num="2">
            <w:col w:w="7420" w:space="320"/>
            <w:col w:w="3000"/>
          </w:cols>
          <w:pgMar w:left="240" w:top="405" w:right="919" w:bottom="1440" w:gutter="0" w:footer="0" w:header="0"/>
          <w:type w:val="continuous"/>
        </w:sectPr>
      </w:pPr>
    </w:p>
    <w:bookmarkStart w:id="61" w:name="page62"/>
    <w:bookmarkEnd w:id="61"/>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Times New Roman" w:cs="Times New Roman" w:eastAsia="Times New Roman" w:hAnsi="Times New Roman"/>
                <w:sz w:val="18"/>
                <w:szCs w:val="18"/>
                <w:b w:val="1"/>
                <w:bCs w:val="1"/>
                <w:color w:val="0000EE"/>
                <w:w w:val="97"/>
              </w:rPr>
            </w:pPr>
            <w:hyperlink w:anchor="page64">
              <w:r>
                <w:rPr>
                  <w:rFonts w:ascii="Times New Roman" w:cs="Times New Roman" w:eastAsia="Times New Roman" w:hAnsi="Times New Roman"/>
                  <w:sz w:val="18"/>
                  <w:szCs w:val="18"/>
                  <w:b w:val="1"/>
                  <w:bCs w:val="1"/>
                  <w:color w:val="0000EE"/>
                  <w:w w:val="97"/>
                </w:rPr>
                <w:t>Table of Contents</w:t>
              </w:r>
            </w:hyperlink>
          </w:p>
        </w:tc>
        <w:tc>
          <w:tcPr>
            <w:tcW w:w="480" w:type="dxa"/>
            <w:vAlign w:val="bottom"/>
          </w:tcPr>
          <w:p>
            <w:pPr>
              <w:spacing w:after="0"/>
              <w:rPr>
                <w:sz w:val="17"/>
                <w:szCs w:val="17"/>
                <w:color w:val="auto"/>
              </w:rPr>
            </w:pPr>
          </w:p>
        </w:tc>
        <w:tc>
          <w:tcPr>
            <w:tcW w:w="5740" w:type="dxa"/>
            <w:vAlign w:val="bottom"/>
          </w:tcPr>
          <w:p>
            <w:pPr>
              <w:spacing w:after="0"/>
              <w:rPr>
                <w:sz w:val="17"/>
                <w:szCs w:val="17"/>
                <w:color w:val="auto"/>
              </w:rPr>
            </w:pPr>
          </w:p>
        </w:tc>
        <w:tc>
          <w:tcPr>
            <w:tcW w:w="3160" w:type="dxa"/>
            <w:vAlign w:val="bottom"/>
          </w:tcPr>
          <w:p>
            <w:pPr>
              <w:spacing w:after="0"/>
              <w:rPr>
                <w:sz w:val="17"/>
                <w:szCs w:val="17"/>
                <w:color w:val="auto"/>
              </w:rPr>
            </w:pPr>
          </w:p>
        </w:tc>
      </w:tr>
      <w:tr>
        <w:trPr>
          <w:trHeight w:val="511"/>
        </w:trPr>
        <w:tc>
          <w:tcPr>
            <w:tcW w:w="700" w:type="dxa"/>
            <w:vAlign w:val="bottom"/>
          </w:tcPr>
          <w:p>
            <w:pPr>
              <w:spacing w:after="0"/>
              <w:rPr>
                <w:sz w:val="24"/>
                <w:szCs w:val="24"/>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9"/>
              </w:rPr>
              <w:t>Exhibit</w:t>
            </w:r>
          </w:p>
        </w:tc>
        <w:tc>
          <w:tcPr>
            <w:tcW w:w="574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39"/>
        </w:trPr>
        <w:tc>
          <w:tcPr>
            <w:tcW w:w="700" w:type="dxa"/>
            <w:vAlign w:val="bottom"/>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9"/>
              </w:rPr>
              <w:t>No.</w:t>
            </w:r>
          </w:p>
        </w:tc>
        <w:tc>
          <w:tcPr>
            <w:tcW w:w="5740" w:type="dxa"/>
            <w:vAlign w:val="bottom"/>
            <w:tcBorders>
              <w:bottom w:val="single" w:sz="8" w:color="auto"/>
            </w:tcBorders>
          </w:tcPr>
          <w:p>
            <w:pPr>
              <w:ind w:left="2480"/>
              <w:spacing w:after="0"/>
              <w:rPr>
                <w:sz w:val="20"/>
                <w:szCs w:val="20"/>
                <w:color w:val="auto"/>
              </w:rPr>
            </w:pPr>
            <w:r>
              <w:rPr>
                <w:rFonts w:ascii="Arial" w:cs="Arial" w:eastAsia="Arial" w:hAnsi="Arial"/>
                <w:sz w:val="18"/>
                <w:szCs w:val="18"/>
                <w:color w:val="auto"/>
              </w:rPr>
              <w:t>Description</w:t>
            </w:r>
          </w:p>
        </w:tc>
        <w:tc>
          <w:tcPr>
            <w:tcW w:w="3160" w:type="dxa"/>
            <w:vAlign w:val="bottom"/>
            <w:tcBorders>
              <w:bottom w:val="single" w:sz="8" w:color="auto"/>
            </w:tcBorders>
          </w:tcPr>
          <w:p>
            <w:pPr>
              <w:ind w:left="1320"/>
              <w:spacing w:after="0"/>
              <w:rPr>
                <w:sz w:val="20"/>
                <w:szCs w:val="20"/>
                <w:color w:val="auto"/>
              </w:rPr>
            </w:pPr>
            <w:r>
              <w:rPr>
                <w:rFonts w:ascii="Arial" w:cs="Arial" w:eastAsia="Arial" w:hAnsi="Arial"/>
                <w:sz w:val="18"/>
                <w:szCs w:val="18"/>
                <w:color w:val="auto"/>
              </w:rPr>
              <w:t>Location</w:t>
            </w:r>
          </w:p>
        </w:tc>
      </w:tr>
      <w:tr>
        <w:trPr>
          <w:trHeight w:val="335"/>
        </w:trPr>
        <w:tc>
          <w:tcPr>
            <w:tcW w:w="1840" w:type="dxa"/>
            <w:vAlign w:val="bottom"/>
            <w:gridSpan w:val="3"/>
          </w:tcPr>
          <w:p>
            <w:pPr>
              <w:ind w:left="700"/>
              <w:spacing w:after="0"/>
              <w:rPr>
                <w:sz w:val="20"/>
                <w:szCs w:val="20"/>
                <w:color w:val="auto"/>
              </w:rPr>
            </w:pPr>
            <w:r>
              <w:rPr>
                <w:rFonts w:ascii="Arial" w:cs="Arial" w:eastAsia="Arial" w:hAnsi="Arial"/>
                <w:sz w:val="18"/>
                <w:szCs w:val="18"/>
                <w:color w:val="auto"/>
              </w:rPr>
              <w:t>10.16(a)</w:t>
            </w:r>
          </w:p>
        </w:tc>
        <w:tc>
          <w:tcPr>
            <w:tcW w:w="5740" w:type="dxa"/>
            <w:vAlign w:val="bottom"/>
          </w:tcPr>
          <w:p>
            <w:pPr>
              <w:ind w:left="280"/>
              <w:spacing w:after="0"/>
              <w:rPr>
                <w:sz w:val="20"/>
                <w:szCs w:val="20"/>
                <w:color w:val="auto"/>
              </w:rPr>
            </w:pPr>
            <w:r>
              <w:rPr>
                <w:rFonts w:ascii="Arial" w:cs="Arial" w:eastAsia="Arial" w:hAnsi="Arial"/>
                <w:sz w:val="18"/>
                <w:szCs w:val="18"/>
                <w:color w:val="auto"/>
              </w:rPr>
              <w:t>Employment Agreement for Vincent Brockman, executed on behalf</w:t>
            </w:r>
          </w:p>
        </w:tc>
        <w:tc>
          <w:tcPr>
            <w:tcW w:w="3160" w:type="dxa"/>
            <w:vAlign w:val="bottom"/>
          </w:tcPr>
          <w:p>
            <w:pPr>
              <w:ind w:left="160"/>
              <w:spacing w:after="0"/>
              <w:rPr>
                <w:sz w:val="20"/>
                <w:szCs w:val="20"/>
                <w:color w:val="auto"/>
              </w:rPr>
            </w:pPr>
            <w:r>
              <w:rPr>
                <w:rFonts w:ascii="Arial" w:cs="Arial" w:eastAsia="Arial" w:hAnsi="Arial"/>
                <w:sz w:val="18"/>
                <w:szCs w:val="18"/>
                <w:color w:val="auto"/>
              </w:rPr>
              <w:t>Incorporated herein by reference to</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740" w:type="dxa"/>
            <w:vAlign w:val="bottom"/>
          </w:tcPr>
          <w:p>
            <w:pPr>
              <w:ind w:left="280"/>
              <w:spacing w:after="0" w:line="202" w:lineRule="exact"/>
              <w:rPr>
                <w:sz w:val="20"/>
                <w:szCs w:val="20"/>
                <w:color w:val="auto"/>
              </w:rPr>
            </w:pPr>
            <w:r>
              <w:rPr>
                <w:rFonts w:ascii="Arial" w:cs="Arial" w:eastAsia="Arial" w:hAnsi="Arial"/>
                <w:sz w:val="18"/>
                <w:szCs w:val="18"/>
                <w:color w:val="auto"/>
              </w:rPr>
              <w:t>of The Scotts Miracle-Gro Company and by Vincent Brockman on</w:t>
            </w:r>
          </w:p>
        </w:tc>
        <w:tc>
          <w:tcPr>
            <w:tcW w:w="3160" w:type="dxa"/>
            <w:vAlign w:val="bottom"/>
          </w:tcPr>
          <w:p>
            <w:pPr>
              <w:ind w:left="160"/>
              <w:spacing w:after="0" w:line="202" w:lineRule="exact"/>
              <w:rPr>
                <w:sz w:val="20"/>
                <w:szCs w:val="20"/>
                <w:color w:val="auto"/>
              </w:rPr>
            </w:pPr>
            <w:r>
              <w:rPr>
                <w:rFonts w:ascii="Arial" w:cs="Arial" w:eastAsia="Arial" w:hAnsi="Arial"/>
                <w:sz w:val="18"/>
                <w:szCs w:val="18"/>
                <w:color w:val="auto"/>
              </w:rPr>
              <w:t>the Registrant’s Quarterly Report on</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740" w:type="dxa"/>
            <w:vAlign w:val="bottom"/>
          </w:tcPr>
          <w:p>
            <w:pPr>
              <w:ind w:left="280"/>
              <w:spacing w:after="0" w:line="202" w:lineRule="exact"/>
              <w:rPr>
                <w:sz w:val="20"/>
                <w:szCs w:val="20"/>
                <w:color w:val="auto"/>
              </w:rPr>
            </w:pPr>
            <w:r>
              <w:rPr>
                <w:rFonts w:ascii="Arial" w:cs="Arial" w:eastAsia="Arial" w:hAnsi="Arial"/>
                <w:sz w:val="18"/>
                <w:szCs w:val="18"/>
                <w:color w:val="auto"/>
              </w:rPr>
              <w:t>May 24, 2006 and effective as of March 1, 2006 (effective until</w:t>
            </w:r>
          </w:p>
        </w:tc>
        <w:tc>
          <w:tcPr>
            <w:tcW w:w="3160" w:type="dxa"/>
            <w:vAlign w:val="bottom"/>
          </w:tcPr>
          <w:p>
            <w:pPr>
              <w:ind w:left="160"/>
              <w:spacing w:after="0" w:line="202" w:lineRule="exact"/>
              <w:rPr>
                <w:sz w:val="20"/>
                <w:szCs w:val="20"/>
                <w:color w:val="auto"/>
              </w:rPr>
            </w:pPr>
            <w:r>
              <w:rPr>
                <w:rFonts w:ascii="Arial" w:cs="Arial" w:eastAsia="Arial" w:hAnsi="Arial"/>
                <w:sz w:val="18"/>
                <w:szCs w:val="18"/>
                <w:color w:val="auto"/>
              </w:rPr>
              <w:t>Form 10-Q for the quarterly period</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740" w:type="dxa"/>
            <w:vAlign w:val="bottom"/>
          </w:tcPr>
          <w:p>
            <w:pPr>
              <w:ind w:left="280"/>
              <w:spacing w:after="0" w:line="202" w:lineRule="exact"/>
              <w:rPr>
                <w:sz w:val="20"/>
                <w:szCs w:val="20"/>
                <w:color w:val="auto"/>
              </w:rPr>
            </w:pPr>
            <w:r>
              <w:rPr>
                <w:rFonts w:ascii="Arial" w:cs="Arial" w:eastAsia="Arial" w:hAnsi="Arial"/>
                <w:sz w:val="18"/>
                <w:szCs w:val="18"/>
                <w:color w:val="auto"/>
              </w:rPr>
              <w:t>June 1, 2008)</w:t>
            </w:r>
          </w:p>
        </w:tc>
        <w:tc>
          <w:tcPr>
            <w:tcW w:w="3160" w:type="dxa"/>
            <w:vAlign w:val="bottom"/>
          </w:tcPr>
          <w:p>
            <w:pPr>
              <w:ind w:left="160"/>
              <w:spacing w:after="0" w:line="202" w:lineRule="exact"/>
              <w:rPr>
                <w:sz w:val="20"/>
                <w:szCs w:val="20"/>
                <w:color w:val="auto"/>
              </w:rPr>
            </w:pPr>
            <w:r>
              <w:rPr>
                <w:rFonts w:ascii="Arial" w:cs="Arial" w:eastAsia="Arial" w:hAnsi="Arial"/>
                <w:sz w:val="18"/>
                <w:szCs w:val="18"/>
                <w:color w:val="auto"/>
              </w:rPr>
              <w:t>ended December 29, 2007 (File</w:t>
            </w:r>
          </w:p>
        </w:tc>
      </w:tr>
      <w:tr>
        <w:trPr>
          <w:trHeight w:val="243"/>
        </w:trPr>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740" w:type="dxa"/>
            <w:vAlign w:val="bottom"/>
          </w:tcPr>
          <w:p>
            <w:pPr>
              <w:spacing w:after="0"/>
              <w:rPr>
                <w:sz w:val="21"/>
                <w:szCs w:val="21"/>
                <w:color w:val="auto"/>
              </w:rPr>
            </w:pPr>
          </w:p>
        </w:tc>
        <w:tc>
          <w:tcPr>
            <w:tcW w:w="3160" w:type="dxa"/>
            <w:vAlign w:val="bottom"/>
          </w:tcPr>
          <w:p>
            <w:pPr>
              <w:ind w:left="160"/>
              <w:spacing w:after="0"/>
              <w:rPr>
                <w:sz w:val="20"/>
                <w:szCs w:val="20"/>
                <w:color w:val="auto"/>
              </w:rPr>
            </w:pPr>
            <w:r>
              <w:rPr>
                <w:rFonts w:ascii="Arial" w:cs="Arial" w:eastAsia="Arial" w:hAnsi="Arial"/>
                <w:sz w:val="18"/>
                <w:szCs w:val="18"/>
                <w:color w:val="auto"/>
              </w:rPr>
              <w:t>No. 1-13292) [Exhibit 10(q)]</w:t>
            </w:r>
          </w:p>
        </w:tc>
      </w:tr>
    </w:tbl>
    <w:p>
      <w:pPr>
        <w:spacing w:after="0" w:line="63" w:lineRule="exact"/>
        <w:rPr>
          <w:sz w:val="20"/>
          <w:szCs w:val="20"/>
          <w:color w:val="auto"/>
        </w:rPr>
      </w:pPr>
    </w:p>
    <w:p>
      <w:pPr>
        <w:sectPr>
          <w:pgSz w:w="11900" w:h="16838" w:orient="portrait"/>
          <w:cols w:equalWidth="0" w:num="1">
            <w:col w:w="10740"/>
          </w:cols>
          <w:pgMar w:left="240" w:top="405" w:right="919" w:bottom="1440" w:gutter="0" w:footer="0" w:header="0"/>
        </w:sectPr>
      </w:pPr>
    </w:p>
    <w:tbl>
      <w:tblPr>
        <w:tblLayout w:type="fixed"/>
        <w:tblInd w:w="70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Arial" w:cs="Arial" w:eastAsia="Arial" w:hAnsi="Arial"/>
                <w:sz w:val="18"/>
                <w:szCs w:val="18"/>
                <w:color w:val="auto"/>
              </w:rPr>
              <w:t>10.16(b)</w:t>
            </w:r>
          </w:p>
        </w:tc>
        <w:tc>
          <w:tcPr>
            <w:tcW w:w="5540" w:type="dxa"/>
            <w:vAlign w:val="bottom"/>
          </w:tcPr>
          <w:p>
            <w:pPr>
              <w:ind w:left="380"/>
              <w:spacing w:after="0"/>
              <w:rPr>
                <w:sz w:val="20"/>
                <w:szCs w:val="20"/>
                <w:color w:val="auto"/>
              </w:rPr>
            </w:pPr>
            <w:r>
              <w:rPr>
                <w:rFonts w:ascii="Arial" w:cs="Arial" w:eastAsia="Arial" w:hAnsi="Arial"/>
                <w:sz w:val="18"/>
                <w:szCs w:val="18"/>
                <w:color w:val="auto"/>
                <w:w w:val="99"/>
              </w:rPr>
              <w:t>Employment Agreement for Vincent C. Brockman, effective as of</w:t>
            </w:r>
          </w:p>
        </w:tc>
      </w:tr>
      <w:tr>
        <w:trPr>
          <w:trHeight w:val="203"/>
        </w:trPr>
        <w:tc>
          <w:tcPr>
            <w:tcW w:w="1040" w:type="dxa"/>
            <w:vAlign w:val="bottom"/>
          </w:tcPr>
          <w:p>
            <w:pPr>
              <w:spacing w:after="0"/>
              <w:rPr>
                <w:sz w:val="17"/>
                <w:szCs w:val="17"/>
                <w:color w:val="auto"/>
              </w:rPr>
            </w:pPr>
          </w:p>
        </w:tc>
        <w:tc>
          <w:tcPr>
            <w:tcW w:w="5540" w:type="dxa"/>
            <w:vAlign w:val="bottom"/>
          </w:tcPr>
          <w:p>
            <w:pPr>
              <w:ind w:left="380"/>
              <w:spacing w:after="0" w:line="202" w:lineRule="exact"/>
              <w:rPr>
                <w:sz w:val="20"/>
                <w:szCs w:val="20"/>
                <w:color w:val="auto"/>
              </w:rPr>
            </w:pPr>
            <w:r>
              <w:rPr>
                <w:rFonts w:ascii="Arial" w:cs="Arial" w:eastAsia="Arial" w:hAnsi="Arial"/>
                <w:sz w:val="18"/>
                <w:szCs w:val="18"/>
                <w:color w:val="auto"/>
                <w:w w:val="99"/>
              </w:rPr>
              <w:t>June 1, 2008, between The Scotts Company LLC and Vincent C.</w:t>
            </w:r>
          </w:p>
        </w:tc>
      </w:tr>
      <w:tr>
        <w:trPr>
          <w:trHeight w:val="203"/>
        </w:trPr>
        <w:tc>
          <w:tcPr>
            <w:tcW w:w="1040" w:type="dxa"/>
            <w:vAlign w:val="bottom"/>
          </w:tcPr>
          <w:p>
            <w:pPr>
              <w:spacing w:after="0"/>
              <w:rPr>
                <w:sz w:val="17"/>
                <w:szCs w:val="17"/>
                <w:color w:val="auto"/>
              </w:rPr>
            </w:pPr>
          </w:p>
        </w:tc>
        <w:tc>
          <w:tcPr>
            <w:tcW w:w="5540" w:type="dxa"/>
            <w:vAlign w:val="bottom"/>
          </w:tcPr>
          <w:p>
            <w:pPr>
              <w:ind w:left="380"/>
              <w:spacing w:after="0" w:line="202" w:lineRule="exact"/>
              <w:rPr>
                <w:sz w:val="20"/>
                <w:szCs w:val="20"/>
                <w:color w:val="auto"/>
              </w:rPr>
            </w:pPr>
            <w:r>
              <w:rPr>
                <w:rFonts w:ascii="Arial" w:cs="Arial" w:eastAsia="Arial" w:hAnsi="Arial"/>
                <w:sz w:val="18"/>
                <w:szCs w:val="18"/>
                <w:color w:val="auto"/>
              </w:rPr>
              <w:t>Brockman (executed by Mr. Brockman on June 26, 2008 and on</w:t>
            </w:r>
          </w:p>
        </w:tc>
      </w:tr>
      <w:tr>
        <w:trPr>
          <w:trHeight w:val="243"/>
        </w:trPr>
        <w:tc>
          <w:tcPr>
            <w:tcW w:w="1040" w:type="dxa"/>
            <w:vAlign w:val="bottom"/>
          </w:tcPr>
          <w:p>
            <w:pPr>
              <w:spacing w:after="0"/>
              <w:rPr>
                <w:sz w:val="21"/>
                <w:szCs w:val="21"/>
                <w:color w:val="auto"/>
              </w:rPr>
            </w:pPr>
          </w:p>
        </w:tc>
        <w:tc>
          <w:tcPr>
            <w:tcW w:w="5540" w:type="dxa"/>
            <w:vAlign w:val="bottom"/>
          </w:tcPr>
          <w:p>
            <w:pPr>
              <w:ind w:left="380"/>
              <w:spacing w:after="0"/>
              <w:rPr>
                <w:sz w:val="20"/>
                <w:szCs w:val="20"/>
                <w:color w:val="auto"/>
              </w:rPr>
            </w:pPr>
            <w:r>
              <w:rPr>
                <w:rFonts w:ascii="Arial" w:cs="Arial" w:eastAsia="Arial" w:hAnsi="Arial"/>
                <w:sz w:val="18"/>
                <w:szCs w:val="18"/>
                <w:color w:val="auto"/>
              </w:rPr>
              <w:t>behalf of The Scotts Company LLC on June 27, 2008)</w:t>
            </w:r>
          </w:p>
        </w:tc>
      </w:tr>
    </w:tbl>
    <w:p>
      <w:pPr>
        <w:spacing w:after="0" w:line="20" w:lineRule="exact"/>
        <w:rPr>
          <w:sz w:val="20"/>
          <w:szCs w:val="20"/>
          <w:color w:val="auto"/>
        </w:rPr>
      </w:pPr>
      <w:r>
        <w:rPr>
          <w:sz w:val="20"/>
          <w:szCs w:val="20"/>
          <w:color w:val="auto"/>
        </w:rPr>
        <w:br w:type="column"/>
      </w:r>
    </w:p>
    <w:p>
      <w:pPr>
        <w:ind w:right="120"/>
        <w:spacing w:after="0" w:line="245"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June 28, 2008 (File No. 1-13292) [Exhibit 10(d)]</w:t>
      </w:r>
    </w:p>
    <w:p>
      <w:pPr>
        <w:spacing w:after="0" w:line="60" w:lineRule="exact"/>
        <w:rPr>
          <w:sz w:val="20"/>
          <w:szCs w:val="20"/>
          <w:color w:val="auto"/>
        </w:rPr>
      </w:pPr>
    </w:p>
    <w:p>
      <w:pPr>
        <w:sectPr>
          <w:pgSz w:w="11900" w:h="16838" w:orient="portrait"/>
          <w:cols w:equalWidth="0" w:num="2">
            <w:col w:w="7280" w:space="460"/>
            <w:col w:w="3000"/>
          </w:cols>
          <w:pgMar w:left="240" w:top="405" w:right="919" w:bottom="1440" w:gutter="0" w:footer="0" w:header="0"/>
          <w:type w:val="continuous"/>
        </w:sectPr>
      </w:pPr>
    </w:p>
    <w:tbl>
      <w:tblPr>
        <w:tblLayout w:type="fixed"/>
        <w:tblInd w:w="700" w:type="dxa"/>
        <w:tblCellMar>
          <w:top w:w="0" w:type="dxa"/>
          <w:left w:w="0" w:type="dxa"/>
          <w:bottom w:w="0" w:type="dxa"/>
          <w:right w:w="0" w:type="dxa"/>
        </w:tblCellMar>
      </w:tblPr>
      <w:tr>
        <w:trPr>
          <w:trHeight w:val="207"/>
        </w:trPr>
        <w:tc>
          <w:tcPr>
            <w:tcW w:w="940" w:type="dxa"/>
            <w:vAlign w:val="bottom"/>
          </w:tcPr>
          <w:p>
            <w:pPr>
              <w:jc w:val="right"/>
              <w:ind w:right="410"/>
              <w:spacing w:after="0"/>
              <w:rPr>
                <w:sz w:val="20"/>
                <w:szCs w:val="20"/>
                <w:color w:val="auto"/>
              </w:rPr>
            </w:pPr>
            <w:r>
              <w:rPr>
                <w:rFonts w:ascii="Arial" w:cs="Arial" w:eastAsia="Arial" w:hAnsi="Arial"/>
                <w:sz w:val="18"/>
                <w:szCs w:val="18"/>
                <w:color w:val="auto"/>
                <w:w w:val="93"/>
              </w:rPr>
              <w:t>10.17</w:t>
            </w:r>
          </w:p>
        </w:tc>
        <w:tc>
          <w:tcPr>
            <w:tcW w:w="5520" w:type="dxa"/>
            <w:vAlign w:val="bottom"/>
          </w:tcPr>
          <w:p>
            <w:pPr>
              <w:ind w:left="480"/>
              <w:spacing w:after="0"/>
              <w:rPr>
                <w:sz w:val="20"/>
                <w:szCs w:val="20"/>
                <w:color w:val="auto"/>
              </w:rPr>
            </w:pPr>
            <w:r>
              <w:rPr>
                <w:rFonts w:ascii="Arial" w:cs="Arial" w:eastAsia="Arial" w:hAnsi="Arial"/>
                <w:sz w:val="18"/>
                <w:szCs w:val="18"/>
                <w:color w:val="auto"/>
                <w:w w:val="99"/>
              </w:rPr>
              <w:t>Employment Agreement for Mark R. Baker, effective October 1,</w:t>
            </w:r>
          </w:p>
        </w:tc>
      </w:tr>
      <w:tr>
        <w:trPr>
          <w:trHeight w:val="203"/>
        </w:trPr>
        <w:tc>
          <w:tcPr>
            <w:tcW w:w="940" w:type="dxa"/>
            <w:vAlign w:val="bottom"/>
          </w:tcPr>
          <w:p>
            <w:pPr>
              <w:spacing w:after="0"/>
              <w:rPr>
                <w:sz w:val="17"/>
                <w:szCs w:val="17"/>
                <w:color w:val="auto"/>
              </w:rPr>
            </w:pPr>
          </w:p>
        </w:tc>
        <w:tc>
          <w:tcPr>
            <w:tcW w:w="5520" w:type="dxa"/>
            <w:vAlign w:val="bottom"/>
          </w:tcPr>
          <w:p>
            <w:pPr>
              <w:ind w:left="480"/>
              <w:spacing w:after="0" w:line="202" w:lineRule="exact"/>
              <w:rPr>
                <w:sz w:val="20"/>
                <w:szCs w:val="20"/>
                <w:color w:val="auto"/>
              </w:rPr>
            </w:pPr>
            <w:r>
              <w:rPr>
                <w:rFonts w:ascii="Arial" w:cs="Arial" w:eastAsia="Arial" w:hAnsi="Arial"/>
                <w:sz w:val="18"/>
                <w:szCs w:val="18"/>
                <w:color w:val="auto"/>
              </w:rPr>
              <w:t>2008, between The Scotts Company LLC and Mark R. Baker</w:t>
            </w:r>
          </w:p>
        </w:tc>
      </w:tr>
      <w:tr>
        <w:trPr>
          <w:trHeight w:val="203"/>
        </w:trPr>
        <w:tc>
          <w:tcPr>
            <w:tcW w:w="940" w:type="dxa"/>
            <w:vAlign w:val="bottom"/>
          </w:tcPr>
          <w:p>
            <w:pPr>
              <w:spacing w:after="0"/>
              <w:rPr>
                <w:sz w:val="17"/>
                <w:szCs w:val="17"/>
                <w:color w:val="auto"/>
              </w:rPr>
            </w:pPr>
          </w:p>
        </w:tc>
        <w:tc>
          <w:tcPr>
            <w:tcW w:w="5520" w:type="dxa"/>
            <w:vAlign w:val="bottom"/>
          </w:tcPr>
          <w:p>
            <w:pPr>
              <w:ind w:left="480"/>
              <w:spacing w:after="0" w:line="202" w:lineRule="exact"/>
              <w:rPr>
                <w:sz w:val="20"/>
                <w:szCs w:val="20"/>
                <w:color w:val="auto"/>
              </w:rPr>
            </w:pPr>
            <w:r>
              <w:rPr>
                <w:rFonts w:ascii="Arial" w:cs="Arial" w:eastAsia="Arial" w:hAnsi="Arial"/>
                <w:sz w:val="18"/>
                <w:szCs w:val="18"/>
                <w:color w:val="auto"/>
                <w:w w:val="99"/>
              </w:rPr>
              <w:t>(executed by Mr. Baker on September 9, 2008 and on behalf of</w:t>
            </w:r>
          </w:p>
        </w:tc>
      </w:tr>
      <w:tr>
        <w:trPr>
          <w:trHeight w:val="243"/>
        </w:trPr>
        <w:tc>
          <w:tcPr>
            <w:tcW w:w="940" w:type="dxa"/>
            <w:vAlign w:val="bottom"/>
          </w:tcPr>
          <w:p>
            <w:pPr>
              <w:spacing w:after="0"/>
              <w:rPr>
                <w:sz w:val="21"/>
                <w:szCs w:val="21"/>
                <w:color w:val="auto"/>
              </w:rPr>
            </w:pPr>
          </w:p>
        </w:tc>
        <w:tc>
          <w:tcPr>
            <w:tcW w:w="5520" w:type="dxa"/>
            <w:vAlign w:val="bottom"/>
          </w:tcPr>
          <w:p>
            <w:pPr>
              <w:ind w:left="480"/>
              <w:spacing w:after="0"/>
              <w:rPr>
                <w:sz w:val="20"/>
                <w:szCs w:val="20"/>
                <w:color w:val="auto"/>
              </w:rPr>
            </w:pPr>
            <w:r>
              <w:rPr>
                <w:rFonts w:ascii="Arial" w:cs="Arial" w:eastAsia="Arial" w:hAnsi="Arial"/>
                <w:sz w:val="18"/>
                <w:szCs w:val="18"/>
                <w:color w:val="auto"/>
              </w:rPr>
              <w:t>The Scotts Company LLC on September 10, 2008)</w:t>
            </w:r>
          </w:p>
        </w:tc>
      </w:tr>
    </w:tbl>
    <w:p>
      <w:pPr>
        <w:spacing w:after="0" w:line="200" w:lineRule="exact"/>
        <w:rPr>
          <w:sz w:val="20"/>
          <w:szCs w:val="20"/>
          <w:color w:val="auto"/>
        </w:rPr>
      </w:pPr>
    </w:p>
    <w:p>
      <w:pPr>
        <w:spacing w:after="0" w:line="394" w:lineRule="exact"/>
        <w:rPr>
          <w:sz w:val="20"/>
          <w:szCs w:val="20"/>
          <w:color w:val="auto"/>
        </w:rPr>
      </w:pPr>
    </w:p>
    <w:p>
      <w:pPr>
        <w:ind w:left="1100" w:hanging="407"/>
        <w:spacing w:after="0"/>
        <w:tabs>
          <w:tab w:leader="none" w:pos="11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EXHIBITS</w:t>
      </w:r>
    </w:p>
    <w:p>
      <w:pPr>
        <w:spacing w:after="0" w:line="20" w:lineRule="exact"/>
        <w:rPr>
          <w:sz w:val="20"/>
          <w:szCs w:val="20"/>
          <w:color w:val="auto"/>
        </w:rPr>
      </w:pPr>
      <w:r>
        <w:rPr>
          <w:sz w:val="20"/>
          <w:szCs w:val="20"/>
          <w:color w:val="auto"/>
        </w:rPr>
        <w:br w:type="column"/>
      </w:r>
    </w:p>
    <w:p>
      <w:pPr>
        <w:ind w:right="60"/>
        <w:spacing w:after="0" w:line="243"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2008 (which was filed on November 25, 2008) (File No. 1-13292) [Exhibit 10.17]</w:t>
      </w:r>
    </w:p>
    <w:p>
      <w:pPr>
        <w:spacing w:after="0" w:line="511" w:lineRule="exact"/>
        <w:rPr>
          <w:sz w:val="20"/>
          <w:szCs w:val="20"/>
          <w:color w:val="auto"/>
        </w:rPr>
      </w:pPr>
    </w:p>
    <w:p>
      <w:pPr>
        <w:sectPr>
          <w:pgSz w:w="11900" w:h="16838" w:orient="portrait"/>
          <w:cols w:equalWidth="0" w:num="2">
            <w:col w:w="7160" w:space="580"/>
            <w:col w:w="3000"/>
          </w:cols>
          <w:pgMar w:left="240" w:top="405" w:right="919" w:bottom="1440" w:gutter="0" w:footer="0" w:header="0"/>
          <w:type w:val="continuous"/>
        </w:sectPr>
      </w:pPr>
    </w:p>
    <w:p>
      <w:pPr>
        <w:ind w:left="700" w:right="20" w:firstLine="402"/>
        <w:spacing w:after="0" w:line="276" w:lineRule="auto"/>
        <w:rPr>
          <w:sz w:val="20"/>
          <w:szCs w:val="20"/>
          <w:color w:val="auto"/>
        </w:rPr>
      </w:pPr>
      <w:r>
        <w:rPr>
          <w:rFonts w:ascii="Arial" w:cs="Arial" w:eastAsia="Arial" w:hAnsi="Arial"/>
          <w:sz w:val="18"/>
          <w:szCs w:val="18"/>
          <w:color w:val="auto"/>
        </w:rPr>
        <w:t>The exhibits listed on the “Index to Exhibits” beginning on page 113 of this Annual Report on Form 10-K are filed with this Annual Report on Form 10-K or incorporated herein by reference as noted in the “Index to Exhibits.”</w:t>
      </w:r>
    </w:p>
    <w:p>
      <w:pPr>
        <w:spacing w:after="0" w:line="159" w:lineRule="exact"/>
        <w:rPr>
          <w:sz w:val="20"/>
          <w:szCs w:val="20"/>
          <w:color w:val="auto"/>
        </w:rPr>
      </w:pPr>
    </w:p>
    <w:p>
      <w:pPr>
        <w:ind w:left="1100" w:hanging="407"/>
        <w:spacing w:after="0"/>
        <w:tabs>
          <w:tab w:leader="none" w:pos="11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FINANCIAL STATEMENT SCHEDULE</w:t>
      </w:r>
    </w:p>
    <w:p>
      <w:pPr>
        <w:spacing w:after="0" w:line="117" w:lineRule="exact"/>
        <w:rPr>
          <w:sz w:val="20"/>
          <w:szCs w:val="20"/>
          <w:color w:val="auto"/>
        </w:rPr>
      </w:pPr>
    </w:p>
    <w:p>
      <w:pPr>
        <w:ind w:left="700" w:right="260" w:firstLine="402"/>
        <w:spacing w:after="0" w:line="255" w:lineRule="auto"/>
        <w:rPr>
          <w:sz w:val="20"/>
          <w:szCs w:val="20"/>
          <w:color w:val="auto"/>
        </w:rPr>
      </w:pPr>
      <w:r>
        <w:rPr>
          <w:rFonts w:ascii="Arial" w:cs="Arial" w:eastAsia="Arial" w:hAnsi="Arial"/>
          <w:sz w:val="18"/>
          <w:szCs w:val="18"/>
          <w:color w:val="auto"/>
        </w:rPr>
        <w:t>The financial statement schedule filed with this Annual Report on Form 10-K is submitted in a separate section hereof. For a description of such financial statement schedule, see “Index to Consolidated Financial Statements and Financial Statement Schedule” on page 62 of this Annual Report on Form 10-K.</w:t>
      </w:r>
    </w:p>
    <w:p>
      <w:pPr>
        <w:spacing w:after="0" w:line="10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1"/>
          <w:szCs w:val="11"/>
          <w:b w:val="1"/>
          <w:bCs w:val="1"/>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-78105</wp:posOffset>
            </wp:positionV>
            <wp:extent cx="19748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240" w:top="405" w:right="919" w:bottom="1440" w:gutter="0" w:footer="0" w:header="0"/>
          <w:type w:val="continuous"/>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hyperlink w:anchor="page64">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799"/>
        <w:spacing w:after="0"/>
        <w:rPr>
          <w:sz w:val="20"/>
          <w:szCs w:val="20"/>
          <w:color w:val="auto"/>
        </w:rPr>
      </w:pPr>
      <w:r>
        <w:rPr>
          <w:rFonts w:ascii="Arial" w:cs="Arial" w:eastAsia="Arial" w:hAnsi="Arial"/>
          <w:sz w:val="18"/>
          <w:szCs w:val="18"/>
          <w:b w:val="1"/>
          <w:bCs w:val="1"/>
          <w:color w:val="auto"/>
        </w:rPr>
        <w:t>SIGNATURES</w:t>
      </w:r>
    </w:p>
    <w:p>
      <w:pPr>
        <w:spacing w:after="0" w:line="119" w:lineRule="exact"/>
        <w:rPr>
          <w:sz w:val="20"/>
          <w:szCs w:val="20"/>
          <w:color w:val="auto"/>
        </w:rPr>
      </w:pPr>
    </w:p>
    <w:p>
      <w:pPr>
        <w:ind w:left="700" w:firstLine="402"/>
        <w:spacing w:after="0" w:line="255"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Annual Report on Form 10-K/A (Amendment No. 1) to be signed on its behalf by the undersigned, thereunto duly authorized.</w:t>
      </w:r>
    </w:p>
    <w:p>
      <w:pPr>
        <w:spacing w:after="0" w:line="191"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THE SCOTTS MIRACLE-GRO COMPANY</w:t>
      </w:r>
    </w:p>
    <w:p>
      <w:pPr>
        <w:spacing w:after="0" w:line="198" w:lineRule="exact"/>
        <w:rPr>
          <w:sz w:val="20"/>
          <w:szCs w:val="20"/>
          <w:color w:val="auto"/>
        </w:rPr>
      </w:pPr>
    </w:p>
    <w:p>
      <w:pPr>
        <w:ind w:left="700"/>
        <w:spacing w:after="0"/>
        <w:tabs>
          <w:tab w:leader="none" w:pos="5900" w:val="left"/>
        </w:tabs>
        <w:rPr>
          <w:sz w:val="20"/>
          <w:szCs w:val="20"/>
          <w:color w:val="auto"/>
        </w:rPr>
      </w:pPr>
      <w:r>
        <w:rPr>
          <w:rFonts w:ascii="Arial" w:cs="Arial" w:eastAsia="Arial" w:hAnsi="Arial"/>
          <w:sz w:val="18"/>
          <w:szCs w:val="18"/>
          <w:color w:val="auto"/>
        </w:rPr>
        <w:t>Dated: December 3, 2008</w:t>
      </w:r>
      <w:r>
        <w:rPr>
          <w:sz w:val="20"/>
          <w:szCs w:val="20"/>
          <w:color w:val="auto"/>
        </w:rPr>
        <w:tab/>
      </w:r>
      <w:r>
        <w:rPr>
          <w:rFonts w:ascii="Arial" w:cs="Arial" w:eastAsia="Arial" w:hAnsi="Arial"/>
          <w:sz w:val="18"/>
          <w:szCs w:val="18"/>
          <w:color w:val="auto"/>
        </w:rPr>
        <w:t>By: /s/ J</w:t>
      </w:r>
      <w:r>
        <w:rPr>
          <w:rFonts w:ascii="Arial" w:cs="Arial" w:eastAsia="Arial" w:hAnsi="Arial"/>
          <w:sz w:val="12"/>
          <w:szCs w:val="12"/>
          <w:color w:val="auto"/>
        </w:rPr>
        <w:t>AMES</w:t>
      </w:r>
      <w:r>
        <w:rPr>
          <w:rFonts w:ascii="Arial" w:cs="Arial" w:eastAsia="Arial" w:hAnsi="Arial"/>
          <w:sz w:val="18"/>
          <w:szCs w:val="18"/>
          <w:color w:val="auto"/>
        </w:rPr>
        <w:t xml:space="preserve"> H</w:t>
      </w:r>
      <w:r>
        <w:rPr>
          <w:rFonts w:ascii="Arial" w:cs="Arial" w:eastAsia="Arial" w:hAnsi="Arial"/>
          <w:sz w:val="12"/>
          <w:szCs w:val="12"/>
          <w:color w:val="auto"/>
        </w:rPr>
        <w:t>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3941445</wp:posOffset>
            </wp:positionH>
            <wp:positionV relativeFrom="paragraph">
              <wp:posOffset>20320</wp:posOffset>
            </wp:positionV>
            <wp:extent cx="287274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6"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James Hagedorn, Chief Executive Officer</w:t>
      </w:r>
    </w:p>
    <w:p>
      <w:pPr>
        <w:spacing w:after="0" w:line="4"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and Chairman of the Board</w:t>
      </w:r>
    </w:p>
    <w:p>
      <w:pPr>
        <w:spacing w:after="0" w:line="11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1"/>
          <w:szCs w:val="11"/>
          <w:b w:val="1"/>
          <w:bCs w:val="1"/>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-78105</wp:posOffset>
            </wp:positionV>
            <wp:extent cx="19748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63" w:name="page64"/>
    <w:bookmarkEnd w:id="63"/>
    <w:p>
      <w:pPr>
        <w:jc w:val="center"/>
        <w:ind w:right="-279"/>
        <w:spacing w:after="0"/>
        <w:rPr>
          <w:sz w:val="20"/>
          <w:szCs w:val="20"/>
          <w:color w:val="auto"/>
        </w:rPr>
      </w:pPr>
      <w:r>
        <w:rPr>
          <w:rFonts w:ascii="Arial" w:cs="Arial" w:eastAsia="Arial" w:hAnsi="Arial"/>
          <w:sz w:val="20"/>
          <w:szCs w:val="20"/>
          <w:b w:val="1"/>
          <w:bCs w:val="1"/>
          <w:color w:val="auto"/>
        </w:rPr>
        <w:t>INDEX TO CONSOLIDATED FINANCIAL STATEMENTS</w:t>
      </w:r>
    </w:p>
    <w:p>
      <w:pPr>
        <w:spacing w:after="0" w:line="14" w:lineRule="exact"/>
        <w:rPr>
          <w:sz w:val="20"/>
          <w:szCs w:val="20"/>
          <w:color w:val="auto"/>
        </w:rPr>
      </w:pPr>
    </w:p>
    <w:p>
      <w:pPr>
        <w:jc w:val="center"/>
        <w:ind w:right="-279"/>
        <w:spacing w:after="0"/>
        <w:rPr>
          <w:sz w:val="20"/>
          <w:szCs w:val="20"/>
          <w:color w:val="auto"/>
        </w:rPr>
      </w:pPr>
      <w:r>
        <w:rPr>
          <w:rFonts w:ascii="Arial" w:cs="Arial" w:eastAsia="Arial" w:hAnsi="Arial"/>
          <w:sz w:val="20"/>
          <w:szCs w:val="20"/>
          <w:b w:val="1"/>
          <w:bCs w:val="1"/>
          <w:color w:val="auto"/>
        </w:rPr>
        <w:t>AND FINANCIAL STATEMENT SCHEDULE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8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Page</w:t>
            </w:r>
          </w:p>
        </w:tc>
      </w:tr>
      <w:tr>
        <w:trPr>
          <w:trHeight w:val="227"/>
        </w:trPr>
        <w:tc>
          <w:tcPr>
            <w:tcW w:w="9460" w:type="dxa"/>
            <w:vAlign w:val="bottom"/>
            <w:gridSpan w:val="10"/>
          </w:tcPr>
          <w:p>
            <w:pPr>
              <w:spacing w:after="0"/>
              <w:rPr>
                <w:sz w:val="20"/>
                <w:szCs w:val="20"/>
                <w:color w:val="auto"/>
              </w:rPr>
            </w:pPr>
            <w:r>
              <w:rPr>
                <w:rFonts w:ascii="Arial" w:cs="Arial" w:eastAsia="Arial" w:hAnsi="Arial"/>
                <w:sz w:val="18"/>
                <w:szCs w:val="18"/>
                <w:color w:val="auto"/>
              </w:rPr>
              <w:t>Consolidated Financial Statements of The Scotts Miracle-Gro Company and Subsidiaries:</w:t>
            </w:r>
          </w:p>
        </w:tc>
        <w:tc>
          <w:tcPr>
            <w:tcW w:w="580" w:type="dxa"/>
            <w:vAlign w:val="bottom"/>
          </w:tcPr>
          <w:p>
            <w:pPr>
              <w:spacing w:after="0"/>
              <w:rPr>
                <w:sz w:val="19"/>
                <w:szCs w:val="19"/>
                <w:color w:val="auto"/>
              </w:rPr>
            </w:pPr>
          </w:p>
        </w:tc>
      </w:tr>
      <w:tr>
        <w:trPr>
          <w:trHeight w:val="198"/>
        </w:trPr>
        <w:tc>
          <w:tcPr>
            <w:tcW w:w="180" w:type="dxa"/>
            <w:vAlign w:val="bottom"/>
          </w:tcPr>
          <w:p>
            <w:pPr>
              <w:spacing w:after="0"/>
              <w:rPr>
                <w:sz w:val="17"/>
                <w:szCs w:val="17"/>
                <w:color w:val="auto"/>
              </w:rPr>
            </w:pPr>
          </w:p>
        </w:tc>
        <w:tc>
          <w:tcPr>
            <w:tcW w:w="9280" w:type="dxa"/>
            <w:vAlign w:val="bottom"/>
            <w:gridSpan w:val="9"/>
          </w:tcPr>
          <w:p>
            <w:pPr>
              <w:spacing w:after="0" w:line="199" w:lineRule="exact"/>
              <w:rPr>
                <w:rFonts w:ascii="Arial" w:cs="Arial" w:eastAsia="Arial" w:hAnsi="Arial"/>
                <w:sz w:val="18"/>
                <w:szCs w:val="18"/>
                <w:color w:val="0000EE"/>
              </w:rPr>
            </w:pPr>
            <w:hyperlink w:anchor="page65">
              <w:r>
                <w:rPr>
                  <w:rFonts w:ascii="Arial" w:cs="Arial" w:eastAsia="Arial" w:hAnsi="Arial"/>
                  <w:sz w:val="18"/>
                  <w:szCs w:val="18"/>
                  <w:color w:val="0000EE"/>
                </w:rPr>
                <w:t>Annual Report of Management on Internal Control Over Financial Reporting</w:t>
              </w:r>
            </w:hyperlink>
          </w:p>
        </w:tc>
        <w:tc>
          <w:tcPr>
            <w:tcW w:w="580" w:type="dxa"/>
            <w:vAlign w:val="bottom"/>
          </w:tcPr>
          <w:p>
            <w:pPr>
              <w:jc w:val="right"/>
              <w:ind w:right="50"/>
              <w:spacing w:after="0" w:line="199" w:lineRule="exact"/>
              <w:rPr>
                <w:sz w:val="20"/>
                <w:szCs w:val="20"/>
                <w:color w:val="auto"/>
              </w:rPr>
            </w:pPr>
            <w:r>
              <w:rPr>
                <w:rFonts w:ascii="Arial" w:cs="Arial" w:eastAsia="Arial" w:hAnsi="Arial"/>
                <w:sz w:val="18"/>
                <w:szCs w:val="18"/>
                <w:color w:val="auto"/>
              </w:rPr>
              <w:t>63</w:t>
            </w:r>
          </w:p>
        </w:tc>
      </w:tr>
      <w:tr>
        <w:trPr>
          <w:trHeight w:val="183"/>
        </w:trPr>
        <w:tc>
          <w:tcPr>
            <w:tcW w:w="180" w:type="dxa"/>
            <w:vAlign w:val="bottom"/>
          </w:tcPr>
          <w:p>
            <w:pPr>
              <w:spacing w:after="0"/>
              <w:rPr>
                <w:sz w:val="15"/>
                <w:szCs w:val="15"/>
                <w:color w:val="auto"/>
              </w:rPr>
            </w:pPr>
          </w:p>
        </w:tc>
        <w:tc>
          <w:tcPr>
            <w:tcW w:w="6020" w:type="dxa"/>
            <w:vAlign w:val="bottom"/>
            <w:tcBorders>
              <w:top w:val="single" w:sz="8" w:color="0000EE"/>
            </w:tcBorders>
            <w:gridSpan w:val="4"/>
          </w:tcPr>
          <w:p>
            <w:pPr>
              <w:spacing w:after="0" w:line="182" w:lineRule="exact"/>
              <w:rPr>
                <w:rFonts w:ascii="Arial" w:cs="Arial" w:eastAsia="Arial" w:hAnsi="Arial"/>
                <w:sz w:val="18"/>
                <w:szCs w:val="18"/>
                <w:color w:val="0000EE"/>
              </w:rPr>
            </w:pPr>
            <w:hyperlink w:anchor="page66">
              <w:r>
                <w:rPr>
                  <w:rFonts w:ascii="Arial" w:cs="Arial" w:eastAsia="Arial" w:hAnsi="Arial"/>
                  <w:sz w:val="18"/>
                  <w:szCs w:val="18"/>
                  <w:color w:val="0000EE"/>
                </w:rPr>
                <w:t>Reports of Independent Registered Public Accounting Firm</w:t>
              </w:r>
            </w:hyperlink>
          </w:p>
        </w:tc>
        <w:tc>
          <w:tcPr>
            <w:tcW w:w="2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jc w:val="right"/>
              <w:ind w:right="50"/>
              <w:spacing w:after="0" w:line="182" w:lineRule="exact"/>
              <w:rPr>
                <w:sz w:val="20"/>
                <w:szCs w:val="20"/>
                <w:color w:val="auto"/>
              </w:rPr>
            </w:pPr>
            <w:r>
              <w:rPr>
                <w:rFonts w:ascii="Arial" w:cs="Arial" w:eastAsia="Arial" w:hAnsi="Arial"/>
                <w:sz w:val="18"/>
                <w:szCs w:val="18"/>
                <w:color w:val="auto"/>
              </w:rPr>
              <w:t>64</w:t>
            </w:r>
          </w:p>
        </w:tc>
      </w:tr>
      <w:tr>
        <w:trPr>
          <w:trHeight w:val="183"/>
        </w:trPr>
        <w:tc>
          <w:tcPr>
            <w:tcW w:w="180" w:type="dxa"/>
            <w:vAlign w:val="bottom"/>
          </w:tcPr>
          <w:p>
            <w:pPr>
              <w:spacing w:after="0"/>
              <w:rPr>
                <w:sz w:val="15"/>
                <w:szCs w:val="15"/>
                <w:color w:val="auto"/>
              </w:rPr>
            </w:pPr>
          </w:p>
        </w:tc>
        <w:tc>
          <w:tcPr>
            <w:tcW w:w="4680" w:type="dxa"/>
            <w:vAlign w:val="bottom"/>
            <w:tcBorders>
              <w:top w:val="single" w:sz="8" w:color="0000EE"/>
            </w:tcBorders>
            <w:gridSpan w:val="2"/>
          </w:tcPr>
          <w:p>
            <w:pPr>
              <w:spacing w:after="0" w:line="182" w:lineRule="exact"/>
              <w:rPr>
                <w:rFonts w:ascii="Arial" w:cs="Arial" w:eastAsia="Arial" w:hAnsi="Arial"/>
                <w:sz w:val="18"/>
                <w:szCs w:val="18"/>
                <w:color w:val="0000EE"/>
              </w:rPr>
            </w:pPr>
            <w:hyperlink w:anchor="page68">
              <w:r>
                <w:rPr>
                  <w:rFonts w:ascii="Arial" w:cs="Arial" w:eastAsia="Arial" w:hAnsi="Arial"/>
                  <w:sz w:val="18"/>
                  <w:szCs w:val="18"/>
                  <w:color w:val="0000EE"/>
                </w:rPr>
                <w:t>Consolidated Statements of Operations for the fiscal years</w:t>
              </w:r>
            </w:hyperlink>
          </w:p>
        </w:tc>
        <w:tc>
          <w:tcPr>
            <w:tcW w:w="4600" w:type="dxa"/>
            <w:vAlign w:val="bottom"/>
            <w:gridSpan w:val="7"/>
          </w:tcPr>
          <w:p>
            <w:pPr>
              <w:ind w:left="20"/>
              <w:spacing w:after="0" w:line="182" w:lineRule="exact"/>
              <w:rPr>
                <w:rFonts w:ascii="Arial" w:cs="Arial" w:eastAsia="Arial" w:hAnsi="Arial"/>
                <w:sz w:val="18"/>
                <w:szCs w:val="18"/>
                <w:color w:val="0000EE"/>
              </w:rPr>
            </w:pPr>
            <w:hyperlink w:anchor="page68">
              <w:r>
                <w:rPr>
                  <w:rFonts w:ascii="Arial" w:cs="Arial" w:eastAsia="Arial" w:hAnsi="Arial"/>
                  <w:sz w:val="18"/>
                  <w:szCs w:val="18"/>
                  <w:color w:val="0000EE"/>
                </w:rPr>
                <w:t>ended September 30, 2008, 2007 and 2006</w:t>
              </w:r>
            </w:hyperlink>
          </w:p>
        </w:tc>
        <w:tc>
          <w:tcPr>
            <w:tcW w:w="580" w:type="dxa"/>
            <w:vAlign w:val="bottom"/>
          </w:tcPr>
          <w:p>
            <w:pPr>
              <w:jc w:val="right"/>
              <w:ind w:right="50"/>
              <w:spacing w:after="0" w:line="182" w:lineRule="exact"/>
              <w:rPr>
                <w:sz w:val="20"/>
                <w:szCs w:val="20"/>
                <w:color w:val="auto"/>
              </w:rPr>
            </w:pPr>
            <w:r>
              <w:rPr>
                <w:rFonts w:ascii="Arial" w:cs="Arial" w:eastAsia="Arial" w:hAnsi="Arial"/>
                <w:sz w:val="18"/>
                <w:szCs w:val="18"/>
                <w:color w:val="auto"/>
              </w:rPr>
              <w:t>66</w:t>
            </w:r>
          </w:p>
        </w:tc>
      </w:tr>
      <w:tr>
        <w:trPr>
          <w:trHeight w:val="183"/>
        </w:trPr>
        <w:tc>
          <w:tcPr>
            <w:tcW w:w="180" w:type="dxa"/>
            <w:vAlign w:val="bottom"/>
          </w:tcPr>
          <w:p>
            <w:pPr>
              <w:spacing w:after="0"/>
              <w:rPr>
                <w:sz w:val="15"/>
                <w:szCs w:val="15"/>
                <w:color w:val="auto"/>
              </w:rPr>
            </w:pPr>
          </w:p>
        </w:tc>
        <w:tc>
          <w:tcPr>
            <w:tcW w:w="818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8"/>
              </w:rPr>
            </w:pPr>
            <w:hyperlink w:anchor="page69">
              <w:r>
                <w:rPr>
                  <w:rFonts w:ascii="Arial" w:cs="Arial" w:eastAsia="Arial" w:hAnsi="Arial"/>
                  <w:sz w:val="18"/>
                  <w:szCs w:val="18"/>
                  <w:color w:val="0000EE"/>
                  <w:w w:val="98"/>
                </w:rPr>
                <w:t>Consolidated Statements of Cash Flows for the fiscal years ended September 30, 2008, 2007 and 2006</w:t>
              </w:r>
            </w:hyperlink>
          </w:p>
        </w:tc>
        <w:tc>
          <w:tcPr>
            <w:tcW w:w="60" w:type="dxa"/>
            <w:vAlign w:val="bottom"/>
            <w:tcBorders>
              <w:bottom w:val="single" w:sz="8" w:color="0000EE"/>
            </w:tcBorders>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jc w:val="right"/>
              <w:ind w:right="50"/>
              <w:spacing w:after="0" w:line="182" w:lineRule="exact"/>
              <w:rPr>
                <w:sz w:val="20"/>
                <w:szCs w:val="20"/>
                <w:color w:val="auto"/>
              </w:rPr>
            </w:pPr>
            <w:r>
              <w:rPr>
                <w:rFonts w:ascii="Arial" w:cs="Arial" w:eastAsia="Arial" w:hAnsi="Arial"/>
                <w:sz w:val="18"/>
                <w:szCs w:val="18"/>
                <w:color w:val="auto"/>
              </w:rPr>
              <w:t>67</w:t>
            </w:r>
          </w:p>
        </w:tc>
      </w:tr>
      <w:tr>
        <w:trPr>
          <w:trHeight w:val="183"/>
        </w:trPr>
        <w:tc>
          <w:tcPr>
            <w:tcW w:w="180" w:type="dxa"/>
            <w:vAlign w:val="bottom"/>
          </w:tcPr>
          <w:p>
            <w:pPr>
              <w:spacing w:after="0"/>
              <w:rPr>
                <w:sz w:val="15"/>
                <w:szCs w:val="15"/>
                <w:color w:val="auto"/>
              </w:rPr>
            </w:pPr>
          </w:p>
        </w:tc>
        <w:tc>
          <w:tcPr>
            <w:tcW w:w="8240" w:type="dxa"/>
            <w:vAlign w:val="bottom"/>
            <w:gridSpan w:val="6"/>
          </w:tcPr>
          <w:p>
            <w:pPr>
              <w:spacing w:after="0" w:line="182" w:lineRule="exact"/>
              <w:rPr>
                <w:rFonts w:ascii="Arial" w:cs="Arial" w:eastAsia="Arial" w:hAnsi="Arial"/>
                <w:sz w:val="18"/>
                <w:szCs w:val="18"/>
                <w:color w:val="0000EE"/>
              </w:rPr>
            </w:pPr>
            <w:hyperlink w:anchor="page70">
              <w:r>
                <w:rPr>
                  <w:rFonts w:ascii="Arial" w:cs="Arial" w:eastAsia="Arial" w:hAnsi="Arial"/>
                  <w:sz w:val="18"/>
                  <w:szCs w:val="18"/>
                  <w:color w:val="0000EE"/>
                </w:rPr>
                <w:t>Consolidated Balance Sheets at September 30, 2008 and 2007</w:t>
              </w:r>
            </w:hyperlink>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jc w:val="right"/>
              <w:ind w:right="50"/>
              <w:spacing w:after="0" w:line="182" w:lineRule="exact"/>
              <w:rPr>
                <w:sz w:val="20"/>
                <w:szCs w:val="20"/>
                <w:color w:val="auto"/>
              </w:rPr>
            </w:pPr>
            <w:r>
              <w:rPr>
                <w:rFonts w:ascii="Arial" w:cs="Arial" w:eastAsia="Arial" w:hAnsi="Arial"/>
                <w:sz w:val="18"/>
                <w:szCs w:val="18"/>
                <w:color w:val="auto"/>
              </w:rPr>
              <w:t>68</w:t>
            </w:r>
          </w:p>
        </w:tc>
      </w:tr>
      <w:tr>
        <w:trPr>
          <w:trHeight w:val="183"/>
        </w:trPr>
        <w:tc>
          <w:tcPr>
            <w:tcW w:w="180" w:type="dxa"/>
            <w:vAlign w:val="bottom"/>
          </w:tcPr>
          <w:p>
            <w:pPr>
              <w:spacing w:after="0"/>
              <w:rPr>
                <w:sz w:val="15"/>
                <w:szCs w:val="15"/>
                <w:color w:val="auto"/>
              </w:rPr>
            </w:pPr>
          </w:p>
        </w:tc>
        <w:tc>
          <w:tcPr>
            <w:tcW w:w="5040" w:type="dxa"/>
            <w:vAlign w:val="bottom"/>
            <w:tcBorders>
              <w:top w:val="single" w:sz="8" w:color="0000EE"/>
            </w:tcBorders>
            <w:gridSpan w:val="3"/>
          </w:tcPr>
          <w:p>
            <w:pPr>
              <w:spacing w:after="0" w:line="182" w:lineRule="exact"/>
              <w:rPr>
                <w:rFonts w:ascii="Arial" w:cs="Arial" w:eastAsia="Arial" w:hAnsi="Arial"/>
                <w:sz w:val="18"/>
                <w:szCs w:val="18"/>
                <w:color w:val="0000EE"/>
              </w:rPr>
            </w:pPr>
            <w:hyperlink w:anchor="page71">
              <w:r>
                <w:rPr>
                  <w:rFonts w:ascii="Arial" w:cs="Arial" w:eastAsia="Arial" w:hAnsi="Arial"/>
                  <w:sz w:val="18"/>
                  <w:szCs w:val="18"/>
                  <w:color w:val="0000EE"/>
                </w:rPr>
                <w:t>Consolidated Statements of Shareholders’ Equity for the fiscal</w:t>
              </w:r>
            </w:hyperlink>
          </w:p>
        </w:tc>
        <w:tc>
          <w:tcPr>
            <w:tcW w:w="4240" w:type="dxa"/>
            <w:vAlign w:val="bottom"/>
            <w:gridSpan w:val="6"/>
          </w:tcPr>
          <w:p>
            <w:pPr>
              <w:spacing w:after="0" w:line="182" w:lineRule="exact"/>
              <w:rPr>
                <w:rFonts w:ascii="Arial" w:cs="Arial" w:eastAsia="Arial" w:hAnsi="Arial"/>
                <w:sz w:val="18"/>
                <w:szCs w:val="18"/>
                <w:color w:val="0000EE"/>
              </w:rPr>
            </w:pPr>
            <w:hyperlink w:anchor="page71">
              <w:r>
                <w:rPr>
                  <w:rFonts w:ascii="Arial" w:cs="Arial" w:eastAsia="Arial" w:hAnsi="Arial"/>
                  <w:sz w:val="18"/>
                  <w:szCs w:val="18"/>
                  <w:color w:val="0000EE"/>
                </w:rPr>
                <w:t>years ended September 30, 2008, 2007 and 2006</w:t>
              </w:r>
            </w:hyperlink>
          </w:p>
        </w:tc>
        <w:tc>
          <w:tcPr>
            <w:tcW w:w="580" w:type="dxa"/>
            <w:vAlign w:val="bottom"/>
          </w:tcPr>
          <w:p>
            <w:pPr>
              <w:jc w:val="right"/>
              <w:ind w:right="50"/>
              <w:spacing w:after="0" w:line="182" w:lineRule="exact"/>
              <w:rPr>
                <w:sz w:val="20"/>
                <w:szCs w:val="20"/>
                <w:color w:val="auto"/>
              </w:rPr>
            </w:pPr>
            <w:r>
              <w:rPr>
                <w:rFonts w:ascii="Arial" w:cs="Arial" w:eastAsia="Arial" w:hAnsi="Arial"/>
                <w:sz w:val="18"/>
                <w:szCs w:val="18"/>
                <w:color w:val="auto"/>
              </w:rPr>
              <w:t>69</w:t>
            </w:r>
          </w:p>
        </w:tc>
      </w:tr>
      <w:tr>
        <w:trPr>
          <w:trHeight w:val="183"/>
        </w:trPr>
        <w:tc>
          <w:tcPr>
            <w:tcW w:w="180" w:type="dxa"/>
            <w:vAlign w:val="bottom"/>
          </w:tcPr>
          <w:p>
            <w:pPr>
              <w:spacing w:after="0"/>
              <w:rPr>
                <w:sz w:val="15"/>
                <w:szCs w:val="15"/>
                <w:color w:val="auto"/>
              </w:rPr>
            </w:pPr>
          </w:p>
        </w:tc>
        <w:tc>
          <w:tcPr>
            <w:tcW w:w="8960" w:type="dxa"/>
            <w:vAlign w:val="bottom"/>
            <w:tcBorders>
              <w:top w:val="single" w:sz="8" w:color="0000EE"/>
            </w:tcBorders>
            <w:gridSpan w:val="8"/>
          </w:tcPr>
          <w:p>
            <w:pPr>
              <w:spacing w:after="0" w:line="182" w:lineRule="exact"/>
              <w:rPr>
                <w:rFonts w:ascii="Arial" w:cs="Arial" w:eastAsia="Arial" w:hAnsi="Arial"/>
                <w:sz w:val="18"/>
                <w:szCs w:val="18"/>
                <w:color w:val="0000EE"/>
              </w:rPr>
            </w:pPr>
            <w:hyperlink w:anchor="page72">
              <w:r>
                <w:rPr>
                  <w:rFonts w:ascii="Arial" w:cs="Arial" w:eastAsia="Arial" w:hAnsi="Arial"/>
                  <w:sz w:val="18"/>
                  <w:szCs w:val="18"/>
                  <w:color w:val="0000EE"/>
                </w:rPr>
                <w:t>Notes to Consolidated Financial Statements</w:t>
              </w:r>
            </w:hyperlink>
          </w:p>
        </w:tc>
        <w:tc>
          <w:tcPr>
            <w:tcW w:w="320" w:type="dxa"/>
            <w:vAlign w:val="bottom"/>
          </w:tcPr>
          <w:p>
            <w:pPr>
              <w:spacing w:after="0"/>
              <w:rPr>
                <w:sz w:val="15"/>
                <w:szCs w:val="15"/>
                <w:color w:val="auto"/>
              </w:rPr>
            </w:pPr>
          </w:p>
        </w:tc>
        <w:tc>
          <w:tcPr>
            <w:tcW w:w="580" w:type="dxa"/>
            <w:vAlign w:val="bottom"/>
          </w:tcPr>
          <w:p>
            <w:pPr>
              <w:jc w:val="right"/>
              <w:ind w:right="50"/>
              <w:spacing w:after="0" w:line="182" w:lineRule="exact"/>
              <w:rPr>
                <w:sz w:val="20"/>
                <w:szCs w:val="20"/>
                <w:color w:val="auto"/>
              </w:rPr>
            </w:pPr>
            <w:r>
              <w:rPr>
                <w:rFonts w:ascii="Arial" w:cs="Arial" w:eastAsia="Arial" w:hAnsi="Arial"/>
                <w:sz w:val="18"/>
                <w:szCs w:val="18"/>
                <w:color w:val="auto"/>
              </w:rPr>
              <w:t>70</w:t>
            </w:r>
          </w:p>
        </w:tc>
      </w:tr>
      <w:tr>
        <w:trPr>
          <w:trHeight w:val="187"/>
        </w:trPr>
        <w:tc>
          <w:tcPr>
            <w:tcW w:w="180" w:type="dxa"/>
            <w:vAlign w:val="bottom"/>
          </w:tcPr>
          <w:p>
            <w:pPr>
              <w:spacing w:after="0"/>
              <w:rPr>
                <w:sz w:val="16"/>
                <w:szCs w:val="16"/>
                <w:color w:val="auto"/>
              </w:rPr>
            </w:pPr>
          </w:p>
        </w:tc>
        <w:tc>
          <w:tcPr>
            <w:tcW w:w="3500" w:type="dxa"/>
            <w:vAlign w:val="bottom"/>
            <w:tcBorders>
              <w:top w:val="single" w:sz="8" w:color="0000EE"/>
            </w:tcBorders>
          </w:tcPr>
          <w:p>
            <w:pPr>
              <w:spacing w:after="0" w:line="187" w:lineRule="exact"/>
              <w:rPr>
                <w:sz w:val="20"/>
                <w:szCs w:val="20"/>
                <w:color w:val="auto"/>
              </w:rPr>
            </w:pPr>
            <w:r>
              <w:rPr>
                <w:rFonts w:ascii="Arial" w:cs="Arial" w:eastAsia="Arial" w:hAnsi="Arial"/>
                <w:sz w:val="18"/>
                <w:szCs w:val="18"/>
                <w:color w:val="auto"/>
                <w:w w:val="90"/>
              </w:rPr>
              <w:t>Schedule Supporting the Consolidated Financial</w:t>
            </w:r>
          </w:p>
        </w:tc>
        <w:tc>
          <w:tcPr>
            <w:tcW w:w="5780" w:type="dxa"/>
            <w:vAlign w:val="bottom"/>
            <w:gridSpan w:val="8"/>
          </w:tcPr>
          <w:p>
            <w:pPr>
              <w:ind w:left="200"/>
              <w:spacing w:after="0" w:line="187" w:lineRule="exact"/>
              <w:rPr>
                <w:sz w:val="20"/>
                <w:szCs w:val="20"/>
                <w:color w:val="auto"/>
              </w:rPr>
            </w:pPr>
            <w:r>
              <w:rPr>
                <w:rFonts w:ascii="Arial" w:cs="Arial" w:eastAsia="Arial" w:hAnsi="Arial"/>
                <w:sz w:val="18"/>
                <w:szCs w:val="18"/>
                <w:color w:val="auto"/>
              </w:rPr>
              <w:t>Statements:</w:t>
            </w:r>
          </w:p>
        </w:tc>
        <w:tc>
          <w:tcPr>
            <w:tcW w:w="580" w:type="dxa"/>
            <w:vAlign w:val="bottom"/>
          </w:tcPr>
          <w:p>
            <w:pPr>
              <w:spacing w:after="0"/>
              <w:rPr>
                <w:sz w:val="16"/>
                <w:szCs w:val="16"/>
                <w:color w:val="auto"/>
              </w:rPr>
            </w:pPr>
          </w:p>
        </w:tc>
      </w:tr>
      <w:tr>
        <w:trPr>
          <w:trHeight w:val="198"/>
        </w:trPr>
        <w:tc>
          <w:tcPr>
            <w:tcW w:w="180" w:type="dxa"/>
            <w:vAlign w:val="bottom"/>
          </w:tcPr>
          <w:p>
            <w:pPr>
              <w:spacing w:after="0"/>
              <w:rPr>
                <w:sz w:val="17"/>
                <w:szCs w:val="17"/>
                <w:color w:val="auto"/>
              </w:rPr>
            </w:pPr>
          </w:p>
        </w:tc>
        <w:tc>
          <w:tcPr>
            <w:tcW w:w="9280" w:type="dxa"/>
            <w:vAlign w:val="bottom"/>
            <w:gridSpan w:val="9"/>
          </w:tcPr>
          <w:p>
            <w:pPr>
              <w:spacing w:after="0" w:line="199" w:lineRule="exact"/>
              <w:rPr>
                <w:rFonts w:ascii="Arial" w:cs="Arial" w:eastAsia="Arial" w:hAnsi="Arial"/>
                <w:sz w:val="18"/>
                <w:szCs w:val="18"/>
                <w:color w:val="0000EE"/>
              </w:rPr>
            </w:pPr>
            <w:hyperlink w:anchor="page114">
              <w:r>
                <w:rPr>
                  <w:rFonts w:ascii="Arial" w:cs="Arial" w:eastAsia="Arial" w:hAnsi="Arial"/>
                  <w:sz w:val="18"/>
                  <w:szCs w:val="18"/>
                  <w:color w:val="0000EE"/>
                </w:rPr>
                <w:t>Schedule II — Valuation and Qualifying Accounts for the fiscal years ended September 30, 2008, 2007 and 2006</w:t>
              </w:r>
            </w:hyperlink>
          </w:p>
        </w:tc>
        <w:tc>
          <w:tcPr>
            <w:tcW w:w="580" w:type="dxa"/>
            <w:vAlign w:val="bottom"/>
          </w:tcPr>
          <w:p>
            <w:pPr>
              <w:jc w:val="right"/>
              <w:ind w:right="50"/>
              <w:spacing w:after="0" w:line="199" w:lineRule="exact"/>
              <w:rPr>
                <w:sz w:val="20"/>
                <w:szCs w:val="20"/>
                <w:color w:val="auto"/>
              </w:rPr>
            </w:pPr>
            <w:r>
              <w:rPr>
                <w:rFonts w:ascii="Arial" w:cs="Arial" w:eastAsia="Arial" w:hAnsi="Arial"/>
                <w:sz w:val="18"/>
                <w:szCs w:val="18"/>
                <w:color w:val="auto"/>
              </w:rPr>
              <w:t>112</w:t>
            </w:r>
          </w:p>
        </w:tc>
      </w:tr>
      <w:tr>
        <w:trPr>
          <w:trHeight w:val="20"/>
        </w:trPr>
        <w:tc>
          <w:tcPr>
            <w:tcW w:w="180" w:type="dxa"/>
            <w:vAlign w:val="bottom"/>
          </w:tcPr>
          <w:p>
            <w:pPr>
              <w:spacing w:after="0" w:line="20" w:lineRule="exact"/>
              <w:rPr>
                <w:sz w:val="1"/>
                <w:szCs w:val="1"/>
                <w:color w:val="auto"/>
              </w:rPr>
            </w:pPr>
          </w:p>
        </w:tc>
        <w:tc>
          <w:tcPr>
            <w:tcW w:w="350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bl>
    <w:p>
      <w:pPr>
        <w:ind w:left="40"/>
        <w:spacing w:after="0"/>
        <w:rPr>
          <w:sz w:val="20"/>
          <w:szCs w:val="20"/>
          <w:color w:val="auto"/>
        </w:rPr>
      </w:pPr>
      <w:r>
        <w:rPr>
          <w:rFonts w:ascii="Arial" w:cs="Arial" w:eastAsia="Arial" w:hAnsi="Arial"/>
          <w:sz w:val="18"/>
          <w:szCs w:val="18"/>
          <w:u w:val="single" w:color="auto"/>
          <w:color w:val="0000EE"/>
        </w:rPr>
        <w:t>EX-31.1</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EX-31.2</w:t>
      </w:r>
    </w:p>
    <w:p>
      <w:pPr>
        <w:ind w:left="40"/>
        <w:spacing w:after="0"/>
        <w:rPr>
          <w:sz w:val="20"/>
          <w:szCs w:val="20"/>
          <w:color w:val="auto"/>
        </w:rPr>
      </w:pPr>
      <w:r>
        <w:rPr>
          <w:rFonts w:ascii="Arial" w:cs="Arial" w:eastAsia="Arial" w:hAnsi="Arial"/>
          <w:sz w:val="18"/>
          <w:szCs w:val="18"/>
          <w:u w:val="single" w:color="auto"/>
          <w:color w:val="0000EE"/>
        </w:rPr>
        <w:t>EX-32</w:t>
      </w:r>
    </w:p>
    <w:p>
      <w:pPr>
        <w:spacing w:after="0" w:line="91" w:lineRule="exact"/>
        <w:rPr>
          <w:sz w:val="20"/>
          <w:szCs w:val="20"/>
          <w:color w:val="auto"/>
        </w:rPr>
      </w:pPr>
    </w:p>
    <w:p>
      <w:pPr>
        <w:jc w:val="both"/>
        <w:ind w:right="660" w:firstLine="402"/>
        <w:spacing w:after="0" w:line="255" w:lineRule="auto"/>
        <w:rPr>
          <w:sz w:val="20"/>
          <w:szCs w:val="20"/>
          <w:color w:val="auto"/>
        </w:rPr>
      </w:pPr>
      <w:r>
        <w:rPr>
          <w:rFonts w:ascii="Arial" w:cs="Arial" w:eastAsia="Arial" w:hAnsi="Arial"/>
          <w:sz w:val="18"/>
          <w:szCs w:val="18"/>
          <w:color w:val="auto"/>
        </w:rPr>
        <w:t>All other financial statement schedules for which provision is made in the applicable accounting regulations of the Securities and Exchange Commission are omitted because they are not required or are not applicable, or the required information has been presented in the Consolidated Financial Statements or Notes thereto.</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3085465</wp:posOffset>
            </wp:positionH>
            <wp:positionV relativeFrom="paragraph">
              <wp:posOffset>-78105</wp:posOffset>
            </wp:positionV>
            <wp:extent cx="19748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142240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040"/>
          </w:cols>
          <w:pgMar w:left="940" w:top="959" w:right="91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hyperlink w:anchor="page64">
        <w:r>
          <w:rPr>
            <w:rFonts w:ascii="Times New Roman" w:cs="Times New Roman" w:eastAsia="Times New Roman" w:hAnsi="Times New Roman"/>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ANNUAL REPORT OF MANAGEMENT ON INTERNAL</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CONTROL OVER FINANCIAL REPORTING</w:t>
      </w:r>
    </w:p>
    <w:p>
      <w:pPr>
        <w:spacing w:after="0" w:line="88" w:lineRule="exact"/>
        <w:rPr>
          <w:sz w:val="20"/>
          <w:szCs w:val="20"/>
          <w:color w:val="auto"/>
        </w:rPr>
      </w:pPr>
    </w:p>
    <w:p>
      <w:pPr>
        <w:ind w:left="700" w:right="700" w:firstLine="402"/>
        <w:spacing w:after="0" w:line="238"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to provide reasonable assurance regarding the reliability of our financial reporting and the preparation of financial statements for external purposes in accordance with accounting principles generally accepted in the United States of America. Internal control over financial reporting includes those policies and procedures that (i) pertain to the maintenance of records that, in reasonable detail, accurately and fairly reflect the transactions and dispositions of the assets of The Scotts Miracle-Gro Company and our consolidated subsidiaries; (ii) provide reasonable assurance that transactions are recorded as necessary to permit preparation of financial statements in accordance with accounting principles generally accepted in the United States of America, and that receipts and expenditures of The Scotts Miracle-Gro Company and our consolidated subsidiaries are being made only in accordance with authorizations of management and directors of The Scotts Miracle-Gro Company and our consolidated subsidiaries, as appropriate; and (iii) provide reasonable assurance regarding prevention or timely detection of unauthorized acquisition, use or disposition of the assets of The Scotts Miracle-Gro Company and our consolidated subsidiaries that could have a material effect on the consolidated financial statements.</w:t>
      </w:r>
    </w:p>
    <w:p>
      <w:pPr>
        <w:spacing w:after="0" w:line="89" w:lineRule="exact"/>
        <w:rPr>
          <w:sz w:val="20"/>
          <w:szCs w:val="20"/>
          <w:color w:val="auto"/>
        </w:rPr>
      </w:pPr>
    </w:p>
    <w:p>
      <w:pPr>
        <w:ind w:left="700" w:right="720" w:firstLine="402"/>
        <w:spacing w:after="0" w:line="241" w:lineRule="auto"/>
        <w:rPr>
          <w:sz w:val="20"/>
          <w:szCs w:val="20"/>
          <w:color w:val="auto"/>
        </w:rPr>
      </w:pPr>
      <w:r>
        <w:rPr>
          <w:rFonts w:ascii="Arial" w:cs="Arial" w:eastAsia="Arial" w:hAnsi="Arial"/>
          <w:sz w:val="18"/>
          <w:szCs w:val="18"/>
          <w:color w:val="auto"/>
        </w:rPr>
        <w:t xml:space="preserve">Management, with the participation of our principal executive officer and principal financial officer, assessed the effectiveness of our internal control over financial reporting as of September 30, 2008, the end of our fiscal year. Management based its assessment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Management’s assessment included evaluation of such elements as the design and operating effectiveness of key financial reporting controls, process documentation, accounting policies and our overall control environment. This assessment is supported by testing and monitoring performed under the direction of management.</w:t>
      </w:r>
    </w:p>
    <w:p>
      <w:pPr>
        <w:spacing w:after="0" w:line="85" w:lineRule="exact"/>
        <w:rPr>
          <w:sz w:val="20"/>
          <w:szCs w:val="20"/>
          <w:color w:val="auto"/>
        </w:rPr>
      </w:pPr>
    </w:p>
    <w:p>
      <w:pPr>
        <w:ind w:left="700" w:right="700" w:firstLine="402"/>
        <w:spacing w:after="0" w:line="245"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evaluations of effectiveness to future periods are subject to the risk that controls may become inadequate because of changes in conditions, or that the degree of compliance with the policies or procedures may deteriorate. Accordingly, even an effective system of internal control over financial reporting will provide only reasonable assurance with respect to financial statement preparation.</w:t>
      </w:r>
    </w:p>
    <w:p>
      <w:pPr>
        <w:spacing w:after="0" w:line="78" w:lineRule="exact"/>
        <w:rPr>
          <w:sz w:val="20"/>
          <w:szCs w:val="20"/>
          <w:color w:val="auto"/>
        </w:rPr>
      </w:pPr>
    </w:p>
    <w:p>
      <w:pPr>
        <w:ind w:left="700" w:right="740" w:firstLine="402"/>
        <w:spacing w:after="0" w:line="245" w:lineRule="auto"/>
        <w:rPr>
          <w:sz w:val="20"/>
          <w:szCs w:val="20"/>
          <w:color w:val="auto"/>
        </w:rPr>
      </w:pPr>
      <w:r>
        <w:rPr>
          <w:rFonts w:ascii="Arial" w:cs="Arial" w:eastAsia="Arial" w:hAnsi="Arial"/>
          <w:sz w:val="18"/>
          <w:szCs w:val="18"/>
          <w:color w:val="auto"/>
        </w:rPr>
        <w:t>Based on our assessment, management has concluded that our internal control over financial reporting was effective as of September 30, 2008, to provide reasonable assurance regarding the reliability of financial reporting and the preparation of financial statements for external reporting purposes in accordance with accounting principles generally accepted in the United States of America. We reviewed the results of management’s assessment with the Audit Committee of the Board of Directors of The Scotts Miracle-Gro Company.</w:t>
      </w:r>
    </w:p>
    <w:p>
      <w:pPr>
        <w:spacing w:after="0" w:line="78" w:lineRule="exact"/>
        <w:rPr>
          <w:sz w:val="20"/>
          <w:szCs w:val="20"/>
          <w:color w:val="auto"/>
        </w:rPr>
      </w:pPr>
    </w:p>
    <w:p>
      <w:pPr>
        <w:ind w:left="700" w:right="1080" w:firstLine="402"/>
        <w:spacing w:after="0" w:line="276" w:lineRule="auto"/>
        <w:rPr>
          <w:sz w:val="20"/>
          <w:szCs w:val="20"/>
          <w:color w:val="auto"/>
        </w:rPr>
      </w:pPr>
      <w:r>
        <w:rPr>
          <w:rFonts w:ascii="Arial" w:cs="Arial" w:eastAsia="Arial" w:hAnsi="Arial"/>
          <w:sz w:val="18"/>
          <w:szCs w:val="18"/>
          <w:color w:val="auto"/>
        </w:rPr>
        <w:t>Our independent registered public accounting firm, Deloitte &amp; Touche LLP, independently audited our internal control over financial reporting and has issued their report which appears herein.</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0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/s/ J</w:t>
            </w:r>
            <w:r>
              <w:rPr>
                <w:rFonts w:ascii="Arial" w:cs="Arial" w:eastAsia="Arial" w:hAnsi="Arial"/>
                <w:sz w:val="12"/>
                <w:szCs w:val="12"/>
                <w:color w:val="auto"/>
              </w:rPr>
              <w:t>AMES</w:t>
            </w:r>
            <w:r>
              <w:rPr>
                <w:rFonts w:ascii="Arial" w:cs="Arial" w:eastAsia="Arial" w:hAnsi="Arial"/>
                <w:sz w:val="18"/>
                <w:szCs w:val="18"/>
                <w:color w:val="auto"/>
              </w:rPr>
              <w:t xml:space="preserve"> H</w:t>
            </w:r>
            <w:r>
              <w:rPr>
                <w:rFonts w:ascii="Arial" w:cs="Arial" w:eastAsia="Arial" w:hAnsi="Arial"/>
                <w:sz w:val="12"/>
                <w:szCs w:val="12"/>
                <w:color w:val="auto"/>
              </w:rPr>
              <w:t>AGEDORN</w:t>
            </w: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80" w:type="dxa"/>
            <w:vAlign w:val="bottom"/>
            <w:gridSpan w:val="2"/>
          </w:tcPr>
          <w:p>
            <w:pPr>
              <w:ind w:left="160"/>
              <w:spacing w:after="0"/>
              <w:rPr>
                <w:sz w:val="20"/>
                <w:szCs w:val="20"/>
                <w:color w:val="auto"/>
              </w:rPr>
            </w:pPr>
            <w:r>
              <w:rPr>
                <w:rFonts w:ascii="Arial" w:cs="Arial" w:eastAsia="Arial" w:hAnsi="Arial"/>
                <w:sz w:val="18"/>
                <w:szCs w:val="18"/>
                <w:color w:val="auto"/>
              </w:rPr>
              <w:t>/s/ D</w:t>
            </w:r>
            <w:r>
              <w:rPr>
                <w:rFonts w:ascii="Arial" w:cs="Arial" w:eastAsia="Arial" w:hAnsi="Arial"/>
                <w:sz w:val="12"/>
                <w:szCs w:val="12"/>
                <w:color w:val="auto"/>
              </w:rPr>
              <w:t>AVID</w:t>
            </w:r>
            <w:r>
              <w:rPr>
                <w:rFonts w:ascii="Arial" w:cs="Arial" w:eastAsia="Arial" w:hAnsi="Arial"/>
                <w:sz w:val="18"/>
                <w:szCs w:val="18"/>
                <w:color w:val="auto"/>
              </w:rPr>
              <w:t xml:space="preserve"> C. E</w:t>
            </w:r>
            <w:r>
              <w:rPr>
                <w:rFonts w:ascii="Arial" w:cs="Arial" w:eastAsia="Arial" w:hAnsi="Arial"/>
                <w:sz w:val="12"/>
                <w:szCs w:val="12"/>
                <w:color w:val="auto"/>
              </w:rPr>
              <w:t>VANS</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4820" w:type="dxa"/>
            <w:vAlign w:val="bottom"/>
            <w:tcBorders>
              <w:top w:val="single" w:sz="8" w:color="auto"/>
            </w:tcBorders>
          </w:tcPr>
          <w:p>
            <w:pPr>
              <w:spacing w:after="0" w:line="160" w:lineRule="exact"/>
              <w:rPr>
                <w:sz w:val="20"/>
                <w:szCs w:val="20"/>
                <w:color w:val="auto"/>
              </w:rPr>
            </w:pPr>
            <w:r>
              <w:rPr>
                <w:rFonts w:ascii="Arial" w:cs="Arial" w:eastAsia="Arial" w:hAnsi="Arial"/>
                <w:sz w:val="18"/>
                <w:szCs w:val="18"/>
                <w:color w:val="auto"/>
              </w:rPr>
              <w:t>James Hagedorn</w:t>
            </w: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720" w:type="dxa"/>
            <w:vAlign w:val="bottom"/>
            <w:tcBorders>
              <w:top w:val="single" w:sz="8" w:color="auto"/>
            </w:tcBorders>
          </w:tcPr>
          <w:p>
            <w:pPr>
              <w:spacing w:after="0" w:line="160" w:lineRule="exact"/>
              <w:rPr>
                <w:sz w:val="20"/>
                <w:szCs w:val="20"/>
                <w:color w:val="auto"/>
              </w:rPr>
            </w:pPr>
            <w:r>
              <w:rPr>
                <w:rFonts w:ascii="Arial" w:cs="Arial" w:eastAsia="Arial" w:hAnsi="Arial"/>
                <w:sz w:val="18"/>
                <w:szCs w:val="18"/>
                <w:color w:val="auto"/>
              </w:rPr>
              <w:t>David C. Evans</w:t>
            </w: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20" w:type="dxa"/>
            <w:vAlign w:val="bottom"/>
          </w:tcPr>
          <w:p>
            <w:pPr>
              <w:spacing w:after="0" w:line="202" w:lineRule="exact"/>
              <w:rPr>
                <w:sz w:val="20"/>
                <w:szCs w:val="20"/>
                <w:color w:val="auto"/>
              </w:rPr>
            </w:pPr>
            <w:r>
              <w:rPr>
                <w:rFonts w:ascii="Arial" w:cs="Arial" w:eastAsia="Arial" w:hAnsi="Arial"/>
                <w:sz w:val="18"/>
                <w:szCs w:val="18"/>
                <w:color w:val="auto"/>
              </w:rPr>
              <w:t>Chief Executive Officer</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8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Executive Vice President</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20" w:type="dxa"/>
            <w:vAlign w:val="bottom"/>
          </w:tcPr>
          <w:p>
            <w:pPr>
              <w:spacing w:after="0" w:line="202" w:lineRule="exact"/>
              <w:rPr>
                <w:sz w:val="20"/>
                <w:szCs w:val="20"/>
                <w:color w:val="auto"/>
              </w:rPr>
            </w:pPr>
            <w:r>
              <w:rPr>
                <w:rFonts w:ascii="Arial" w:cs="Arial" w:eastAsia="Arial" w:hAnsi="Arial"/>
                <w:sz w:val="18"/>
                <w:szCs w:val="18"/>
                <w:color w:val="auto"/>
              </w:rPr>
              <w:t>and Chairman of the Board</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8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and Chief Financial Officer</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00" w:type="dxa"/>
            <w:vAlign w:val="bottom"/>
          </w:tcPr>
          <w:p>
            <w:pPr>
              <w:spacing w:after="0"/>
              <w:rPr>
                <w:sz w:val="21"/>
                <w:szCs w:val="21"/>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Dated: November 25, 2008</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880" w:type="dxa"/>
            <w:vAlign w:val="bottom"/>
            <w:gridSpan w:val="2"/>
          </w:tcPr>
          <w:p>
            <w:pPr>
              <w:ind w:left="160"/>
              <w:spacing w:after="0"/>
              <w:rPr>
                <w:sz w:val="20"/>
                <w:szCs w:val="20"/>
                <w:color w:val="auto"/>
              </w:rPr>
            </w:pPr>
            <w:r>
              <w:rPr>
                <w:rFonts w:ascii="Arial" w:cs="Arial" w:eastAsia="Arial" w:hAnsi="Arial"/>
                <w:sz w:val="18"/>
                <w:szCs w:val="18"/>
                <w:color w:val="auto"/>
              </w:rPr>
              <w:t>Dated: November 25, 2008</w:t>
            </w: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70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40" w:type="dxa"/>
            <w:vAlign w:val="bottom"/>
            <w:vMerge w:val="restart"/>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4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700" w:type="dxa"/>
            <w:vAlign w:val="bottom"/>
          </w:tcPr>
          <w:p>
            <w:pPr>
              <w:spacing w:after="0"/>
              <w:rPr>
                <w:sz w:val="11"/>
                <w:szCs w:val="11"/>
                <w:color w:val="auto"/>
              </w:rPr>
            </w:pPr>
          </w:p>
        </w:tc>
        <w:tc>
          <w:tcPr>
            <w:tcW w:w="4820" w:type="dxa"/>
            <w:vAlign w:val="bottom"/>
          </w:tcPr>
          <w:p>
            <w:pPr>
              <w:spacing w:after="0"/>
              <w:rPr>
                <w:sz w:val="11"/>
                <w:szCs w:val="11"/>
                <w:color w:val="auto"/>
              </w:rPr>
            </w:pPr>
          </w:p>
        </w:tc>
        <w:tc>
          <w:tcPr>
            <w:tcW w:w="40" w:type="dxa"/>
            <w:vAlign w:val="bottom"/>
            <w:vMerge w:val="continue"/>
          </w:tcPr>
          <w:p>
            <w:pPr>
              <w:spacing w:after="0"/>
              <w:rPr>
                <w:sz w:val="11"/>
                <w:szCs w:val="11"/>
                <w:color w:val="auto"/>
              </w:rPr>
            </w:pPr>
          </w:p>
        </w:tc>
        <w:tc>
          <w:tcPr>
            <w:tcW w:w="300" w:type="dxa"/>
            <w:vAlign w:val="bottom"/>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63</w:t>
            </w:r>
          </w:p>
        </w:tc>
        <w:tc>
          <w:tcPr>
            <w:tcW w:w="16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700" w:type="dxa"/>
            <w:vAlign w:val="bottom"/>
            <w:tcBorders>
              <w:bottom w:val="single" w:sz="8" w:color="808080"/>
            </w:tcBorders>
          </w:tcPr>
          <w:p>
            <w:pPr>
              <w:spacing w:after="0"/>
              <w:rPr>
                <w:sz w:val="17"/>
                <w:szCs w:val="17"/>
                <w:color w:val="auto"/>
              </w:rPr>
            </w:pPr>
          </w:p>
        </w:tc>
        <w:tc>
          <w:tcPr>
            <w:tcW w:w="482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472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hyperlink w:anchor="page64">
        <w:r>
          <w:rPr>
            <w:rFonts w:ascii="Times New Roman" w:cs="Times New Roman" w:eastAsia="Times New Roman" w:hAnsi="Times New Roman"/>
            <w:sz w:val="18"/>
            <w:szCs w:val="18"/>
            <w:b w:val="1"/>
            <w:bCs w:val="1"/>
            <w:u w:val="single" w:color="auto"/>
            <w:color w:val="0000EE"/>
          </w:rPr>
          <w:t>Table of Contents</w:t>
        </w:r>
      </w:hyperlink>
    </w:p>
    <w:p>
      <w:pPr>
        <w:spacing w:after="0" w:line="337" w:lineRule="exact"/>
        <w:rPr>
          <w:sz w:val="20"/>
          <w:szCs w:val="20"/>
          <w:color w:val="auto"/>
        </w:rPr>
      </w:pPr>
    </w:p>
    <w:p>
      <w:pPr>
        <w:ind w:left="2360"/>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34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To the Board of Directors and Shareholders of</w:t>
      </w:r>
    </w:p>
    <w:p>
      <w:pPr>
        <w:spacing w:after="0" w:line="1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Scotts Miracle-Gro Company</w:t>
      </w:r>
    </w:p>
    <w:p>
      <w:pPr>
        <w:ind w:left="700"/>
        <w:spacing w:after="0"/>
        <w:rPr>
          <w:sz w:val="20"/>
          <w:szCs w:val="20"/>
          <w:color w:val="auto"/>
        </w:rPr>
      </w:pPr>
      <w:r>
        <w:rPr>
          <w:rFonts w:ascii="Arial" w:cs="Arial" w:eastAsia="Arial" w:hAnsi="Arial"/>
          <w:sz w:val="18"/>
          <w:szCs w:val="18"/>
          <w:color w:val="auto"/>
        </w:rPr>
        <w:t>Marysville, Ohio</w:t>
      </w:r>
    </w:p>
    <w:p>
      <w:pPr>
        <w:spacing w:after="0" w:line="95" w:lineRule="exact"/>
        <w:rPr>
          <w:sz w:val="20"/>
          <w:szCs w:val="20"/>
          <w:color w:val="auto"/>
        </w:rPr>
      </w:pPr>
    </w:p>
    <w:p>
      <w:pPr>
        <w:ind w:left="700" w:right="140" w:firstLine="402"/>
        <w:spacing w:after="0" w:line="260" w:lineRule="auto"/>
        <w:rPr>
          <w:sz w:val="20"/>
          <w:szCs w:val="20"/>
          <w:color w:val="auto"/>
        </w:rPr>
      </w:pPr>
      <w:r>
        <w:rPr>
          <w:rFonts w:ascii="Arial" w:cs="Arial" w:eastAsia="Arial" w:hAnsi="Arial"/>
          <w:sz w:val="17"/>
          <w:szCs w:val="17"/>
          <w:color w:val="auto"/>
        </w:rPr>
        <w:t>We have audited the accompanying consolidated balance sheets of The Scotts Miracle-Gro Company and Subsidiaries (the “Company”) as of September 30, 2008 and 2007, and the related consolidated statements of operations, shareholders’ equity, and cash flows for each of the three years in the period ended September 30, 2008. Our audits also included the financial statement schedules listed in the Index to Consolidated Financial Statements and Financial Statement Schedules. These financial statements and financial statement schedules are the responsibility of the Company’s management. Our responsibility is to express an opinion on the financial statements and financial statement schedules based on our audits.</w:t>
      </w:r>
    </w:p>
    <w:p>
      <w:pPr>
        <w:spacing w:after="0" w:line="66" w:lineRule="exact"/>
        <w:rPr>
          <w:sz w:val="20"/>
          <w:szCs w:val="20"/>
          <w:color w:val="auto"/>
        </w:rPr>
      </w:pPr>
    </w:p>
    <w:p>
      <w:pPr>
        <w:ind w:left="700" w:firstLine="402"/>
        <w:spacing w:after="0" w:line="243"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80" w:lineRule="exact"/>
        <w:rPr>
          <w:sz w:val="20"/>
          <w:szCs w:val="20"/>
          <w:color w:val="auto"/>
        </w:rPr>
      </w:pPr>
    </w:p>
    <w:p>
      <w:pPr>
        <w:ind w:left="700" w:right="120" w:firstLine="402"/>
        <w:spacing w:after="0" w:line="245" w:lineRule="auto"/>
        <w:rPr>
          <w:sz w:val="20"/>
          <w:szCs w:val="20"/>
          <w:color w:val="auto"/>
        </w:rPr>
      </w:pPr>
      <w:r>
        <w:rPr>
          <w:rFonts w:ascii="Arial" w:cs="Arial" w:eastAsia="Arial" w:hAnsi="Arial"/>
          <w:sz w:val="18"/>
          <w:szCs w:val="18"/>
          <w:color w:val="auto"/>
        </w:rPr>
        <w:t>In our opinion, such consolidated financial statements present fairly, in all material respects, the financial position of the Company as of September 30, 2008 and 2007, and the results of its operations and its cash flows for each of the three years in the period ended September 30, 2008, in conformity with accounting principles generally accepted in the United States of America. Also, in our opinion, such financial statement schedules, when considered in relation to the basic consolidated financial statements taken as a whole, present fairly, in all material respects, the information set forth therein.</w:t>
      </w:r>
    </w:p>
    <w:p>
      <w:pPr>
        <w:spacing w:after="0" w:line="78" w:lineRule="exact"/>
        <w:rPr>
          <w:sz w:val="20"/>
          <w:szCs w:val="20"/>
          <w:color w:val="auto"/>
        </w:rPr>
      </w:pPr>
    </w:p>
    <w:p>
      <w:pPr>
        <w:ind w:left="700" w:right="40" w:firstLine="402"/>
        <w:spacing w:after="0" w:line="306" w:lineRule="auto"/>
        <w:rPr>
          <w:sz w:val="20"/>
          <w:szCs w:val="20"/>
          <w:color w:val="auto"/>
        </w:rPr>
      </w:pPr>
      <w:r>
        <w:rPr>
          <w:rFonts w:ascii="Arial" w:cs="Arial" w:eastAsia="Arial" w:hAnsi="Arial"/>
          <w:sz w:val="17"/>
          <w:szCs w:val="17"/>
          <w:color w:val="auto"/>
        </w:rPr>
        <w:t xml:space="preserve">As discussed in Note 10 to the financial statements, on September 30, 2007, the Company adopted Statement of Financial Accounting Standards No. 158, </w:t>
      </w:r>
      <w:r>
        <w:rPr>
          <w:rFonts w:ascii="Arial" w:cs="Arial" w:eastAsia="Arial" w:hAnsi="Arial"/>
          <w:sz w:val="17"/>
          <w:szCs w:val="17"/>
          <w:i w:val="1"/>
          <w:iCs w:val="1"/>
          <w:color w:val="auto"/>
        </w:rPr>
        <w:t>Employers’ Accounting for Defined Benefit Pension and Other Postretirement Plans</w:t>
      </w:r>
      <w:r>
        <w:rPr>
          <w:rFonts w:ascii="Arial" w:cs="Arial" w:eastAsia="Arial" w:hAnsi="Arial"/>
          <w:sz w:val="17"/>
          <w:szCs w:val="17"/>
          <w:color w:val="auto"/>
        </w:rPr>
        <w:t>.</w:t>
      </w:r>
    </w:p>
    <w:p>
      <w:pPr>
        <w:spacing w:after="0" w:line="28" w:lineRule="exact"/>
        <w:rPr>
          <w:sz w:val="20"/>
          <w:szCs w:val="20"/>
          <w:color w:val="auto"/>
        </w:rPr>
      </w:pPr>
    </w:p>
    <w:p>
      <w:pPr>
        <w:ind w:left="700" w:right="40" w:firstLine="402"/>
        <w:spacing w:after="0" w:line="245"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Company’s internal control over financial reporting as of September 30, 2008, based on the criteria established in </w:t>
      </w:r>
      <w:r>
        <w:rPr>
          <w:rFonts w:ascii="Arial" w:cs="Arial" w:eastAsia="Arial" w:hAnsi="Arial"/>
          <w:sz w:val="18"/>
          <w:szCs w:val="18"/>
          <w:i w:val="1"/>
          <w:iCs w:val="1"/>
          <w:color w:val="auto"/>
        </w:rPr>
        <w:t xml:space="preserve">Internal Control — Integrated Framework </w:t>
      </w:r>
      <w:r>
        <w:rPr>
          <w:rFonts w:ascii="Arial" w:cs="Arial" w:eastAsia="Arial" w:hAnsi="Arial"/>
          <w:sz w:val="18"/>
          <w:szCs w:val="18"/>
          <w:color w:val="auto"/>
        </w:rPr>
        <w:t>issued by the Committee of Sponsoring Organizations of the Treadway Commission</w:t>
      </w:r>
      <w:r>
        <w:rPr>
          <w:rFonts w:ascii="Arial" w:cs="Arial" w:eastAsia="Arial" w:hAnsi="Arial"/>
          <w:sz w:val="18"/>
          <w:szCs w:val="18"/>
          <w:i w:val="1"/>
          <w:iCs w:val="1"/>
          <w:color w:val="auto"/>
        </w:rPr>
        <w:t xml:space="preserve"> </w:t>
      </w:r>
      <w:r>
        <w:rPr>
          <w:rFonts w:ascii="Arial" w:cs="Arial" w:eastAsia="Arial" w:hAnsi="Arial"/>
          <w:sz w:val="18"/>
          <w:szCs w:val="18"/>
          <w:color w:val="auto"/>
        </w:rPr>
        <w:t>and our report dated November 25, 2008 expressed an unqualified opinion on the Company’s internal control over financial reporting.</w:t>
      </w:r>
    </w:p>
    <w:p>
      <w:pPr>
        <w:spacing w:after="0" w:line="18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 D</w:t>
      </w:r>
      <w:r>
        <w:rPr>
          <w:rFonts w:ascii="Arial" w:cs="Arial" w:eastAsia="Arial" w:hAnsi="Arial"/>
          <w:sz w:val="12"/>
          <w:szCs w:val="12"/>
          <w:color w:val="auto"/>
        </w:rPr>
        <w:t>ELOITTE</w:t>
      </w:r>
      <w:r>
        <w:rPr>
          <w:rFonts w:ascii="Arial" w:cs="Arial" w:eastAsia="Arial" w:hAnsi="Arial"/>
          <w:sz w:val="18"/>
          <w:szCs w:val="18"/>
          <w:color w:val="auto"/>
        </w:rPr>
        <w:t xml:space="preserve"> &amp; T</w:t>
      </w:r>
      <w:r>
        <w:rPr>
          <w:rFonts w:ascii="Arial" w:cs="Arial" w:eastAsia="Arial" w:hAnsi="Arial"/>
          <w:sz w:val="12"/>
          <w:szCs w:val="12"/>
          <w:color w:val="auto"/>
        </w:rPr>
        <w:t>OUCHE</w:t>
      </w:r>
      <w:r>
        <w:rPr>
          <w:rFonts w:ascii="Arial" w:cs="Arial" w:eastAsia="Arial" w:hAnsi="Arial"/>
          <w:sz w:val="18"/>
          <w:szCs w:val="18"/>
          <w:color w:val="auto"/>
        </w:rPr>
        <w:t xml:space="preserve"> LLP</w:t>
      </w:r>
    </w:p>
    <w:p>
      <w:pPr>
        <w:spacing w:after="0" w:line="200" w:lineRule="exact"/>
        <w:rPr>
          <w:sz w:val="20"/>
          <w:szCs w:val="20"/>
          <w:color w:val="auto"/>
        </w:rPr>
      </w:pPr>
    </w:p>
    <w:p>
      <w:pPr>
        <w:spacing w:after="0" w:line="24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Columbus, Ohio</w:t>
      </w:r>
    </w:p>
    <w:p>
      <w:pPr>
        <w:spacing w:after="0" w:line="1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November 25, 2008</w:t>
      </w:r>
    </w:p>
    <w:p>
      <w:pPr>
        <w:spacing w:after="0" w:line="12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1"/>
          <w:szCs w:val="11"/>
          <w:b w:val="1"/>
          <w:bCs w:val="1"/>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-78105</wp:posOffset>
            </wp:positionV>
            <wp:extent cx="19748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20"/>
          </w:cols>
          <w:pgMar w:left="240" w:top="415" w:right="93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hyperlink w:anchor="page64">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ind w:left="2360"/>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34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To the Board of Directors and Shareholders of</w:t>
      </w:r>
    </w:p>
    <w:p>
      <w:pPr>
        <w:spacing w:after="0" w:line="1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Scotts Miracle-Gro Company</w:t>
      </w:r>
    </w:p>
    <w:p>
      <w:pPr>
        <w:ind w:left="700"/>
        <w:spacing w:after="0"/>
        <w:rPr>
          <w:sz w:val="20"/>
          <w:szCs w:val="20"/>
          <w:color w:val="auto"/>
        </w:rPr>
      </w:pPr>
      <w:r>
        <w:rPr>
          <w:rFonts w:ascii="Arial" w:cs="Arial" w:eastAsia="Arial" w:hAnsi="Arial"/>
          <w:sz w:val="18"/>
          <w:szCs w:val="18"/>
          <w:color w:val="auto"/>
        </w:rPr>
        <w:t>Marysville, Ohio</w:t>
      </w:r>
    </w:p>
    <w:p>
      <w:pPr>
        <w:spacing w:after="0" w:line="95" w:lineRule="exact"/>
        <w:rPr>
          <w:sz w:val="20"/>
          <w:szCs w:val="20"/>
          <w:color w:val="auto"/>
        </w:rPr>
      </w:pPr>
    </w:p>
    <w:p>
      <w:pPr>
        <w:ind w:left="700" w:firstLine="402"/>
        <w:spacing w:after="0" w:line="260" w:lineRule="auto"/>
        <w:rPr>
          <w:sz w:val="20"/>
          <w:szCs w:val="20"/>
          <w:color w:val="auto"/>
        </w:rPr>
      </w:pPr>
      <w:r>
        <w:rPr>
          <w:rFonts w:ascii="Arial" w:cs="Arial" w:eastAsia="Arial" w:hAnsi="Arial"/>
          <w:sz w:val="17"/>
          <w:szCs w:val="17"/>
          <w:color w:val="auto"/>
        </w:rPr>
        <w:t xml:space="preserve">We have audited the internal control over financial reporting of The Scotts Miracle-Gro Company and Subsidiaries (the “Company”) as of September 30, 2008,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Annual Report of Management on Internal Control Over Financial Reporting. Our responsibility is to express an opinion on the Company’s internal control over financial reporting based on our audit.</w:t>
      </w:r>
    </w:p>
    <w:p>
      <w:pPr>
        <w:spacing w:after="0" w:line="66" w:lineRule="exact"/>
        <w:rPr>
          <w:sz w:val="20"/>
          <w:szCs w:val="20"/>
          <w:color w:val="auto"/>
        </w:rPr>
      </w:pPr>
    </w:p>
    <w:p>
      <w:pPr>
        <w:ind w:left="700" w:right="60" w:firstLine="402"/>
        <w:spacing w:after="0" w:line="260"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66" w:lineRule="exact"/>
        <w:rPr>
          <w:sz w:val="20"/>
          <w:szCs w:val="20"/>
          <w:color w:val="auto"/>
        </w:rPr>
      </w:pPr>
    </w:p>
    <w:p>
      <w:pPr>
        <w:ind w:left="700" w:firstLine="402"/>
        <w:spacing w:after="0" w:line="251" w:lineRule="auto"/>
        <w:rPr>
          <w:sz w:val="20"/>
          <w:szCs w:val="20"/>
          <w:color w:val="auto"/>
        </w:rPr>
      </w:pPr>
      <w:r>
        <w:rPr>
          <w:rFonts w:ascii="Arial" w:cs="Arial" w:eastAsia="Arial" w:hAnsi="Arial"/>
          <w:sz w:val="17"/>
          <w:szCs w:val="17"/>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5" w:lineRule="exact"/>
        <w:rPr>
          <w:sz w:val="20"/>
          <w:szCs w:val="20"/>
          <w:color w:val="auto"/>
        </w:rPr>
      </w:pPr>
    </w:p>
    <w:p>
      <w:pPr>
        <w:ind w:left="700" w:right="200" w:hanging="7"/>
        <w:spacing w:after="0" w:line="251" w:lineRule="auto"/>
        <w:tabs>
          <w:tab w:leader="none" w:pos="97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72" w:lineRule="exact"/>
        <w:rPr>
          <w:sz w:val="20"/>
          <w:szCs w:val="20"/>
          <w:color w:val="auto"/>
        </w:rPr>
      </w:pPr>
    </w:p>
    <w:p>
      <w:pPr>
        <w:ind w:left="700" w:right="40" w:firstLine="402"/>
        <w:spacing w:after="0" w:line="245" w:lineRule="auto"/>
        <w:rPr>
          <w:sz w:val="20"/>
          <w:szCs w:val="20"/>
          <w:color w:val="auto"/>
        </w:rPr>
      </w:pPr>
      <w:r>
        <w:rPr>
          <w:rFonts w:ascii="Arial" w:cs="Arial" w:eastAsia="Arial" w:hAnsi="Arial"/>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78" w:lineRule="exact"/>
        <w:rPr>
          <w:sz w:val="20"/>
          <w:szCs w:val="20"/>
          <w:color w:val="auto"/>
        </w:rPr>
      </w:pPr>
    </w:p>
    <w:p>
      <w:pPr>
        <w:jc w:val="both"/>
        <w:ind w:left="700" w:right="160" w:firstLine="402"/>
        <w:spacing w:after="0" w:line="255" w:lineRule="auto"/>
        <w:rPr>
          <w:sz w:val="20"/>
          <w:szCs w:val="20"/>
          <w:color w:val="auto"/>
        </w:rPr>
      </w:pPr>
      <w:r>
        <w:rPr>
          <w:rFonts w:ascii="Arial" w:cs="Arial" w:eastAsia="Arial" w:hAnsi="Arial"/>
          <w:sz w:val="18"/>
          <w:szCs w:val="18"/>
          <w:color w:val="auto"/>
        </w:rPr>
        <w:t xml:space="preserve">In our opinion, the Company maintained, in all material respects, effective internal control over financial reporting as of September 30, 2008, based on the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w:t>
      </w:r>
    </w:p>
    <w:p>
      <w:pPr>
        <w:spacing w:after="0" w:line="70" w:lineRule="exact"/>
        <w:rPr>
          <w:sz w:val="20"/>
          <w:szCs w:val="20"/>
          <w:color w:val="auto"/>
        </w:rPr>
      </w:pPr>
    </w:p>
    <w:p>
      <w:pPr>
        <w:ind w:left="700" w:right="120" w:firstLine="402"/>
        <w:spacing w:after="0" w:line="243"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consolidated financial statements and financial statement schedules as of and for the year ended September 30, 2008 of the Company and our report dated November 25, 2008 expressed an unqualified opinion on those financial statements and financial statement schedules and included an explanatory paragraph relating to the Company’s adoption of Statement of Financial Accounting Standards No. 158, </w:t>
      </w:r>
      <w:r>
        <w:rPr>
          <w:rFonts w:ascii="Arial" w:cs="Arial" w:eastAsia="Arial" w:hAnsi="Arial"/>
          <w:sz w:val="18"/>
          <w:szCs w:val="18"/>
          <w:i w:val="1"/>
          <w:iCs w:val="1"/>
          <w:color w:val="auto"/>
        </w:rPr>
        <w:t>Employers’ Accounting for Defined Benefit Pension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Postretirement Plans </w:t>
      </w:r>
      <w:r>
        <w:rPr>
          <w:rFonts w:ascii="Arial" w:cs="Arial" w:eastAsia="Arial" w:hAnsi="Arial"/>
          <w:sz w:val="18"/>
          <w:szCs w:val="18"/>
          <w:color w:val="auto"/>
        </w:rPr>
        <w:t>on September 30, 2007.</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 D</w:t>
      </w:r>
      <w:r>
        <w:rPr>
          <w:rFonts w:ascii="Arial" w:cs="Arial" w:eastAsia="Arial" w:hAnsi="Arial"/>
          <w:sz w:val="12"/>
          <w:szCs w:val="12"/>
          <w:color w:val="auto"/>
        </w:rPr>
        <w:t>ELOITTE</w:t>
      </w:r>
      <w:r>
        <w:rPr>
          <w:rFonts w:ascii="Arial" w:cs="Arial" w:eastAsia="Arial" w:hAnsi="Arial"/>
          <w:sz w:val="18"/>
          <w:szCs w:val="18"/>
          <w:color w:val="auto"/>
        </w:rPr>
        <w:t xml:space="preserve"> &amp; T</w:t>
      </w:r>
      <w:r>
        <w:rPr>
          <w:rFonts w:ascii="Arial" w:cs="Arial" w:eastAsia="Arial" w:hAnsi="Arial"/>
          <w:sz w:val="12"/>
          <w:szCs w:val="12"/>
          <w:color w:val="auto"/>
        </w:rPr>
        <w:t>OUCHE</w:t>
      </w:r>
      <w:r>
        <w:rPr>
          <w:rFonts w:ascii="Arial" w:cs="Arial" w:eastAsia="Arial" w:hAnsi="Arial"/>
          <w:sz w:val="18"/>
          <w:szCs w:val="18"/>
          <w:color w:val="auto"/>
        </w:rPr>
        <w:t xml:space="preserve"> LLP</w:t>
      </w:r>
    </w:p>
    <w:p>
      <w:pPr>
        <w:spacing w:after="0" w:line="200" w:lineRule="exact"/>
        <w:rPr>
          <w:sz w:val="20"/>
          <w:szCs w:val="20"/>
          <w:color w:val="auto"/>
        </w:rPr>
      </w:pPr>
    </w:p>
    <w:p>
      <w:pPr>
        <w:spacing w:after="0" w:line="24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Columbus, Ohio</w:t>
      </w:r>
    </w:p>
    <w:p>
      <w:pPr>
        <w:spacing w:after="0" w:line="1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November 25, 2008</w:t>
      </w:r>
    </w:p>
    <w:p>
      <w:pPr>
        <w:spacing w:after="0" w:line="12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1"/>
          <w:szCs w:val="11"/>
          <w:b w:val="1"/>
          <w:bCs w:val="1"/>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-78105</wp:posOffset>
            </wp:positionV>
            <wp:extent cx="19748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20"/>
          </w:cols>
          <w:pgMar w:left="240" w:top="415" w:right="93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hyperlink w:anchor="page64">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jc w:val="center"/>
        <w:ind w:right="-679"/>
        <w:spacing w:after="0"/>
        <w:rPr>
          <w:sz w:val="20"/>
          <w:szCs w:val="20"/>
          <w:color w:val="auto"/>
        </w:rPr>
      </w:pPr>
      <w:r>
        <w:rPr>
          <w:rFonts w:ascii="Arial" w:cs="Arial" w:eastAsia="Arial" w:hAnsi="Arial"/>
          <w:sz w:val="20"/>
          <w:szCs w:val="20"/>
          <w:b w:val="1"/>
          <w:bCs w:val="1"/>
          <w:color w:val="auto"/>
        </w:rPr>
        <w:t>The Scotts Miracle-Gro Company</w:t>
      </w:r>
    </w:p>
    <w:p>
      <w:pPr>
        <w:spacing w:after="0" w:line="12"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Consolidated Statements of Operations</w:t>
      </w:r>
    </w:p>
    <w:p>
      <w:pPr>
        <w:jc w:val="center"/>
        <w:ind w:right="-679"/>
        <w:spacing w:after="0" w:line="234" w:lineRule="auto"/>
        <w:rPr>
          <w:sz w:val="20"/>
          <w:szCs w:val="20"/>
          <w:color w:val="auto"/>
        </w:rPr>
      </w:pPr>
      <w:r>
        <w:rPr>
          <w:rFonts w:ascii="Arial" w:cs="Arial" w:eastAsia="Arial" w:hAnsi="Arial"/>
          <w:sz w:val="18"/>
          <w:szCs w:val="18"/>
          <w:b w:val="1"/>
          <w:bCs w:val="1"/>
          <w:color w:val="auto"/>
        </w:rPr>
        <w:t>for the fiscal years ended September 30, 2008, 2007 and 2006</w:t>
      </w:r>
    </w:p>
    <w:p>
      <w:pPr>
        <w:spacing w:after="0" w:line="1"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(in millions, except per share data)</w:t>
      </w:r>
    </w:p>
    <w:p>
      <w:pPr>
        <w:spacing w:after="0" w:line="217" w:lineRule="exact"/>
        <w:rPr>
          <w:sz w:val="20"/>
          <w:szCs w:val="20"/>
          <w:color w:val="auto"/>
        </w:rPr>
      </w:pPr>
    </w:p>
    <w:tbl>
      <w:tblPr>
        <w:tblLayout w:type="fixed"/>
        <w:tblInd w:w="70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69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2008</w:t>
            </w: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2007</w:t>
            </w: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69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6"/>
              </w:rPr>
              <w:t>2,981.8</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6"/>
              </w:rPr>
              <w:t>2,871.8</w:t>
            </w:r>
          </w:p>
        </w:tc>
        <w:tc>
          <w:tcPr>
            <w:tcW w:w="24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2,697.1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tcPr>
          <w:p>
            <w:pPr>
              <w:spacing w:after="0" w:line="202" w:lineRule="exact"/>
              <w:rPr>
                <w:sz w:val="20"/>
                <w:szCs w:val="20"/>
                <w:color w:val="auto"/>
              </w:rPr>
            </w:pPr>
            <w:r>
              <w:rPr>
                <w:rFonts w:ascii="Arial" w:cs="Arial" w:eastAsia="Arial" w:hAnsi="Arial"/>
                <w:sz w:val="18"/>
                <w:szCs w:val="18"/>
                <w:color w:val="auto"/>
              </w:rPr>
              <w:t>Cost of sales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w w:val="96"/>
              </w:rPr>
              <w:t>1,999.9</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w w:val="96"/>
              </w:rPr>
              <w:t>1,867.3</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9"/>
              </w:rPr>
              <w:t>1,741.1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sales — impairment, restructuring and other charges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15.1</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tcPr>
          <w:p>
            <w:pPr>
              <w:spacing w:after="0" w:line="202" w:lineRule="exact"/>
              <w:rPr>
                <w:sz w:val="20"/>
                <w:szCs w:val="20"/>
                <w:color w:val="auto"/>
              </w:rPr>
            </w:pPr>
            <w:r>
              <w:rPr>
                <w:rFonts w:ascii="Arial" w:cs="Arial" w:eastAsia="Arial" w:hAnsi="Arial"/>
                <w:sz w:val="18"/>
                <w:szCs w:val="18"/>
                <w:color w:val="auto"/>
              </w:rPr>
              <w:t>Cost of sales — product registration and recall matters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27.2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Gross profit</w:t>
            </w:r>
          </w:p>
        </w:tc>
        <w:tc>
          <w:tcPr>
            <w:tcW w:w="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939.6</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6"/>
              </w:rPr>
              <w:t>1,004.5</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955.9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717.6</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700.9</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636.9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tcPr>
          <w:p>
            <w:pPr>
              <w:ind w:left="160"/>
              <w:spacing w:after="0" w:line="202" w:lineRule="exact"/>
              <w:rPr>
                <w:sz w:val="20"/>
                <w:szCs w:val="20"/>
                <w:color w:val="auto"/>
              </w:rPr>
            </w:pPr>
            <w:r>
              <w:rPr>
                <w:rFonts w:ascii="Arial" w:cs="Arial" w:eastAsia="Arial" w:hAnsi="Arial"/>
                <w:sz w:val="18"/>
                <w:szCs w:val="18"/>
                <w:color w:val="auto"/>
              </w:rPr>
              <w:t>Impairment, restructuring and other charges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121.7</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38.0</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75.7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Product registration and recall matters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12.7</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tcPr>
          <w:p>
            <w:pPr>
              <w:ind w:left="160"/>
              <w:spacing w:after="0" w:line="202" w:lineRule="exact"/>
              <w:rPr>
                <w:sz w:val="20"/>
                <w:szCs w:val="20"/>
                <w:color w:val="auto"/>
              </w:rPr>
            </w:pPr>
            <w:r>
              <w:rPr>
                <w:rFonts w:ascii="Arial" w:cs="Arial" w:eastAsia="Arial" w:hAnsi="Arial"/>
                <w:sz w:val="18"/>
                <w:szCs w:val="18"/>
                <w:color w:val="auto"/>
              </w:rPr>
              <w:t>Other income, net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(10.4)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Income from operations</w:t>
            </w:r>
          </w:p>
        </w:tc>
        <w:tc>
          <w:tcPr>
            <w:tcW w:w="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98.0</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277.1</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252.5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tcPr>
          <w:p>
            <w:pPr>
              <w:spacing w:after="0" w:line="202" w:lineRule="exact"/>
              <w:rPr>
                <w:sz w:val="20"/>
                <w:szCs w:val="20"/>
                <w:color w:val="auto"/>
              </w:rPr>
            </w:pPr>
            <w:r>
              <w:rPr>
                <w:rFonts w:ascii="Arial" w:cs="Arial" w:eastAsia="Arial" w:hAnsi="Arial"/>
                <w:sz w:val="18"/>
                <w:szCs w:val="18"/>
                <w:color w:val="auto"/>
              </w:rPr>
              <w:t>Costs related to refinancing</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18.3</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82.2</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70.7</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39.6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tcPr>
          <w:p>
            <w:pPr>
              <w:ind w:left="340"/>
              <w:spacing w:after="0"/>
              <w:rPr>
                <w:sz w:val="20"/>
                <w:szCs w:val="20"/>
                <w:color w:val="auto"/>
              </w:rPr>
            </w:pPr>
            <w:r>
              <w:rPr>
                <w:rFonts w:ascii="Arial" w:cs="Arial" w:eastAsia="Arial" w:hAnsi="Arial"/>
                <w:sz w:val="18"/>
                <w:szCs w:val="18"/>
                <w:color w:val="auto"/>
              </w:rPr>
              <w:t>Income before income taxes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188.1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taxes</w:t>
            </w: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26.7</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74.7</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80.2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tcPr>
          <w:p>
            <w:pPr>
              <w:ind w:left="340"/>
              <w:spacing w:after="0"/>
              <w:rPr>
                <w:sz w:val="20"/>
                <w:szCs w:val="20"/>
                <w:color w:val="auto"/>
              </w:rPr>
            </w:pPr>
            <w:r>
              <w:rPr>
                <w:rFonts w:ascii="Arial" w:cs="Arial" w:eastAsia="Arial" w:hAnsi="Arial"/>
                <w:sz w:val="18"/>
                <w:szCs w:val="18"/>
                <w:color w:val="auto"/>
              </w:rPr>
              <w:t>Net income (loss)</w:t>
            </w:r>
          </w:p>
        </w:tc>
        <w:tc>
          <w:tcPr>
            <w:tcW w:w="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Basic earnings (loss) per common share</w:t>
            </w:r>
          </w:p>
        </w:tc>
        <w:tc>
          <w:tcPr>
            <w:tcW w:w="1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(0.17)</w:t>
            </w:r>
          </w:p>
        </w:tc>
        <w:tc>
          <w:tcPr>
            <w:tcW w:w="2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1.74</w:t>
            </w:r>
          </w:p>
        </w:tc>
        <w:tc>
          <w:tcPr>
            <w:tcW w:w="24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(loss) per common share</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00" w:type="dxa"/>
            <w:vAlign w:val="bottom"/>
            <w:gridSpan w:val="2"/>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(0.17</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1.69</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See Notes to Consolidated Financial Statements.</w:t>
      </w:r>
    </w:p>
    <w:p>
      <w:pPr>
        <w:spacing w:after="0" w:line="15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1"/>
          <w:szCs w:val="11"/>
          <w:b w:val="1"/>
          <w:bCs w:val="1"/>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-78105</wp:posOffset>
            </wp:positionV>
            <wp:extent cx="19748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240" w:top="415" w:right="91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hyperlink w:anchor="page64">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jc w:val="center"/>
        <w:ind w:right="-679"/>
        <w:spacing w:after="0"/>
        <w:rPr>
          <w:sz w:val="20"/>
          <w:szCs w:val="20"/>
          <w:color w:val="auto"/>
        </w:rPr>
      </w:pPr>
      <w:r>
        <w:rPr>
          <w:rFonts w:ascii="Arial" w:cs="Arial" w:eastAsia="Arial" w:hAnsi="Arial"/>
          <w:sz w:val="20"/>
          <w:szCs w:val="20"/>
          <w:b w:val="1"/>
          <w:bCs w:val="1"/>
          <w:color w:val="auto"/>
        </w:rPr>
        <w:t>The Scotts Miracle-Gro Company</w:t>
      </w:r>
    </w:p>
    <w:p>
      <w:pPr>
        <w:spacing w:after="0" w:line="12"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Consolidated Statements of Cash Flows</w:t>
      </w:r>
    </w:p>
    <w:p>
      <w:pPr>
        <w:jc w:val="center"/>
        <w:ind w:right="-679"/>
        <w:spacing w:after="0" w:line="234" w:lineRule="auto"/>
        <w:rPr>
          <w:sz w:val="20"/>
          <w:szCs w:val="20"/>
          <w:color w:val="auto"/>
        </w:rPr>
      </w:pPr>
      <w:r>
        <w:rPr>
          <w:rFonts w:ascii="Arial" w:cs="Arial" w:eastAsia="Arial" w:hAnsi="Arial"/>
          <w:sz w:val="18"/>
          <w:szCs w:val="18"/>
          <w:b w:val="1"/>
          <w:bCs w:val="1"/>
          <w:color w:val="auto"/>
        </w:rPr>
        <w:t>for the fiscal years ended September 30, 2008, 2007 and 2006</w:t>
      </w:r>
    </w:p>
    <w:p>
      <w:pPr>
        <w:spacing w:after="0" w:line="1"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(in millions)</w:t>
      </w:r>
    </w:p>
    <w:p>
      <w:pPr>
        <w:spacing w:after="0" w:line="217" w:lineRule="exact"/>
        <w:rPr>
          <w:sz w:val="20"/>
          <w:szCs w:val="20"/>
          <w:color w:val="auto"/>
        </w:rPr>
      </w:pPr>
    </w:p>
    <w:tbl>
      <w:tblPr>
        <w:tblLayout w:type="fixed"/>
        <w:tblInd w:w="70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66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2008</w:t>
            </w: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2007</w:t>
            </w: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66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ACTIVITIES</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160"/>
              <w:spacing w:after="0" w:line="202" w:lineRule="exact"/>
              <w:rPr>
                <w:sz w:val="20"/>
                <w:szCs w:val="20"/>
                <w:color w:val="auto"/>
              </w:rPr>
            </w:pPr>
            <w:r>
              <w:rPr>
                <w:rFonts w:ascii="Arial" w:cs="Arial" w:eastAsia="Arial" w:hAnsi="Arial"/>
                <w:sz w:val="18"/>
                <w:szCs w:val="18"/>
                <w:color w:val="auto"/>
              </w:rPr>
              <w:t>Net income (loss)</w:t>
            </w:r>
          </w:p>
        </w:tc>
        <w:tc>
          <w:tcPr>
            <w:tcW w:w="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(10.9)</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113.4</w:t>
            </w:r>
          </w:p>
        </w:tc>
        <w:tc>
          <w:tcPr>
            <w:tcW w:w="220" w:type="dxa"/>
            <w:vAlign w:val="bottom"/>
          </w:tcPr>
          <w:p>
            <w:pPr>
              <w:spacing w:after="0"/>
              <w:rPr>
                <w:sz w:val="17"/>
                <w:szCs w:val="17"/>
                <w:color w:val="auto"/>
              </w:rPr>
            </w:pP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132.7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20" w:type="dxa"/>
            <w:vAlign w:val="bottom"/>
            <w:shd w:val="clear" w:color="auto" w:fill="CCEEFF"/>
          </w:tcPr>
          <w:p>
            <w:pPr>
              <w:ind w:left="160"/>
              <w:spacing w:after="0" w:line="180" w:lineRule="exact"/>
              <w:rPr>
                <w:sz w:val="20"/>
                <w:szCs w:val="20"/>
                <w:color w:val="auto"/>
              </w:rPr>
            </w:pPr>
            <w:r>
              <w:rPr>
                <w:rFonts w:ascii="Arial" w:cs="Arial" w:eastAsia="Arial" w:hAnsi="Arial"/>
                <w:sz w:val="18"/>
                <w:szCs w:val="18"/>
                <w:color w:val="auto"/>
              </w:rPr>
              <w:t>Adjustments to reconcile net income (loss) to net cash provided by operating</w:t>
            </w: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activities:</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340"/>
              <w:spacing w:after="0" w:line="202" w:lineRule="exact"/>
              <w:rPr>
                <w:sz w:val="20"/>
                <w:szCs w:val="20"/>
                <w:color w:val="auto"/>
              </w:rPr>
            </w:pPr>
            <w:r>
              <w:rPr>
                <w:rFonts w:ascii="Arial" w:cs="Arial" w:eastAsia="Arial" w:hAnsi="Arial"/>
                <w:sz w:val="18"/>
                <w:szCs w:val="18"/>
                <w:color w:val="auto"/>
              </w:rPr>
              <w:t>Impairment and other charges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136.8</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38.0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66.4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Costs related to refinancing</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18.3</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340"/>
              <w:spacing w:after="0" w:line="202" w:lineRule="exact"/>
              <w:rPr>
                <w:sz w:val="20"/>
                <w:szCs w:val="20"/>
                <w:color w:val="auto"/>
              </w:rPr>
            </w:pPr>
            <w:r>
              <w:rPr>
                <w:rFonts w:ascii="Arial" w:cs="Arial" w:eastAsia="Arial" w:hAnsi="Arial"/>
                <w:sz w:val="18"/>
                <w:szCs w:val="18"/>
                <w:color w:val="auto"/>
              </w:rPr>
              <w:t>Stock-based compensation expense</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12.5</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13.3</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15.7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Depreciation</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53.9</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51.4</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340"/>
              <w:spacing w:after="0" w:line="202" w:lineRule="exact"/>
              <w:rPr>
                <w:sz w:val="20"/>
                <w:szCs w:val="20"/>
                <w:color w:val="auto"/>
              </w:rPr>
            </w:pPr>
            <w:r>
              <w:rPr>
                <w:rFonts w:ascii="Arial" w:cs="Arial" w:eastAsia="Arial" w:hAnsi="Arial"/>
                <w:sz w:val="18"/>
                <w:szCs w:val="18"/>
                <w:color w:val="auto"/>
              </w:rPr>
              <w:t>Amortization</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16.4</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16.1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16.0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Deferred taxes</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(16.5)</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6.3</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340"/>
              <w:spacing w:after="0" w:line="202" w:lineRule="exact"/>
              <w:rPr>
                <w:sz w:val="20"/>
                <w:szCs w:val="20"/>
                <w:color w:val="auto"/>
              </w:rPr>
            </w:pPr>
            <w:r>
              <w:rPr>
                <w:rFonts w:ascii="Arial" w:cs="Arial" w:eastAsia="Arial" w:hAnsi="Arial"/>
                <w:sz w:val="18"/>
                <w:szCs w:val="18"/>
                <w:color w:val="auto"/>
              </w:rPr>
              <w:t>Loss (gain) on sale of property, plant and equipment</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(0.4)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Changes in assets and liabilities, net of acquired businesses:</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520"/>
              <w:spacing w:after="0" w:line="202" w:lineRule="exact"/>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(15.7)</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color w:val="auto"/>
              </w:rPr>
              <w:t>Inventories</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(17.9)</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13.2</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520"/>
              <w:spacing w:after="0" w:line="202" w:lineRule="exact"/>
              <w:rPr>
                <w:sz w:val="20"/>
                <w:szCs w:val="20"/>
                <w:color w:val="auto"/>
              </w:rPr>
            </w:pPr>
            <w:r>
              <w:rPr>
                <w:rFonts w:ascii="Arial" w:cs="Arial" w:eastAsia="Arial" w:hAnsi="Arial"/>
                <w:sz w:val="18"/>
                <w:szCs w:val="18"/>
                <w:color w:val="auto"/>
              </w:rPr>
              <w:t>Prepaid and other current assets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(6.9)</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color w:val="auto"/>
              </w:rPr>
              <w:t>Accounts payable</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9.4</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(3.5)</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520"/>
              <w:spacing w:after="0" w:line="202" w:lineRule="exact"/>
              <w:rPr>
                <w:sz w:val="20"/>
                <w:szCs w:val="20"/>
                <w:color w:val="auto"/>
              </w:rPr>
            </w:pPr>
            <w:r>
              <w:rPr>
                <w:rFonts w:ascii="Arial" w:cs="Arial" w:eastAsia="Arial" w:hAnsi="Arial"/>
                <w:sz w:val="18"/>
                <w:szCs w:val="18"/>
                <w:color w:val="auto"/>
              </w:rPr>
              <w:t>Accrued taxes and liabilities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31.7</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color w:val="auto"/>
              </w:rPr>
              <w:t>Restructuring reserves</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(5.0)</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520"/>
              <w:spacing w:after="0" w:line="202" w:lineRule="exact"/>
              <w:rPr>
                <w:sz w:val="20"/>
                <w:szCs w:val="20"/>
                <w:color w:val="auto"/>
              </w:rPr>
            </w:pPr>
            <w:r>
              <w:rPr>
                <w:rFonts w:ascii="Arial" w:cs="Arial" w:eastAsia="Arial" w:hAnsi="Arial"/>
                <w:sz w:val="18"/>
                <w:szCs w:val="18"/>
                <w:color w:val="auto"/>
              </w:rPr>
              <w:t>Other non-current items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14.4</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color w:val="auto"/>
              </w:rPr>
              <w:t>Other, net</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(10.2)</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(8.2)</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20" w:type="dxa"/>
            <w:vAlign w:val="bottom"/>
          </w:tcPr>
          <w:p>
            <w:pPr>
              <w:ind w:left="70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INVESTING ACTIVITIES</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160"/>
              <w:spacing w:after="0" w:line="202" w:lineRule="exact"/>
              <w:rPr>
                <w:sz w:val="20"/>
                <w:szCs w:val="20"/>
                <w:color w:val="auto"/>
              </w:rPr>
            </w:pPr>
            <w:r>
              <w:rPr>
                <w:rFonts w:ascii="Arial" w:cs="Arial" w:eastAsia="Arial" w:hAnsi="Arial"/>
                <w:sz w:val="18"/>
                <w:szCs w:val="18"/>
                <w:color w:val="auto"/>
              </w:rPr>
              <w:t>Proceeds from sale of property, plant and equipment</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0.5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Investments in property, plant and equipment</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(56.1)</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(54.0)</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160"/>
              <w:spacing w:after="0" w:line="202" w:lineRule="exact"/>
              <w:rPr>
                <w:sz w:val="20"/>
                <w:szCs w:val="20"/>
                <w:color w:val="auto"/>
              </w:rPr>
            </w:pPr>
            <w:r>
              <w:rPr>
                <w:rFonts w:ascii="Arial" w:cs="Arial" w:eastAsia="Arial" w:hAnsi="Arial"/>
                <w:sz w:val="18"/>
                <w:szCs w:val="18"/>
                <w:color w:val="auto"/>
              </w:rPr>
              <w:t>Investments in intellectual property</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Investments in acquired businesses, net of cash acquired</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(18.7)</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w w:val="98"/>
              </w:rPr>
              <w:t>(118.4)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vMerge w:val="restart"/>
          </w:tcPr>
          <w:p>
            <w:pPr>
              <w:ind w:left="70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66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(59.1)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(72.2)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(174.1)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FINANCING ACTIVITIES</w:t>
            </w:r>
          </w:p>
        </w:tc>
        <w:tc>
          <w:tcPr>
            <w:tcW w:w="3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160"/>
              <w:spacing w:after="0" w:line="202" w:lineRule="exact"/>
              <w:rPr>
                <w:sz w:val="20"/>
                <w:szCs w:val="20"/>
                <w:color w:val="auto"/>
              </w:rPr>
            </w:pPr>
            <w:r>
              <w:rPr>
                <w:rFonts w:ascii="Arial" w:cs="Arial" w:eastAsia="Arial" w:hAnsi="Arial"/>
                <w:sz w:val="18"/>
                <w:szCs w:val="18"/>
                <w:color w:val="auto"/>
              </w:rPr>
              <w:t>Borrowings under revolving and bank lines of credit and term loans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942.1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2,519.2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746.9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Repayments under revolving and bank lines of credit and term loans</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w w:val="97"/>
              </w:rPr>
              <w:t>(1,042.0)</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w w:val="97"/>
              </w:rPr>
              <w:t>(1,710.5)</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w w:val="98"/>
              </w:rPr>
              <w:t>(691.7)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160"/>
              <w:spacing w:after="0" w:line="202" w:lineRule="exact"/>
              <w:rPr>
                <w:sz w:val="20"/>
                <w:szCs w:val="20"/>
                <w:color w:val="auto"/>
              </w:rPr>
            </w:pPr>
            <w:r>
              <w:rPr>
                <w:rFonts w:ascii="Arial" w:cs="Arial" w:eastAsia="Arial" w:hAnsi="Arial"/>
                <w:sz w:val="17"/>
                <w:szCs w:val="17"/>
                <w:color w:val="auto"/>
              </w:rPr>
              <w:t>Repayment of 6</w:t>
            </w:r>
            <w:r>
              <w:rPr>
                <w:rFonts w:ascii="Arial" w:cs="Arial" w:eastAsia="Arial" w:hAnsi="Arial"/>
                <w:sz w:val="23"/>
                <w:szCs w:val="23"/>
                <w:color w:val="auto"/>
                <w:vertAlign w:val="superscript"/>
              </w:rPr>
              <w:t>5</w:t>
            </w:r>
            <w:r>
              <w:rPr>
                <w:rFonts w:ascii="Arial" w:cs="Arial" w:eastAsia="Arial" w:hAnsi="Arial"/>
                <w:sz w:val="17"/>
                <w:szCs w:val="17"/>
                <w:color w:val="auto"/>
              </w:rPr>
              <w:t>/</w:t>
            </w:r>
            <w:r>
              <w:rPr>
                <w:rFonts w:ascii="Arial" w:cs="Arial" w:eastAsia="Arial" w:hAnsi="Arial"/>
                <w:sz w:val="11"/>
                <w:szCs w:val="11"/>
                <w:color w:val="auto"/>
              </w:rPr>
              <w:t>8</w:t>
            </w:r>
            <w:r>
              <w:rPr>
                <w:rFonts w:ascii="Arial" w:cs="Arial" w:eastAsia="Arial" w:hAnsi="Arial"/>
                <w:sz w:val="17"/>
                <w:szCs w:val="17"/>
                <w:color w:val="auto"/>
              </w:rPr>
              <w:t>% senior subordinated notes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(209.6)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Financing and issuance fees</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(13.0)</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160"/>
              <w:spacing w:after="0" w:line="202" w:lineRule="exact"/>
              <w:rPr>
                <w:sz w:val="20"/>
                <w:szCs w:val="20"/>
                <w:color w:val="auto"/>
              </w:rPr>
            </w:pPr>
            <w:r>
              <w:rPr>
                <w:rFonts w:ascii="Arial" w:cs="Arial" w:eastAsia="Arial" w:hAnsi="Arial"/>
                <w:sz w:val="18"/>
                <w:szCs w:val="18"/>
                <w:color w:val="auto"/>
              </w:rPr>
              <w:t>Dividends paid</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(32.5)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(543.6)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Payments on sellers notes</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(2.7)</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(2.7)</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160"/>
              <w:spacing w:after="0" w:line="202" w:lineRule="exact"/>
              <w:rPr>
                <w:sz w:val="20"/>
                <w:szCs w:val="20"/>
                <w:color w:val="auto"/>
              </w:rPr>
            </w:pPr>
            <w:r>
              <w:rPr>
                <w:rFonts w:ascii="Arial" w:cs="Arial" w:eastAsia="Arial" w:hAnsi="Arial"/>
                <w:sz w:val="18"/>
                <w:szCs w:val="18"/>
                <w:color w:val="auto"/>
              </w:rPr>
              <w:t>Purchase of common shares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(246.8)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Excess tax benefits from share-based payment arrangements</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19.0</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Pr>
          <w:p>
            <w:pPr>
              <w:ind w:left="160"/>
              <w:spacing w:after="0" w:line="202" w:lineRule="exact"/>
              <w:rPr>
                <w:sz w:val="20"/>
                <w:szCs w:val="20"/>
                <w:color w:val="auto"/>
              </w:rPr>
            </w:pPr>
            <w:r>
              <w:rPr>
                <w:rFonts w:ascii="Arial" w:cs="Arial" w:eastAsia="Arial" w:hAnsi="Arial"/>
                <w:sz w:val="18"/>
                <w:szCs w:val="18"/>
                <w:color w:val="auto"/>
              </w:rPr>
              <w:t>Cash received from exercise of stock options</w:t>
            </w:r>
          </w:p>
        </w:tc>
        <w:tc>
          <w:tcPr>
            <w:tcW w:w="3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color w:val="auto"/>
              </w:rPr>
              <w:t>Net cash used in financing activities</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(123.0)</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(158.8)</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17"/>
        </w:trPr>
        <w:tc>
          <w:tcPr>
            <w:tcW w:w="6640" w:type="dxa"/>
            <w:vAlign w:val="bottom"/>
            <w:gridSpan w:val="2"/>
          </w:tcPr>
          <w:p>
            <w:pPr>
              <w:spacing w:after="0"/>
              <w:rPr>
                <w:sz w:val="20"/>
                <w:szCs w:val="20"/>
                <w:color w:val="auto"/>
              </w:rPr>
            </w:pPr>
            <w:r>
              <w:rPr>
                <w:rFonts w:ascii="Arial" w:cs="Arial" w:eastAsia="Arial" w:hAnsi="Arial"/>
                <w:sz w:val="18"/>
                <w:szCs w:val="18"/>
                <w:color w:val="auto"/>
              </w:rPr>
              <w:t>Effect of exchange rate changes</w:t>
            </w:r>
          </w:p>
        </w:tc>
        <w:tc>
          <w:tcPr>
            <w:tcW w:w="3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increase (decrease) in cash</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16.8</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19.8</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Pr>
          <w:p>
            <w:pPr>
              <w:spacing w:after="0" w:line="202" w:lineRule="exact"/>
              <w:rPr>
                <w:sz w:val="20"/>
                <w:szCs w:val="20"/>
                <w:color w:val="auto"/>
              </w:rPr>
            </w:pPr>
            <w:r>
              <w:rPr>
                <w:rFonts w:ascii="Arial" w:cs="Arial" w:eastAsia="Arial" w:hAnsi="Arial"/>
                <w:sz w:val="18"/>
                <w:szCs w:val="18"/>
                <w:color w:val="auto"/>
              </w:rPr>
              <w:t>Cash and cash equivalents, beginning of year</w:t>
            </w:r>
          </w:p>
        </w:tc>
        <w:tc>
          <w:tcPr>
            <w:tcW w:w="3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67.9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48.1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 end of year</w:t>
            </w:r>
          </w:p>
        </w:tc>
        <w:tc>
          <w:tcPr>
            <w:tcW w:w="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84.7</w:t>
            </w:r>
          </w:p>
        </w:tc>
        <w:tc>
          <w:tcPr>
            <w:tcW w:w="22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67.9</w:t>
            </w:r>
          </w:p>
        </w:tc>
        <w:tc>
          <w:tcPr>
            <w:tcW w:w="22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spacing w:after="0"/>
              <w:rPr>
                <w:sz w:val="20"/>
                <w:szCs w:val="20"/>
                <w:color w:val="auto"/>
              </w:rPr>
            </w:pPr>
            <w:r>
              <w:rPr>
                <w:rFonts w:ascii="Arial" w:cs="Arial" w:eastAsia="Arial" w:hAnsi="Arial"/>
                <w:sz w:val="18"/>
                <w:szCs w:val="18"/>
                <w:color w:val="auto"/>
              </w:rPr>
              <w:t>SUPPLEMENTAL CASH FLOW INFORMATION</w:t>
            </w: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4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Interest paid, net of interest capitalized</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(82.0)</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(75.9)</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Income taxes paid</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(36.8)</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(65.2)</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See Notes to Consolidated Financial Statements.</w:t>
      </w:r>
    </w:p>
    <w:p>
      <w:pPr>
        <w:spacing w:after="0" w:line="15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1"/>
          <w:szCs w:val="11"/>
          <w:b w:val="1"/>
          <w:bCs w:val="1"/>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-78105</wp:posOffset>
            </wp:positionV>
            <wp:extent cx="19748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240" w:top="415" w:right="91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hyperlink w:anchor="page64">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jc w:val="center"/>
        <w:ind w:right="-679"/>
        <w:spacing w:after="0"/>
        <w:rPr>
          <w:sz w:val="20"/>
          <w:szCs w:val="20"/>
          <w:color w:val="auto"/>
        </w:rPr>
      </w:pPr>
      <w:r>
        <w:rPr>
          <w:rFonts w:ascii="Arial" w:cs="Arial" w:eastAsia="Arial" w:hAnsi="Arial"/>
          <w:sz w:val="20"/>
          <w:szCs w:val="20"/>
          <w:b w:val="1"/>
          <w:bCs w:val="1"/>
          <w:color w:val="auto"/>
        </w:rPr>
        <w:t>The Scotts Miracle-Gro Company</w:t>
      </w:r>
    </w:p>
    <w:p>
      <w:pPr>
        <w:spacing w:after="0" w:line="12"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Consolidated Balance Sheets</w:t>
      </w:r>
    </w:p>
    <w:p>
      <w:pPr>
        <w:jc w:val="center"/>
        <w:ind w:right="-679"/>
        <w:spacing w:after="0" w:line="234" w:lineRule="auto"/>
        <w:rPr>
          <w:sz w:val="20"/>
          <w:szCs w:val="20"/>
          <w:color w:val="auto"/>
        </w:rPr>
      </w:pPr>
      <w:r>
        <w:rPr>
          <w:rFonts w:ascii="Arial" w:cs="Arial" w:eastAsia="Arial" w:hAnsi="Arial"/>
          <w:sz w:val="18"/>
          <w:szCs w:val="18"/>
          <w:b w:val="1"/>
          <w:bCs w:val="1"/>
          <w:color w:val="auto"/>
        </w:rPr>
        <w:t>September 30, 2008 and 2007</w:t>
      </w:r>
    </w:p>
    <w:p>
      <w:pPr>
        <w:spacing w:after="0" w:line="1"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(in millions except per share data)</w:t>
      </w:r>
    </w:p>
    <w:p>
      <w:pPr>
        <w:spacing w:after="0" w:line="217" w:lineRule="exact"/>
        <w:rPr>
          <w:sz w:val="20"/>
          <w:szCs w:val="20"/>
          <w:color w:val="auto"/>
        </w:rPr>
      </w:pPr>
    </w:p>
    <w:tbl>
      <w:tblPr>
        <w:tblLayout w:type="fixed"/>
        <w:tblInd w:w="700" w:type="dxa"/>
        <w:tblCellMar>
          <w:top w:w="0" w:type="dxa"/>
          <w:left w:w="0" w:type="dxa"/>
          <w:bottom w:w="0" w:type="dxa"/>
          <w:right w:w="0" w:type="dxa"/>
        </w:tblCellMar>
      </w:tblPr>
      <w:tr>
        <w:trPr>
          <w:trHeight w:val="243"/>
        </w:trPr>
        <w:tc>
          <w:tcPr>
            <w:tcW w:w="7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2008</w:t>
            </w:r>
          </w:p>
        </w:tc>
        <w:tc>
          <w:tcPr>
            <w:tcW w:w="6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2007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7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7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100" w:type="dxa"/>
            <w:vAlign w:val="bottom"/>
            <w:shd w:val="clear" w:color="auto" w:fill="CCEEFF"/>
          </w:tcPr>
          <w:p>
            <w:pPr>
              <w:ind w:left="4660"/>
              <w:spacing w:after="0" w:line="202" w:lineRule="exact"/>
              <w:rPr>
                <w:sz w:val="20"/>
                <w:szCs w:val="20"/>
                <w:color w:val="auto"/>
              </w:rPr>
            </w:pPr>
            <w:r>
              <w:rPr>
                <w:rFonts w:ascii="Arial" w:cs="Arial" w:eastAsia="Arial" w:hAnsi="Arial"/>
                <w:sz w:val="18"/>
                <w:szCs w:val="18"/>
                <w:color w:val="auto"/>
              </w:rPr>
              <w:t>ASSETS</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Cash and cash equivalents</w:t>
            </w:r>
          </w:p>
        </w:tc>
        <w:tc>
          <w:tcPr>
            <w:tcW w:w="3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84.7</w:t>
            </w:r>
          </w:p>
        </w:tc>
        <w:tc>
          <w:tcPr>
            <w:tcW w:w="6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tcPr>
          <w:p>
            <w:pPr>
              <w:ind w:left="180"/>
              <w:spacing w:after="0" w:line="202" w:lineRule="exact"/>
              <w:rPr>
                <w:sz w:val="20"/>
                <w:szCs w:val="20"/>
                <w:color w:val="auto"/>
              </w:rPr>
            </w:pPr>
            <w:r>
              <w:rPr>
                <w:rFonts w:ascii="Arial" w:cs="Arial" w:eastAsia="Arial" w:hAnsi="Arial"/>
                <w:sz w:val="18"/>
                <w:szCs w:val="18"/>
                <w:color w:val="auto"/>
              </w:rPr>
              <w:t>Accounts receivable, less allowances of $10.6 in 2008 and $11.4 in 2007</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259.8</w:t>
            </w:r>
          </w:p>
        </w:tc>
        <w:tc>
          <w:tcPr>
            <w:tcW w:w="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248.3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Accounts receivable pledged</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146.6</w:t>
            </w:r>
          </w:p>
        </w:tc>
        <w:tc>
          <w:tcPr>
            <w:tcW w:w="6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149.5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tcPr>
          <w:p>
            <w:pPr>
              <w:ind w:left="180"/>
              <w:spacing w:after="0" w:line="202" w:lineRule="exact"/>
              <w:rPr>
                <w:sz w:val="20"/>
                <w:szCs w:val="20"/>
                <w:color w:val="auto"/>
              </w:rPr>
            </w:pPr>
            <w:r>
              <w:rPr>
                <w:rFonts w:ascii="Arial" w:cs="Arial" w:eastAsia="Arial" w:hAnsi="Arial"/>
                <w:sz w:val="18"/>
                <w:szCs w:val="18"/>
                <w:color w:val="auto"/>
              </w:rPr>
              <w:t>Inventories, net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415.9</w:t>
            </w:r>
          </w:p>
        </w:tc>
        <w:tc>
          <w:tcPr>
            <w:tcW w:w="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405.9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Prepaid and other assets</w:t>
            </w:r>
          </w:p>
        </w:tc>
        <w:tc>
          <w:tcPr>
            <w:tcW w:w="2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137.9</w:t>
            </w:r>
          </w:p>
        </w:tc>
        <w:tc>
          <w:tcPr>
            <w:tcW w:w="6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127.7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100" w:type="dxa"/>
            <w:vAlign w:val="bottom"/>
          </w:tcPr>
          <w:p>
            <w:pPr>
              <w:ind w:left="36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6"/>
              </w:rPr>
              <w:t>1,044.9</w:t>
            </w: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999.3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plant and equipment, net</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344.1</w:t>
            </w:r>
          </w:p>
        </w:tc>
        <w:tc>
          <w:tcPr>
            <w:tcW w:w="6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365.9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377.7</w:t>
            </w:r>
          </w:p>
        </w:tc>
        <w:tc>
          <w:tcPr>
            <w:tcW w:w="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462.9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Intangible assets, net</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367.2</w:t>
            </w:r>
          </w:p>
        </w:tc>
        <w:tc>
          <w:tcPr>
            <w:tcW w:w="6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418.8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100" w:type="dxa"/>
            <w:vAlign w:val="bottom"/>
          </w:tcPr>
          <w:p>
            <w:pPr>
              <w:spacing w:after="0" w:line="202" w:lineRule="exact"/>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22.4</w:t>
            </w: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assets</w:t>
            </w:r>
          </w:p>
        </w:tc>
        <w:tc>
          <w:tcPr>
            <w:tcW w:w="3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6"/>
              </w:rPr>
              <w:t>2,156.3</w:t>
            </w:r>
          </w:p>
        </w:tc>
        <w:tc>
          <w:tcPr>
            <w:tcW w:w="6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2,277.2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100" w:type="dxa"/>
            <w:vAlign w:val="bottom"/>
            <w:vMerge w:val="restart"/>
          </w:tcPr>
          <w:p>
            <w:pPr>
              <w:ind w:left="3160"/>
              <w:spacing w:after="0"/>
              <w:rPr>
                <w:sz w:val="20"/>
                <w:szCs w:val="20"/>
                <w:color w:val="auto"/>
              </w:rPr>
            </w:pPr>
            <w:r>
              <w:rPr>
                <w:rFonts w:ascii="Arial" w:cs="Arial" w:eastAsia="Arial" w:hAnsi="Arial"/>
                <w:sz w:val="18"/>
                <w:szCs w:val="18"/>
                <w:color w:val="auto"/>
              </w:rPr>
              <w:t>LIABILITIES AND SHAREHOLDERS’ EQUITY</w:t>
            </w: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1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tcPr>
          <w:p>
            <w:pPr>
              <w:ind w:left="180"/>
              <w:spacing w:after="0" w:line="202" w:lineRule="exact"/>
              <w:rPr>
                <w:sz w:val="20"/>
                <w:szCs w:val="20"/>
                <w:color w:val="auto"/>
              </w:rPr>
            </w:pPr>
            <w:r>
              <w:rPr>
                <w:rFonts w:ascii="Arial" w:cs="Arial" w:eastAsia="Arial" w:hAnsi="Arial"/>
                <w:sz w:val="18"/>
                <w:szCs w:val="18"/>
                <w:color w:val="auto"/>
              </w:rPr>
              <w:t>Current portion of debt</w:t>
            </w:r>
          </w:p>
        </w:tc>
        <w:tc>
          <w:tcPr>
            <w:tcW w:w="3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150.0</w:t>
            </w:r>
          </w:p>
        </w:tc>
        <w:tc>
          <w:tcPr>
            <w:tcW w:w="600" w:type="dxa"/>
            <w:vAlign w:val="bottom"/>
          </w:tcPr>
          <w:p>
            <w:pPr>
              <w:spacing w:after="0"/>
              <w:rPr>
                <w:sz w:val="17"/>
                <w:szCs w:val="17"/>
                <w:color w:val="auto"/>
              </w:rPr>
            </w:pP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86.4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207.6</w:t>
            </w:r>
          </w:p>
        </w:tc>
        <w:tc>
          <w:tcPr>
            <w:tcW w:w="6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tcPr>
          <w:p>
            <w:pPr>
              <w:ind w:left="180"/>
              <w:spacing w:after="0" w:line="202" w:lineRule="exact"/>
              <w:rPr>
                <w:sz w:val="20"/>
                <w:szCs w:val="20"/>
                <w:color w:val="auto"/>
              </w:rPr>
            </w:pPr>
            <w:r>
              <w:rPr>
                <w:rFonts w:ascii="Arial" w:cs="Arial" w:eastAsia="Arial" w:hAnsi="Arial"/>
                <w:sz w:val="18"/>
                <w:szCs w:val="18"/>
                <w:color w:val="auto"/>
              </w:rPr>
              <w:t>Accrued liabilities</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314.2</w:t>
            </w:r>
          </w:p>
        </w:tc>
        <w:tc>
          <w:tcPr>
            <w:tcW w:w="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286.8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Accrued taxes</w:t>
            </w:r>
          </w:p>
        </w:tc>
        <w:tc>
          <w:tcPr>
            <w:tcW w:w="2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6.3</w:t>
            </w:r>
          </w:p>
        </w:tc>
        <w:tc>
          <w:tcPr>
            <w:tcW w:w="6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10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678.1</w:t>
            </w: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586.6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Long-term debt</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849.5</w:t>
            </w:r>
          </w:p>
        </w:tc>
        <w:tc>
          <w:tcPr>
            <w:tcW w:w="6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1,031.4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100" w:type="dxa"/>
            <w:vAlign w:val="bottom"/>
          </w:tcPr>
          <w:p>
            <w:pPr>
              <w:spacing w:after="0" w:line="202" w:lineRule="exact"/>
              <w:rPr>
                <w:sz w:val="20"/>
                <w:szCs w:val="20"/>
                <w:color w:val="auto"/>
              </w:rPr>
            </w:pPr>
            <w:r>
              <w:rPr>
                <w:rFonts w:ascii="Arial" w:cs="Arial" w:eastAsia="Arial" w:hAnsi="Arial"/>
                <w:sz w:val="18"/>
                <w:szCs w:val="18"/>
                <w:color w:val="auto"/>
              </w:rPr>
              <w:t>Other liabilities</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192.0</w:t>
            </w: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liabilities</w:t>
            </w:r>
          </w:p>
        </w:tc>
        <w:tc>
          <w:tcPr>
            <w:tcW w:w="2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6"/>
              </w:rPr>
              <w:t>1,719.6</w:t>
            </w:r>
          </w:p>
        </w:tc>
        <w:tc>
          <w:tcPr>
            <w:tcW w:w="6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1,797.9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100" w:type="dxa"/>
            <w:vAlign w:val="bottom"/>
          </w:tcPr>
          <w:p>
            <w:pPr>
              <w:spacing w:after="0"/>
              <w:rPr>
                <w:sz w:val="20"/>
                <w:szCs w:val="20"/>
                <w:color w:val="auto"/>
              </w:rPr>
            </w:pPr>
            <w:r>
              <w:rPr>
                <w:rFonts w:ascii="Arial" w:cs="Arial" w:eastAsia="Arial" w:hAnsi="Arial"/>
                <w:sz w:val="18"/>
                <w:szCs w:val="18"/>
                <w:color w:val="auto"/>
              </w:rPr>
              <w:t>Commitments and contingencies (Notes 2, 16, 17 and 18)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Shareholders’ equity:</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7100" w:type="dxa"/>
            <w:vAlign w:val="bottom"/>
          </w:tcPr>
          <w:p>
            <w:pPr>
              <w:ind w:left="180"/>
              <w:spacing w:after="0" w:line="180" w:lineRule="exact"/>
              <w:rPr>
                <w:sz w:val="20"/>
                <w:szCs w:val="20"/>
                <w:color w:val="auto"/>
              </w:rPr>
            </w:pPr>
            <w:r>
              <w:rPr>
                <w:rFonts w:ascii="Arial" w:cs="Arial" w:eastAsia="Arial" w:hAnsi="Arial"/>
                <w:sz w:val="18"/>
                <w:szCs w:val="18"/>
                <w:color w:val="auto"/>
              </w:rPr>
              <w:t>Common shares and capital in excess of $.01 stated value per share;</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7100" w:type="dxa"/>
            <w:vAlign w:val="bottom"/>
          </w:tcPr>
          <w:p>
            <w:pPr>
              <w:ind w:left="360"/>
              <w:spacing w:after="0"/>
              <w:rPr>
                <w:sz w:val="20"/>
                <w:szCs w:val="20"/>
                <w:color w:val="auto"/>
              </w:rPr>
            </w:pPr>
            <w:r>
              <w:rPr>
                <w:rFonts w:ascii="Arial" w:cs="Arial" w:eastAsia="Arial" w:hAnsi="Arial"/>
                <w:sz w:val="18"/>
                <w:szCs w:val="18"/>
                <w:color w:val="auto"/>
              </w:rPr>
              <w:t>shares issued and outstanding of 65.2 in 2008 and 64.1 in 2007</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472.4</w:t>
            </w: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Retained earnings</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216.7</w:t>
            </w:r>
          </w:p>
        </w:tc>
        <w:tc>
          <w:tcPr>
            <w:tcW w:w="6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260.5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tcPr>
          <w:p>
            <w:pPr>
              <w:ind w:left="180"/>
              <w:spacing w:after="0" w:line="202" w:lineRule="exact"/>
              <w:rPr>
                <w:sz w:val="20"/>
                <w:szCs w:val="20"/>
                <w:color w:val="auto"/>
              </w:rPr>
            </w:pPr>
            <w:r>
              <w:rPr>
                <w:rFonts w:ascii="Arial" w:cs="Arial" w:eastAsia="Arial" w:hAnsi="Arial"/>
                <w:sz w:val="18"/>
                <w:szCs w:val="18"/>
                <w:color w:val="auto"/>
              </w:rPr>
              <w:t>Treasury shares, at cost; 3.4 shares in 2008 and 4.0 shares in 2007</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(185.3)</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(219.5)</w:t>
            </w: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Accumulated other comprehensive loss</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(67.1)</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17"/>
        </w:trPr>
        <w:tc>
          <w:tcPr>
            <w:tcW w:w="7100" w:type="dxa"/>
            <w:vAlign w:val="bottom"/>
          </w:tcPr>
          <w:p>
            <w:pPr>
              <w:ind w:left="360"/>
              <w:spacing w:after="0"/>
              <w:rPr>
                <w:sz w:val="20"/>
                <w:szCs w:val="20"/>
                <w:color w:val="auto"/>
              </w:rPr>
            </w:pPr>
            <w:r>
              <w:rPr>
                <w:rFonts w:ascii="Arial" w:cs="Arial" w:eastAsia="Arial" w:hAnsi="Arial"/>
                <w:sz w:val="18"/>
                <w:szCs w:val="18"/>
                <w:color w:val="auto"/>
              </w:rPr>
              <w:t>Total shareholders’ equity</w:t>
            </w: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436.7</w:t>
            </w: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liabilities and shareholders’ equity</w:t>
            </w:r>
          </w:p>
        </w:tc>
        <w:tc>
          <w:tcPr>
            <w:tcW w:w="3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6"/>
              </w:rPr>
              <w:t>2,156.3</w:t>
            </w:r>
          </w:p>
        </w:tc>
        <w:tc>
          <w:tcPr>
            <w:tcW w:w="6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2,277.2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See Notes to Consolidated Financial Statements.</w:t>
      </w:r>
    </w:p>
    <w:p>
      <w:pPr>
        <w:spacing w:after="0" w:line="15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1"/>
          <w:szCs w:val="11"/>
          <w:b w:val="1"/>
          <w:bCs w:val="1"/>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-78105</wp:posOffset>
            </wp:positionV>
            <wp:extent cx="19748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240" w:top="415" w:right="91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hyperlink w:anchor="page64">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jc w:val="center"/>
        <w:ind w:right="-679"/>
        <w:spacing w:after="0"/>
        <w:rPr>
          <w:sz w:val="20"/>
          <w:szCs w:val="20"/>
          <w:color w:val="auto"/>
        </w:rPr>
      </w:pPr>
      <w:r>
        <w:rPr>
          <w:rFonts w:ascii="Arial" w:cs="Arial" w:eastAsia="Arial" w:hAnsi="Arial"/>
          <w:sz w:val="20"/>
          <w:szCs w:val="20"/>
          <w:b w:val="1"/>
          <w:bCs w:val="1"/>
          <w:color w:val="auto"/>
        </w:rPr>
        <w:t>The Scotts Miracle-Gro Company</w:t>
      </w:r>
    </w:p>
    <w:p>
      <w:pPr>
        <w:spacing w:after="0" w:line="209"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15"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for the fiscal years ended September 30, 2008, 2007 and 2006</w:t>
      </w:r>
    </w:p>
    <w:p>
      <w:pPr>
        <w:jc w:val="center"/>
        <w:ind w:right="-679"/>
        <w:spacing w:after="0"/>
        <w:rPr>
          <w:sz w:val="20"/>
          <w:szCs w:val="20"/>
          <w:color w:val="auto"/>
        </w:rPr>
      </w:pPr>
      <w:r>
        <w:rPr>
          <w:rFonts w:ascii="Arial" w:cs="Arial" w:eastAsia="Arial" w:hAnsi="Arial"/>
          <w:sz w:val="18"/>
          <w:szCs w:val="18"/>
          <w:b w:val="1"/>
          <w:bCs w:val="1"/>
          <w:color w:val="auto"/>
        </w:rPr>
        <w:t>(in millions)</w:t>
      </w:r>
    </w:p>
    <w:p>
      <w:pPr>
        <w:spacing w:after="0" w:line="203" w:lineRule="exact"/>
        <w:rPr>
          <w:sz w:val="20"/>
          <w:szCs w:val="20"/>
          <w:color w:val="auto"/>
        </w:rPr>
      </w:pPr>
    </w:p>
    <w:tbl>
      <w:tblPr>
        <w:tblLayout w:type="fixed"/>
        <w:tblInd w:w="7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gridSpan w:val="2"/>
            <w:vMerge w:val="restart"/>
          </w:tcPr>
          <w:p>
            <w:pPr>
              <w:jc w:val="center"/>
              <w:ind w:right="180"/>
              <w:spacing w:after="0"/>
              <w:rPr>
                <w:sz w:val="20"/>
                <w:szCs w:val="20"/>
                <w:color w:val="auto"/>
              </w:rPr>
            </w:pPr>
            <w:r>
              <w:rPr>
                <w:rFonts w:ascii="Arial" w:cs="Arial" w:eastAsia="Arial" w:hAnsi="Arial"/>
                <w:sz w:val="13"/>
                <w:szCs w:val="13"/>
                <w:color w:val="auto"/>
                <w:w w:val="95"/>
              </w:rPr>
              <w:t>Capital in</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3"/>
                <w:szCs w:val="13"/>
                <w:color w:val="auto"/>
                <w:w w:val="95"/>
              </w:rPr>
              <w:t>Accumulated</w:t>
            </w: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020" w:type="dxa"/>
            <w:vAlign w:val="bottom"/>
            <w:gridSpan w:val="4"/>
            <w:vMerge w:val="restart"/>
          </w:tcPr>
          <w:p>
            <w:pPr>
              <w:jc w:val="right"/>
              <w:ind w:right="17"/>
              <w:spacing w:after="0"/>
              <w:rPr>
                <w:sz w:val="20"/>
                <w:szCs w:val="20"/>
                <w:color w:val="auto"/>
              </w:rPr>
            </w:pPr>
            <w:r>
              <w:rPr>
                <w:rFonts w:ascii="Arial" w:cs="Arial" w:eastAsia="Arial" w:hAnsi="Arial"/>
                <w:sz w:val="13"/>
                <w:szCs w:val="13"/>
                <w:color w:val="auto"/>
              </w:rPr>
              <w:t>Common Stock</w:t>
            </w:r>
          </w:p>
        </w:tc>
        <w:tc>
          <w:tcPr>
            <w:tcW w:w="2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5"/>
            <w:vMerge w:val="restart"/>
          </w:tcPr>
          <w:p>
            <w:pPr>
              <w:jc w:val="right"/>
              <w:ind w:right="220"/>
              <w:spacing w:after="0"/>
              <w:rPr>
                <w:sz w:val="20"/>
                <w:szCs w:val="20"/>
                <w:color w:val="auto"/>
              </w:rPr>
            </w:pPr>
            <w:r>
              <w:rPr>
                <w:rFonts w:ascii="Arial" w:cs="Arial" w:eastAsia="Arial" w:hAnsi="Arial"/>
                <w:sz w:val="13"/>
                <w:szCs w:val="13"/>
                <w:color w:val="auto"/>
              </w:rPr>
              <w:t>Treasury Stock</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3"/>
                <w:szCs w:val="13"/>
                <w:color w:val="auto"/>
                <w:w w:val="98"/>
              </w:rPr>
              <w:t>Other</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02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2"/>
          </w:tcPr>
          <w:p>
            <w:pPr>
              <w:jc w:val="center"/>
              <w:ind w:right="160"/>
              <w:spacing w:after="0" w:line="144" w:lineRule="exact"/>
              <w:rPr>
                <w:sz w:val="20"/>
                <w:szCs w:val="20"/>
                <w:color w:val="auto"/>
              </w:rPr>
            </w:pPr>
            <w:r>
              <w:rPr>
                <w:rFonts w:ascii="Arial" w:cs="Arial" w:eastAsia="Arial" w:hAnsi="Arial"/>
                <w:sz w:val="13"/>
                <w:szCs w:val="13"/>
                <w:color w:val="auto"/>
                <w:w w:val="95"/>
              </w:rPr>
              <w:t>Excess of</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80"/>
              <w:spacing w:after="0" w:line="144" w:lineRule="exact"/>
              <w:rPr>
                <w:sz w:val="20"/>
                <w:szCs w:val="20"/>
                <w:color w:val="auto"/>
              </w:rPr>
            </w:pPr>
            <w:r>
              <w:rPr>
                <w:rFonts w:ascii="Arial" w:cs="Arial" w:eastAsia="Arial" w:hAnsi="Arial"/>
                <w:sz w:val="13"/>
                <w:szCs w:val="13"/>
                <w:color w:val="auto"/>
              </w:rPr>
              <w:t>Deferred</w:t>
            </w:r>
          </w:p>
        </w:tc>
        <w:tc>
          <w:tcPr>
            <w:tcW w:w="760" w:type="dxa"/>
            <w:vAlign w:val="bottom"/>
            <w:gridSpan w:val="3"/>
          </w:tcPr>
          <w:p>
            <w:pPr>
              <w:jc w:val="right"/>
              <w:ind w:right="180"/>
              <w:spacing w:after="0" w:line="144" w:lineRule="exact"/>
              <w:rPr>
                <w:sz w:val="20"/>
                <w:szCs w:val="20"/>
                <w:color w:val="auto"/>
              </w:rPr>
            </w:pPr>
            <w:r>
              <w:rPr>
                <w:rFonts w:ascii="Arial" w:cs="Arial" w:eastAsia="Arial" w:hAnsi="Arial"/>
                <w:sz w:val="13"/>
                <w:szCs w:val="13"/>
                <w:color w:val="auto"/>
              </w:rPr>
              <w:t>Retained</w:t>
            </w:r>
          </w:p>
        </w:tc>
        <w:tc>
          <w:tcPr>
            <w:tcW w:w="1160" w:type="dxa"/>
            <w:vAlign w:val="bottom"/>
            <w:gridSpan w:val="5"/>
            <w:vMerge w:val="continue"/>
          </w:tcPr>
          <w:p>
            <w:pPr>
              <w:spacing w:after="0"/>
              <w:rPr>
                <w:sz w:val="12"/>
                <w:szCs w:val="12"/>
                <w:color w:val="auto"/>
              </w:rPr>
            </w:pPr>
          </w:p>
        </w:tc>
        <w:tc>
          <w:tcPr>
            <w:tcW w:w="1080" w:type="dxa"/>
            <w:vAlign w:val="bottom"/>
            <w:gridSpan w:val="4"/>
          </w:tcPr>
          <w:p>
            <w:pPr>
              <w:jc w:val="center"/>
              <w:ind w:right="40"/>
              <w:spacing w:after="0" w:line="144" w:lineRule="exact"/>
              <w:rPr>
                <w:sz w:val="20"/>
                <w:szCs w:val="20"/>
                <w:color w:val="auto"/>
              </w:rPr>
            </w:pPr>
            <w:r>
              <w:rPr>
                <w:rFonts w:ascii="Arial" w:cs="Arial" w:eastAsia="Arial" w:hAnsi="Arial"/>
                <w:sz w:val="13"/>
                <w:szCs w:val="13"/>
                <w:color w:val="auto"/>
                <w:w w:val="96"/>
              </w:rPr>
              <w:t>Comprehensive</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480" w:type="dxa"/>
            <w:vAlign w:val="bottom"/>
            <w:tcBorders>
              <w:top w:val="single" w:sz="8" w:color="auto"/>
            </w:tcBorders>
            <w:gridSpan w:val="2"/>
          </w:tcPr>
          <w:p>
            <w:pPr>
              <w:jc w:val="right"/>
              <w:ind w:right="80"/>
              <w:spacing w:after="0" w:line="143" w:lineRule="exact"/>
              <w:rPr>
                <w:sz w:val="20"/>
                <w:szCs w:val="20"/>
                <w:color w:val="auto"/>
              </w:rPr>
            </w:pPr>
            <w:r>
              <w:rPr>
                <w:rFonts w:ascii="Arial" w:cs="Arial" w:eastAsia="Arial" w:hAnsi="Arial"/>
                <w:sz w:val="13"/>
                <w:szCs w:val="13"/>
                <w:color w:val="auto"/>
                <w:w w:val="92"/>
              </w:rPr>
              <w:t>Shares</w:t>
            </w: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w w:val="93"/>
              </w:rPr>
              <w:t>Amount</w:t>
            </w:r>
          </w:p>
        </w:tc>
        <w:tc>
          <w:tcPr>
            <w:tcW w:w="960" w:type="dxa"/>
            <w:vAlign w:val="bottom"/>
            <w:gridSpan w:val="3"/>
          </w:tcPr>
          <w:p>
            <w:pPr>
              <w:jc w:val="center"/>
              <w:spacing w:after="0" w:line="143" w:lineRule="exact"/>
              <w:rPr>
                <w:sz w:val="20"/>
                <w:szCs w:val="20"/>
                <w:color w:val="auto"/>
              </w:rPr>
            </w:pPr>
            <w:r>
              <w:rPr>
                <w:rFonts w:ascii="Arial" w:cs="Arial" w:eastAsia="Arial" w:hAnsi="Arial"/>
                <w:sz w:val="13"/>
                <w:szCs w:val="13"/>
                <w:color w:val="auto"/>
                <w:w w:val="93"/>
              </w:rPr>
              <w:t>Stated Value</w:t>
            </w:r>
          </w:p>
        </w:tc>
        <w:tc>
          <w:tcPr>
            <w:tcW w:w="1000" w:type="dxa"/>
            <w:vAlign w:val="bottom"/>
            <w:gridSpan w:val="4"/>
          </w:tcPr>
          <w:p>
            <w:pPr>
              <w:ind w:left="80"/>
              <w:spacing w:after="0" w:line="143" w:lineRule="exact"/>
              <w:rPr>
                <w:sz w:val="20"/>
                <w:szCs w:val="20"/>
                <w:color w:val="auto"/>
              </w:rPr>
            </w:pPr>
            <w:r>
              <w:rPr>
                <w:rFonts w:ascii="Arial" w:cs="Arial" w:eastAsia="Arial" w:hAnsi="Arial"/>
                <w:sz w:val="13"/>
                <w:szCs w:val="13"/>
                <w:color w:val="auto"/>
              </w:rPr>
              <w:t>Compensation</w:t>
            </w:r>
          </w:p>
        </w:tc>
        <w:tc>
          <w:tcPr>
            <w:tcW w:w="80" w:type="dxa"/>
            <w:vAlign w:val="bottom"/>
          </w:tcPr>
          <w:p>
            <w:pPr>
              <w:spacing w:after="0"/>
              <w:rPr>
                <w:sz w:val="12"/>
                <w:szCs w:val="12"/>
                <w:color w:val="auto"/>
              </w:rPr>
            </w:pPr>
          </w:p>
        </w:tc>
        <w:tc>
          <w:tcPr>
            <w:tcW w:w="680" w:type="dxa"/>
            <w:vAlign w:val="bottom"/>
            <w:gridSpan w:val="2"/>
          </w:tcPr>
          <w:p>
            <w:pPr>
              <w:jc w:val="right"/>
              <w:ind w:right="180"/>
              <w:spacing w:after="0" w:line="143" w:lineRule="exact"/>
              <w:rPr>
                <w:sz w:val="20"/>
                <w:szCs w:val="20"/>
                <w:color w:val="auto"/>
              </w:rPr>
            </w:pPr>
            <w:r>
              <w:rPr>
                <w:rFonts w:ascii="Arial" w:cs="Arial" w:eastAsia="Arial" w:hAnsi="Arial"/>
                <w:sz w:val="13"/>
                <w:szCs w:val="13"/>
                <w:color w:val="auto"/>
                <w:w w:val="93"/>
              </w:rPr>
              <w:t>Earnings</w:t>
            </w:r>
          </w:p>
        </w:tc>
        <w:tc>
          <w:tcPr>
            <w:tcW w:w="520" w:type="dxa"/>
            <w:vAlign w:val="bottom"/>
            <w:tcBorders>
              <w:top w:val="single" w:sz="8" w:color="auto"/>
            </w:tcBorders>
            <w:gridSpan w:val="2"/>
          </w:tcPr>
          <w:p>
            <w:pPr>
              <w:jc w:val="right"/>
              <w:ind w:right="120"/>
              <w:spacing w:after="0" w:line="143" w:lineRule="exact"/>
              <w:rPr>
                <w:sz w:val="20"/>
                <w:szCs w:val="20"/>
                <w:color w:val="auto"/>
              </w:rPr>
            </w:pPr>
            <w:r>
              <w:rPr>
                <w:rFonts w:ascii="Arial" w:cs="Arial" w:eastAsia="Arial" w:hAnsi="Arial"/>
                <w:sz w:val="13"/>
                <w:szCs w:val="13"/>
                <w:color w:val="auto"/>
                <w:w w:val="92"/>
              </w:rPr>
              <w:t>Shares</w:t>
            </w: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w w:val="93"/>
              </w:rPr>
              <w:t>Amount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center"/>
              <w:ind w:right="120"/>
              <w:spacing w:after="0" w:line="143" w:lineRule="exact"/>
              <w:rPr>
                <w:sz w:val="20"/>
                <w:szCs w:val="20"/>
                <w:color w:val="auto"/>
              </w:rPr>
            </w:pPr>
            <w:r>
              <w:rPr>
                <w:rFonts w:ascii="Arial" w:cs="Arial" w:eastAsia="Arial" w:hAnsi="Arial"/>
                <w:sz w:val="13"/>
                <w:szCs w:val="13"/>
                <w:color w:val="auto"/>
                <w:w w:val="97"/>
              </w:rPr>
              <w:t>Income/(loss)</w:t>
            </w:r>
          </w:p>
        </w:tc>
        <w:tc>
          <w:tcPr>
            <w:tcW w:w="60" w:type="dxa"/>
            <w:vAlign w:val="bottom"/>
          </w:tcPr>
          <w:p>
            <w:pPr>
              <w:spacing w:after="0"/>
              <w:rPr>
                <w:sz w:val="12"/>
                <w:szCs w:val="12"/>
                <w:color w:val="auto"/>
              </w:rPr>
            </w:pPr>
          </w:p>
        </w:tc>
        <w:tc>
          <w:tcPr>
            <w:tcW w:w="640" w:type="dxa"/>
            <w:vAlign w:val="bottom"/>
            <w:gridSpan w:val="2"/>
          </w:tcPr>
          <w:p>
            <w:pPr>
              <w:jc w:val="right"/>
              <w:ind w:right="240"/>
              <w:spacing w:after="0" w:line="143" w:lineRule="exact"/>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334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3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Balance, September 30, 2005</w:t>
            </w:r>
          </w:p>
        </w:tc>
        <w:tc>
          <w:tcPr>
            <w:tcW w:w="4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67.8</w:t>
            </w: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0.3</w:t>
            </w:r>
          </w:p>
        </w:tc>
        <w:tc>
          <w:tcPr>
            <w:tcW w:w="220" w:type="dxa"/>
            <w:vAlign w:val="bottom"/>
            <w:tcBorders>
              <w:right w:val="single" w:sz="8" w:color="CCEEFF"/>
            </w:tcBorders>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503.2</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(12.2)</w:t>
            </w:r>
          </w:p>
        </w:tc>
        <w:tc>
          <w:tcPr>
            <w:tcW w:w="5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591.5</w:t>
            </w:r>
          </w:p>
        </w:tc>
        <w:tc>
          <w:tcPr>
            <w:tcW w:w="1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(56.6)</w:t>
            </w:r>
          </w:p>
        </w:tc>
        <w:tc>
          <w:tcPr>
            <w:tcW w:w="6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1,026.2</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40" w:type="dxa"/>
            <w:vAlign w:val="bottom"/>
          </w:tcPr>
          <w:p>
            <w:pPr>
              <w:spacing w:after="0" w:line="135" w:lineRule="exact"/>
              <w:rPr>
                <w:sz w:val="20"/>
                <w:szCs w:val="20"/>
                <w:color w:val="auto"/>
              </w:rPr>
            </w:pPr>
            <w:r>
              <w:rPr>
                <w:rFonts w:ascii="Arial" w:cs="Arial" w:eastAsia="Arial" w:hAnsi="Arial"/>
                <w:sz w:val="13"/>
                <w:szCs w:val="13"/>
                <w:color w:val="auto"/>
              </w:rPr>
              <w:t>Net income</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132.7</w:t>
            </w: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132.7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Foreign currency translation</w:t>
            </w: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(1.5)</w:t>
            </w:r>
          </w:p>
        </w:tc>
        <w:tc>
          <w:tcPr>
            <w:tcW w:w="70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40" w:type="dxa"/>
            <w:vAlign w:val="bottom"/>
          </w:tcPr>
          <w:p>
            <w:pPr>
              <w:spacing w:after="0" w:line="135" w:lineRule="exact"/>
              <w:rPr>
                <w:sz w:val="20"/>
                <w:szCs w:val="20"/>
                <w:color w:val="auto"/>
              </w:rPr>
            </w:pPr>
            <w:r>
              <w:rPr>
                <w:rFonts w:ascii="Arial" w:cs="Arial" w:eastAsia="Arial" w:hAnsi="Arial"/>
                <w:sz w:val="13"/>
                <w:szCs w:val="13"/>
                <w:color w:val="auto"/>
              </w:rPr>
              <w:t>FAS 123(R) reclassification</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(12.2)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12.2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Minimum pension liability, net of tax</w:t>
            </w: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6.5</w:t>
            </w:r>
          </w:p>
        </w:tc>
        <w:tc>
          <w:tcPr>
            <w:tcW w:w="1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6.5</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40" w:type="dxa"/>
            <w:vAlign w:val="bottom"/>
          </w:tcPr>
          <w:p>
            <w:pPr>
              <w:ind w:left="100"/>
              <w:spacing w:after="0" w:line="143" w:lineRule="exact"/>
              <w:rPr>
                <w:sz w:val="20"/>
                <w:szCs w:val="20"/>
                <w:color w:val="auto"/>
              </w:rPr>
            </w:pPr>
            <w:r>
              <w:rPr>
                <w:rFonts w:ascii="Arial" w:cs="Arial" w:eastAsia="Arial" w:hAnsi="Arial"/>
                <w:sz w:val="13"/>
                <w:szCs w:val="13"/>
                <w:color w:val="auto"/>
              </w:rPr>
              <w:t>Comprehensive income</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137.7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Stock-based compensation expense</w:t>
            </w: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15.7</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15.7</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40" w:type="dxa"/>
            <w:vAlign w:val="bottom"/>
          </w:tcPr>
          <w:p>
            <w:pPr>
              <w:spacing w:after="0" w:line="135" w:lineRule="exact"/>
              <w:rPr>
                <w:sz w:val="20"/>
                <w:szCs w:val="20"/>
                <w:color w:val="auto"/>
              </w:rPr>
            </w:pPr>
            <w:r>
              <w:rPr>
                <w:rFonts w:ascii="Arial" w:cs="Arial" w:eastAsia="Arial" w:hAnsi="Arial"/>
                <w:sz w:val="13"/>
                <w:szCs w:val="13"/>
                <w:color w:val="auto"/>
              </w:rPr>
              <w:t>Cash dividends paid ($0.50 per share)</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(33.5)</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(33.5)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Treasury stock purchases</w:t>
            </w: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w:t>
            </w:r>
          </w:p>
        </w:tc>
        <w:tc>
          <w:tcPr>
            <w:tcW w:w="12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(87.9)</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(87.9)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40" w:type="dxa"/>
            <w:vAlign w:val="bottom"/>
          </w:tcPr>
          <w:p>
            <w:pPr>
              <w:spacing w:after="0" w:line="135" w:lineRule="exact"/>
              <w:rPr>
                <w:sz w:val="20"/>
                <w:szCs w:val="20"/>
                <w:color w:val="auto"/>
              </w:rPr>
            </w:pPr>
            <w:r>
              <w:rPr>
                <w:rFonts w:ascii="Arial" w:cs="Arial" w:eastAsia="Arial" w:hAnsi="Arial"/>
                <w:sz w:val="13"/>
                <w:szCs w:val="13"/>
                <w:color w:val="auto"/>
              </w:rPr>
              <w:t>Treasury stock issuances</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(21.4)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(0.5)</w:t>
            </w:r>
          </w:p>
        </w:tc>
        <w:tc>
          <w:tcPr>
            <w:tcW w:w="64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21.4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Issuance of common shares</w:t>
            </w:r>
          </w:p>
        </w:tc>
        <w:tc>
          <w:tcPr>
            <w:tcW w:w="4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0.3</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23.5</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23.5</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360" w:type="dxa"/>
            <w:vAlign w:val="bottom"/>
            <w:gridSpan w:val="2"/>
            <w:vMerge w:val="restart"/>
          </w:tcPr>
          <w:p>
            <w:pPr>
              <w:spacing w:after="0"/>
              <w:rPr>
                <w:sz w:val="20"/>
                <w:szCs w:val="20"/>
                <w:color w:val="auto"/>
              </w:rPr>
            </w:pPr>
            <w:r>
              <w:rPr>
                <w:rFonts w:ascii="Arial" w:cs="Arial" w:eastAsia="Arial" w:hAnsi="Arial"/>
                <w:sz w:val="13"/>
                <w:szCs w:val="13"/>
                <w:color w:val="auto"/>
              </w:rPr>
              <w:t>Balance, September 30, 2006</w:t>
            </w:r>
          </w:p>
        </w:tc>
        <w:tc>
          <w:tcPr>
            <w:tcW w:w="40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360" w:type="dxa"/>
            <w:vAlign w:val="bottom"/>
            <w:gridSpan w:val="2"/>
            <w:vMerge w:val="continue"/>
          </w:tcPr>
          <w:p>
            <w:pPr>
              <w:spacing w:after="0"/>
              <w:rPr>
                <w:sz w:val="12"/>
                <w:szCs w:val="12"/>
                <w:color w:val="auto"/>
              </w:rPr>
            </w:pPr>
          </w:p>
        </w:tc>
        <w:tc>
          <w:tcPr>
            <w:tcW w:w="400" w:type="dxa"/>
            <w:vAlign w:val="bottom"/>
          </w:tcPr>
          <w:p>
            <w:pPr>
              <w:jc w:val="right"/>
              <w:spacing w:after="0" w:line="143" w:lineRule="exact"/>
              <w:rPr>
                <w:sz w:val="20"/>
                <w:szCs w:val="20"/>
                <w:color w:val="auto"/>
              </w:rPr>
            </w:pPr>
            <w:r>
              <w:rPr>
                <w:rFonts w:ascii="Arial" w:cs="Arial" w:eastAsia="Arial" w:hAnsi="Arial"/>
                <w:sz w:val="13"/>
                <w:szCs w:val="13"/>
                <w:color w:val="auto"/>
              </w:rPr>
              <w:t>68.1</w:t>
            </w:r>
          </w:p>
        </w:tc>
        <w:tc>
          <w:tcPr>
            <w:tcW w:w="8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460" w:type="dxa"/>
            <w:vAlign w:val="bottom"/>
          </w:tcPr>
          <w:p>
            <w:pPr>
              <w:jc w:val="right"/>
              <w:spacing w:after="0" w:line="143" w:lineRule="exact"/>
              <w:rPr>
                <w:sz w:val="20"/>
                <w:szCs w:val="20"/>
                <w:color w:val="auto"/>
              </w:rPr>
            </w:pPr>
            <w:r>
              <w:rPr>
                <w:rFonts w:ascii="Arial" w:cs="Arial" w:eastAsia="Arial" w:hAnsi="Arial"/>
                <w:sz w:val="13"/>
                <w:szCs w:val="13"/>
                <w:color w:val="auto"/>
              </w:rPr>
              <w:t>0.3</w:t>
            </w:r>
          </w:p>
        </w:tc>
        <w:tc>
          <w:tcPr>
            <w:tcW w:w="220" w:type="dxa"/>
            <w:vAlign w:val="bottom"/>
          </w:tcPr>
          <w:p>
            <w:pPr>
              <w:spacing w:after="0"/>
              <w:rPr>
                <w:sz w:val="12"/>
                <w:szCs w:val="12"/>
                <w:color w:val="auto"/>
              </w:rPr>
            </w:pPr>
          </w:p>
        </w:tc>
        <w:tc>
          <w:tcPr>
            <w:tcW w:w="640" w:type="dxa"/>
            <w:vAlign w:val="bottom"/>
          </w:tcPr>
          <w:p>
            <w:pPr>
              <w:jc w:val="right"/>
              <w:spacing w:after="0" w:line="143" w:lineRule="exact"/>
              <w:rPr>
                <w:sz w:val="20"/>
                <w:szCs w:val="20"/>
                <w:color w:val="auto"/>
              </w:rPr>
            </w:pPr>
            <w:r>
              <w:rPr>
                <w:rFonts w:ascii="Arial" w:cs="Arial" w:eastAsia="Arial" w:hAnsi="Arial"/>
                <w:sz w:val="13"/>
                <w:szCs w:val="13"/>
                <w:color w:val="auto"/>
              </w:rPr>
              <w:t>508.8</w:t>
            </w:r>
          </w:p>
        </w:tc>
        <w:tc>
          <w:tcPr>
            <w:tcW w:w="1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12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500" w:type="dxa"/>
            <w:vAlign w:val="bottom"/>
          </w:tcPr>
          <w:p>
            <w:pPr>
              <w:jc w:val="right"/>
              <w:spacing w:after="0" w:line="143" w:lineRule="exact"/>
              <w:rPr>
                <w:sz w:val="20"/>
                <w:szCs w:val="20"/>
                <w:color w:val="auto"/>
              </w:rPr>
            </w:pPr>
            <w:r>
              <w:rPr>
                <w:rFonts w:ascii="Arial" w:cs="Arial" w:eastAsia="Arial" w:hAnsi="Arial"/>
                <w:sz w:val="13"/>
                <w:szCs w:val="13"/>
                <w:color w:val="auto"/>
              </w:rPr>
              <w:t>690.7</w:t>
            </w:r>
          </w:p>
        </w:tc>
        <w:tc>
          <w:tcPr>
            <w:tcW w:w="180" w:type="dxa"/>
            <w:vAlign w:val="bottom"/>
            <w:vMerge w:val="continue"/>
          </w:tcPr>
          <w:p>
            <w:pPr>
              <w:spacing w:after="0"/>
              <w:rPr>
                <w:sz w:val="12"/>
                <w:szCs w:val="12"/>
                <w:color w:val="auto"/>
              </w:rPr>
            </w:pPr>
          </w:p>
        </w:tc>
        <w:tc>
          <w:tcPr>
            <w:tcW w:w="400" w:type="dxa"/>
            <w:vAlign w:val="bottom"/>
          </w:tcPr>
          <w:p>
            <w:pPr>
              <w:jc w:val="right"/>
              <w:spacing w:after="0" w:line="143" w:lineRule="exact"/>
              <w:rPr>
                <w:sz w:val="20"/>
                <w:szCs w:val="20"/>
                <w:color w:val="auto"/>
              </w:rPr>
            </w:pPr>
            <w:r>
              <w:rPr>
                <w:rFonts w:ascii="Arial" w:cs="Arial" w:eastAsia="Arial" w:hAnsi="Arial"/>
                <w:sz w:val="13"/>
                <w:szCs w:val="13"/>
                <w:color w:val="auto"/>
              </w:rPr>
              <w:t>1.5</w:t>
            </w:r>
          </w:p>
        </w:tc>
        <w:tc>
          <w:tcPr>
            <w:tcW w:w="12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560" w:type="dxa"/>
            <w:vAlign w:val="bottom"/>
            <w:gridSpan w:val="2"/>
          </w:tcPr>
          <w:p>
            <w:pPr>
              <w:jc w:val="right"/>
              <w:ind w:right="60"/>
              <w:spacing w:after="0" w:line="143" w:lineRule="exact"/>
              <w:rPr>
                <w:sz w:val="20"/>
                <w:szCs w:val="20"/>
                <w:color w:val="auto"/>
              </w:rPr>
            </w:pPr>
            <w:r>
              <w:rPr>
                <w:rFonts w:ascii="Arial" w:cs="Arial" w:eastAsia="Arial" w:hAnsi="Arial"/>
                <w:sz w:val="13"/>
                <w:szCs w:val="13"/>
                <w:color w:val="auto"/>
              </w:rPr>
              <w:t>(66.5)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80"/>
              <w:spacing w:after="0" w:line="143" w:lineRule="exact"/>
              <w:rPr>
                <w:sz w:val="20"/>
                <w:szCs w:val="20"/>
                <w:color w:val="auto"/>
              </w:rPr>
            </w:pPr>
            <w:r>
              <w:rPr>
                <w:rFonts w:ascii="Arial" w:cs="Arial" w:eastAsia="Arial" w:hAnsi="Arial"/>
                <w:sz w:val="13"/>
                <w:szCs w:val="13"/>
                <w:color w:val="auto"/>
              </w:rPr>
              <w:t>(51.6)</w:t>
            </w:r>
          </w:p>
        </w:tc>
        <w:tc>
          <w:tcPr>
            <w:tcW w:w="60" w:type="dxa"/>
            <w:vAlign w:val="bottom"/>
            <w:vMerge w:val="continue"/>
          </w:tcPr>
          <w:p>
            <w:pPr>
              <w:spacing w:after="0"/>
              <w:rPr>
                <w:sz w:val="12"/>
                <w:szCs w:val="12"/>
                <w:color w:val="auto"/>
              </w:rPr>
            </w:pPr>
          </w:p>
        </w:tc>
        <w:tc>
          <w:tcPr>
            <w:tcW w:w="540" w:type="dxa"/>
            <w:vAlign w:val="bottom"/>
          </w:tcPr>
          <w:p>
            <w:pPr>
              <w:jc w:val="right"/>
              <w:spacing w:after="0" w:line="143" w:lineRule="exact"/>
              <w:rPr>
                <w:sz w:val="20"/>
                <w:szCs w:val="20"/>
                <w:color w:val="auto"/>
              </w:rPr>
            </w:pPr>
            <w:r>
              <w:rPr>
                <w:rFonts w:ascii="Arial" w:cs="Arial" w:eastAsia="Arial" w:hAnsi="Arial"/>
                <w:sz w:val="13"/>
                <w:szCs w:val="13"/>
                <w:color w:val="auto"/>
              </w:rPr>
              <w:t>1,081.7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income</w:t>
            </w: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113.4</w:t>
            </w: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113.4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40" w:type="dxa"/>
            <w:vAlign w:val="bottom"/>
          </w:tcPr>
          <w:p>
            <w:pPr>
              <w:spacing w:after="0" w:line="135" w:lineRule="exact"/>
              <w:rPr>
                <w:sz w:val="20"/>
                <w:szCs w:val="20"/>
                <w:color w:val="auto"/>
              </w:rPr>
            </w:pPr>
            <w:r>
              <w:rPr>
                <w:rFonts w:ascii="Arial" w:cs="Arial" w:eastAsia="Arial" w:hAnsi="Arial"/>
                <w:sz w:val="13"/>
                <w:szCs w:val="13"/>
                <w:color w:val="auto"/>
              </w:rPr>
              <w:t>Foreign currency translation</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4.9</w:t>
            </w:r>
          </w:p>
        </w:tc>
        <w:tc>
          <w:tcPr>
            <w:tcW w:w="120" w:type="dxa"/>
            <w:vAlign w:val="bottom"/>
          </w:tcPr>
          <w:p>
            <w:pPr>
              <w:spacing w:after="0"/>
              <w:rPr>
                <w:sz w:val="11"/>
                <w:szCs w:val="11"/>
                <w:color w:val="auto"/>
              </w:rPr>
            </w:pPr>
          </w:p>
        </w:tc>
        <w:tc>
          <w:tcPr>
            <w:tcW w:w="6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Unrecognized loss on derivatives, net of tax</w:t>
            </w: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(2.4)</w:t>
            </w:r>
          </w:p>
        </w:tc>
        <w:tc>
          <w:tcPr>
            <w:tcW w:w="70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40" w:type="dxa"/>
            <w:vAlign w:val="bottom"/>
          </w:tcPr>
          <w:p>
            <w:pPr>
              <w:spacing w:after="0" w:line="135" w:lineRule="exact"/>
              <w:rPr>
                <w:sz w:val="20"/>
                <w:szCs w:val="20"/>
                <w:color w:val="auto"/>
              </w:rPr>
            </w:pPr>
            <w:r>
              <w:rPr>
                <w:rFonts w:ascii="Arial" w:cs="Arial" w:eastAsia="Arial" w:hAnsi="Arial"/>
                <w:sz w:val="13"/>
                <w:szCs w:val="13"/>
                <w:color w:val="auto"/>
              </w:rPr>
              <w:t>Minimum pension liability, net of tax</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20.4</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4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Comprehensive income</w:t>
            </w: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136.3</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40" w:type="dxa"/>
            <w:vAlign w:val="bottom"/>
          </w:tcPr>
          <w:p>
            <w:pPr>
              <w:spacing w:after="0" w:line="135" w:lineRule="exact"/>
              <w:rPr>
                <w:sz w:val="20"/>
                <w:szCs w:val="20"/>
                <w:color w:val="auto"/>
              </w:rPr>
            </w:pPr>
            <w:r>
              <w:rPr>
                <w:rFonts w:ascii="Arial" w:cs="Arial" w:eastAsia="Arial" w:hAnsi="Arial"/>
                <w:sz w:val="13"/>
                <w:szCs w:val="13"/>
                <w:color w:val="auto"/>
              </w:rPr>
              <w:t>Adjustment to initially apply SFAS 158, net of tax</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(13.3)</w:t>
            </w:r>
          </w:p>
        </w:tc>
        <w:tc>
          <w:tcPr>
            <w:tcW w:w="70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(13.3)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Stock-based compensation expense (non-cash)</w:t>
            </w: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13.3</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13.3</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40" w:type="dxa"/>
            <w:vAlign w:val="bottom"/>
          </w:tcPr>
          <w:p>
            <w:pPr>
              <w:spacing w:after="0" w:line="135" w:lineRule="exact"/>
              <w:rPr>
                <w:sz w:val="20"/>
                <w:szCs w:val="20"/>
                <w:color w:val="auto"/>
              </w:rPr>
            </w:pPr>
            <w:r>
              <w:rPr>
                <w:rFonts w:ascii="Arial" w:cs="Arial" w:eastAsia="Arial" w:hAnsi="Arial"/>
                <w:sz w:val="13"/>
                <w:szCs w:val="13"/>
                <w:color w:val="auto"/>
              </w:rPr>
              <w:t>Cash dividends paid ($8.50 per share)</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(543.6)</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(543.6)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Treasury stock purchases</w:t>
            </w: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4.5</w:t>
            </w:r>
          </w:p>
        </w:tc>
        <w:tc>
          <w:tcPr>
            <w:tcW w:w="12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(246.8)</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(246.8)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40" w:type="dxa"/>
            <w:vAlign w:val="bottom"/>
          </w:tcPr>
          <w:p>
            <w:pPr>
              <w:spacing w:after="0" w:line="135" w:lineRule="exact"/>
              <w:rPr>
                <w:sz w:val="20"/>
                <w:szCs w:val="20"/>
                <w:color w:val="auto"/>
              </w:rPr>
            </w:pPr>
            <w:r>
              <w:rPr>
                <w:rFonts w:ascii="Arial" w:cs="Arial" w:eastAsia="Arial" w:hAnsi="Arial"/>
                <w:sz w:val="13"/>
                <w:szCs w:val="13"/>
                <w:color w:val="auto"/>
              </w:rPr>
              <w:t>Treasury stock issuances</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(42.1)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(2.0)</w:t>
            </w:r>
          </w:p>
        </w:tc>
        <w:tc>
          <w:tcPr>
            <w:tcW w:w="64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93.8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51.7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33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Balance, September 30, 2007</w:t>
            </w:r>
          </w:p>
        </w:tc>
        <w:tc>
          <w:tcPr>
            <w:tcW w:w="4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68.1</w:t>
            </w: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0.3</w:t>
            </w:r>
          </w:p>
        </w:tc>
        <w:tc>
          <w:tcPr>
            <w:tcW w:w="220" w:type="dxa"/>
            <w:vAlign w:val="bottom"/>
            <w:tcBorders>
              <w:right w:val="single" w:sz="8" w:color="CCEEFF"/>
            </w:tcBorders>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480.0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260.5</w:t>
            </w: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4.0</w:t>
            </w:r>
          </w:p>
        </w:tc>
        <w:tc>
          <w:tcPr>
            <w:tcW w:w="12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(219.5)</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(42.0)</w:t>
            </w:r>
          </w:p>
        </w:tc>
        <w:tc>
          <w:tcPr>
            <w:tcW w:w="6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479.3</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40" w:type="dxa"/>
            <w:vAlign w:val="bottom"/>
          </w:tcPr>
          <w:p>
            <w:pPr>
              <w:spacing w:after="0" w:line="135" w:lineRule="exact"/>
              <w:rPr>
                <w:sz w:val="20"/>
                <w:szCs w:val="20"/>
                <w:color w:val="auto"/>
              </w:rPr>
            </w:pPr>
            <w:r>
              <w:rPr>
                <w:rFonts w:ascii="Arial" w:cs="Arial" w:eastAsia="Arial" w:hAnsi="Arial"/>
                <w:sz w:val="13"/>
                <w:szCs w:val="13"/>
                <w:color w:val="auto"/>
              </w:rPr>
              <w:t>Net loss</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(10.9)</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(10.9)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Foreign currency translation</w:t>
            </w: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8.5</w:t>
            </w:r>
          </w:p>
        </w:tc>
        <w:tc>
          <w:tcPr>
            <w:tcW w:w="1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8.5</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40" w:type="dxa"/>
            <w:vAlign w:val="bottom"/>
          </w:tcPr>
          <w:p>
            <w:pPr>
              <w:spacing w:after="0" w:line="135" w:lineRule="exact"/>
              <w:rPr>
                <w:sz w:val="20"/>
                <w:szCs w:val="20"/>
                <w:color w:val="auto"/>
              </w:rPr>
            </w:pPr>
            <w:r>
              <w:rPr>
                <w:rFonts w:ascii="Arial" w:cs="Arial" w:eastAsia="Arial" w:hAnsi="Arial"/>
                <w:sz w:val="13"/>
                <w:szCs w:val="13"/>
                <w:color w:val="auto"/>
              </w:rPr>
              <w:t>Unrecognized loss on derivatives, net of tax</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(13.5)</w:t>
            </w:r>
          </w:p>
        </w:tc>
        <w:tc>
          <w:tcPr>
            <w:tcW w:w="70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(13.5)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Pension and other postretirement liabilities, net of tax</w:t>
            </w: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(20.1)</w:t>
            </w: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vMerge w:val="restart"/>
          </w:tcPr>
          <w:p>
            <w:pPr>
              <w:ind w:left="100"/>
              <w:spacing w:after="0"/>
              <w:rPr>
                <w:sz w:val="20"/>
                <w:szCs w:val="20"/>
                <w:color w:val="auto"/>
              </w:rPr>
            </w:pPr>
            <w:r>
              <w:rPr>
                <w:rFonts w:ascii="Arial" w:cs="Arial" w:eastAsia="Arial" w:hAnsi="Arial"/>
                <w:sz w:val="13"/>
                <w:szCs w:val="13"/>
                <w:color w:val="auto"/>
              </w:rPr>
              <w:t>Comprehensive loss</w:t>
            </w: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34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vMerge w:val="continue"/>
          </w:tcPr>
          <w:p>
            <w:pPr>
              <w:spacing w:after="0"/>
              <w:rPr>
                <w:sz w:val="12"/>
                <w:szCs w:val="12"/>
                <w:color w:val="auto"/>
              </w:rPr>
            </w:pPr>
          </w:p>
        </w:tc>
        <w:tc>
          <w:tcPr>
            <w:tcW w:w="640" w:type="dxa"/>
            <w:vAlign w:val="bottom"/>
            <w:gridSpan w:val="2"/>
          </w:tcPr>
          <w:p>
            <w:pPr>
              <w:jc w:val="right"/>
              <w:ind w:right="60"/>
              <w:spacing w:after="0" w:line="143" w:lineRule="exact"/>
              <w:rPr>
                <w:sz w:val="20"/>
                <w:szCs w:val="20"/>
                <w:color w:val="auto"/>
              </w:rPr>
            </w:pPr>
            <w:r>
              <w:rPr>
                <w:rFonts w:ascii="Arial" w:cs="Arial" w:eastAsia="Arial" w:hAnsi="Arial"/>
                <w:sz w:val="13"/>
                <w:szCs w:val="13"/>
                <w:color w:val="auto"/>
              </w:rPr>
              <w:t>(36.0)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Adjustment to initially apply FIN 48</w:t>
            </w: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(0.4)</w:t>
            </w: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40" w:type="dxa"/>
            <w:vAlign w:val="bottom"/>
          </w:tcPr>
          <w:p>
            <w:pPr>
              <w:spacing w:after="0" w:line="135" w:lineRule="exact"/>
              <w:rPr>
                <w:sz w:val="20"/>
                <w:szCs w:val="20"/>
                <w:color w:val="auto"/>
              </w:rPr>
            </w:pPr>
            <w:r>
              <w:rPr>
                <w:rFonts w:ascii="Arial" w:cs="Arial" w:eastAsia="Arial" w:hAnsi="Arial"/>
                <w:sz w:val="13"/>
                <w:szCs w:val="13"/>
                <w:color w:val="auto"/>
              </w:rPr>
              <w:t>Stock-based compensation expense (non-cash)</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12.5</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12.5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Cash dividends paid ($0.50 per share)</w:t>
            </w: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(32.5)</w:t>
            </w: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(32.5)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40" w:type="dxa"/>
            <w:vAlign w:val="bottom"/>
          </w:tcPr>
          <w:p>
            <w:pPr>
              <w:spacing w:after="0" w:line="135" w:lineRule="exact"/>
              <w:rPr>
                <w:sz w:val="20"/>
                <w:szCs w:val="20"/>
                <w:color w:val="auto"/>
              </w:rPr>
            </w:pPr>
            <w:r>
              <w:rPr>
                <w:rFonts w:ascii="Arial" w:cs="Arial" w:eastAsia="Arial" w:hAnsi="Arial"/>
                <w:sz w:val="13"/>
                <w:szCs w:val="13"/>
                <w:color w:val="auto"/>
              </w:rPr>
              <w:t>Treasury stock issuances</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(20.4)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(0.6)</w:t>
            </w:r>
          </w:p>
        </w:tc>
        <w:tc>
          <w:tcPr>
            <w:tcW w:w="64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34.2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13.8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33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Balance, September 30, 2008</w:t>
            </w:r>
          </w:p>
        </w:tc>
        <w:tc>
          <w:tcPr>
            <w:tcW w:w="4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68.1</w:t>
            </w: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   0.3</w:t>
            </w:r>
          </w:p>
        </w:tc>
        <w:tc>
          <w:tcPr>
            <w:tcW w:w="22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472.1</w:t>
            </w:r>
          </w:p>
        </w:tc>
        <w:tc>
          <w:tcPr>
            <w:tcW w:w="100" w:type="dxa"/>
            <w:vAlign w:val="bottom"/>
            <w:shd w:val="clear" w:color="auto" w:fill="CCEEFF"/>
          </w:tcPr>
          <w:p>
            <w:pPr>
              <w:spacing w:after="0"/>
              <w:rPr>
                <w:sz w:val="11"/>
                <w:szCs w:val="11"/>
                <w:color w:val="auto"/>
              </w:rPr>
            </w:pPr>
          </w:p>
        </w:tc>
        <w:tc>
          <w:tcPr>
            <w:tcW w:w="18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  216.7</w:t>
            </w: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3.4</w:t>
            </w:r>
          </w:p>
        </w:tc>
        <w:tc>
          <w:tcPr>
            <w:tcW w:w="12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 (185.3)</w:t>
            </w:r>
          </w:p>
        </w:tc>
        <w:tc>
          <w:tcPr>
            <w:tcW w:w="1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(67.1)</w:t>
            </w:r>
          </w:p>
        </w:tc>
        <w:tc>
          <w:tcPr>
            <w:tcW w:w="6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  436.7</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8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1"/>
          <w:szCs w:val="11"/>
          <w:b w:val="1"/>
          <w:bCs w:val="1"/>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-78105</wp:posOffset>
            </wp:positionV>
            <wp:extent cx="19748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240" w:top="415" w:right="91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hyperlink w:anchor="page64">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jc w:val="center"/>
        <w:ind w:right="-699"/>
        <w:spacing w:after="0"/>
        <w:rPr>
          <w:sz w:val="20"/>
          <w:szCs w:val="20"/>
          <w:color w:val="auto"/>
        </w:rPr>
      </w:pPr>
      <w:r>
        <w:rPr>
          <w:rFonts w:ascii="Arial" w:cs="Arial" w:eastAsia="Arial" w:hAnsi="Arial"/>
          <w:sz w:val="20"/>
          <w:szCs w:val="20"/>
          <w:b w:val="1"/>
          <w:bCs w:val="1"/>
          <w:color w:val="auto"/>
        </w:rPr>
        <w:t>The Scotts Miracle-Gro Company</w:t>
      </w:r>
    </w:p>
    <w:p>
      <w:pPr>
        <w:spacing w:after="0" w:line="54" w:lineRule="exact"/>
        <w:rPr>
          <w:sz w:val="20"/>
          <w:szCs w:val="20"/>
          <w:color w:val="auto"/>
        </w:rPr>
      </w:pPr>
    </w:p>
    <w:p>
      <w:pPr>
        <w:jc w:val="center"/>
        <w:ind w:right="-69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122" w:lineRule="exact"/>
        <w:rPr>
          <w:sz w:val="20"/>
          <w:szCs w:val="20"/>
          <w:color w:val="auto"/>
        </w:rPr>
      </w:pPr>
    </w:p>
    <w:p>
      <w:pPr>
        <w:ind w:left="700"/>
        <w:spacing w:after="0"/>
        <w:rPr>
          <w:sz w:val="20"/>
          <w:szCs w:val="20"/>
          <w:color w:val="auto"/>
        </w:rPr>
      </w:pPr>
      <w:r>
        <w:rPr>
          <w:rFonts w:ascii="Arial" w:cs="Arial" w:eastAsia="Arial" w:hAnsi="Arial"/>
          <w:sz w:val="16"/>
          <w:szCs w:val="16"/>
          <w:b w:val="1"/>
          <w:bCs w:val="1"/>
          <w:u w:val="single" w:color="auto"/>
          <w:color w:val="auto"/>
        </w:rPr>
        <w:t>Nature of Operations</w:t>
      </w:r>
    </w:p>
    <w:p>
      <w:pPr>
        <w:spacing w:after="0" w:line="124" w:lineRule="exact"/>
        <w:rPr>
          <w:sz w:val="20"/>
          <w:szCs w:val="20"/>
          <w:color w:val="auto"/>
        </w:rPr>
      </w:pPr>
    </w:p>
    <w:p>
      <w:pPr>
        <w:ind w:left="700" w:right="20" w:firstLine="402"/>
        <w:spacing w:after="0"/>
        <w:rPr>
          <w:sz w:val="20"/>
          <w:szCs w:val="20"/>
          <w:color w:val="auto"/>
        </w:rPr>
      </w:pPr>
      <w:r>
        <w:rPr>
          <w:rFonts w:ascii="Arial" w:cs="Arial" w:eastAsia="Arial" w:hAnsi="Arial"/>
          <w:sz w:val="18"/>
          <w:szCs w:val="18"/>
          <w:color w:val="auto"/>
        </w:rPr>
        <w:t>The Scotts Miracle-Gro Company (“Scotts Miracle-Gro”) and its subsidiaries (collectively, the “Company”) are engaged in the manufacturing, marketing and sale of lawn and garden care products. The Company’s major customers include home centers, mass merchandisers, warehouse clubs, large hardware chains, independent hardware stores, nurseries, garden centers, food and drug stores, commercial nurseries and greenhouses and specialty crop growers. The Company’s products are sold primarily in North America and the European Union. The Company also operates the Scotts LawnService</w:t>
      </w:r>
      <w:r>
        <w:rPr>
          <w:rFonts w:ascii="Arial" w:cs="Arial" w:eastAsia="Arial" w:hAnsi="Arial"/>
          <w:sz w:val="15"/>
          <w:szCs w:val="15"/>
          <w:color w:val="auto"/>
        </w:rPr>
        <w:t>®</w:t>
      </w:r>
      <w:r>
        <w:rPr>
          <w:rFonts w:ascii="Arial" w:cs="Arial" w:eastAsia="Arial" w:hAnsi="Arial"/>
          <w:sz w:val="18"/>
          <w:szCs w:val="18"/>
          <w:color w:val="auto"/>
        </w:rPr>
        <w:t xml:space="preserve"> business, which provides lawn, tree and shrub fertilization, insect control and other related services in the United States and Smith &amp; Hawken</w:t>
      </w:r>
      <w:r>
        <w:rPr>
          <w:rFonts w:ascii="Arial" w:cs="Arial" w:eastAsia="Arial" w:hAnsi="Arial"/>
          <w:sz w:val="15"/>
          <w:szCs w:val="15"/>
          <w:color w:val="auto"/>
        </w:rPr>
        <w:t>®</w:t>
      </w:r>
      <w:r>
        <w:rPr>
          <w:rFonts w:ascii="Arial" w:cs="Arial" w:eastAsia="Arial" w:hAnsi="Arial"/>
          <w:sz w:val="18"/>
          <w:szCs w:val="18"/>
          <w:color w:val="auto"/>
        </w:rPr>
        <w:t>, a leading brand in the outdoor living and gardening lifestyle category, with sales primarily through its own retail stores, Internet and catalog channels.</w:t>
      </w:r>
    </w:p>
    <w:p>
      <w:pPr>
        <w:spacing w:after="0" w:line="86" w:lineRule="exact"/>
        <w:rPr>
          <w:sz w:val="20"/>
          <w:szCs w:val="20"/>
          <w:color w:val="auto"/>
        </w:rPr>
      </w:pPr>
    </w:p>
    <w:p>
      <w:pPr>
        <w:jc w:val="both"/>
        <w:ind w:left="700" w:right="240" w:firstLine="402"/>
        <w:spacing w:after="0" w:line="255" w:lineRule="auto"/>
        <w:rPr>
          <w:sz w:val="20"/>
          <w:szCs w:val="20"/>
          <w:color w:val="auto"/>
        </w:rPr>
      </w:pPr>
      <w:r>
        <w:rPr>
          <w:rFonts w:ascii="Arial" w:cs="Arial" w:eastAsia="Arial" w:hAnsi="Arial"/>
          <w:sz w:val="18"/>
          <w:szCs w:val="18"/>
          <w:color w:val="auto"/>
        </w:rPr>
        <w:t>Due to the nature of the lawn and garden business, the majority of sales to customers occur in the Company’s second and third fiscal quarters. On a combined basis, net sales for the second and third fiscal quarters generally represent 70% to 75% of annual net sales.</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6"/>
          <w:szCs w:val="16"/>
          <w:b w:val="1"/>
          <w:bCs w:val="1"/>
          <w:u w:val="single" w:color="auto"/>
          <w:color w:val="auto"/>
        </w:rPr>
        <w:t>Organization and Basis of Presentation</w:t>
      </w:r>
    </w:p>
    <w:p>
      <w:pPr>
        <w:spacing w:after="0" w:line="124" w:lineRule="exact"/>
        <w:rPr>
          <w:sz w:val="20"/>
          <w:szCs w:val="20"/>
          <w:color w:val="auto"/>
        </w:rPr>
      </w:pPr>
    </w:p>
    <w:p>
      <w:pPr>
        <w:ind w:left="700" w:right="80" w:firstLine="402"/>
        <w:spacing w:after="0" w:line="245" w:lineRule="auto"/>
        <w:rPr>
          <w:sz w:val="20"/>
          <w:szCs w:val="20"/>
          <w:color w:val="auto"/>
        </w:rPr>
      </w:pPr>
      <w:r>
        <w:rPr>
          <w:rFonts w:ascii="Arial" w:cs="Arial" w:eastAsia="Arial" w:hAnsi="Arial"/>
          <w:sz w:val="18"/>
          <w:szCs w:val="18"/>
          <w:color w:val="auto"/>
        </w:rPr>
        <w:t>The Company’s consolidated financial statements are presented in accordance with accounting principles generally accepted in the United States. The consolidated financial statements include the accounts of Scotts Miracle-Gro and all wholly-owned and majority-owned subsidiaries. All intercompany transactions and accounts are eliminated in consolidation. The Company’s criteria for consolidating entities is based on majority ownership (as evidenced by a majority voting interest in the entity) and an objective evaluation and determination of effective management control.</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6"/>
          <w:szCs w:val="16"/>
          <w:b w:val="1"/>
          <w:bCs w:val="1"/>
          <w:u w:val="single" w:color="auto"/>
          <w:color w:val="auto"/>
        </w:rPr>
        <w:t>Use of Estimates</w:t>
      </w:r>
    </w:p>
    <w:p>
      <w:pPr>
        <w:spacing w:after="0" w:line="124" w:lineRule="exact"/>
        <w:rPr>
          <w:sz w:val="20"/>
          <w:szCs w:val="20"/>
          <w:color w:val="auto"/>
        </w:rPr>
      </w:pPr>
    </w:p>
    <w:p>
      <w:pPr>
        <w:ind w:left="700" w:right="160" w:firstLine="402"/>
        <w:spacing w:after="0" w:line="268"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requires management to make estimates and assumptions that affect the amounts reported in the consolidated financial statements and accompanying notes. Although these estimates are based on management’s best knowledge of current events and actions the Company may undertake in the future, actual results ultimately may differ from the estimates.</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6"/>
          <w:szCs w:val="16"/>
          <w:b w:val="1"/>
          <w:bCs w:val="1"/>
          <w:u w:val="single" w:color="auto"/>
          <w:color w:val="auto"/>
        </w:rPr>
        <w:t>Revenue Recognition</w:t>
      </w:r>
    </w:p>
    <w:p>
      <w:pPr>
        <w:spacing w:after="0" w:line="124" w:lineRule="exact"/>
        <w:rPr>
          <w:sz w:val="20"/>
          <w:szCs w:val="20"/>
          <w:color w:val="auto"/>
        </w:rPr>
      </w:pPr>
    </w:p>
    <w:p>
      <w:pPr>
        <w:ind w:left="700" w:right="300" w:firstLine="402"/>
        <w:spacing w:after="0" w:line="248" w:lineRule="auto"/>
        <w:rPr>
          <w:sz w:val="20"/>
          <w:szCs w:val="20"/>
          <w:color w:val="auto"/>
        </w:rPr>
      </w:pPr>
      <w:r>
        <w:rPr>
          <w:rFonts w:ascii="Arial" w:cs="Arial" w:eastAsia="Arial" w:hAnsi="Arial"/>
          <w:sz w:val="18"/>
          <w:szCs w:val="18"/>
          <w:color w:val="auto"/>
        </w:rPr>
        <w:t>Revenue is recognized when title and risk of loss transfer, which generally occurs when products or services are received by the customer. Provisions for estimated returns and allowances are recorded at the time revenue is recognized based on historical rates and are periodically adjusted for known changes in return levels. Shipping and handling costs are included in cost of sales.</w:t>
      </w:r>
    </w:p>
    <w:p>
      <w:pPr>
        <w:spacing w:after="0" w:line="76" w:lineRule="exact"/>
        <w:rPr>
          <w:sz w:val="20"/>
          <w:szCs w:val="20"/>
          <w:color w:val="auto"/>
        </w:rPr>
      </w:pPr>
    </w:p>
    <w:p>
      <w:pPr>
        <w:ind w:left="700" w:firstLine="402"/>
        <w:spacing w:after="0" w:line="243" w:lineRule="auto"/>
        <w:rPr>
          <w:sz w:val="20"/>
          <w:szCs w:val="20"/>
          <w:color w:val="auto"/>
        </w:rPr>
      </w:pPr>
      <w:r>
        <w:rPr>
          <w:rFonts w:ascii="Arial" w:cs="Arial" w:eastAsia="Arial" w:hAnsi="Arial"/>
          <w:sz w:val="18"/>
          <w:szCs w:val="18"/>
          <w:color w:val="auto"/>
        </w:rPr>
        <w:t>Under the terms of the Amended and Restated Exclusive Agency and Marketing Agreement (the “Marketing Agreement”) between the Company and Monsanto, the Company, in its role as exclusive agent, performs certain functions, such as sales support, merchandising, distribution and logistics, and incurs certain costs in support of the consumer Roundup</w:t>
      </w:r>
      <w:r>
        <w:rPr>
          <w:rFonts w:ascii="Arial" w:cs="Arial" w:eastAsia="Arial" w:hAnsi="Arial"/>
          <w:sz w:val="15"/>
          <w:szCs w:val="15"/>
          <w:color w:val="auto"/>
        </w:rPr>
        <w:t>®</w:t>
      </w:r>
      <w:r>
        <w:rPr>
          <w:rFonts w:ascii="Arial" w:cs="Arial" w:eastAsia="Arial" w:hAnsi="Arial"/>
          <w:sz w:val="18"/>
          <w:szCs w:val="18"/>
          <w:color w:val="auto"/>
        </w:rPr>
        <w:t xml:space="preserve"> business. The actual costs incurred by the Company on behalf of Roundup</w:t>
      </w:r>
      <w:r>
        <w:rPr>
          <w:rFonts w:ascii="Arial" w:cs="Arial" w:eastAsia="Arial" w:hAnsi="Arial"/>
          <w:sz w:val="15"/>
          <w:szCs w:val="15"/>
          <w:color w:val="auto"/>
        </w:rPr>
        <w:t>®</w:t>
      </w:r>
      <w:r>
        <w:rPr>
          <w:rFonts w:ascii="Arial" w:cs="Arial" w:eastAsia="Arial" w:hAnsi="Arial"/>
          <w:sz w:val="18"/>
          <w:szCs w:val="18"/>
          <w:color w:val="auto"/>
        </w:rPr>
        <w:t xml:space="preserve"> are recovered from Monsanto through the terms of the Marketing Agreement. The reimbursement of costs for which the Company is considered the primary obligor is included in net sales.</w:t>
      </w:r>
    </w:p>
    <w:p>
      <w:pPr>
        <w:spacing w:after="0" w:line="190" w:lineRule="exact"/>
        <w:rPr>
          <w:sz w:val="20"/>
          <w:szCs w:val="20"/>
          <w:color w:val="auto"/>
        </w:rPr>
      </w:pPr>
    </w:p>
    <w:p>
      <w:pPr>
        <w:ind w:left="700"/>
        <w:spacing w:after="0"/>
        <w:rPr>
          <w:sz w:val="20"/>
          <w:szCs w:val="20"/>
          <w:color w:val="auto"/>
        </w:rPr>
      </w:pPr>
      <w:r>
        <w:rPr>
          <w:rFonts w:ascii="Arial" w:cs="Arial" w:eastAsia="Arial" w:hAnsi="Arial"/>
          <w:sz w:val="16"/>
          <w:szCs w:val="16"/>
          <w:b w:val="1"/>
          <w:bCs w:val="1"/>
          <w:u w:val="single" w:color="auto"/>
          <w:color w:val="auto"/>
        </w:rPr>
        <w:t>Promotional Allowances</w:t>
      </w:r>
    </w:p>
    <w:p>
      <w:pPr>
        <w:spacing w:after="0" w:line="124" w:lineRule="exact"/>
        <w:rPr>
          <w:sz w:val="20"/>
          <w:szCs w:val="20"/>
          <w:color w:val="auto"/>
        </w:rPr>
      </w:pPr>
    </w:p>
    <w:p>
      <w:pPr>
        <w:ind w:left="700" w:right="80" w:firstLine="402"/>
        <w:spacing w:after="0" w:line="263" w:lineRule="auto"/>
        <w:rPr>
          <w:sz w:val="20"/>
          <w:szCs w:val="20"/>
          <w:color w:val="auto"/>
        </w:rPr>
      </w:pPr>
      <w:r>
        <w:rPr>
          <w:rFonts w:ascii="Arial" w:cs="Arial" w:eastAsia="Arial" w:hAnsi="Arial"/>
          <w:sz w:val="17"/>
          <w:szCs w:val="17"/>
          <w:color w:val="auto"/>
        </w:rPr>
        <w:t>The Company promotes its branded products through cooperative advertising programs with retailers. Retailers also are offered in-store promotional allowances and rebates based on sales volumes. Certain products are promoted with direct consumer rebate programs and special purchasing incentives. Promotion costs (including allowances and rebates) incurred during the year are expensed to interim periods in relation to revenues and are recorded as a reduction of net sales. Accruals for expected payouts under these programs are included in the “Accrued liabilities” line in the Consolidated Balance Sheets.</w:t>
      </w:r>
    </w:p>
    <w:p>
      <w:pPr>
        <w:spacing w:after="0" w:line="9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1"/>
          <w:szCs w:val="11"/>
          <w:b w:val="1"/>
          <w:bCs w:val="1"/>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-78105</wp:posOffset>
            </wp:positionV>
            <wp:extent cx="19748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20"/>
          </w:cols>
          <w:pgMar w:left="240" w:top="415" w:right="93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hyperlink w:anchor="page64">
        <w:r>
          <w:rPr>
            <w:rFonts w:ascii="Times New Roman" w:cs="Times New Roman" w:eastAsia="Times New Roman" w:hAnsi="Times New Roman"/>
            <w:sz w:val="18"/>
            <w:szCs w:val="18"/>
            <w:b w:val="1"/>
            <w:bCs w:val="1"/>
            <w:u w:val="single" w:color="auto"/>
            <w:color w:val="0000EE"/>
          </w:rPr>
          <w:t>Table of Contents</w:t>
        </w:r>
      </w:hyperlink>
    </w:p>
    <w:p>
      <w:pPr>
        <w:spacing w:after="0" w:line="344"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8" w:lineRule="exact"/>
        <w:rPr>
          <w:sz w:val="20"/>
          <w:szCs w:val="20"/>
          <w:color w:val="auto"/>
        </w:rPr>
      </w:pPr>
    </w:p>
    <w:p>
      <w:pPr>
        <w:ind w:left="700"/>
        <w:spacing w:after="0"/>
        <w:rPr>
          <w:sz w:val="20"/>
          <w:szCs w:val="20"/>
          <w:color w:val="auto"/>
        </w:rPr>
      </w:pPr>
      <w:r>
        <w:rPr>
          <w:rFonts w:ascii="Arial" w:cs="Arial" w:eastAsia="Arial" w:hAnsi="Arial"/>
          <w:sz w:val="16"/>
          <w:szCs w:val="16"/>
          <w:b w:val="1"/>
          <w:bCs w:val="1"/>
          <w:u w:val="single" w:color="auto"/>
          <w:color w:val="auto"/>
        </w:rPr>
        <w:t>Advertising</w:t>
      </w:r>
    </w:p>
    <w:p>
      <w:pPr>
        <w:spacing w:after="0" w:line="124" w:lineRule="exact"/>
        <w:rPr>
          <w:sz w:val="20"/>
          <w:szCs w:val="20"/>
          <w:color w:val="auto"/>
        </w:rPr>
      </w:pPr>
    </w:p>
    <w:p>
      <w:pPr>
        <w:ind w:left="700" w:firstLine="402"/>
        <w:spacing w:after="0" w:line="248" w:lineRule="auto"/>
        <w:rPr>
          <w:sz w:val="20"/>
          <w:szCs w:val="20"/>
          <w:color w:val="auto"/>
        </w:rPr>
      </w:pPr>
      <w:r>
        <w:rPr>
          <w:rFonts w:ascii="Arial" w:cs="Arial" w:eastAsia="Arial" w:hAnsi="Arial"/>
          <w:sz w:val="18"/>
          <w:szCs w:val="18"/>
          <w:color w:val="auto"/>
        </w:rPr>
        <w:t>Advertising costs incurred during the year by our Global Consumer segment are expensed to interim periods in relation to revenues. All advertising costs, except for external production costs, are expensed within the fiscal year in which such costs are incurred. External production costs for advertising programs are deferred until the period in which the advertising is first aired.</w:t>
      </w:r>
    </w:p>
    <w:p>
      <w:pPr>
        <w:spacing w:after="0" w:line="76" w:lineRule="exact"/>
        <w:rPr>
          <w:sz w:val="20"/>
          <w:szCs w:val="20"/>
          <w:color w:val="auto"/>
        </w:rPr>
      </w:pPr>
    </w:p>
    <w:p>
      <w:pPr>
        <w:ind w:left="700" w:right="80" w:firstLine="402"/>
        <w:spacing w:after="0" w:line="245" w:lineRule="auto"/>
        <w:rPr>
          <w:sz w:val="20"/>
          <w:szCs w:val="20"/>
          <w:color w:val="auto"/>
        </w:rPr>
      </w:pPr>
      <w:r>
        <w:rPr>
          <w:rFonts w:ascii="Arial" w:cs="Arial" w:eastAsia="Arial" w:hAnsi="Arial"/>
          <w:sz w:val="18"/>
          <w:szCs w:val="18"/>
          <w:color w:val="auto"/>
        </w:rPr>
        <w:t>Scotts LawnService</w:t>
      </w:r>
      <w:r>
        <w:rPr>
          <w:rFonts w:ascii="Arial" w:cs="Arial" w:eastAsia="Arial" w:hAnsi="Arial"/>
          <w:sz w:val="15"/>
          <w:szCs w:val="15"/>
          <w:color w:val="auto"/>
        </w:rPr>
        <w:t>®</w:t>
      </w:r>
      <w:r>
        <w:rPr>
          <w:rFonts w:ascii="Arial" w:cs="Arial" w:eastAsia="Arial" w:hAnsi="Arial"/>
          <w:sz w:val="18"/>
          <w:szCs w:val="18"/>
          <w:color w:val="auto"/>
        </w:rPr>
        <w:t xml:space="preserve"> promotes its service offerings primarily through direct mail campaigns. External costs associated with these campaigns that qualify as direct response advertising costs are deferred and recognized as advertising expense in proportion to revenues over a period not beyond the end of the subsequent calendar year. Costs that do not qualify as direct response advertising costs are expensed within the fiscal year incurred on a monthly basis in proportion to net sales. The costs deferred at September 30, 2008 and 2007 were $4.5 million and $5.7 million, respectively.</w:t>
      </w:r>
    </w:p>
    <w:p>
      <w:pPr>
        <w:spacing w:after="0" w:line="78" w:lineRule="exact"/>
        <w:rPr>
          <w:sz w:val="20"/>
          <w:szCs w:val="20"/>
          <w:color w:val="auto"/>
        </w:rPr>
      </w:pPr>
    </w:p>
    <w:p>
      <w:pPr>
        <w:ind w:left="700" w:firstLine="402"/>
        <w:spacing w:after="0" w:line="249" w:lineRule="auto"/>
        <w:rPr>
          <w:sz w:val="20"/>
          <w:szCs w:val="20"/>
          <w:color w:val="auto"/>
        </w:rPr>
      </w:pPr>
      <w:r>
        <w:rPr>
          <w:rFonts w:ascii="Arial" w:cs="Arial" w:eastAsia="Arial" w:hAnsi="Arial"/>
          <w:sz w:val="18"/>
          <w:szCs w:val="18"/>
          <w:color w:val="auto"/>
        </w:rPr>
        <w:t>Smith &amp; Hawken</w:t>
      </w:r>
      <w:r>
        <w:rPr>
          <w:rFonts w:ascii="Arial" w:cs="Arial" w:eastAsia="Arial" w:hAnsi="Arial"/>
          <w:sz w:val="15"/>
          <w:szCs w:val="15"/>
          <w:color w:val="auto"/>
        </w:rPr>
        <w:t>®</w:t>
      </w:r>
      <w:r>
        <w:rPr>
          <w:rFonts w:ascii="Arial" w:cs="Arial" w:eastAsia="Arial" w:hAnsi="Arial"/>
          <w:sz w:val="18"/>
          <w:szCs w:val="18"/>
          <w:color w:val="auto"/>
        </w:rPr>
        <w:t xml:space="preserve"> promotes its products primarily through catalogs. Costs related to the production, printing and distribution of catalogs are expensed over the expected sales life of the related catalog; four weeks for consumer catalogs and 52 weeks for trade catalogs. Other advertising costs, such as Internet, radio and print, are expensed as incurred. The costs deferred at September 30, 2008 and 2007 were $0.6 million and $0.5 million, respectively.</w:t>
      </w:r>
    </w:p>
    <w:p>
      <w:pPr>
        <w:spacing w:after="0" w:line="7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Advertising expenses were $142.4 million in fiscal 2008, $150.9 million in fiscal 2007 and $137.3 million in fiscal 2006.</w:t>
      </w:r>
    </w:p>
    <w:p>
      <w:pPr>
        <w:spacing w:after="0" w:line="228" w:lineRule="exact"/>
        <w:rPr>
          <w:sz w:val="20"/>
          <w:szCs w:val="20"/>
          <w:color w:val="auto"/>
        </w:rPr>
      </w:pPr>
    </w:p>
    <w:p>
      <w:pPr>
        <w:ind w:left="700"/>
        <w:spacing w:after="0"/>
        <w:rPr>
          <w:sz w:val="20"/>
          <w:szCs w:val="20"/>
          <w:color w:val="auto"/>
        </w:rPr>
      </w:pPr>
      <w:r>
        <w:rPr>
          <w:rFonts w:ascii="Arial" w:cs="Arial" w:eastAsia="Arial" w:hAnsi="Arial"/>
          <w:sz w:val="16"/>
          <w:szCs w:val="16"/>
          <w:b w:val="1"/>
          <w:bCs w:val="1"/>
          <w:u w:val="single" w:color="auto"/>
          <w:color w:val="auto"/>
        </w:rPr>
        <w:t>Research and Development</w:t>
      </w:r>
    </w:p>
    <w:p>
      <w:pPr>
        <w:spacing w:after="0" w:line="124" w:lineRule="exact"/>
        <w:rPr>
          <w:sz w:val="20"/>
          <w:szCs w:val="20"/>
          <w:color w:val="auto"/>
        </w:rPr>
      </w:pPr>
    </w:p>
    <w:p>
      <w:pPr>
        <w:ind w:left="700" w:right="60" w:firstLine="402"/>
        <w:spacing w:after="0" w:line="255" w:lineRule="auto"/>
        <w:rPr>
          <w:sz w:val="20"/>
          <w:szCs w:val="20"/>
          <w:color w:val="auto"/>
        </w:rPr>
      </w:pPr>
      <w:r>
        <w:rPr>
          <w:rFonts w:ascii="Arial" w:cs="Arial" w:eastAsia="Arial" w:hAnsi="Arial"/>
          <w:sz w:val="18"/>
          <w:szCs w:val="18"/>
          <w:color w:val="auto"/>
        </w:rPr>
        <w:t>All costs associated with research and development are charged to expense as incurred. Expenses for fiscal 2008, 2007 and 2006 were $ 44.7 million, $38.8 million and $35.1 million including product registration costs of $9.8 million, $9.3 million and $8.2 million, respectively.</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6"/>
          <w:szCs w:val="16"/>
          <w:b w:val="1"/>
          <w:bCs w:val="1"/>
          <w:u w:val="single" w:color="auto"/>
          <w:color w:val="auto"/>
        </w:rPr>
        <w:t>Environmental Costs</w:t>
      </w:r>
    </w:p>
    <w:p>
      <w:pPr>
        <w:spacing w:after="0" w:line="124" w:lineRule="exact"/>
        <w:rPr>
          <w:sz w:val="20"/>
          <w:szCs w:val="20"/>
          <w:color w:val="auto"/>
        </w:rPr>
      </w:pPr>
    </w:p>
    <w:p>
      <w:pPr>
        <w:ind w:left="700" w:right="140" w:firstLine="402"/>
        <w:spacing w:after="0" w:line="248" w:lineRule="auto"/>
        <w:rPr>
          <w:sz w:val="20"/>
          <w:szCs w:val="20"/>
          <w:color w:val="auto"/>
        </w:rPr>
      </w:pPr>
      <w:r>
        <w:rPr>
          <w:rFonts w:ascii="Arial" w:cs="Arial" w:eastAsia="Arial" w:hAnsi="Arial"/>
          <w:sz w:val="18"/>
          <w:szCs w:val="18"/>
          <w:color w:val="auto"/>
        </w:rPr>
        <w:t>The Company recognizes environmental liabilities when conditions requiring remediation are probable and the amounts can be reasonably estimated. Expenditures which extend the life of the related property or mitigate or prevent future environmental contamination are capitalized. Environmental liabilities are not discounted or reduced for possible recoveries from insurance carriers.</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6"/>
          <w:szCs w:val="16"/>
          <w:b w:val="1"/>
          <w:bCs w:val="1"/>
          <w:u w:val="single" w:color="auto"/>
          <w:color w:val="auto"/>
        </w:rPr>
        <w:t>Stock-Based Compensation Awards</w:t>
      </w:r>
    </w:p>
    <w:p>
      <w:pPr>
        <w:spacing w:after="0" w:line="124" w:lineRule="exact"/>
        <w:rPr>
          <w:sz w:val="20"/>
          <w:szCs w:val="20"/>
          <w:color w:val="auto"/>
        </w:rPr>
      </w:pPr>
    </w:p>
    <w:p>
      <w:pPr>
        <w:ind w:left="700" w:right="640" w:firstLine="402"/>
        <w:spacing w:after="0" w:line="276" w:lineRule="auto"/>
        <w:rPr>
          <w:sz w:val="20"/>
          <w:szCs w:val="20"/>
          <w:color w:val="auto"/>
        </w:rPr>
      </w:pPr>
      <w:r>
        <w:rPr>
          <w:rFonts w:ascii="Arial" w:cs="Arial" w:eastAsia="Arial" w:hAnsi="Arial"/>
          <w:sz w:val="18"/>
          <w:szCs w:val="18"/>
          <w:color w:val="auto"/>
        </w:rPr>
        <w:t>The fair value of awards is expensed ratably over the vesting period, generally three years. The Company uses a binomial model to determine the fair value of its option grants.</w:t>
      </w:r>
    </w:p>
    <w:p>
      <w:pPr>
        <w:spacing w:after="0" w:line="161" w:lineRule="exact"/>
        <w:rPr>
          <w:sz w:val="20"/>
          <w:szCs w:val="20"/>
          <w:color w:val="auto"/>
        </w:rPr>
      </w:pPr>
    </w:p>
    <w:p>
      <w:pPr>
        <w:ind w:left="700"/>
        <w:spacing w:after="0"/>
        <w:rPr>
          <w:sz w:val="20"/>
          <w:szCs w:val="20"/>
          <w:color w:val="auto"/>
        </w:rPr>
      </w:pPr>
      <w:r>
        <w:rPr>
          <w:rFonts w:ascii="Arial" w:cs="Arial" w:eastAsia="Arial" w:hAnsi="Arial"/>
          <w:sz w:val="16"/>
          <w:szCs w:val="16"/>
          <w:b w:val="1"/>
          <w:bCs w:val="1"/>
          <w:u w:val="single" w:color="auto"/>
          <w:color w:val="auto"/>
        </w:rPr>
        <w:t>Earnings per Common Share</w:t>
      </w:r>
    </w:p>
    <w:p>
      <w:pPr>
        <w:spacing w:after="0" w:line="124" w:lineRule="exact"/>
        <w:rPr>
          <w:sz w:val="20"/>
          <w:szCs w:val="20"/>
          <w:color w:val="auto"/>
        </w:rPr>
      </w:pPr>
    </w:p>
    <w:p>
      <w:pPr>
        <w:ind w:left="700" w:firstLine="402"/>
        <w:spacing w:after="0" w:line="248" w:lineRule="auto"/>
        <w:rPr>
          <w:sz w:val="20"/>
          <w:szCs w:val="20"/>
          <w:color w:val="auto"/>
        </w:rPr>
      </w:pPr>
      <w:r>
        <w:rPr>
          <w:rFonts w:ascii="Arial" w:cs="Arial" w:eastAsia="Arial" w:hAnsi="Arial"/>
          <w:sz w:val="18"/>
          <w:szCs w:val="18"/>
          <w:color w:val="auto"/>
        </w:rPr>
        <w:t>Basic earnings per common share is computed based on the weighted-average number of common shares outstanding each period. Diluted earnings per common share is computed based on the weighted-average number of common shares and dilutive potential common shares (stock options, restricted stock, performance shares and stock appreciation rights) outstanding each period.</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6"/>
          <w:szCs w:val="16"/>
          <w:b w:val="1"/>
          <w:bCs w:val="1"/>
          <w:u w:val="single" w:color="auto"/>
          <w:color w:val="auto"/>
        </w:rPr>
        <w:t>Cash and Cash Equivalents</w:t>
      </w:r>
    </w:p>
    <w:p>
      <w:pPr>
        <w:spacing w:after="0" w:line="124" w:lineRule="exact"/>
        <w:rPr>
          <w:sz w:val="20"/>
          <w:szCs w:val="20"/>
          <w:color w:val="auto"/>
        </w:rPr>
      </w:pPr>
    </w:p>
    <w:p>
      <w:pPr>
        <w:ind w:left="700" w:right="60" w:firstLine="402"/>
        <w:spacing w:after="0" w:line="248" w:lineRule="auto"/>
        <w:rPr>
          <w:sz w:val="20"/>
          <w:szCs w:val="20"/>
          <w:color w:val="auto"/>
        </w:rPr>
      </w:pPr>
      <w:r>
        <w:rPr>
          <w:rFonts w:ascii="Arial" w:cs="Arial" w:eastAsia="Arial" w:hAnsi="Arial"/>
          <w:sz w:val="18"/>
          <w:szCs w:val="18"/>
          <w:color w:val="auto"/>
        </w:rPr>
        <w:t>The Company considers all highly liquid financial instruments with original maturities of three months or less to be cash equivalents. The Company maintains cash deposits in banks which from time to time exceed the amount of deposit insurance available. Management periodically assesses the financial condition of the institutions and believes that any potential credit loss is minimal.</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6"/>
          <w:szCs w:val="16"/>
          <w:b w:val="1"/>
          <w:bCs w:val="1"/>
          <w:u w:val="single" w:color="auto"/>
          <w:color w:val="auto"/>
        </w:rPr>
        <w:t>Accounts Receivable and Allowances</w:t>
      </w:r>
    </w:p>
    <w:p>
      <w:pPr>
        <w:spacing w:after="0" w:line="124" w:lineRule="exact"/>
        <w:rPr>
          <w:sz w:val="20"/>
          <w:szCs w:val="20"/>
          <w:color w:val="auto"/>
        </w:rPr>
      </w:pPr>
    </w:p>
    <w:p>
      <w:pPr>
        <w:ind w:left="700" w:right="380" w:firstLine="402"/>
        <w:spacing w:after="0" w:line="276" w:lineRule="auto"/>
        <w:rPr>
          <w:sz w:val="20"/>
          <w:szCs w:val="20"/>
          <w:color w:val="auto"/>
        </w:rPr>
      </w:pPr>
      <w:r>
        <w:rPr>
          <w:rFonts w:ascii="Arial" w:cs="Arial" w:eastAsia="Arial" w:hAnsi="Arial"/>
          <w:sz w:val="18"/>
          <w:szCs w:val="18"/>
          <w:color w:val="auto"/>
        </w:rPr>
        <w:t>Trade accounts receivable are recorded at the invoiced amount and do not bear interest. Allowances reflect our best estimate of amounts in our existing accounts receivable that may not be collected due to</w:t>
      </w:r>
    </w:p>
    <w:p>
      <w:pPr>
        <w:spacing w:after="0" w:line="8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1"/>
          <w:szCs w:val="11"/>
          <w:b w:val="1"/>
          <w:bCs w:val="1"/>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-78105</wp:posOffset>
            </wp:positionV>
            <wp:extent cx="19748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20"/>
          </w:cols>
          <w:pgMar w:left="240" w:top="415" w:right="93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hyperlink w:anchor="page64">
        <w:r>
          <w:rPr>
            <w:rFonts w:ascii="Times New Roman" w:cs="Times New Roman" w:eastAsia="Times New Roman" w:hAnsi="Times New Roman"/>
            <w:sz w:val="18"/>
            <w:szCs w:val="18"/>
            <w:b w:val="1"/>
            <w:bCs w:val="1"/>
            <w:u w:val="single" w:color="auto"/>
            <w:color w:val="0000EE"/>
          </w:rPr>
          <w:t>Table of Contents</w:t>
        </w:r>
      </w:hyperlink>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5" w:lineRule="exact"/>
        <w:rPr>
          <w:sz w:val="20"/>
          <w:szCs w:val="20"/>
          <w:color w:val="auto"/>
        </w:rPr>
      </w:pPr>
    </w:p>
    <w:p>
      <w:pPr>
        <w:ind w:left="700" w:right="680"/>
        <w:spacing w:after="0" w:line="245" w:lineRule="auto"/>
        <w:rPr>
          <w:sz w:val="20"/>
          <w:szCs w:val="20"/>
          <w:color w:val="auto"/>
        </w:rPr>
      </w:pPr>
      <w:r>
        <w:rPr>
          <w:rFonts w:ascii="Arial" w:cs="Arial" w:eastAsia="Arial" w:hAnsi="Arial"/>
          <w:sz w:val="18"/>
          <w:szCs w:val="18"/>
          <w:color w:val="auto"/>
        </w:rPr>
        <w:t>customer claims, the return of goods, or customer inability or unwillingness to pay. We determine the allowance based on customer risk assessment and historical experience. We review our allowances monthly. Past due balances over 90 days and in excess of a specified amount are reviewed individually for collectibility. All other balances are reviewed on a pooled basis by type of receivable. Account balances are charged off against the allowance when we feel it is probable the receivable will not be recovered. We do not have any off-balance-sheet credit exposure related to our customers.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6"/>
          <w:szCs w:val="16"/>
          <w:b w:val="1"/>
          <w:bCs w:val="1"/>
          <w:u w:val="single" w:color="auto"/>
          <w:color w:val="auto"/>
        </w:rPr>
        <w:t>Inventories</w:t>
      </w:r>
    </w:p>
    <w:p>
      <w:pPr>
        <w:spacing w:after="0" w:line="124" w:lineRule="exact"/>
        <w:rPr>
          <w:sz w:val="20"/>
          <w:szCs w:val="20"/>
          <w:color w:val="auto"/>
        </w:rPr>
      </w:pPr>
    </w:p>
    <w:p>
      <w:pPr>
        <w:ind w:left="700" w:right="820" w:firstLine="402"/>
        <w:spacing w:after="0" w:line="241" w:lineRule="auto"/>
        <w:rPr>
          <w:sz w:val="20"/>
          <w:szCs w:val="20"/>
          <w:color w:val="auto"/>
        </w:rPr>
      </w:pPr>
      <w:r>
        <w:rPr>
          <w:rFonts w:ascii="Arial" w:cs="Arial" w:eastAsia="Arial" w:hAnsi="Arial"/>
          <w:sz w:val="18"/>
          <w:szCs w:val="18"/>
          <w:color w:val="auto"/>
        </w:rPr>
        <w:t>Inventories are stated at the lower of cost or market, principally determined by the FIFO method. Certain growing media inventories are accounted for by the LIFO method. Approximately 6% of inventories were valued at the lower of LIFO cost or market at September 30, 2008 and 2007. Inventories include the cost of raw materials, labor, manufacturing overhead and freight and in-bound handling costs incurred to pre-position goods in the Company’s warehouse network. The Company makes provisions for obsolete or slow-moving inventories as necessary to properly reflect inventory at the lower of cost or market value. Reserves for excess and obsolete inventories were $26.2 million and $15.6 million at September 30, 2008 and 2007, respectively.</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16"/>
          <w:szCs w:val="16"/>
          <w:b w:val="1"/>
          <w:bCs w:val="1"/>
          <w:u w:val="single" w:color="auto"/>
          <w:color w:val="auto"/>
        </w:rPr>
        <w:t>Goodwill and Indefinite-lived Intangible Assets</w:t>
      </w:r>
    </w:p>
    <w:p>
      <w:pPr>
        <w:spacing w:after="0" w:line="124" w:lineRule="exact"/>
        <w:rPr>
          <w:sz w:val="20"/>
          <w:szCs w:val="20"/>
          <w:color w:val="auto"/>
        </w:rPr>
      </w:pPr>
    </w:p>
    <w:p>
      <w:pPr>
        <w:ind w:left="700" w:right="760" w:firstLine="402"/>
        <w:spacing w:after="0" w:line="243" w:lineRule="auto"/>
        <w:rPr>
          <w:sz w:val="20"/>
          <w:szCs w:val="20"/>
          <w:color w:val="auto"/>
        </w:rPr>
      </w:pPr>
      <w:r>
        <w:rPr>
          <w:rFonts w:ascii="Arial" w:cs="Arial" w:eastAsia="Arial" w:hAnsi="Arial"/>
          <w:sz w:val="18"/>
          <w:szCs w:val="18"/>
          <w:color w:val="auto"/>
        </w:rPr>
        <w:t>In accordance with Statement of Financial Accounting Standards (“SFAS”) 142, “Goodwill and Other Intangible Assets,” (“SFAS 142”), goodwill and intangible assets determined to have indefinite lives are not subject to amortization. Goodwill and indefinite-lived intangible assets are reviewed for impairment by applying a fair-value based test on an annual basis or more frequently if circumstances indicate a potential impairment. If it is determined that an impairment has occurred, an impairment loss is recognized for the amount by which the carrying amount of the asset exceeds its estimated fair value and classified as “Impairment, restructuring and other charges” in the Consolidated Statements of Operations.</w:t>
      </w:r>
    </w:p>
    <w:p>
      <w:pPr>
        <w:spacing w:after="0" w:line="80" w:lineRule="exact"/>
        <w:rPr>
          <w:sz w:val="20"/>
          <w:szCs w:val="20"/>
          <w:color w:val="auto"/>
        </w:rPr>
      </w:pPr>
    </w:p>
    <w:p>
      <w:pPr>
        <w:ind w:left="700" w:right="740" w:firstLine="402"/>
        <w:spacing w:after="0"/>
        <w:rPr>
          <w:sz w:val="20"/>
          <w:szCs w:val="20"/>
          <w:color w:val="auto"/>
        </w:rPr>
      </w:pPr>
      <w:r>
        <w:rPr>
          <w:rFonts w:ascii="Arial" w:cs="Arial" w:eastAsia="Arial" w:hAnsi="Arial"/>
          <w:sz w:val="18"/>
          <w:szCs w:val="18"/>
          <w:color w:val="auto"/>
        </w:rPr>
        <w:t>During the third quarter of fiscal 2007, the Company changed the timing of its annual goodwill impairment testing from the last day of the first fiscal quarter to the first day of the fourth fiscal quarter. As such, the annual impairment test was performed as of December 30, 2006 and was performed again as of July 1, 2007. This accounting is preferable in the circumstances as moving the timing of our annual goodwill impairment testing better aligns with the seasonal nature of the business and the timing of the annual strategic planning process. The Company believes that this change in accounting principle will not delay, accelerate or avoid an impairment charge. In addition, the Company also changed the date of its annual indefinite life intangible impairment testing to the first day of the fourth fiscal quarter for the current year. The Company determined that the change in accounting principle related to the annual testing date does not result in adjustments to the financial statements applied retrospectively.</w:t>
      </w:r>
    </w:p>
    <w:p>
      <w:pPr>
        <w:spacing w:after="0" w:line="193" w:lineRule="exact"/>
        <w:rPr>
          <w:sz w:val="20"/>
          <w:szCs w:val="20"/>
          <w:color w:val="auto"/>
        </w:rPr>
      </w:pPr>
    </w:p>
    <w:p>
      <w:pPr>
        <w:ind w:left="700"/>
        <w:spacing w:after="0"/>
        <w:rPr>
          <w:sz w:val="20"/>
          <w:szCs w:val="20"/>
          <w:color w:val="auto"/>
        </w:rPr>
      </w:pPr>
      <w:r>
        <w:rPr>
          <w:rFonts w:ascii="Arial" w:cs="Arial" w:eastAsia="Arial" w:hAnsi="Arial"/>
          <w:sz w:val="16"/>
          <w:szCs w:val="16"/>
          <w:b w:val="1"/>
          <w:bCs w:val="1"/>
          <w:u w:val="single" w:color="auto"/>
          <w:color w:val="auto"/>
        </w:rPr>
        <w:t>Long-lived Assets</w:t>
      </w:r>
    </w:p>
    <w:p>
      <w:pPr>
        <w:spacing w:after="0" w:line="124"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Property, plant and equipment are stated at cost. Interest capitalized on capital projects amounted to $0.3 million,</w:t>
      </w:r>
    </w:p>
    <w:p>
      <w:pPr>
        <w:spacing w:after="0" w:line="1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$0.4 million and $0.5 million during fiscal 2008, 2007 and 2006, respectively. Expenditures for maintenance and repairs are</w:t>
      </w:r>
    </w:p>
    <w:p>
      <w:pPr>
        <w:ind w:left="700"/>
        <w:spacing w:after="0" w:line="234" w:lineRule="auto"/>
        <w:rPr>
          <w:sz w:val="20"/>
          <w:szCs w:val="20"/>
          <w:color w:val="auto"/>
        </w:rPr>
      </w:pPr>
      <w:r>
        <w:rPr>
          <w:rFonts w:ascii="Arial" w:cs="Arial" w:eastAsia="Arial" w:hAnsi="Arial"/>
          <w:sz w:val="18"/>
          <w:szCs w:val="18"/>
          <w:color w:val="auto"/>
        </w:rPr>
        <w:t>charged to expense as incurred. When properties are retired or otherwise disposed of, the cost of the asset and the related</w:t>
      </w:r>
    </w:p>
    <w:p>
      <w:pPr>
        <w:ind w:left="700"/>
        <w:spacing w:after="0" w:line="235" w:lineRule="auto"/>
        <w:rPr>
          <w:sz w:val="20"/>
          <w:szCs w:val="20"/>
          <w:color w:val="auto"/>
        </w:rPr>
      </w:pPr>
      <w:r>
        <w:rPr>
          <w:rFonts w:ascii="Arial" w:cs="Arial" w:eastAsia="Arial" w:hAnsi="Arial"/>
          <w:sz w:val="18"/>
          <w:szCs w:val="18"/>
          <w:color w:val="auto"/>
        </w:rPr>
        <w:t>accumulated depreciation are removed from the accounts with the resulting gain or loss being reflected in income from</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operations.</w:t>
      </w:r>
    </w:p>
    <w:p>
      <w:pPr>
        <w:spacing w:after="0" w:line="95" w:lineRule="exact"/>
        <w:rPr>
          <w:sz w:val="20"/>
          <w:szCs w:val="20"/>
          <w:color w:val="auto"/>
        </w:rPr>
      </w:pPr>
    </w:p>
    <w:p>
      <w:pPr>
        <w:ind w:left="700" w:right="1140" w:firstLine="402"/>
        <w:spacing w:after="0" w:line="276" w:lineRule="auto"/>
        <w:rPr>
          <w:sz w:val="20"/>
          <w:szCs w:val="20"/>
          <w:color w:val="auto"/>
        </w:rPr>
      </w:pPr>
      <w:r>
        <w:rPr>
          <w:rFonts w:ascii="Arial" w:cs="Arial" w:eastAsia="Arial" w:hAnsi="Arial"/>
          <w:sz w:val="18"/>
          <w:szCs w:val="18"/>
          <w:color w:val="auto"/>
        </w:rPr>
        <w:t>Depreciation of property, plant and equipment is provided on the straight-line method and is based on the estimated useful economic lives of the assets as follows: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Land improvements</w:t>
            </w:r>
          </w:p>
        </w:tc>
        <w:tc>
          <w:tcPr>
            <w:tcW w:w="4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 25 years</w:t>
            </w:r>
          </w:p>
        </w:tc>
        <w:tc>
          <w:tcPr>
            <w:tcW w:w="680" w:type="dxa"/>
            <w:vAlign w:val="bottom"/>
          </w:tcPr>
          <w:p>
            <w:pPr>
              <w:spacing w:after="0"/>
              <w:rPr>
                <w:sz w:val="18"/>
                <w:szCs w:val="18"/>
                <w:color w:val="auto"/>
              </w:rPr>
            </w:pPr>
          </w:p>
        </w:tc>
      </w:tr>
      <w:tr>
        <w:trPr>
          <w:trHeight w:val="203"/>
        </w:trPr>
        <w:tc>
          <w:tcPr>
            <w:tcW w:w="700" w:type="dxa"/>
            <w:vAlign w:val="bottom"/>
          </w:tcPr>
          <w:p>
            <w:pPr>
              <w:spacing w:after="0"/>
              <w:rPr>
                <w:sz w:val="17"/>
                <w:szCs w:val="17"/>
                <w:color w:val="auto"/>
              </w:rPr>
            </w:pPr>
          </w:p>
        </w:tc>
        <w:tc>
          <w:tcPr>
            <w:tcW w:w="4860" w:type="dxa"/>
            <w:vAlign w:val="bottom"/>
          </w:tcPr>
          <w:p>
            <w:pPr>
              <w:spacing w:after="0" w:line="202" w:lineRule="exact"/>
              <w:rPr>
                <w:sz w:val="20"/>
                <w:szCs w:val="20"/>
                <w:color w:val="auto"/>
              </w:rPr>
            </w:pPr>
            <w:r>
              <w:rPr>
                <w:rFonts w:ascii="Arial" w:cs="Arial" w:eastAsia="Arial" w:hAnsi="Arial"/>
                <w:sz w:val="18"/>
                <w:szCs w:val="18"/>
                <w:color w:val="auto"/>
              </w:rPr>
              <w:t>Buildings</w:t>
            </w:r>
          </w:p>
        </w:tc>
        <w:tc>
          <w:tcPr>
            <w:tcW w:w="4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w:t>
            </w: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 40 years</w:t>
            </w:r>
          </w:p>
        </w:tc>
        <w:tc>
          <w:tcPr>
            <w:tcW w:w="68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4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Machinery and equipment</w:t>
            </w:r>
          </w:p>
        </w:tc>
        <w:tc>
          <w:tcPr>
            <w:tcW w:w="4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w:t>
            </w:r>
          </w:p>
        </w:tc>
        <w:tc>
          <w:tcPr>
            <w:tcW w:w="10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 15 years</w:t>
            </w:r>
          </w:p>
        </w:tc>
        <w:tc>
          <w:tcPr>
            <w:tcW w:w="68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4860" w:type="dxa"/>
            <w:vAlign w:val="bottom"/>
          </w:tcPr>
          <w:p>
            <w:pPr>
              <w:spacing w:after="0" w:line="202" w:lineRule="exact"/>
              <w:rPr>
                <w:sz w:val="20"/>
                <w:szCs w:val="20"/>
                <w:color w:val="auto"/>
              </w:rPr>
            </w:pPr>
            <w:r>
              <w:rPr>
                <w:rFonts w:ascii="Arial" w:cs="Arial" w:eastAsia="Arial" w:hAnsi="Arial"/>
                <w:sz w:val="18"/>
                <w:szCs w:val="18"/>
                <w:color w:val="auto"/>
              </w:rPr>
              <w:t>Furniture and fixtures</w:t>
            </w:r>
          </w:p>
        </w:tc>
        <w:tc>
          <w:tcPr>
            <w:tcW w:w="4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w:t>
            </w: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 10 years</w:t>
            </w:r>
          </w:p>
        </w:tc>
        <w:tc>
          <w:tcPr>
            <w:tcW w:w="68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4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Software</w:t>
            </w:r>
          </w:p>
        </w:tc>
        <w:tc>
          <w:tcPr>
            <w:tcW w:w="300" w:type="dxa"/>
            <w:vAlign w:val="bottom"/>
            <w:shd w:val="clear" w:color="auto" w:fill="CCEEFF"/>
          </w:tcPr>
          <w:p>
            <w:pPr>
              <w:spacing w:after="0"/>
              <w:rPr>
                <w:sz w:val="17"/>
                <w:szCs w:val="17"/>
                <w:color w:val="auto"/>
              </w:rPr>
            </w:pPr>
          </w:p>
        </w:tc>
        <w:tc>
          <w:tcPr>
            <w:tcW w:w="38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98"/>
              </w:rPr>
              <w:t>3 — 8 years</w:t>
            </w:r>
          </w:p>
        </w:tc>
        <w:tc>
          <w:tcPr>
            <w:tcW w:w="680" w:type="dxa"/>
            <w:vAlign w:val="bottom"/>
          </w:tcPr>
          <w:p>
            <w:pPr>
              <w:spacing w:after="0"/>
              <w:rPr>
                <w:sz w:val="17"/>
                <w:szCs w:val="17"/>
                <w:color w:val="auto"/>
              </w:rPr>
            </w:pPr>
          </w:p>
        </w:tc>
      </w:tr>
      <w:tr>
        <w:trPr>
          <w:trHeight w:val="135"/>
        </w:trPr>
        <w:tc>
          <w:tcPr>
            <w:tcW w:w="70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3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6"/>
        </w:trPr>
        <w:tc>
          <w:tcPr>
            <w:tcW w:w="70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300" w:type="dxa"/>
            <w:vAlign w:val="bottom"/>
          </w:tcPr>
          <w:p>
            <w:pPr>
              <w:jc w:val="right"/>
              <w:ind w:right="17"/>
              <w:spacing w:after="0"/>
              <w:rPr>
                <w:sz w:val="20"/>
                <w:szCs w:val="20"/>
                <w:color w:val="auto"/>
              </w:rPr>
            </w:pPr>
            <w:r>
              <w:rPr>
                <w:rFonts w:ascii="Times New Roman" w:cs="Times New Roman" w:eastAsia="Times New Roman" w:hAnsi="Times New Roman"/>
                <w:sz w:val="11"/>
                <w:szCs w:val="11"/>
                <w:b w:val="1"/>
                <w:bCs w:val="1"/>
                <w:color w:val="auto"/>
              </w:rPr>
              <w:t>72</w:t>
            </w:r>
          </w:p>
        </w:tc>
        <w:tc>
          <w:tcPr>
            <w:tcW w:w="3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206"/>
        </w:trPr>
        <w:tc>
          <w:tcPr>
            <w:tcW w:w="700" w:type="dxa"/>
            <w:vAlign w:val="bottom"/>
            <w:tcBorders>
              <w:bottom w:val="single" w:sz="8" w:color="808080"/>
            </w:tcBorders>
          </w:tcPr>
          <w:p>
            <w:pPr>
              <w:spacing w:after="0"/>
              <w:rPr>
                <w:sz w:val="17"/>
                <w:szCs w:val="17"/>
                <w:color w:val="auto"/>
              </w:rPr>
            </w:pPr>
          </w:p>
        </w:tc>
        <w:tc>
          <w:tcPr>
            <w:tcW w:w="486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3800" w:type="dxa"/>
            <w:vAlign w:val="bottom"/>
            <w:tcBorders>
              <w:bottom w:val="single" w:sz="8" w:color="808080"/>
            </w:tcBorders>
          </w:tcPr>
          <w:p>
            <w:pPr>
              <w:spacing w:after="0"/>
              <w:rPr>
                <w:sz w:val="17"/>
                <w:szCs w:val="17"/>
                <w:color w:val="auto"/>
              </w:rPr>
            </w:pPr>
          </w:p>
        </w:tc>
        <w:tc>
          <w:tcPr>
            <w:tcW w:w="108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hyperlink w:anchor="page64">
        <w:r>
          <w:rPr>
            <w:rFonts w:ascii="Times New Roman" w:cs="Times New Roman" w:eastAsia="Times New Roman" w:hAnsi="Times New Roman"/>
            <w:sz w:val="18"/>
            <w:szCs w:val="18"/>
            <w:b w:val="1"/>
            <w:bCs w:val="1"/>
            <w:u w:val="single" w:color="auto"/>
            <w:color w:val="0000EE"/>
          </w:rPr>
          <w:t>Table of Contents</w:t>
        </w:r>
      </w:hyperlink>
    </w:p>
    <w:p>
      <w:pPr>
        <w:spacing w:after="0" w:line="317"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5" w:lineRule="exact"/>
        <w:rPr>
          <w:sz w:val="20"/>
          <w:szCs w:val="20"/>
          <w:color w:val="auto"/>
        </w:rPr>
      </w:pPr>
    </w:p>
    <w:p>
      <w:pPr>
        <w:ind w:left="700" w:right="160" w:firstLine="402"/>
        <w:spacing w:after="0" w:line="245" w:lineRule="auto"/>
        <w:rPr>
          <w:sz w:val="20"/>
          <w:szCs w:val="20"/>
          <w:color w:val="auto"/>
        </w:rPr>
      </w:pPr>
      <w:r>
        <w:rPr>
          <w:rFonts w:ascii="Arial" w:cs="Arial" w:eastAsia="Arial" w:hAnsi="Arial"/>
          <w:sz w:val="18"/>
          <w:szCs w:val="18"/>
          <w:color w:val="auto"/>
        </w:rPr>
        <w:t>Intangible assets with finite lives, and therefore subject to amortization, include technology (e.g., patents), customer accounts and certain tradenames. These intangible assets are being amortized on the straight-line method over periods typically ranging from 10 to 25 years. The Company’s fixed assets and intangible assets subject to amortization are required to be tested for recoverability under SFAS 144, “Accounting for the Impairment or Disposal of Long-Lived Assets,” whenever events or changes in circumstances indicate that carrying amounts may not be recoverable.</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6"/>
          <w:szCs w:val="16"/>
          <w:b w:val="1"/>
          <w:bCs w:val="1"/>
          <w:u w:val="single" w:color="auto"/>
          <w:color w:val="auto"/>
        </w:rPr>
        <w:t>Internal Use Software</w:t>
      </w:r>
    </w:p>
    <w:p>
      <w:pPr>
        <w:spacing w:after="0" w:line="124" w:lineRule="exact"/>
        <w:rPr>
          <w:sz w:val="20"/>
          <w:szCs w:val="20"/>
          <w:color w:val="auto"/>
        </w:rPr>
      </w:pPr>
    </w:p>
    <w:p>
      <w:pPr>
        <w:ind w:left="700" w:right="20" w:firstLine="402"/>
        <w:spacing w:after="0" w:line="243" w:lineRule="auto"/>
        <w:rPr>
          <w:sz w:val="20"/>
          <w:szCs w:val="20"/>
          <w:color w:val="auto"/>
        </w:rPr>
      </w:pPr>
      <w:r>
        <w:rPr>
          <w:rFonts w:ascii="Arial" w:cs="Arial" w:eastAsia="Arial" w:hAnsi="Arial"/>
          <w:sz w:val="18"/>
          <w:szCs w:val="18"/>
          <w:color w:val="auto"/>
        </w:rPr>
        <w:t>The Company accounts for the costs of internal use software in accordance with Statement of Position 98-1, “Accounting for the Costs of Computer Software Developed or Obtained for Internal Use.” Accordingly, costs are expensed or capitalized depending on whether they are incurred in the preliminary project stage, application development stage or the post-implementation/operation stage. As of September 30, 2008 and 2007, the Company had $21.9 million and $31.1 million, respectively, in unamortized capitalized internal use computer software costs. Amortization of these costs was $7.2 million, $12.1 million and $10.7 million during fiscal 2008, 2007 and 2006, respectively.</w:t>
      </w:r>
    </w:p>
    <w:p>
      <w:pPr>
        <w:spacing w:after="0" w:line="190" w:lineRule="exact"/>
        <w:rPr>
          <w:sz w:val="20"/>
          <w:szCs w:val="20"/>
          <w:color w:val="auto"/>
        </w:rPr>
      </w:pPr>
    </w:p>
    <w:p>
      <w:pPr>
        <w:ind w:left="700"/>
        <w:spacing w:after="0"/>
        <w:rPr>
          <w:sz w:val="20"/>
          <w:szCs w:val="20"/>
          <w:color w:val="auto"/>
        </w:rPr>
      </w:pPr>
      <w:r>
        <w:rPr>
          <w:rFonts w:ascii="Arial" w:cs="Arial" w:eastAsia="Arial" w:hAnsi="Arial"/>
          <w:sz w:val="16"/>
          <w:szCs w:val="16"/>
          <w:b w:val="1"/>
          <w:bCs w:val="1"/>
          <w:u w:val="single" w:color="auto"/>
          <w:color w:val="auto"/>
        </w:rPr>
        <w:t>Accruals for Self-Insured Losses</w:t>
      </w:r>
    </w:p>
    <w:p>
      <w:pPr>
        <w:spacing w:after="0" w:line="124" w:lineRule="exact"/>
        <w:rPr>
          <w:sz w:val="20"/>
          <w:szCs w:val="20"/>
          <w:color w:val="auto"/>
        </w:rPr>
      </w:pPr>
    </w:p>
    <w:p>
      <w:pPr>
        <w:ind w:left="700" w:firstLine="402"/>
        <w:spacing w:after="0" w:line="245" w:lineRule="auto"/>
        <w:rPr>
          <w:sz w:val="20"/>
          <w:szCs w:val="20"/>
          <w:color w:val="auto"/>
        </w:rPr>
      </w:pPr>
      <w:r>
        <w:rPr>
          <w:rFonts w:ascii="Arial" w:cs="Arial" w:eastAsia="Arial" w:hAnsi="Arial"/>
          <w:sz w:val="18"/>
          <w:szCs w:val="18"/>
          <w:color w:val="auto"/>
        </w:rPr>
        <w:t>The Company maintains insurance for certain risks, including workers’ compensation, general liability and vehicle liability, and is self-insured for employee related health care benefits. The Company accrues for the expected costs associated with these risks by considering historical claims experience, demographic factors, severity factors and other relevant information. Costs are recognized in the period the claim is incurred, and the financial statement accruals include an actuarially determined estimate of claims incurred but not yet reported.</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6"/>
          <w:szCs w:val="16"/>
          <w:b w:val="1"/>
          <w:bCs w:val="1"/>
          <w:u w:val="single" w:color="auto"/>
          <w:color w:val="auto"/>
        </w:rPr>
        <w:t>Translation of Foreign Currencies</w:t>
      </w:r>
    </w:p>
    <w:p>
      <w:pPr>
        <w:spacing w:after="0" w:line="124" w:lineRule="exact"/>
        <w:rPr>
          <w:sz w:val="20"/>
          <w:szCs w:val="20"/>
          <w:color w:val="auto"/>
        </w:rPr>
      </w:pPr>
    </w:p>
    <w:p>
      <w:pPr>
        <w:ind w:left="700" w:right="20" w:firstLine="402"/>
        <w:spacing w:after="0" w:line="245" w:lineRule="auto"/>
        <w:rPr>
          <w:sz w:val="20"/>
          <w:szCs w:val="20"/>
          <w:color w:val="auto"/>
        </w:rPr>
      </w:pPr>
      <w:r>
        <w:rPr>
          <w:rFonts w:ascii="Arial" w:cs="Arial" w:eastAsia="Arial" w:hAnsi="Arial"/>
          <w:sz w:val="18"/>
          <w:szCs w:val="18"/>
          <w:color w:val="auto"/>
        </w:rPr>
        <w:t>For all foreign operations, the functional currency is the local currency. Assets and liabilities of these operations are translated at the exchange rate in effect at each year-end. Income and expense accounts are translated at the average rate of exchange prevailing during the year. Translation gains and losses arising from the use of differing exchange rates from period to period are included in other comprehensive income, a component of shareholders’ equity. Foreign currency transaction gains and losses are included in the determination of net income (loss).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6"/>
          <w:szCs w:val="16"/>
          <w:b w:val="1"/>
          <w:bCs w:val="1"/>
          <w:u w:val="single" w:color="auto"/>
          <w:color w:val="auto"/>
        </w:rPr>
        <w:t>Derivative Instruments</w:t>
      </w:r>
    </w:p>
    <w:p>
      <w:pPr>
        <w:spacing w:after="0" w:line="124" w:lineRule="exact"/>
        <w:rPr>
          <w:sz w:val="20"/>
          <w:szCs w:val="20"/>
          <w:color w:val="auto"/>
        </w:rPr>
      </w:pPr>
    </w:p>
    <w:p>
      <w:pPr>
        <w:ind w:left="700" w:firstLine="402"/>
        <w:spacing w:after="0" w:line="248" w:lineRule="auto"/>
        <w:rPr>
          <w:sz w:val="20"/>
          <w:szCs w:val="20"/>
          <w:color w:val="auto"/>
        </w:rPr>
      </w:pPr>
      <w:r>
        <w:rPr>
          <w:rFonts w:ascii="Arial" w:cs="Arial" w:eastAsia="Arial" w:hAnsi="Arial"/>
          <w:sz w:val="18"/>
          <w:szCs w:val="18"/>
          <w:color w:val="auto"/>
        </w:rPr>
        <w:t>In the normal course of business, the Company is exposed to fluctuations in interest rates, the value of foreign currencies and the cost of commodities. A variety of financial instruments, including forward and swap contracts, are used to manage these exposures. The Company’s objective in managing these exposures is to better control these elements of cost and mitigate the earnings and cash flow volatility associated with changes in the applicable rates and prices.</w:t>
      </w:r>
    </w:p>
    <w:p>
      <w:pPr>
        <w:spacing w:after="0" w:line="76" w:lineRule="exact"/>
        <w:rPr>
          <w:sz w:val="20"/>
          <w:szCs w:val="20"/>
          <w:color w:val="auto"/>
        </w:rPr>
      </w:pPr>
    </w:p>
    <w:p>
      <w:pPr>
        <w:ind w:left="700" w:firstLine="402"/>
        <w:spacing w:after="0" w:line="255" w:lineRule="auto"/>
        <w:rPr>
          <w:sz w:val="20"/>
          <w:szCs w:val="20"/>
          <w:color w:val="auto"/>
        </w:rPr>
      </w:pPr>
      <w:r>
        <w:rPr>
          <w:rFonts w:ascii="Arial" w:cs="Arial" w:eastAsia="Arial" w:hAnsi="Arial"/>
          <w:sz w:val="18"/>
          <w:szCs w:val="18"/>
          <w:color w:val="auto"/>
        </w:rPr>
        <w:t>The Company has established policies and procedures that encompass risk-management philosophy and objectives, guidelines for derivative-instrument usage, counterparty credit approval, and the monitoring and reporting of derivative activity. The Company does not enter into derivative instruments for the purpose of speculation.</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6"/>
          <w:szCs w:val="16"/>
          <w:b w:val="1"/>
          <w:bCs w:val="1"/>
          <w:u w:val="single" w:color="auto"/>
          <w:color w:val="auto"/>
        </w:rPr>
        <w:t>Variable Interest Entities</w:t>
      </w:r>
    </w:p>
    <w:p>
      <w:pPr>
        <w:spacing w:after="0" w:line="124" w:lineRule="exact"/>
        <w:rPr>
          <w:sz w:val="20"/>
          <w:szCs w:val="20"/>
          <w:color w:val="auto"/>
        </w:rPr>
      </w:pPr>
    </w:p>
    <w:p>
      <w:pPr>
        <w:ind w:left="700" w:right="40" w:firstLine="402"/>
        <w:spacing w:after="0" w:line="243" w:lineRule="auto"/>
        <w:rPr>
          <w:sz w:val="20"/>
          <w:szCs w:val="20"/>
          <w:color w:val="auto"/>
        </w:rPr>
      </w:pPr>
      <w:r>
        <w:rPr>
          <w:rFonts w:ascii="Arial" w:cs="Arial" w:eastAsia="Arial" w:hAnsi="Arial"/>
          <w:sz w:val="18"/>
          <w:szCs w:val="18"/>
          <w:color w:val="auto"/>
        </w:rPr>
        <w:t>Financial Accounting Standards Board (“FASB”) Interpretation 46(R), “Consolidation of Variable Interest Entities, an Interpretation of ARB No. 51” (“FIN 46(R)”), provides a framework for identifying variable interest entities (“VIE’s”) and determining when a company should include the assets, liabilities, noncontrolling interests and results of operations of a VIE in its consolidated financial statements. In general, a VIE is a corporation, partnership, limited liability company, trust or any other legal structure used to conduct activities or hold assets that either (1) has an insufficient amount of equity to carry out its principal activities without additional subordinated financial support, (2) has a group of equity owners that are</w:t>
      </w:r>
    </w:p>
    <w:p>
      <w:pPr>
        <w:spacing w:after="0" w:line="11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1"/>
          <w:szCs w:val="11"/>
          <w:b w:val="1"/>
          <w:bCs w:val="1"/>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-78105</wp:posOffset>
            </wp:positionV>
            <wp:extent cx="19748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20"/>
          </w:cols>
          <w:pgMar w:left="240" w:top="415" w:right="93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hyperlink w:anchor="page64">
        <w:r>
          <w:rPr>
            <w:rFonts w:ascii="Times New Roman" w:cs="Times New Roman" w:eastAsia="Times New Roman" w:hAnsi="Times New Roman"/>
            <w:sz w:val="18"/>
            <w:szCs w:val="18"/>
            <w:b w:val="1"/>
            <w:bCs w:val="1"/>
            <w:u w:val="single" w:color="auto"/>
            <w:color w:val="0000EE"/>
          </w:rPr>
          <w:t>Table of Contents</w:t>
        </w:r>
      </w:hyperlink>
    </w:p>
    <w:p>
      <w:pPr>
        <w:spacing w:after="0" w:line="317"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5" w:lineRule="exact"/>
        <w:rPr>
          <w:sz w:val="20"/>
          <w:szCs w:val="20"/>
          <w:color w:val="auto"/>
        </w:rPr>
      </w:pPr>
    </w:p>
    <w:p>
      <w:pPr>
        <w:ind w:left="700" w:right="180"/>
        <w:spacing w:after="0" w:line="276" w:lineRule="auto"/>
        <w:rPr>
          <w:sz w:val="20"/>
          <w:szCs w:val="20"/>
          <w:color w:val="auto"/>
        </w:rPr>
      </w:pPr>
      <w:r>
        <w:rPr>
          <w:rFonts w:ascii="Arial" w:cs="Arial" w:eastAsia="Arial" w:hAnsi="Arial"/>
          <w:sz w:val="18"/>
          <w:szCs w:val="18"/>
          <w:color w:val="auto"/>
        </w:rPr>
        <w:t>unable to make significant decisions about its activities or (3) has a group of equity owners that do not have the obligation to absorb losses or the right to receive returns generated by its operations.</w:t>
      </w:r>
    </w:p>
    <w:p>
      <w:pPr>
        <w:spacing w:after="0" w:line="51" w:lineRule="exact"/>
        <w:rPr>
          <w:sz w:val="20"/>
          <w:szCs w:val="20"/>
          <w:color w:val="auto"/>
        </w:rPr>
      </w:pPr>
    </w:p>
    <w:p>
      <w:pPr>
        <w:ind w:left="700" w:right="40" w:firstLine="402"/>
        <w:spacing w:after="0" w:line="241" w:lineRule="auto"/>
        <w:rPr>
          <w:sz w:val="20"/>
          <w:szCs w:val="20"/>
          <w:color w:val="auto"/>
        </w:rPr>
      </w:pPr>
      <w:r>
        <w:rPr>
          <w:rFonts w:ascii="Arial" w:cs="Arial" w:eastAsia="Arial" w:hAnsi="Arial"/>
          <w:sz w:val="18"/>
          <w:szCs w:val="18"/>
          <w:color w:val="auto"/>
        </w:rPr>
        <w:t>FIN 46(R) requires a VIE to be consolidated if a party with an ownership, contractual or other financial interest in the VIE (a variable interest holder) is obligated to absorb a majority of the risk of loss from the VIE’s activities, is entitled to receive a majority of the VIE’s residual returns (if no party absorbs a majority of the VIE’s losses), or both. A variable interest holder that consolidates the VIE is called the primary beneficiary. Upon consolidation, the primary beneficiary generally must initially record all of the VIE’s assets, liabilities and noncontrolling interests at fair value and subsequently account for the VIE as if it were consolidated based on majority voting interest. FIN 46(R) also requires disclosures about VIEs that the variable interest holder is not required to consolidate but in which it has a significant variable interest.</w:t>
      </w:r>
    </w:p>
    <w:p>
      <w:pPr>
        <w:spacing w:after="0" w:line="84" w:lineRule="exact"/>
        <w:rPr>
          <w:sz w:val="20"/>
          <w:szCs w:val="20"/>
          <w:color w:val="auto"/>
        </w:rPr>
      </w:pPr>
    </w:p>
    <w:p>
      <w:pPr>
        <w:ind w:left="700" w:right="220" w:firstLine="402"/>
        <w:spacing w:after="0" w:line="241" w:lineRule="auto"/>
        <w:rPr>
          <w:sz w:val="20"/>
          <w:szCs w:val="20"/>
          <w:color w:val="auto"/>
        </w:rPr>
      </w:pPr>
      <w:r>
        <w:rPr>
          <w:rFonts w:ascii="Arial" w:cs="Arial" w:eastAsia="Arial" w:hAnsi="Arial"/>
          <w:sz w:val="18"/>
          <w:szCs w:val="18"/>
          <w:color w:val="auto"/>
        </w:rPr>
        <w:t>The Company’s Scotts LawnService</w:t>
      </w:r>
      <w:r>
        <w:rPr>
          <w:rFonts w:ascii="Arial" w:cs="Arial" w:eastAsia="Arial" w:hAnsi="Arial"/>
          <w:sz w:val="15"/>
          <w:szCs w:val="15"/>
          <w:color w:val="auto"/>
        </w:rPr>
        <w:t>®</w:t>
      </w:r>
      <w:r>
        <w:rPr>
          <w:rFonts w:ascii="Arial" w:cs="Arial" w:eastAsia="Arial" w:hAnsi="Arial"/>
          <w:sz w:val="18"/>
          <w:szCs w:val="18"/>
          <w:color w:val="auto"/>
        </w:rPr>
        <w:t xml:space="preserve"> business sells new franchise territories, primarily in small to mid-size markets, under arrangements where a portion of the franchise fee is paid in cash with the balance due under a promissory note. The Company believes that it may be the primary beneficiary for certain of its franchisees initially, but ceases to be the primary beneficiary as the franchisees develop their businesses and the promissory notes are repaid. At September 30, 2008 and 2007, the Company had approximately $1.8 million and $2.3 million in notes receivable from such franchisees, respectively. The effect of consolidating the entities where the Company may be the primary beneficiary for a limited period of time is not material to either the Consolidated Statements of Operations or the Consolidated Balance Sheets.</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6"/>
          <w:szCs w:val="16"/>
          <w:b w:val="1"/>
          <w:bCs w:val="1"/>
          <w:u w:val="single" w:color="auto"/>
          <w:color w:val="auto"/>
        </w:rPr>
        <w:t>New Accounting Pronouncements</w:t>
      </w:r>
    </w:p>
    <w:p>
      <w:pPr>
        <w:spacing w:after="0" w:line="127" w:lineRule="exact"/>
        <w:rPr>
          <w:sz w:val="20"/>
          <w:szCs w:val="20"/>
          <w:color w:val="auto"/>
        </w:rPr>
      </w:pPr>
    </w:p>
    <w:p>
      <w:pPr>
        <w:ind w:left="800"/>
        <w:spacing w:after="0"/>
        <w:rPr>
          <w:sz w:val="20"/>
          <w:szCs w:val="20"/>
          <w:color w:val="auto"/>
        </w:rPr>
      </w:pPr>
      <w:r>
        <w:rPr>
          <w:rFonts w:ascii="Arial" w:cs="Arial" w:eastAsia="Arial" w:hAnsi="Arial"/>
          <w:sz w:val="16"/>
          <w:szCs w:val="16"/>
          <w:b w:val="1"/>
          <w:bCs w:val="1"/>
          <w:u w:val="single" w:color="auto"/>
          <w:color w:val="auto"/>
        </w:rPr>
        <w:t>Statement of Financial Accounting Standards No. 157 — Fair Value Measurements</w:t>
      </w:r>
    </w:p>
    <w:p>
      <w:pPr>
        <w:spacing w:after="0" w:line="124" w:lineRule="exact"/>
        <w:rPr>
          <w:sz w:val="20"/>
          <w:szCs w:val="20"/>
          <w:color w:val="auto"/>
        </w:rPr>
      </w:pPr>
    </w:p>
    <w:p>
      <w:pPr>
        <w:ind w:left="700" w:firstLine="402"/>
        <w:spacing w:after="0" w:line="238" w:lineRule="auto"/>
        <w:rPr>
          <w:sz w:val="20"/>
          <w:szCs w:val="20"/>
          <w:color w:val="auto"/>
        </w:rPr>
      </w:pPr>
      <w:r>
        <w:rPr>
          <w:rFonts w:ascii="Arial" w:cs="Arial" w:eastAsia="Arial" w:hAnsi="Arial"/>
          <w:sz w:val="18"/>
          <w:szCs w:val="18"/>
          <w:color w:val="auto"/>
        </w:rPr>
        <w:t>In September 2006, the FASB issued SFAS 157, “Fair Value Measurements” (“SFAS 157”). SFAS 157 defines fair value, establishes a framework for measuring fair value, and expands disclosures about fair value measurements. The provisions of SFAS 157 are effective for fiscal years beginning after November 15, 2007. In February 2008, the FASB issued FASB Staff Position 157-1, “Application of FASB Statement No. 157 to FASB Statement No. 13 and Other Accounting Pronouncements That Address Fair Value Measurements for Purposes of Lease Classification or Measurement under Statement 13,” which removes leasing transactions accounted for under Statement 13 and related guidance from the scope of SFAS 157. In February 2008, the FASB issued FASB Staff Position 157-2, “Effective Date of FASB Statement No. 157” (“FSP SFAS 157-2”), which delays the effective date of SFAS 157 for all nonrecurring fair value measurements of nonfinancial assets and nonfinancial liabilities until fiscal years beginning after November 15, 2008. FSP SFAS 157-2 states that a measurement is recurring if it happens at least annually and defines nonfinancial assets and nonfinancial liabilities as all assets and liabilities other than those meeting the definition of a financial asset or financial liability in SFAS 159. The Company is required to adopt SFAS 157 as of October 1, 2008, the beginning of fiscal 2009. The Company is completing its evaluation of SFAS 157 and does not expect its adoption in the first quarter of fiscal 2009 to have a material impact on its financial position or results of operations.</w:t>
      </w:r>
    </w:p>
    <w:p>
      <w:pPr>
        <w:spacing w:after="0" w:line="195" w:lineRule="exact"/>
        <w:rPr>
          <w:sz w:val="20"/>
          <w:szCs w:val="20"/>
          <w:color w:val="auto"/>
        </w:rPr>
      </w:pPr>
    </w:p>
    <w:p>
      <w:pPr>
        <w:ind w:left="800"/>
        <w:spacing w:after="0"/>
        <w:rPr>
          <w:sz w:val="20"/>
          <w:szCs w:val="20"/>
          <w:color w:val="auto"/>
        </w:rPr>
      </w:pPr>
      <w:r>
        <w:rPr>
          <w:rFonts w:ascii="Arial" w:cs="Arial" w:eastAsia="Arial" w:hAnsi="Arial"/>
          <w:sz w:val="16"/>
          <w:szCs w:val="16"/>
          <w:b w:val="1"/>
          <w:bCs w:val="1"/>
          <w:u w:val="single" w:color="auto"/>
          <w:color w:val="auto"/>
        </w:rPr>
        <w:t>Statement of Financial Accounting Standards No. 159 — The Fair Value Option for Financial Assets and Financial Liabilities</w:t>
      </w:r>
    </w:p>
    <w:p>
      <w:pPr>
        <w:spacing w:after="0" w:line="124" w:lineRule="exact"/>
        <w:rPr>
          <w:sz w:val="20"/>
          <w:szCs w:val="20"/>
          <w:color w:val="auto"/>
        </w:rPr>
      </w:pPr>
    </w:p>
    <w:p>
      <w:pPr>
        <w:ind w:left="700" w:right="100" w:firstLine="402"/>
        <w:spacing w:after="0"/>
        <w:rPr>
          <w:sz w:val="20"/>
          <w:szCs w:val="20"/>
          <w:color w:val="auto"/>
        </w:rPr>
      </w:pPr>
      <w:r>
        <w:rPr>
          <w:rFonts w:ascii="Arial" w:cs="Arial" w:eastAsia="Arial" w:hAnsi="Arial"/>
          <w:sz w:val="18"/>
          <w:szCs w:val="18"/>
          <w:color w:val="auto"/>
        </w:rPr>
        <w:t>In February 2007, the FASB issued SFAS 159, “The Fair Value Option for Financial Assets and Financial Liabilities-Including an amendment of FASB Statement No. 115” (“SFAS 159”), which allows an entity the irrevocable option to elect fair value for the initial and subsequent measurement for certain financial assets and liabilities on a contract-by-contract basis. Subsequent changes in fair value of these financial assets and liabilities would be recognized in earnings when they occur. SFAS 159 further establishes certain additional disclosure requirements. SFAS 159 is effective for the Company’s financial statements for the fiscal year beginning October 1, 2008. No entity is permitted to apply SFAS 159 retrospectively to fiscal years preceding the effective date unless the entity chooses early adoption. The Company will adopt SFAS 159 as of October 1, 2008, the beginning of fiscal 2009.</w:t>
      </w:r>
    </w:p>
    <w:p>
      <w:pPr>
        <w:spacing w:after="0" w:line="12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1"/>
          <w:szCs w:val="11"/>
          <w:b w:val="1"/>
          <w:bCs w:val="1"/>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-78105</wp:posOffset>
            </wp:positionV>
            <wp:extent cx="19748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20"/>
          </w:cols>
          <w:pgMar w:left="240" w:top="415" w:right="93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hyperlink w:anchor="page64">
        <w:r>
          <w:rPr>
            <w:rFonts w:ascii="Times New Roman" w:cs="Times New Roman" w:eastAsia="Times New Roman" w:hAnsi="Times New Roman"/>
            <w:sz w:val="18"/>
            <w:szCs w:val="18"/>
            <w:b w:val="1"/>
            <w:bCs w:val="1"/>
            <w:u w:val="single" w:color="auto"/>
            <w:color w:val="0000EE"/>
          </w:rPr>
          <w:t>Table of Contents</w:t>
        </w:r>
      </w:hyperlink>
    </w:p>
    <w:p>
      <w:pPr>
        <w:spacing w:after="0" w:line="317"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8" w:lineRule="exact"/>
        <w:rPr>
          <w:sz w:val="20"/>
          <w:szCs w:val="20"/>
          <w:color w:val="auto"/>
        </w:rPr>
      </w:pPr>
    </w:p>
    <w:p>
      <w:pPr>
        <w:ind w:left="800"/>
        <w:spacing w:after="0"/>
        <w:rPr>
          <w:sz w:val="20"/>
          <w:szCs w:val="20"/>
          <w:color w:val="auto"/>
        </w:rPr>
      </w:pPr>
      <w:r>
        <w:rPr>
          <w:rFonts w:ascii="Arial" w:cs="Arial" w:eastAsia="Arial" w:hAnsi="Arial"/>
          <w:sz w:val="16"/>
          <w:szCs w:val="16"/>
          <w:b w:val="1"/>
          <w:bCs w:val="1"/>
          <w:u w:val="single" w:color="auto"/>
          <w:color w:val="auto"/>
        </w:rPr>
        <w:t>Statement of Financial Accounting Standards No. 141(R) — Business Combinations</w:t>
      </w:r>
    </w:p>
    <w:p>
      <w:pPr>
        <w:spacing w:after="0" w:line="124"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In December 2007, the FASB issued SFAS 141(R), “Business Combinations” (“SFAS 141(R)”), which replaces</w:t>
      </w:r>
    </w:p>
    <w:p>
      <w:pPr>
        <w:spacing w:after="0" w:line="1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SFAS 141. The objective of SFAS 141(R) is to improve the relevance, representational faithfulness and comparability of the</w:t>
      </w:r>
    </w:p>
    <w:p>
      <w:pPr>
        <w:ind w:left="700"/>
        <w:spacing w:after="0" w:line="234" w:lineRule="auto"/>
        <w:rPr>
          <w:sz w:val="20"/>
          <w:szCs w:val="20"/>
          <w:color w:val="auto"/>
        </w:rPr>
      </w:pPr>
      <w:r>
        <w:rPr>
          <w:rFonts w:ascii="Arial" w:cs="Arial" w:eastAsia="Arial" w:hAnsi="Arial"/>
          <w:sz w:val="18"/>
          <w:szCs w:val="18"/>
          <w:color w:val="auto"/>
        </w:rPr>
        <w:t>information that a reporting entity provides in its financial reports about a business combination and its effects. SFAS 141(R)</w:t>
      </w:r>
    </w:p>
    <w:p>
      <w:pPr>
        <w:ind w:left="700"/>
        <w:spacing w:after="0" w:line="235" w:lineRule="auto"/>
        <w:rPr>
          <w:sz w:val="20"/>
          <w:szCs w:val="20"/>
          <w:color w:val="auto"/>
        </w:rPr>
      </w:pPr>
      <w:r>
        <w:rPr>
          <w:rFonts w:ascii="Arial" w:cs="Arial" w:eastAsia="Arial" w:hAnsi="Arial"/>
          <w:sz w:val="18"/>
          <w:szCs w:val="18"/>
          <w:color w:val="auto"/>
        </w:rPr>
        <w:t>establishes principles and requirements for how the acquirer recognizes and measures in its financial statements the</w:t>
      </w:r>
    </w:p>
    <w:p>
      <w:pPr>
        <w:ind w:left="700"/>
        <w:spacing w:after="0" w:line="235" w:lineRule="auto"/>
        <w:rPr>
          <w:sz w:val="20"/>
          <w:szCs w:val="20"/>
          <w:color w:val="auto"/>
        </w:rPr>
      </w:pPr>
      <w:r>
        <w:rPr>
          <w:rFonts w:ascii="Arial" w:cs="Arial" w:eastAsia="Arial" w:hAnsi="Arial"/>
          <w:sz w:val="18"/>
          <w:szCs w:val="18"/>
          <w:color w:val="auto"/>
        </w:rPr>
        <w:t>identifiable assets acquired, the liabilities assumed and any noncontrolling interest in the acquiree; recognizes and measures</w:t>
      </w:r>
    </w:p>
    <w:p>
      <w:pPr>
        <w:ind w:left="700"/>
        <w:spacing w:after="0" w:line="235" w:lineRule="auto"/>
        <w:rPr>
          <w:sz w:val="20"/>
          <w:szCs w:val="20"/>
          <w:color w:val="auto"/>
        </w:rPr>
      </w:pPr>
      <w:r>
        <w:rPr>
          <w:rFonts w:ascii="Arial" w:cs="Arial" w:eastAsia="Arial" w:hAnsi="Arial"/>
          <w:sz w:val="18"/>
          <w:szCs w:val="18"/>
          <w:color w:val="auto"/>
        </w:rPr>
        <w:t>the goodwill acquired in the business combination or a gain from a bargain purchase; and determines what information to</w:t>
      </w:r>
    </w:p>
    <w:p>
      <w:pPr>
        <w:ind w:left="700"/>
        <w:spacing w:after="0" w:line="235" w:lineRule="auto"/>
        <w:rPr>
          <w:sz w:val="20"/>
          <w:szCs w:val="20"/>
          <w:color w:val="auto"/>
        </w:rPr>
      </w:pPr>
      <w:r>
        <w:rPr>
          <w:rFonts w:ascii="Arial" w:cs="Arial" w:eastAsia="Arial" w:hAnsi="Arial"/>
          <w:sz w:val="18"/>
          <w:szCs w:val="18"/>
          <w:color w:val="auto"/>
        </w:rPr>
        <w:t>disclose to enable users of the financial statements to evaluate the nature and financial effects of the business combination.</w:t>
      </w:r>
    </w:p>
    <w:p>
      <w:pPr>
        <w:ind w:left="700"/>
        <w:spacing w:after="0" w:line="235" w:lineRule="auto"/>
        <w:rPr>
          <w:sz w:val="20"/>
          <w:szCs w:val="20"/>
          <w:color w:val="auto"/>
        </w:rPr>
      </w:pPr>
      <w:r>
        <w:rPr>
          <w:rFonts w:ascii="Arial" w:cs="Arial" w:eastAsia="Arial" w:hAnsi="Arial"/>
          <w:sz w:val="18"/>
          <w:szCs w:val="18"/>
          <w:color w:val="auto"/>
        </w:rPr>
        <w:t>SFAS 141(R) applies to all transactions or other events in which an entity (the acquirer) obtains control of one or more</w:t>
      </w:r>
    </w:p>
    <w:p>
      <w:pPr>
        <w:ind w:left="700"/>
        <w:spacing w:after="0" w:line="235" w:lineRule="auto"/>
        <w:rPr>
          <w:sz w:val="20"/>
          <w:szCs w:val="20"/>
          <w:color w:val="auto"/>
        </w:rPr>
      </w:pPr>
      <w:r>
        <w:rPr>
          <w:rFonts w:ascii="Arial" w:cs="Arial" w:eastAsia="Arial" w:hAnsi="Arial"/>
          <w:sz w:val="18"/>
          <w:szCs w:val="18"/>
          <w:color w:val="auto"/>
        </w:rPr>
        <w:t>businesses (the acquiree), including those sometimes referred to as “true mergers” or “mergers of equals” and combinations</w:t>
      </w:r>
    </w:p>
    <w:p>
      <w:pPr>
        <w:ind w:left="700"/>
        <w:spacing w:after="0" w:line="235" w:lineRule="auto"/>
        <w:rPr>
          <w:sz w:val="20"/>
          <w:szCs w:val="20"/>
          <w:color w:val="auto"/>
        </w:rPr>
      </w:pPr>
      <w:r>
        <w:rPr>
          <w:rFonts w:ascii="Arial" w:cs="Arial" w:eastAsia="Arial" w:hAnsi="Arial"/>
          <w:sz w:val="18"/>
          <w:szCs w:val="18"/>
          <w:color w:val="auto"/>
        </w:rPr>
        <w:t>achieved without the transfer of consideration. SFAS 141(R) is effective for the Company’s financial statements for the fiscal</w:t>
      </w:r>
    </w:p>
    <w:p>
      <w:pPr>
        <w:ind w:left="700"/>
        <w:spacing w:after="0"/>
        <w:rPr>
          <w:sz w:val="20"/>
          <w:szCs w:val="20"/>
          <w:color w:val="auto"/>
        </w:rPr>
      </w:pPr>
      <w:r>
        <w:rPr>
          <w:rFonts w:ascii="Arial" w:cs="Arial" w:eastAsia="Arial" w:hAnsi="Arial"/>
          <w:sz w:val="18"/>
          <w:szCs w:val="18"/>
          <w:color w:val="auto"/>
        </w:rPr>
        <w:t>year beginning October 1, 2009.</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u w:val="single" w:color="auto"/>
          <w:color w:val="auto"/>
        </w:rPr>
        <w:t>Statement of Financial Accounting Standards No. 160 — Noncontrolling Interests in Consolidated Financial Statements</w:t>
      </w:r>
    </w:p>
    <w:p>
      <w:pPr>
        <w:spacing w:after="0" w:line="124" w:lineRule="exact"/>
        <w:rPr>
          <w:sz w:val="20"/>
          <w:szCs w:val="20"/>
          <w:color w:val="auto"/>
        </w:rPr>
      </w:pPr>
    </w:p>
    <w:p>
      <w:pPr>
        <w:ind w:left="700" w:right="60" w:firstLine="402"/>
        <w:spacing w:after="0" w:line="238" w:lineRule="auto"/>
        <w:rPr>
          <w:sz w:val="20"/>
          <w:szCs w:val="20"/>
          <w:color w:val="auto"/>
        </w:rPr>
      </w:pPr>
      <w:r>
        <w:rPr>
          <w:rFonts w:ascii="Arial" w:cs="Arial" w:eastAsia="Arial" w:hAnsi="Arial"/>
          <w:sz w:val="18"/>
          <w:szCs w:val="18"/>
          <w:color w:val="auto"/>
        </w:rPr>
        <w:t>In December 2007, the FASB issued SFAS 160, “Noncontrolling Interests in Consolidated Financial Statements — an amendment of ARB No. 51” (“SFAS 160”). The objective of SFAS 160 is to improve the relevance, comparability and transparency of the financial information that a reporting entity provides in its consolidated financial statements. SFAS 160 amends ARB No. 51 to establish accounting and reporting standards for the noncontrolling interest in a subsidiary and for the deconsolidation of a subsidiary. SFAS 160 also changes the way the consolidated financial statements are presented, establishes a single method of accounting for changes in a parent’s ownership interest in a subsidiary that do not result in deconsolidation, requires that a parent recognize a gain or loss in net income when a subsidiary is deconsolidated and expands disclosures in the consolidated financial statements that clearly identify and distinguish between the parent’s ownership interest and the interest of the noncontrolling owners of a subsidiary. The provisions of SFAS 160 are to be applied prospectively as of the beginning of the fiscal year in which SFAS 160 is adopted, except for the presentation and disclosure requirements, which are to be applied retrospectively for all periods presented. SFAS 160 is effective for the Company’s financial statements for the fiscal year beginning October 1, 2009. The Company is in the process of evaluating the impact that the adoption of SFAS 160 may have on its financial statements.</w:t>
      </w:r>
    </w:p>
    <w:p>
      <w:pPr>
        <w:spacing w:after="0" w:line="197" w:lineRule="exact"/>
        <w:rPr>
          <w:sz w:val="20"/>
          <w:szCs w:val="20"/>
          <w:color w:val="auto"/>
        </w:rPr>
      </w:pPr>
    </w:p>
    <w:p>
      <w:pPr>
        <w:ind w:left="800"/>
        <w:spacing w:after="0"/>
        <w:rPr>
          <w:sz w:val="20"/>
          <w:szCs w:val="20"/>
          <w:color w:val="auto"/>
        </w:rPr>
      </w:pPr>
      <w:r>
        <w:rPr>
          <w:rFonts w:ascii="Arial" w:cs="Arial" w:eastAsia="Arial" w:hAnsi="Arial"/>
          <w:sz w:val="16"/>
          <w:szCs w:val="16"/>
          <w:b w:val="1"/>
          <w:bCs w:val="1"/>
          <w:u w:val="single" w:color="auto"/>
          <w:color w:val="auto"/>
        </w:rPr>
        <w:t>Statement of Financial Accounting Standards No. 161 — Disclosures about Derivative Instruments and Hedging Activities</w:t>
      </w:r>
    </w:p>
    <w:p>
      <w:pPr>
        <w:spacing w:after="0" w:line="124" w:lineRule="exact"/>
        <w:rPr>
          <w:sz w:val="20"/>
          <w:szCs w:val="20"/>
          <w:color w:val="auto"/>
        </w:rPr>
      </w:pPr>
    </w:p>
    <w:p>
      <w:pPr>
        <w:ind w:left="700" w:right="140" w:firstLine="402"/>
        <w:spacing w:after="0" w:line="255" w:lineRule="auto"/>
        <w:rPr>
          <w:sz w:val="20"/>
          <w:szCs w:val="20"/>
          <w:color w:val="auto"/>
        </w:rPr>
      </w:pPr>
      <w:r>
        <w:rPr>
          <w:rFonts w:ascii="Arial" w:cs="Arial" w:eastAsia="Arial" w:hAnsi="Arial"/>
          <w:sz w:val="17"/>
          <w:szCs w:val="17"/>
          <w:color w:val="auto"/>
        </w:rPr>
        <w:t>In March 2008, the FASB issued SFAS 161, “Disclosures about Derivative Instruments and Hedging Activities — an amendment of FASB Statement No. 133” (“SFAS 161”). The objective of SFAS 161 is to enhance the current disclosure framework in SFAS 133 and improve the transparency of financial reporting for derivative instruments and hedging activities. SFAS 161 requires entities to provide enhanced disclosures about (a) how and why an entity uses derivative instruments,</w:t>
      </w:r>
    </w:p>
    <w:p>
      <w:pPr>
        <w:spacing w:after="0" w:line="2" w:lineRule="exact"/>
        <w:rPr>
          <w:sz w:val="20"/>
          <w:szCs w:val="20"/>
          <w:color w:val="auto"/>
        </w:rPr>
      </w:pPr>
    </w:p>
    <w:p>
      <w:pPr>
        <w:ind w:left="960" w:hanging="267"/>
        <w:spacing w:after="0"/>
        <w:tabs>
          <w:tab w:leader="none" w:pos="9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how derivative instruments and related hedged items are accounted for under SFAS 133 and its related interpretations and</w:t>
      </w:r>
    </w:p>
    <w:p>
      <w:pPr>
        <w:spacing w:after="0" w:line="7" w:lineRule="exact"/>
        <w:rPr>
          <w:rFonts w:ascii="Arial" w:cs="Arial" w:eastAsia="Arial" w:hAnsi="Arial"/>
          <w:sz w:val="17"/>
          <w:szCs w:val="17"/>
          <w:color w:val="auto"/>
        </w:rPr>
      </w:pPr>
    </w:p>
    <w:p>
      <w:pPr>
        <w:ind w:left="700" w:right="220" w:hanging="7"/>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how derivative instruments and related hedged items affect an entity’s financial position, financial performance and cash flows. SFAS 161 is effective for the Company’s financial statements for the fiscal year beginning October 1, 2010. The Company is in the process of evaluating the impact that the adoption of SFAS 161 may have on its financial statement disclosures.</w:t>
      </w:r>
    </w:p>
    <w:p>
      <w:pPr>
        <w:spacing w:after="0" w:line="193" w:lineRule="exact"/>
        <w:rPr>
          <w:sz w:val="20"/>
          <w:szCs w:val="20"/>
          <w:color w:val="auto"/>
        </w:rPr>
      </w:pPr>
    </w:p>
    <w:p>
      <w:pPr>
        <w:ind w:left="800"/>
        <w:spacing w:after="0"/>
        <w:rPr>
          <w:sz w:val="20"/>
          <w:szCs w:val="20"/>
          <w:color w:val="auto"/>
        </w:rPr>
      </w:pPr>
      <w:r>
        <w:rPr>
          <w:rFonts w:ascii="Arial" w:cs="Arial" w:eastAsia="Arial" w:hAnsi="Arial"/>
          <w:sz w:val="16"/>
          <w:szCs w:val="16"/>
          <w:b w:val="1"/>
          <w:bCs w:val="1"/>
          <w:u w:val="single" w:color="auto"/>
          <w:color w:val="auto"/>
        </w:rPr>
        <w:t>FASB Staff Position 142-3 — Determination of the Useful Life of Intangible Assets</w:t>
      </w:r>
    </w:p>
    <w:p>
      <w:pPr>
        <w:spacing w:after="0" w:line="124" w:lineRule="exact"/>
        <w:rPr>
          <w:sz w:val="20"/>
          <w:szCs w:val="20"/>
          <w:color w:val="auto"/>
        </w:rPr>
      </w:pPr>
    </w:p>
    <w:p>
      <w:pPr>
        <w:ind w:left="700" w:right="180" w:firstLine="402"/>
        <w:spacing w:after="0" w:line="245" w:lineRule="auto"/>
        <w:rPr>
          <w:sz w:val="20"/>
          <w:szCs w:val="20"/>
          <w:color w:val="auto"/>
        </w:rPr>
      </w:pPr>
      <w:r>
        <w:rPr>
          <w:rFonts w:ascii="Arial" w:cs="Arial" w:eastAsia="Arial" w:hAnsi="Arial"/>
          <w:sz w:val="18"/>
          <w:szCs w:val="18"/>
          <w:color w:val="auto"/>
        </w:rPr>
        <w:t>In April 2008, the FASB issued FASB Staff Position 142-3, “Determination of the Useful Life of Intangible Assets” (“FSP No. FAS 142-3”), which amends the list of factors an entity should consider in developing renewal or extension assumptions used in determining the useful life of recognized intangible assets under SFAS No. 142, “Goodwill and Other Intangible Assets.” The new guidance applies to (1) intangible assets that are acquired individually or with a group of other assets and (2) intangible assets</w:t>
      </w:r>
    </w:p>
    <w:p>
      <w:pPr>
        <w:spacing w:after="0" w:line="11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1"/>
          <w:szCs w:val="11"/>
          <w:b w:val="1"/>
          <w:bCs w:val="1"/>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-78105</wp:posOffset>
            </wp:positionV>
            <wp:extent cx="19748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20"/>
          </w:cols>
          <w:pgMar w:left="240" w:top="415" w:right="93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hyperlink w:anchor="page64">
        <w:r>
          <w:rPr>
            <w:rFonts w:ascii="Times New Roman" w:cs="Times New Roman" w:eastAsia="Times New Roman" w:hAnsi="Times New Roman"/>
            <w:sz w:val="18"/>
            <w:szCs w:val="18"/>
            <w:b w:val="1"/>
            <w:bCs w:val="1"/>
            <w:u w:val="single" w:color="auto"/>
            <w:color w:val="0000EE"/>
          </w:rPr>
          <w:t>Table of Contents</w:t>
        </w:r>
      </w:hyperlink>
    </w:p>
    <w:p>
      <w:pPr>
        <w:spacing w:after="0" w:line="317"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5" w:lineRule="exact"/>
        <w:rPr>
          <w:sz w:val="20"/>
          <w:szCs w:val="20"/>
          <w:color w:val="auto"/>
        </w:rPr>
      </w:pPr>
    </w:p>
    <w:p>
      <w:pPr>
        <w:ind w:left="700" w:right="20"/>
        <w:spacing w:after="0" w:line="241" w:lineRule="auto"/>
        <w:rPr>
          <w:sz w:val="20"/>
          <w:szCs w:val="20"/>
          <w:color w:val="auto"/>
        </w:rPr>
      </w:pPr>
      <w:r>
        <w:rPr>
          <w:rFonts w:ascii="Arial" w:cs="Arial" w:eastAsia="Arial" w:hAnsi="Arial"/>
          <w:sz w:val="18"/>
          <w:szCs w:val="18"/>
          <w:color w:val="auto"/>
        </w:rPr>
        <w:t>acquired in both business combinations and asset acquisitions. Under FSP No. FAS 142-3, entities estimating the useful life of a recognized intangible asset must consider their historical experience in renewing or extending similar arrangements or, in the absence of historical experience, must consider assumptions that market participants would use about renewal or extension. FSP No. FAS 142-3 will require certain additional disclosures beginning October 1, 2009 and prospective application to useful life estimates prospectively for intangible assets acquired after September 30, 2009. The Company is in the process of evaluating the impact that the adoption of FSP No. FAS 142-3 may have on its financial statements and related disclosures.</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NOTE 2. PRODUCT REGISTRATION AND RECALL MATTERS</w:t>
      </w:r>
    </w:p>
    <w:p>
      <w:pPr>
        <w:spacing w:after="0" w:line="119" w:lineRule="exact"/>
        <w:rPr>
          <w:sz w:val="20"/>
          <w:szCs w:val="20"/>
          <w:color w:val="auto"/>
        </w:rPr>
      </w:pPr>
    </w:p>
    <w:p>
      <w:pPr>
        <w:ind w:left="700" w:firstLine="402"/>
        <w:spacing w:after="0" w:line="239" w:lineRule="auto"/>
        <w:rPr>
          <w:sz w:val="20"/>
          <w:szCs w:val="20"/>
          <w:color w:val="auto"/>
        </w:rPr>
      </w:pPr>
      <w:r>
        <w:rPr>
          <w:rFonts w:ascii="Arial" w:cs="Arial" w:eastAsia="Arial" w:hAnsi="Arial"/>
          <w:sz w:val="18"/>
          <w:szCs w:val="18"/>
          <w:color w:val="auto"/>
        </w:rPr>
        <w:t>In April 2008, the Company learned that a former associate apparently deliberately circumvented the Company’s policies and U.S. Environmental Protection Agency (“U.S. EPA”) regulations under the Federal Insecticide, Fungicide, and Rodenticide Act of 1947, as amended (“FIFRA”) by failing to obtain valid registrations for products and/or causing invalid product registration forms to be submitted to regulators. Since that time, the Company has been cooperating with the U.S. EPA in its civil investigation into pesticide product registration issues involving the Company and with the U.S. EPA and the</w:t>
      </w:r>
    </w:p>
    <w:p>
      <w:pPr>
        <w:spacing w:after="0" w:line="4" w:lineRule="exact"/>
        <w:rPr>
          <w:sz w:val="20"/>
          <w:szCs w:val="20"/>
          <w:color w:val="auto"/>
        </w:rPr>
      </w:pPr>
    </w:p>
    <w:p>
      <w:pPr>
        <w:ind w:left="700"/>
        <w:spacing w:after="0" w:line="236" w:lineRule="auto"/>
        <w:rPr>
          <w:sz w:val="20"/>
          <w:szCs w:val="20"/>
          <w:color w:val="auto"/>
        </w:rPr>
      </w:pPr>
      <w:r>
        <w:rPr>
          <w:rFonts w:ascii="Arial" w:cs="Arial" w:eastAsia="Arial" w:hAnsi="Arial"/>
          <w:sz w:val="18"/>
          <w:szCs w:val="18"/>
          <w:color w:val="auto"/>
        </w:rPr>
        <w:t>U.S. Department of Justice (the “U.S. DOJ”) in a related criminal investigation. In late April of 2008, in connection with the U.S. EPA’s investigation, the Company was required to conduct a consumer-level recall of certain consumer lawn and garden products and a Scotts LawnService</w:t>
      </w:r>
      <w:r>
        <w:rPr>
          <w:rFonts w:ascii="Arial" w:cs="Arial" w:eastAsia="Arial" w:hAnsi="Arial"/>
          <w:sz w:val="15"/>
          <w:szCs w:val="15"/>
          <w:color w:val="auto"/>
        </w:rPr>
        <w:t>®</w:t>
      </w:r>
      <w:r>
        <w:rPr>
          <w:rFonts w:ascii="Arial" w:cs="Arial" w:eastAsia="Arial" w:hAnsi="Arial"/>
          <w:sz w:val="18"/>
          <w:szCs w:val="18"/>
          <w:color w:val="auto"/>
        </w:rPr>
        <w:t xml:space="preserve"> product. Subsequently, the Company and the U.S. EPA agreed upon a Compliance Review Plan for conducting a comprehensive, independent review of the Company’s product registration records. Pursuant to the Compliance Review Plan, an independent third party firm, Quality Associates Incorporated (“QAI”), has been reviewing all of the Company’s U.S. pesticide product registration records, some of which are historical in nature and no longer support sales of the Company’s products. The Company has identified approximately 132 of the registrations under review as relating to products for which there was sales activity in the period generally representing the Company’s 2008 fiscal year (“Active Registrations”). These Active Registrations supported products which accounted for approximately $680 million of the Company’s net sales in the period. The U.S. EPA investigation and QAI review process identified several issues affecting Active Registrations which resulted in the issuance of a number of Stop Sale, Use or Removal Orders by the U.S. EPA and caused the Company to temporarily suspend sales and shipments of affected products. In addition, as the QAI review process or the Company’s internal review has identified a FIFRA registration issue or a potential FIFRA registration issue (some of which appear unrelated to the former associate), the Company has endeavored to stop selling or distributing the affected products until the issue could be resolved with the U.S. EPA.</w:t>
      </w:r>
    </w:p>
    <w:p>
      <w:pPr>
        <w:spacing w:after="0" w:line="85" w:lineRule="exact"/>
        <w:rPr>
          <w:sz w:val="20"/>
          <w:szCs w:val="20"/>
          <w:color w:val="auto"/>
        </w:rPr>
      </w:pPr>
    </w:p>
    <w:p>
      <w:pPr>
        <w:ind w:left="700" w:right="20" w:firstLine="402"/>
        <w:spacing w:after="0" w:line="243" w:lineRule="auto"/>
        <w:rPr>
          <w:sz w:val="20"/>
          <w:szCs w:val="20"/>
          <w:color w:val="auto"/>
        </w:rPr>
      </w:pPr>
      <w:r>
        <w:rPr>
          <w:rFonts w:ascii="Arial" w:cs="Arial" w:eastAsia="Arial" w:hAnsi="Arial"/>
          <w:sz w:val="18"/>
          <w:szCs w:val="18"/>
          <w:color w:val="auto"/>
        </w:rPr>
        <w:t>To date, QAI has completed a review of the registration records for substantially all of the Company’s Active Registrations. Based on such review, and with the cooperation and prompt attention of the U.S. EPA, the Company believes it has restored the ability to sell and distribute products representing over 90% of the sales associated with Active Registrations; and the Company is hopeful that it will be able to satisfactorily resolve most, if not all, of the remaining issues prior to the start of the 2009 lawn and garden season. The QAI review process is expected to continue with a focus on reviewing advertising and related promotional support of the Company’s registered pesticide products.</w:t>
      </w:r>
    </w:p>
    <w:p>
      <w:pPr>
        <w:spacing w:after="0" w:line="79" w:lineRule="exact"/>
        <w:rPr>
          <w:sz w:val="20"/>
          <w:szCs w:val="20"/>
          <w:color w:val="auto"/>
        </w:rPr>
      </w:pPr>
    </w:p>
    <w:p>
      <w:pPr>
        <w:ind w:left="700" w:firstLine="402"/>
        <w:spacing w:after="0" w:line="243" w:lineRule="auto"/>
        <w:rPr>
          <w:sz w:val="20"/>
          <w:szCs w:val="20"/>
          <w:color w:val="auto"/>
        </w:rPr>
      </w:pPr>
      <w:r>
        <w:rPr>
          <w:rFonts w:ascii="Arial" w:cs="Arial" w:eastAsia="Arial" w:hAnsi="Arial"/>
          <w:sz w:val="18"/>
          <w:szCs w:val="18"/>
          <w:color w:val="auto"/>
        </w:rPr>
        <w:t>On September 26, 2008, the Company, doing business as Scotts LawnService</w:t>
      </w:r>
      <w:r>
        <w:rPr>
          <w:rFonts w:ascii="Arial" w:cs="Arial" w:eastAsia="Arial" w:hAnsi="Arial"/>
          <w:sz w:val="15"/>
          <w:szCs w:val="15"/>
          <w:color w:val="auto"/>
        </w:rPr>
        <w:t>®</w:t>
      </w:r>
      <w:r>
        <w:rPr>
          <w:rFonts w:ascii="Arial" w:cs="Arial" w:eastAsia="Arial" w:hAnsi="Arial"/>
          <w:sz w:val="18"/>
          <w:szCs w:val="18"/>
          <w:color w:val="auto"/>
        </w:rPr>
        <w:t>, was named as a defendant in a purported class action filed in the U.S. District Court for the Eastern District of Michigan relating to certain pesticide products. In the suit, Mark Baumkel, on behalf of himself and the purported classes, seeks an unspecified amount of damages, plus costs and attorney fees, for alleged claims involving breach of contract, unjust enrichment and violation of the Michigan consumer protection act. Given the preliminary stages of the proceedings, no reserves have been booked at this time, and the Company intends to vigorously contest the plaintiff’s assertions.</w:t>
      </w:r>
    </w:p>
    <w:p>
      <w:pPr>
        <w:spacing w:after="0" w:line="80" w:lineRule="exact"/>
        <w:rPr>
          <w:sz w:val="20"/>
          <w:szCs w:val="20"/>
          <w:color w:val="auto"/>
        </w:rPr>
      </w:pPr>
    </w:p>
    <w:p>
      <w:pPr>
        <w:ind w:left="700" w:right="560" w:firstLine="402"/>
        <w:spacing w:after="0" w:line="248" w:lineRule="auto"/>
        <w:rPr>
          <w:sz w:val="20"/>
          <w:szCs w:val="20"/>
          <w:color w:val="auto"/>
        </w:rPr>
      </w:pPr>
      <w:r>
        <w:rPr>
          <w:rFonts w:ascii="Arial" w:cs="Arial" w:eastAsia="Arial" w:hAnsi="Arial"/>
          <w:sz w:val="18"/>
          <w:szCs w:val="18"/>
          <w:color w:val="auto"/>
        </w:rPr>
        <w:t>In addition, in fiscal 2008 the Company conducted a voluntary recall of most of its wild bird food products due to a formulation issue. The wild bird food products had been treated with pest control additives to avoid insect infestation, especially at retail stores. While the pest control additives had been labeled for use on certain stored grains that can be processed for human and/or animal consumption, they</w:t>
      </w:r>
    </w:p>
    <w:p>
      <w:pPr>
        <w:spacing w:after="0" w:line="11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1"/>
          <w:szCs w:val="11"/>
          <w:b w:val="1"/>
          <w:bCs w:val="1"/>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-78105</wp:posOffset>
            </wp:positionV>
            <wp:extent cx="19748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20"/>
          </w:cols>
          <w:pgMar w:left="240" w:top="415" w:right="93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hyperlink w:anchor="page64">
        <w:r>
          <w:rPr>
            <w:rFonts w:ascii="Times New Roman" w:cs="Times New Roman" w:eastAsia="Times New Roman" w:hAnsi="Times New Roman"/>
            <w:sz w:val="18"/>
            <w:szCs w:val="18"/>
            <w:b w:val="1"/>
            <w:bCs w:val="1"/>
            <w:u w:val="single" w:color="auto"/>
            <w:color w:val="0000EE"/>
          </w:rPr>
          <w:t>Table of Contents</w:t>
        </w:r>
      </w:hyperlink>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were not labeled for use on wild bird food products. This voluntary recall was completed prior to the end of fiscal 2008.</w:t>
      </w:r>
    </w:p>
    <w:p>
      <w:pPr>
        <w:spacing w:after="0" w:line="117" w:lineRule="exact"/>
        <w:rPr>
          <w:sz w:val="20"/>
          <w:szCs w:val="20"/>
          <w:color w:val="auto"/>
        </w:rPr>
      </w:pPr>
    </w:p>
    <w:p>
      <w:pPr>
        <w:ind w:left="700" w:right="740" w:firstLine="402"/>
        <w:spacing w:after="0" w:line="239" w:lineRule="auto"/>
        <w:rPr>
          <w:sz w:val="20"/>
          <w:szCs w:val="20"/>
          <w:color w:val="auto"/>
        </w:rPr>
      </w:pPr>
      <w:r>
        <w:rPr>
          <w:rFonts w:ascii="Arial" w:cs="Arial" w:eastAsia="Arial" w:hAnsi="Arial"/>
          <w:sz w:val="18"/>
          <w:szCs w:val="18"/>
          <w:color w:val="auto"/>
        </w:rPr>
        <w:t>While the Company continues to evaluate the financial impact of the registration and recall matters, the Company currently expects total fiscal year 2008 and 2009 costs related to the recalls and known registration issues to be limited to approximately $65 million, exclusive of potential fines, penalties and/or judgments. While the Company believes it has made substantial progress toward completing the FIFRA compliance review process, the process continues and may result in future state or federal action with respect to additional product registration issues. Until such investigation is complete, the Company cannot fully quantify the extent of additional issues. Furthermore, the Company may be subject to civil or criminal fines and/or penalties or private rights of action at the state and/or federal level as a result of the product registration issues. At this time, management cannot reasonably determine the scope or magnitude of possible liabilities that could result from known or potential additional product registration issues, and no reserves for these claims have been established as of September 30, 2008. However, it is possible that such fines, penalties and/or judgments could be material and have an adverse effect on the Company’s financial condition, results of operations and cash flows.</w:t>
      </w:r>
    </w:p>
    <w:p>
      <w:pPr>
        <w:spacing w:after="0" w:line="83" w:lineRule="exact"/>
        <w:rPr>
          <w:sz w:val="20"/>
          <w:szCs w:val="20"/>
          <w:color w:val="auto"/>
        </w:rPr>
      </w:pPr>
    </w:p>
    <w:p>
      <w:pPr>
        <w:jc w:val="both"/>
        <w:ind w:left="700" w:right="960" w:firstLine="402"/>
        <w:spacing w:after="0" w:line="248" w:lineRule="auto"/>
        <w:rPr>
          <w:sz w:val="20"/>
          <w:szCs w:val="20"/>
          <w:color w:val="auto"/>
        </w:rPr>
      </w:pPr>
      <w:r>
        <w:rPr>
          <w:rFonts w:ascii="Arial" w:cs="Arial" w:eastAsia="Arial" w:hAnsi="Arial"/>
          <w:sz w:val="18"/>
          <w:szCs w:val="18"/>
          <w:color w:val="auto"/>
        </w:rPr>
        <w:t>For the fiscal year ended September 30, 2008, the Company reversed sales associated with estimated returns of the recalled products, recorded an impairment estimate for affected inventory, and incurred other registration and recall-related costs. The following tables summarize the impact of the product registration and recall matters on the results of operations and accrued liabilities and inventory reserves for fiscal 2008:</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Year Ended</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3"/>
          </w:tcPr>
          <w:p>
            <w:pPr>
              <w:jc w:val="center"/>
              <w:ind w:right="80"/>
              <w:spacing w:after="0" w:line="202" w:lineRule="exact"/>
              <w:rPr>
                <w:sz w:val="20"/>
                <w:szCs w:val="20"/>
                <w:color w:val="auto"/>
              </w:rPr>
            </w:pPr>
            <w:r>
              <w:rPr>
                <w:rFonts w:ascii="Arial" w:cs="Arial" w:eastAsia="Arial" w:hAnsi="Arial"/>
                <w:sz w:val="18"/>
                <w:szCs w:val="18"/>
                <w:color w:val="auto"/>
                <w:w w:val="99"/>
              </w:rPr>
              <w:t>September 30,</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center"/>
              <w:ind w:right="50"/>
              <w:spacing w:after="0"/>
              <w:rPr>
                <w:sz w:val="20"/>
                <w:szCs w:val="20"/>
                <w:color w:val="auto"/>
              </w:rPr>
            </w:pPr>
            <w:r>
              <w:rPr>
                <w:rFonts w:ascii="Arial" w:cs="Arial" w:eastAsia="Arial" w:hAnsi="Arial"/>
                <w:sz w:val="18"/>
                <w:szCs w:val="18"/>
                <w:color w:val="auto"/>
                <w:w w:val="99"/>
              </w:rPr>
              <w:t>2008</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700" w:type="dxa"/>
            <w:vAlign w:val="bottom"/>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700" w:type="dxa"/>
            <w:vAlign w:val="bottom"/>
            <w:vMerge w:val="restart"/>
          </w:tcPr>
          <w:p>
            <w:pPr>
              <w:spacing w:after="0"/>
              <w:rPr>
                <w:sz w:val="2"/>
                <w:szCs w:val="2"/>
                <w:color w:val="auto"/>
              </w:rPr>
            </w:pPr>
          </w:p>
        </w:tc>
        <w:tc>
          <w:tcPr>
            <w:tcW w:w="4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00" w:type="dxa"/>
            <w:vAlign w:val="bottom"/>
            <w:vMerge w:val="continue"/>
          </w:tcPr>
          <w:p>
            <w:pPr>
              <w:spacing w:after="0"/>
              <w:rPr>
                <w:sz w:val="17"/>
                <w:szCs w:val="17"/>
                <w:color w:val="auto"/>
              </w:rPr>
            </w:pPr>
          </w:p>
        </w:tc>
        <w:tc>
          <w:tcPr>
            <w:tcW w:w="4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sales — product recalls</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(22.3)</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060" w:type="dxa"/>
            <w:vAlign w:val="bottom"/>
          </w:tcPr>
          <w:p>
            <w:pPr>
              <w:spacing w:after="0" w:line="202" w:lineRule="exact"/>
              <w:rPr>
                <w:sz w:val="20"/>
                <w:szCs w:val="20"/>
                <w:color w:val="auto"/>
              </w:rPr>
            </w:pPr>
            <w:r>
              <w:rPr>
                <w:rFonts w:ascii="Arial" w:cs="Arial" w:eastAsia="Arial" w:hAnsi="Arial"/>
                <w:sz w:val="18"/>
                <w:szCs w:val="18"/>
                <w:color w:val="auto"/>
              </w:rPr>
              <w:t>Cost of sales — product recalls</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(11.1)</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sales — inventory impairment and other</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27.2</w:t>
            </w:r>
          </w:p>
        </w:tc>
        <w:tc>
          <w:tcPr>
            <w:tcW w:w="100" w:type="dxa"/>
            <w:vAlign w:val="bottom"/>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4060" w:type="dxa"/>
            <w:vAlign w:val="bottom"/>
          </w:tcPr>
          <w:p>
            <w:pPr>
              <w:ind w:left="180"/>
              <w:spacing w:after="0"/>
              <w:rPr>
                <w:sz w:val="20"/>
                <w:szCs w:val="20"/>
                <w:color w:val="auto"/>
              </w:rPr>
            </w:pPr>
            <w:r>
              <w:rPr>
                <w:rFonts w:ascii="Arial" w:cs="Arial" w:eastAsia="Arial" w:hAnsi="Arial"/>
                <w:sz w:val="18"/>
                <w:szCs w:val="18"/>
                <w:color w:val="auto"/>
              </w:rPr>
              <w:t>Gross Profit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SG&amp;A</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4060" w:type="dxa"/>
            <w:vAlign w:val="bottom"/>
          </w:tcPr>
          <w:p>
            <w:pPr>
              <w:ind w:left="180"/>
              <w:spacing w:after="0"/>
              <w:rPr>
                <w:sz w:val="20"/>
                <w:szCs w:val="20"/>
                <w:color w:val="auto"/>
              </w:rPr>
            </w:pPr>
            <w:r>
              <w:rPr>
                <w:rFonts w:ascii="Arial" w:cs="Arial" w:eastAsia="Arial" w:hAnsi="Arial"/>
                <w:sz w:val="18"/>
                <w:szCs w:val="18"/>
                <w:color w:val="auto"/>
              </w:rPr>
              <w:t>Income from operations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(51.1)</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 benefit</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(17.9)</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4060" w:type="dxa"/>
            <w:vAlign w:val="bottom"/>
          </w:tcPr>
          <w:p>
            <w:pPr>
              <w:ind w:left="180"/>
              <w:spacing w:after="0"/>
              <w:rPr>
                <w:sz w:val="20"/>
                <w:szCs w:val="20"/>
                <w:color w:val="auto"/>
              </w:rPr>
            </w:pPr>
            <w:r>
              <w:rPr>
                <w:rFonts w:ascii="Arial" w:cs="Arial" w:eastAsia="Arial" w:hAnsi="Arial"/>
                <w:sz w:val="18"/>
                <w:szCs w:val="18"/>
                <w:color w:val="auto"/>
              </w:rPr>
              <w:t>Net loss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gridSpan w:val="4"/>
            <w:vMerge w:val="restart"/>
          </w:tcPr>
          <w:p>
            <w:pPr>
              <w:jc w:val="center"/>
              <w:ind w:right="300"/>
              <w:spacing w:after="0"/>
              <w:rPr>
                <w:sz w:val="20"/>
                <w:szCs w:val="20"/>
                <w:color w:val="auto"/>
              </w:rPr>
            </w:pPr>
            <w:r>
              <w:rPr>
                <w:rFonts w:ascii="Arial" w:cs="Arial" w:eastAsia="Arial" w:hAnsi="Arial"/>
                <w:sz w:val="18"/>
                <w:szCs w:val="18"/>
                <w:color w:val="auto"/>
                <w:w w:val="99"/>
              </w:rPr>
              <w:t>Reserves</w:t>
            </w: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7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gridSpan w:val="4"/>
            <w:vMerge w:val="continue"/>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gridSpan w:val="4"/>
          </w:tcPr>
          <w:p>
            <w:pPr>
              <w:jc w:val="center"/>
              <w:ind w:right="280"/>
              <w:spacing w:after="0" w:line="202" w:lineRule="exact"/>
              <w:rPr>
                <w:sz w:val="20"/>
                <w:szCs w:val="20"/>
                <w:color w:val="auto"/>
              </w:rPr>
            </w:pPr>
            <w:r>
              <w:rPr>
                <w:rFonts w:ascii="Arial" w:cs="Arial" w:eastAsia="Arial" w:hAnsi="Arial"/>
                <w:sz w:val="18"/>
                <w:szCs w:val="18"/>
                <w:color w:val="auto"/>
              </w:rPr>
              <w:t>Established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280"/>
              <w:spacing w:after="0" w:line="202" w:lineRule="exact"/>
              <w:rPr>
                <w:sz w:val="20"/>
                <w:szCs w:val="20"/>
                <w:color w:val="auto"/>
              </w:rPr>
            </w:pPr>
            <w:r>
              <w:rPr>
                <w:rFonts w:ascii="Arial" w:cs="Arial" w:eastAsia="Arial" w:hAnsi="Arial"/>
                <w:sz w:val="18"/>
                <w:szCs w:val="18"/>
                <w:color w:val="auto"/>
              </w:rPr>
              <w:t>Additional</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gridSpan w:val="4"/>
          </w:tcPr>
          <w:p>
            <w:pPr>
              <w:jc w:val="center"/>
              <w:ind w:right="280"/>
              <w:spacing w:after="0" w:line="202" w:lineRule="exact"/>
              <w:rPr>
                <w:sz w:val="20"/>
                <w:szCs w:val="20"/>
                <w:color w:val="auto"/>
              </w:rPr>
            </w:pPr>
            <w:r>
              <w:rPr>
                <w:rFonts w:ascii="Arial" w:cs="Arial" w:eastAsia="Arial" w:hAnsi="Arial"/>
                <w:sz w:val="18"/>
                <w:szCs w:val="18"/>
                <w:color w:val="auto"/>
                <w:w w:val="98"/>
              </w:rPr>
              <w:t>During the</w:t>
            </w:r>
          </w:p>
        </w:tc>
        <w:tc>
          <w:tcPr>
            <w:tcW w:w="100" w:type="dxa"/>
            <w:vAlign w:val="bottom"/>
          </w:tcPr>
          <w:p>
            <w:pPr>
              <w:spacing w:after="0"/>
              <w:rPr>
                <w:sz w:val="17"/>
                <w:szCs w:val="17"/>
                <w:color w:val="auto"/>
              </w:rPr>
            </w:pPr>
          </w:p>
        </w:tc>
        <w:tc>
          <w:tcPr>
            <w:tcW w:w="1180" w:type="dxa"/>
            <w:vAlign w:val="bottom"/>
            <w:gridSpan w:val="3"/>
          </w:tcPr>
          <w:p>
            <w:pPr>
              <w:jc w:val="center"/>
              <w:ind w:right="180"/>
              <w:spacing w:after="0" w:line="202" w:lineRule="exact"/>
              <w:rPr>
                <w:sz w:val="20"/>
                <w:szCs w:val="20"/>
                <w:color w:val="auto"/>
              </w:rPr>
            </w:pPr>
            <w:r>
              <w:rPr>
                <w:rFonts w:ascii="Arial" w:cs="Arial" w:eastAsia="Arial" w:hAnsi="Arial"/>
                <w:sz w:val="18"/>
                <w:szCs w:val="18"/>
                <w:color w:val="auto"/>
                <w:w w:val="98"/>
              </w:rPr>
              <w:t>Costs and</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center"/>
              <w:ind w:right="240"/>
              <w:spacing w:after="0" w:line="202" w:lineRule="exact"/>
              <w:rPr>
                <w:sz w:val="20"/>
                <w:szCs w:val="20"/>
                <w:color w:val="auto"/>
              </w:rPr>
            </w:pPr>
            <w:r>
              <w:rPr>
                <w:rFonts w:ascii="Arial" w:cs="Arial" w:eastAsia="Arial" w:hAnsi="Arial"/>
                <w:sz w:val="18"/>
                <w:szCs w:val="18"/>
                <w:color w:val="auto"/>
                <w:w w:val="99"/>
              </w:rPr>
              <w:t>Reserves at</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gridSpan w:val="4"/>
          </w:tcPr>
          <w:p>
            <w:pPr>
              <w:jc w:val="center"/>
              <w:ind w:right="280"/>
              <w:spacing w:after="0" w:line="202" w:lineRule="exact"/>
              <w:rPr>
                <w:sz w:val="20"/>
                <w:szCs w:val="20"/>
                <w:color w:val="auto"/>
              </w:rPr>
            </w:pPr>
            <w:r>
              <w:rPr>
                <w:rFonts w:ascii="Arial" w:cs="Arial" w:eastAsia="Arial" w:hAnsi="Arial"/>
                <w:sz w:val="18"/>
                <w:szCs w:val="18"/>
                <w:color w:val="auto"/>
                <w:w w:val="99"/>
              </w:rPr>
              <w:t>Second Quarter of</w:t>
            </w:r>
          </w:p>
        </w:tc>
        <w:tc>
          <w:tcPr>
            <w:tcW w:w="100" w:type="dxa"/>
            <w:vAlign w:val="bottom"/>
          </w:tcPr>
          <w:p>
            <w:pPr>
              <w:spacing w:after="0"/>
              <w:rPr>
                <w:sz w:val="17"/>
                <w:szCs w:val="17"/>
                <w:color w:val="auto"/>
              </w:rPr>
            </w:pPr>
          </w:p>
        </w:tc>
        <w:tc>
          <w:tcPr>
            <w:tcW w:w="1180" w:type="dxa"/>
            <w:vAlign w:val="bottom"/>
            <w:gridSpan w:val="3"/>
          </w:tcPr>
          <w:p>
            <w:pPr>
              <w:jc w:val="center"/>
              <w:ind w:right="180"/>
              <w:spacing w:after="0" w:line="202" w:lineRule="exact"/>
              <w:rPr>
                <w:sz w:val="20"/>
                <w:szCs w:val="20"/>
                <w:color w:val="auto"/>
              </w:rPr>
            </w:pPr>
            <w:r>
              <w:rPr>
                <w:rFonts w:ascii="Arial" w:cs="Arial" w:eastAsia="Arial" w:hAnsi="Arial"/>
                <w:sz w:val="18"/>
                <w:szCs w:val="18"/>
                <w:color w:val="auto"/>
              </w:rPr>
              <w:t>Changes in</w:t>
            </w:r>
          </w:p>
        </w:tc>
        <w:tc>
          <w:tcPr>
            <w:tcW w:w="1040" w:type="dxa"/>
            <w:vAlign w:val="bottom"/>
            <w:gridSpan w:val="4"/>
          </w:tcPr>
          <w:p>
            <w:pPr>
              <w:ind w:left="100"/>
              <w:spacing w:after="0" w:line="202" w:lineRule="exact"/>
              <w:rPr>
                <w:sz w:val="20"/>
                <w:szCs w:val="20"/>
                <w:color w:val="auto"/>
              </w:rPr>
            </w:pPr>
            <w:r>
              <w:rPr>
                <w:rFonts w:ascii="Arial" w:cs="Arial" w:eastAsia="Arial" w:hAnsi="Arial"/>
                <w:sz w:val="18"/>
                <w:szCs w:val="18"/>
                <w:color w:val="auto"/>
              </w:rPr>
              <w:t>Reserves</w:t>
            </w:r>
          </w:p>
        </w:tc>
        <w:tc>
          <w:tcPr>
            <w:tcW w:w="100" w:type="dxa"/>
            <w:vAlign w:val="bottom"/>
          </w:tcPr>
          <w:p>
            <w:pPr>
              <w:spacing w:after="0"/>
              <w:rPr>
                <w:sz w:val="17"/>
                <w:szCs w:val="17"/>
                <w:color w:val="auto"/>
              </w:rPr>
            </w:pPr>
          </w:p>
        </w:tc>
        <w:tc>
          <w:tcPr>
            <w:tcW w:w="1420" w:type="dxa"/>
            <w:vAlign w:val="bottom"/>
            <w:gridSpan w:val="3"/>
          </w:tcPr>
          <w:p>
            <w:pPr>
              <w:jc w:val="center"/>
              <w:ind w:right="80"/>
              <w:spacing w:after="0" w:line="202" w:lineRule="exact"/>
              <w:rPr>
                <w:sz w:val="20"/>
                <w:szCs w:val="20"/>
                <w:color w:val="auto"/>
              </w:rPr>
            </w:pPr>
            <w:r>
              <w:rPr>
                <w:rFonts w:ascii="Arial" w:cs="Arial" w:eastAsia="Arial" w:hAnsi="Arial"/>
                <w:sz w:val="18"/>
                <w:szCs w:val="18"/>
                <w:color w:val="auto"/>
                <w:w w:val="99"/>
              </w:rPr>
              <w:t>September 30,</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80" w:type="dxa"/>
            <w:vAlign w:val="bottom"/>
            <w:gridSpan w:val="4"/>
          </w:tcPr>
          <w:p>
            <w:pPr>
              <w:jc w:val="center"/>
              <w:ind w:right="300"/>
              <w:spacing w:after="0"/>
              <w:rPr>
                <w:sz w:val="20"/>
                <w:szCs w:val="20"/>
                <w:color w:val="auto"/>
              </w:rPr>
            </w:pPr>
            <w:r>
              <w:rPr>
                <w:rFonts w:ascii="Arial" w:cs="Arial" w:eastAsia="Arial" w:hAnsi="Arial"/>
                <w:sz w:val="18"/>
                <w:szCs w:val="18"/>
                <w:color w:val="auto"/>
                <w:w w:val="99"/>
              </w:rPr>
              <w:t>Fiscal 2008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Estimate</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Used</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center"/>
              <w:ind w:right="50"/>
              <w:spacing w:after="0"/>
              <w:rPr>
                <w:sz w:val="20"/>
                <w:szCs w:val="20"/>
                <w:color w:val="auto"/>
              </w:rPr>
            </w:pPr>
            <w:r>
              <w:rPr>
                <w:rFonts w:ascii="Arial" w:cs="Arial" w:eastAsia="Arial" w:hAnsi="Arial"/>
                <w:sz w:val="18"/>
                <w:szCs w:val="18"/>
                <w:color w:val="auto"/>
                <w:w w:val="99"/>
              </w:rPr>
              <w:t>2008</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700" w:type="dxa"/>
            <w:vAlign w:val="bottom"/>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700" w:type="dxa"/>
            <w:vAlign w:val="bottom"/>
            <w:vMerge w:val="restart"/>
          </w:tcPr>
          <w:p>
            <w:pPr>
              <w:spacing w:after="0"/>
              <w:rPr>
                <w:sz w:val="2"/>
                <w:szCs w:val="2"/>
                <w:color w:val="auto"/>
              </w:rPr>
            </w:pPr>
          </w:p>
        </w:tc>
        <w:tc>
          <w:tcPr>
            <w:tcW w:w="4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00" w:type="dxa"/>
            <w:vAlign w:val="bottom"/>
            <w:vMerge w:val="continue"/>
          </w:tcPr>
          <w:p>
            <w:pPr>
              <w:spacing w:after="0"/>
              <w:rPr>
                <w:sz w:val="17"/>
                <w:szCs w:val="17"/>
                <w:color w:val="auto"/>
              </w:rPr>
            </w:pPr>
          </w:p>
        </w:tc>
        <w:tc>
          <w:tcPr>
            <w:tcW w:w="4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Sales returns — product recalls</w:t>
            </w:r>
          </w:p>
        </w:tc>
        <w:tc>
          <w:tcPr>
            <w:tcW w:w="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19.0</w:t>
            </w:r>
          </w:p>
        </w:tc>
        <w:tc>
          <w:tcPr>
            <w:tcW w:w="18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w:t>
            </w:r>
          </w:p>
        </w:tc>
        <w:tc>
          <w:tcPr>
            <w:tcW w:w="1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(22.1)</w:t>
            </w:r>
          </w:p>
        </w:tc>
        <w:tc>
          <w:tcPr>
            <w:tcW w:w="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060" w:type="dxa"/>
            <w:vAlign w:val="bottom"/>
          </w:tcPr>
          <w:p>
            <w:pPr>
              <w:spacing w:after="0" w:line="202" w:lineRule="exact"/>
              <w:rPr>
                <w:sz w:val="20"/>
                <w:szCs w:val="20"/>
                <w:color w:val="auto"/>
              </w:rPr>
            </w:pPr>
            <w:r>
              <w:rPr>
                <w:rFonts w:ascii="Arial" w:cs="Arial" w:eastAsia="Arial" w:hAnsi="Arial"/>
                <w:sz w:val="18"/>
                <w:szCs w:val="18"/>
                <w:color w:val="auto"/>
              </w:rPr>
              <w:t>Cost of sales returns — product recalls</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gridSpan w:val="4"/>
          </w:tcPr>
          <w:p>
            <w:pPr>
              <w:jc w:val="right"/>
              <w:ind w:right="120"/>
              <w:spacing w:after="0" w:line="202" w:lineRule="exact"/>
              <w:rPr>
                <w:sz w:val="20"/>
                <w:szCs w:val="20"/>
                <w:color w:val="auto"/>
              </w:rPr>
            </w:pPr>
            <w:r>
              <w:rPr>
                <w:rFonts w:ascii="Arial" w:cs="Arial" w:eastAsia="Arial" w:hAnsi="Arial"/>
                <w:sz w:val="18"/>
                <w:szCs w:val="18"/>
                <w:color w:val="auto"/>
              </w:rPr>
              <w:t>(12.0)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0.9</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11.0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(0.1)</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Inventory impairment</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14.1</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060" w:type="dxa"/>
            <w:vAlign w:val="bottom"/>
          </w:tcPr>
          <w:p>
            <w:pPr>
              <w:spacing w:after="0" w:line="202" w:lineRule="exact"/>
              <w:rPr>
                <w:sz w:val="20"/>
                <w:szCs w:val="20"/>
                <w:color w:val="auto"/>
              </w:rPr>
            </w:pPr>
            <w:r>
              <w:rPr>
                <w:rFonts w:ascii="Arial" w:cs="Arial" w:eastAsia="Arial" w:hAnsi="Arial"/>
                <w:sz w:val="18"/>
                <w:szCs w:val="18"/>
                <w:color w:val="auto"/>
              </w:rPr>
              <w:t>Other incremental costs of sales</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8.5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(10.7)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3.2</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general and administrative costs</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11.5</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4060" w:type="dxa"/>
            <w:vAlign w:val="bottom"/>
          </w:tcPr>
          <w:p>
            <w:pPr>
              <w:ind w:left="180"/>
              <w:spacing w:after="0"/>
              <w:rPr>
                <w:sz w:val="20"/>
                <w:szCs w:val="20"/>
                <w:color w:val="auto"/>
              </w:rPr>
            </w:pPr>
            <w:r>
              <w:rPr>
                <w:rFonts w:ascii="Arial" w:cs="Arial" w:eastAsia="Arial" w:hAnsi="Arial"/>
                <w:sz w:val="18"/>
                <w:szCs w:val="18"/>
                <w:color w:val="auto"/>
              </w:rPr>
              <w:t>Accrued liabilities and inventory reserves</w:t>
            </w:r>
          </w:p>
        </w:tc>
        <w:tc>
          <w:tcPr>
            <w:tcW w:w="2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30.8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0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vMerge w:val="restart"/>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70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300" w:type="dxa"/>
            <w:vAlign w:val="bottom"/>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77</w:t>
            </w: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700" w:type="dxa"/>
            <w:vAlign w:val="bottom"/>
            <w:tcBorders>
              <w:bottom w:val="single" w:sz="8" w:color="808080"/>
            </w:tcBorders>
          </w:tcPr>
          <w:p>
            <w:pPr>
              <w:spacing w:after="0"/>
              <w:rPr>
                <w:sz w:val="17"/>
                <w:szCs w:val="17"/>
                <w:color w:val="auto"/>
              </w:rPr>
            </w:pPr>
          </w:p>
        </w:tc>
        <w:tc>
          <w:tcPr>
            <w:tcW w:w="4060" w:type="dxa"/>
            <w:vAlign w:val="bottom"/>
            <w:tcBorders>
              <w:bottom w:val="single" w:sz="8" w:color="808080"/>
            </w:tcBorders>
          </w:tcPr>
          <w:p>
            <w:pPr>
              <w:spacing w:after="0"/>
              <w:rPr>
                <w:sz w:val="17"/>
                <w:szCs w:val="17"/>
                <w:color w:val="auto"/>
              </w:rPr>
            </w:pPr>
          </w:p>
        </w:tc>
        <w:tc>
          <w:tcPr>
            <w:tcW w:w="260" w:type="dxa"/>
            <w:vAlign w:val="bottom"/>
            <w:tcBorders>
              <w:bottom w:val="single" w:sz="8" w:color="808080"/>
            </w:tcBorders>
          </w:tcPr>
          <w:p>
            <w:pPr>
              <w:spacing w:after="0"/>
              <w:rPr>
                <w:sz w:val="17"/>
                <w:szCs w:val="17"/>
                <w:color w:val="auto"/>
              </w:rPr>
            </w:pPr>
          </w:p>
        </w:tc>
        <w:tc>
          <w:tcPr>
            <w:tcW w:w="100" w:type="dxa"/>
            <w:vAlign w:val="bottom"/>
            <w:tcBorders>
              <w:bottom w:val="single" w:sz="8" w:color="808080"/>
            </w:tcBorders>
          </w:tcPr>
          <w:p>
            <w:pPr>
              <w:spacing w:after="0"/>
              <w:rPr>
                <w:sz w:val="17"/>
                <w:szCs w:val="17"/>
                <w:color w:val="auto"/>
              </w:rPr>
            </w:pPr>
          </w:p>
        </w:tc>
        <w:tc>
          <w:tcPr>
            <w:tcW w:w="44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860" w:type="dxa"/>
            <w:vAlign w:val="bottom"/>
            <w:tcBorders>
              <w:bottom w:val="single" w:sz="8" w:color="808080"/>
            </w:tcBorders>
          </w:tcPr>
          <w:p>
            <w:pPr>
              <w:spacing w:after="0"/>
              <w:rPr>
                <w:sz w:val="17"/>
                <w:szCs w:val="17"/>
                <w:color w:val="auto"/>
              </w:rPr>
            </w:pPr>
          </w:p>
        </w:tc>
        <w:tc>
          <w:tcPr>
            <w:tcW w:w="180" w:type="dxa"/>
            <w:vAlign w:val="bottom"/>
            <w:tcBorders>
              <w:bottom w:val="single" w:sz="8" w:color="808080"/>
            </w:tcBorders>
          </w:tcPr>
          <w:p>
            <w:pPr>
              <w:spacing w:after="0"/>
              <w:rPr>
                <w:sz w:val="17"/>
                <w:szCs w:val="17"/>
                <w:color w:val="auto"/>
              </w:rPr>
            </w:pPr>
          </w:p>
        </w:tc>
        <w:tc>
          <w:tcPr>
            <w:tcW w:w="100" w:type="dxa"/>
            <w:vAlign w:val="bottom"/>
            <w:tcBorders>
              <w:bottom w:val="single" w:sz="8" w:color="808080"/>
            </w:tcBorders>
          </w:tcPr>
          <w:p>
            <w:pPr>
              <w:spacing w:after="0"/>
              <w:rPr>
                <w:sz w:val="17"/>
                <w:szCs w:val="17"/>
                <w:color w:val="auto"/>
              </w:rPr>
            </w:pPr>
          </w:p>
        </w:tc>
        <w:tc>
          <w:tcPr>
            <w:tcW w:w="100" w:type="dxa"/>
            <w:vAlign w:val="bottom"/>
            <w:tcBorders>
              <w:bottom w:val="single" w:sz="8" w:color="808080"/>
            </w:tcBorders>
          </w:tcPr>
          <w:p>
            <w:pPr>
              <w:spacing w:after="0"/>
              <w:rPr>
                <w:sz w:val="17"/>
                <w:szCs w:val="17"/>
                <w:color w:val="auto"/>
              </w:rPr>
            </w:pPr>
          </w:p>
        </w:tc>
        <w:tc>
          <w:tcPr>
            <w:tcW w:w="900" w:type="dxa"/>
            <w:vAlign w:val="bottom"/>
            <w:tcBorders>
              <w:bottom w:val="single" w:sz="8" w:color="808080"/>
            </w:tcBorders>
          </w:tcPr>
          <w:p>
            <w:pPr>
              <w:spacing w:after="0"/>
              <w:rPr>
                <w:sz w:val="17"/>
                <w:szCs w:val="17"/>
                <w:color w:val="auto"/>
              </w:rPr>
            </w:pPr>
          </w:p>
        </w:tc>
        <w:tc>
          <w:tcPr>
            <w:tcW w:w="180" w:type="dxa"/>
            <w:vAlign w:val="bottom"/>
            <w:tcBorders>
              <w:bottom w:val="single" w:sz="8" w:color="808080"/>
            </w:tcBorders>
          </w:tcPr>
          <w:p>
            <w:pPr>
              <w:spacing w:after="0"/>
              <w:rPr>
                <w:sz w:val="17"/>
                <w:szCs w:val="17"/>
                <w:color w:val="auto"/>
              </w:rPr>
            </w:pPr>
          </w:p>
        </w:tc>
        <w:tc>
          <w:tcPr>
            <w:tcW w:w="10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620" w:type="dxa"/>
            <w:vAlign w:val="bottom"/>
            <w:tcBorders>
              <w:bottom w:val="single" w:sz="8" w:color="808080"/>
            </w:tcBorders>
          </w:tcPr>
          <w:p>
            <w:pPr>
              <w:spacing w:after="0"/>
              <w:rPr>
                <w:sz w:val="17"/>
                <w:szCs w:val="17"/>
                <w:color w:val="auto"/>
              </w:rPr>
            </w:pPr>
          </w:p>
        </w:tc>
        <w:tc>
          <w:tcPr>
            <w:tcW w:w="180" w:type="dxa"/>
            <w:vAlign w:val="bottom"/>
            <w:tcBorders>
              <w:bottom w:val="single" w:sz="8" w:color="808080"/>
            </w:tcBorders>
          </w:tcPr>
          <w:p>
            <w:pPr>
              <w:spacing w:after="0"/>
              <w:rPr>
                <w:sz w:val="17"/>
                <w:szCs w:val="17"/>
                <w:color w:val="auto"/>
              </w:rPr>
            </w:pPr>
          </w:p>
        </w:tc>
        <w:tc>
          <w:tcPr>
            <w:tcW w:w="10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1180" w:type="dxa"/>
            <w:vAlign w:val="bottom"/>
            <w:tcBorders>
              <w:bottom w:val="single" w:sz="8" w:color="808080"/>
            </w:tcBorders>
          </w:tcPr>
          <w:p>
            <w:pPr>
              <w:spacing w:after="0"/>
              <w:rPr>
                <w:sz w:val="17"/>
                <w:szCs w:val="17"/>
                <w:color w:val="auto"/>
              </w:rPr>
            </w:pPr>
          </w:p>
        </w:tc>
        <w:tc>
          <w:tcPr>
            <w:tcW w:w="10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hyperlink w:anchor="page64">
        <w:r>
          <w:rPr>
            <w:rFonts w:ascii="Times New Roman" w:cs="Times New Roman" w:eastAsia="Times New Roman" w:hAnsi="Times New Roman"/>
            <w:sz w:val="18"/>
            <w:szCs w:val="18"/>
            <w:b w:val="1"/>
            <w:bCs w:val="1"/>
            <w:u w:val="single" w:color="auto"/>
            <w:color w:val="0000EE"/>
          </w:rPr>
          <w:t>Table of Contents</w:t>
        </w:r>
      </w:hyperlink>
    </w:p>
    <w:p>
      <w:pPr>
        <w:spacing w:after="0" w:line="317"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NOTE 3. IMPAIRMENT, RESTRUCTURING AND OTHER CHARGES</w:t>
      </w:r>
    </w:p>
    <w:p>
      <w:pPr>
        <w:spacing w:after="0" w:line="119" w:lineRule="exact"/>
        <w:rPr>
          <w:sz w:val="20"/>
          <w:szCs w:val="20"/>
          <w:color w:val="auto"/>
        </w:rPr>
      </w:pPr>
    </w:p>
    <w:p>
      <w:pPr>
        <w:ind w:left="700" w:right="280" w:firstLine="402"/>
        <w:spacing w:after="0" w:line="255" w:lineRule="auto"/>
        <w:rPr>
          <w:sz w:val="20"/>
          <w:szCs w:val="20"/>
          <w:color w:val="auto"/>
        </w:rPr>
      </w:pPr>
      <w:r>
        <w:rPr>
          <w:rFonts w:ascii="Arial" w:cs="Arial" w:eastAsia="Arial" w:hAnsi="Arial"/>
          <w:sz w:val="18"/>
          <w:szCs w:val="18"/>
          <w:color w:val="auto"/>
        </w:rPr>
        <w:t>The Company recorded net restructuring and other charges of $1.0 million, $ 1.1 million and $9.4 million in fiscal 2008, 2007 and 2006, respectively. Other charges in fiscal 2008 and 2007 related to the Company’s turfgrass biotechnology program. Substantially all costs in fiscal 2006 were for severance and related costs.</w:t>
      </w:r>
    </w:p>
    <w:p>
      <w:pPr>
        <w:spacing w:after="0" w:line="69" w:lineRule="exact"/>
        <w:rPr>
          <w:sz w:val="20"/>
          <w:szCs w:val="20"/>
          <w:color w:val="auto"/>
        </w:rPr>
      </w:pPr>
    </w:p>
    <w:p>
      <w:pPr>
        <w:ind w:left="700" w:right="40" w:firstLine="402"/>
        <w:spacing w:after="0" w:line="249" w:lineRule="auto"/>
        <w:rPr>
          <w:sz w:val="20"/>
          <w:szCs w:val="20"/>
          <w:color w:val="auto"/>
        </w:rPr>
      </w:pPr>
      <w:r>
        <w:rPr>
          <w:rFonts w:ascii="Arial" w:cs="Arial" w:eastAsia="Arial" w:hAnsi="Arial"/>
          <w:sz w:val="18"/>
          <w:szCs w:val="18"/>
          <w:color w:val="auto"/>
        </w:rPr>
        <w:t>Property, plant and equipment charges of $15.8 million in fiscal 2008 related primarily to Smith &amp; Hawken</w:t>
      </w:r>
      <w:r>
        <w:rPr>
          <w:rFonts w:ascii="Arial" w:cs="Arial" w:eastAsia="Arial" w:hAnsi="Arial"/>
          <w:sz w:val="15"/>
          <w:szCs w:val="15"/>
          <w:color w:val="auto"/>
        </w:rPr>
        <w:t>®</w:t>
      </w:r>
      <w:r>
        <w:rPr>
          <w:rFonts w:ascii="Arial" w:cs="Arial" w:eastAsia="Arial" w:hAnsi="Arial"/>
          <w:sz w:val="18"/>
          <w:szCs w:val="18"/>
          <w:color w:val="auto"/>
        </w:rPr>
        <w:t>. Goodwill and intangible asset impairment charges of $120.0 million, $35.3 million and $66.4 million were recorded in fiscal 2008, 2007 and 2006, respectively. The nature of the impairment charges are discussed further in “NOTE 4. GOODWILL AND INTANGIBLE ASSETS, NET.”</w:t>
      </w:r>
    </w:p>
    <w:p>
      <w:pPr>
        <w:spacing w:after="0" w:line="73" w:lineRule="exact"/>
        <w:rPr>
          <w:sz w:val="20"/>
          <w:szCs w:val="20"/>
          <w:color w:val="auto"/>
        </w:rPr>
      </w:pPr>
    </w:p>
    <w:p>
      <w:pPr>
        <w:ind w:left="700" w:right="820" w:firstLine="402"/>
        <w:spacing w:after="0" w:line="276" w:lineRule="auto"/>
        <w:rPr>
          <w:sz w:val="20"/>
          <w:szCs w:val="20"/>
          <w:color w:val="auto"/>
        </w:rPr>
      </w:pPr>
      <w:r>
        <w:rPr>
          <w:rFonts w:ascii="Arial" w:cs="Arial" w:eastAsia="Arial" w:hAnsi="Arial"/>
          <w:sz w:val="18"/>
          <w:szCs w:val="18"/>
          <w:color w:val="auto"/>
        </w:rPr>
        <w:t>The following table details impairment, restructuring and other charges and rolls forward the cash portion of the restructuring and other charges accrued in fiscal 2008, 2007 and 2006 (in millions):</w:t>
      </w:r>
    </w:p>
    <w:p>
      <w:pPr>
        <w:spacing w:after="0" w:line="64" w:lineRule="exact"/>
        <w:rPr>
          <w:sz w:val="20"/>
          <w:szCs w:val="20"/>
          <w:color w:val="auto"/>
        </w:rPr>
      </w:pPr>
    </w:p>
    <w:tbl>
      <w:tblPr>
        <w:tblLayout w:type="fixed"/>
        <w:tblInd w:w="70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7580" w:type="dxa"/>
            <w:vAlign w:val="bottom"/>
          </w:tcPr>
          <w:p>
            <w:pPr>
              <w:spacing w:after="0"/>
              <w:rPr>
                <w:sz w:val="21"/>
                <w:szCs w:val="21"/>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2008</w:t>
            </w:r>
          </w:p>
        </w:tc>
        <w:tc>
          <w:tcPr>
            <w:tcW w:w="240" w:type="dxa"/>
            <w:vAlign w:val="bottom"/>
          </w:tcPr>
          <w:p>
            <w:pPr>
              <w:spacing w:after="0"/>
              <w:rPr>
                <w:sz w:val="21"/>
                <w:szCs w:val="21"/>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2007</w:t>
            </w:r>
          </w:p>
        </w:tc>
        <w:tc>
          <w:tcPr>
            <w:tcW w:w="220" w:type="dxa"/>
            <w:vAlign w:val="bottom"/>
          </w:tcPr>
          <w:p>
            <w:pPr>
              <w:spacing w:after="0"/>
              <w:rPr>
                <w:sz w:val="21"/>
                <w:szCs w:val="21"/>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7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Restructuring and other charges</w:t>
            </w:r>
          </w:p>
        </w:tc>
        <w:tc>
          <w:tcPr>
            <w:tcW w:w="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w:t>
            </w:r>
          </w:p>
        </w:tc>
        <w:tc>
          <w:tcPr>
            <w:tcW w:w="22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80" w:type="dxa"/>
            <w:vAlign w:val="bottom"/>
          </w:tcPr>
          <w:p>
            <w:pPr>
              <w:spacing w:after="0" w:line="202" w:lineRule="exact"/>
              <w:rPr>
                <w:sz w:val="20"/>
                <w:szCs w:val="20"/>
                <w:color w:val="auto"/>
              </w:rPr>
            </w:pPr>
            <w:r>
              <w:rPr>
                <w:rFonts w:ascii="Arial" w:cs="Arial" w:eastAsia="Arial" w:hAnsi="Arial"/>
                <w:sz w:val="18"/>
                <w:szCs w:val="18"/>
                <w:color w:val="auto"/>
              </w:rPr>
              <w:t>Property, plant and equipment impairment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15.8</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 and intangible asset impairments</w:t>
            </w: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120.0</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6"/>
              </w:rPr>
              <w:t>35.3</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66.4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600" w:type="dxa"/>
            <w:vAlign w:val="bottom"/>
            <w:gridSpan w:val="2"/>
          </w:tcPr>
          <w:p>
            <w:pPr>
              <w:spacing w:after="0"/>
              <w:rPr>
                <w:sz w:val="20"/>
                <w:szCs w:val="20"/>
                <w:color w:val="auto"/>
              </w:rPr>
            </w:pPr>
            <w:r>
              <w:rPr>
                <w:rFonts w:ascii="Arial" w:cs="Arial" w:eastAsia="Arial" w:hAnsi="Arial"/>
                <w:sz w:val="18"/>
                <w:szCs w:val="18"/>
                <w:color w:val="auto"/>
              </w:rPr>
              <w:t>Total impairment, restructuring and other charges</w:t>
            </w: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136.8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38.0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Amounts reserved for restructuring and other charges at beginning of year</w:t>
            </w:r>
          </w:p>
        </w:tc>
        <w:tc>
          <w:tcPr>
            <w:tcW w:w="1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w:t>
            </w:r>
          </w:p>
        </w:tc>
        <w:tc>
          <w:tcPr>
            <w:tcW w:w="24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6.4</w:t>
            </w:r>
          </w:p>
        </w:tc>
        <w:tc>
          <w:tcPr>
            <w:tcW w:w="22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80" w:type="dxa"/>
            <w:vAlign w:val="bottom"/>
          </w:tcPr>
          <w:p>
            <w:pPr>
              <w:ind w:left="160"/>
              <w:spacing w:after="0" w:line="202" w:lineRule="exact"/>
              <w:rPr>
                <w:sz w:val="20"/>
                <w:szCs w:val="20"/>
                <w:color w:val="auto"/>
              </w:rPr>
            </w:pPr>
            <w:r>
              <w:rPr>
                <w:rFonts w:ascii="Arial" w:cs="Arial" w:eastAsia="Arial" w:hAnsi="Arial"/>
                <w:sz w:val="18"/>
                <w:szCs w:val="18"/>
                <w:color w:val="auto"/>
              </w:rPr>
              <w:t>Restructuring and other expense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2.7</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9.4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Receipts, payments and other</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w w:val="97"/>
              </w:rPr>
              <w:t>(18.6)</w:t>
            </w:r>
          </w:p>
        </w:tc>
        <w:tc>
          <w:tcPr>
            <w:tcW w:w="0" w:type="dxa"/>
            <w:vAlign w:val="bottom"/>
          </w:tcPr>
          <w:p>
            <w:pPr>
              <w:spacing w:after="0"/>
              <w:rPr>
                <w:sz w:val="1"/>
                <w:szCs w:val="1"/>
                <w:color w:val="auto"/>
              </w:rPr>
            </w:pPr>
          </w:p>
        </w:tc>
      </w:tr>
      <w:tr>
        <w:trPr>
          <w:trHeight w:val="210"/>
        </w:trPr>
        <w:tc>
          <w:tcPr>
            <w:tcW w:w="7600" w:type="dxa"/>
            <w:vAlign w:val="bottom"/>
            <w:gridSpan w:val="2"/>
          </w:tcPr>
          <w:p>
            <w:pPr>
              <w:spacing w:after="0"/>
              <w:rPr>
                <w:sz w:val="20"/>
                <w:szCs w:val="20"/>
                <w:color w:val="auto"/>
              </w:rPr>
            </w:pPr>
            <w:r>
              <w:rPr>
                <w:rFonts w:ascii="Arial" w:cs="Arial" w:eastAsia="Arial" w:hAnsi="Arial"/>
                <w:sz w:val="18"/>
                <w:szCs w:val="18"/>
                <w:color w:val="auto"/>
              </w:rPr>
              <w:t>Amounts reserved for restructuring and other charges at end of year</w:t>
            </w: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NOTE 4. GOODWILL AND INTANGIBLE ASSETS, NET</w:t>
      </w:r>
    </w:p>
    <w:p>
      <w:pPr>
        <w:spacing w:after="0" w:line="119" w:lineRule="exact"/>
        <w:rPr>
          <w:sz w:val="20"/>
          <w:szCs w:val="20"/>
          <w:color w:val="auto"/>
        </w:rPr>
      </w:pPr>
    </w:p>
    <w:p>
      <w:pPr>
        <w:ind w:left="700" w:right="80" w:firstLine="402"/>
        <w:spacing w:after="0" w:line="239" w:lineRule="auto"/>
        <w:rPr>
          <w:sz w:val="20"/>
          <w:szCs w:val="20"/>
          <w:color w:val="auto"/>
        </w:rPr>
      </w:pPr>
      <w:r>
        <w:rPr>
          <w:rFonts w:ascii="Arial" w:cs="Arial" w:eastAsia="Arial" w:hAnsi="Arial"/>
          <w:sz w:val="18"/>
          <w:szCs w:val="18"/>
          <w:color w:val="auto"/>
        </w:rPr>
        <w:t>In accordance with SFAS 142, goodwill and indefinite-lived intangible assets are not subject to amortization. Goodwill and indefinite-lived intangible assets are reviewed for impairment by applying a fair-value based test on an annual basis or more frequently if circumstances indicate impairment may have occurred. The Company assesses goodwill for impairment by comparing the carrying value of its reporting units to their respective fair values and reviewing the Company’s market value of invested capital. Management engages an independent valuation firm to assist in its impairment assessment reviews. The Company determines the fair value of its reporting units primarily utilizing discounted cash flows and incorporates assumptions it believes marketplace participants would utilize. The Company also uses comparative market multiples and other factors to corroborate the discounted cash flow results used. The value of all indefinite-lived tradenames was determined using a royalty savings methodology similar to that employed when the associated businesses were acquired but using updated estimates of sales, cash flow and profitability.</w:t>
      </w:r>
    </w:p>
    <w:p>
      <w:pPr>
        <w:spacing w:after="0" w:line="86" w:lineRule="exact"/>
        <w:rPr>
          <w:sz w:val="20"/>
          <w:szCs w:val="20"/>
          <w:color w:val="auto"/>
        </w:rPr>
      </w:pPr>
    </w:p>
    <w:p>
      <w:pPr>
        <w:ind w:left="700" w:right="160" w:firstLine="402"/>
        <w:spacing w:after="0" w:line="245" w:lineRule="auto"/>
        <w:rPr>
          <w:sz w:val="20"/>
          <w:szCs w:val="20"/>
          <w:color w:val="auto"/>
        </w:rPr>
      </w:pPr>
      <w:r>
        <w:rPr>
          <w:rFonts w:ascii="Arial" w:cs="Arial" w:eastAsia="Arial" w:hAnsi="Arial"/>
          <w:sz w:val="18"/>
          <w:szCs w:val="18"/>
          <w:color w:val="auto"/>
        </w:rPr>
        <w:t>As discussed in “NOTE 1. SUMMARY OF SIGNIFICANT ACCOUNTING POLICIES,” during the third quarter of fiscal 2007, the Company changed the timing of its annual goodwill impairment testing from the last day of the first fiscal quarter to the first day of the fourth fiscal quarter. As such, annual impairment testing for fiscal 2008 was scheduled to be performed as of June 29, 2008. Annual impairment testing for fiscal 2007 was performed as of December 30, 2006 and again as of July 1, 2007.</w:t>
      </w:r>
    </w:p>
    <w:p>
      <w:pPr>
        <w:spacing w:after="0" w:line="81" w:lineRule="exact"/>
        <w:rPr>
          <w:sz w:val="20"/>
          <w:szCs w:val="20"/>
          <w:color w:val="auto"/>
        </w:rPr>
      </w:pPr>
    </w:p>
    <w:p>
      <w:pPr>
        <w:ind w:left="700"/>
        <w:spacing w:after="0"/>
        <w:rPr>
          <w:sz w:val="20"/>
          <w:szCs w:val="20"/>
          <w:color w:val="auto"/>
        </w:rPr>
      </w:pPr>
      <w:r>
        <w:rPr>
          <w:rFonts w:ascii="Arial" w:cs="Arial" w:eastAsia="Arial" w:hAnsi="Arial"/>
          <w:sz w:val="16"/>
          <w:szCs w:val="16"/>
          <w:b w:val="1"/>
          <w:bCs w:val="1"/>
          <w:u w:val="single" w:color="auto"/>
          <w:color w:val="auto"/>
        </w:rPr>
        <w:t>Fiscal 2008</w:t>
      </w:r>
    </w:p>
    <w:p>
      <w:pPr>
        <w:spacing w:after="0" w:line="124" w:lineRule="exact"/>
        <w:rPr>
          <w:sz w:val="20"/>
          <w:szCs w:val="20"/>
          <w:color w:val="auto"/>
        </w:rPr>
      </w:pPr>
    </w:p>
    <w:p>
      <w:pPr>
        <w:ind w:left="700" w:right="80" w:firstLine="402"/>
        <w:spacing w:after="0" w:line="245" w:lineRule="auto"/>
        <w:rPr>
          <w:sz w:val="20"/>
          <w:szCs w:val="20"/>
          <w:color w:val="auto"/>
        </w:rPr>
      </w:pPr>
      <w:r>
        <w:rPr>
          <w:rFonts w:ascii="Arial" w:cs="Arial" w:eastAsia="Arial" w:hAnsi="Arial"/>
          <w:sz w:val="18"/>
          <w:szCs w:val="18"/>
          <w:color w:val="auto"/>
        </w:rPr>
        <w:t>As a result of a significant decline in the market value of the Company’s common shares during the latter half of the third fiscal quarter ended June 28, 2008, the Company’s market value of invested capital was approximately 60% of the comparable impairment metric used in the fourth quarter fiscal 2007 annual impairment testing. Management determined this was an indicator of possible goodwill impairment and, therefore, interim impairment testing was performed as of June 28, 2008.</w:t>
      </w:r>
    </w:p>
    <w:p>
      <w:pPr>
        <w:spacing w:after="0" w:line="11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1"/>
          <w:szCs w:val="11"/>
          <w:b w:val="1"/>
          <w:bCs w:val="1"/>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-78105</wp:posOffset>
            </wp:positionV>
            <wp:extent cx="19748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240" w:top="415" w:right="91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hyperlink w:anchor="page64">
        <w:r>
          <w:rPr>
            <w:rFonts w:ascii="Times New Roman" w:cs="Times New Roman" w:eastAsia="Times New Roman" w:hAnsi="Times New Roman"/>
            <w:sz w:val="18"/>
            <w:szCs w:val="18"/>
            <w:b w:val="1"/>
            <w:bCs w:val="1"/>
            <w:u w:val="single" w:color="auto"/>
            <w:color w:val="0000EE"/>
          </w:rPr>
          <w:t>Table of Contents</w:t>
        </w:r>
      </w:hyperlink>
    </w:p>
    <w:p>
      <w:pPr>
        <w:spacing w:after="0" w:line="317"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5" w:lineRule="exact"/>
        <w:rPr>
          <w:sz w:val="20"/>
          <w:szCs w:val="20"/>
          <w:color w:val="auto"/>
        </w:rPr>
      </w:pPr>
    </w:p>
    <w:p>
      <w:pPr>
        <w:ind w:left="700" w:firstLine="402"/>
        <w:spacing w:after="0" w:line="256" w:lineRule="auto"/>
        <w:rPr>
          <w:sz w:val="20"/>
          <w:szCs w:val="20"/>
          <w:color w:val="auto"/>
        </w:rPr>
      </w:pPr>
      <w:r>
        <w:rPr>
          <w:rFonts w:ascii="Arial" w:cs="Arial" w:eastAsia="Arial" w:hAnsi="Arial"/>
          <w:sz w:val="17"/>
          <w:szCs w:val="17"/>
          <w:color w:val="auto"/>
        </w:rPr>
        <w:t>The Company’s third quarter fiscal 2008 interim impairment review resulted in a non-cash charge of $123.3 million to reflect the decline in the fair value of certain goodwill and other assets as evidenced by the decline in the Company’s common shares. No further adjustments to the goodwill portion of this impairment charge were required as a result of the completion of the SFAS 142 Step 2 evaluation in the fourth quarter of fiscal 2008. However, an additional impairment charge of $13.5 million was recorded in the fourth quarter of fiscal 2008, primarily related to leasehold improvements of Smith &amp; Hawken</w:t>
      </w:r>
      <w:r>
        <w:rPr>
          <w:rFonts w:ascii="Arial" w:cs="Arial" w:eastAsia="Arial" w:hAnsi="Arial"/>
          <w:sz w:val="14"/>
          <w:szCs w:val="14"/>
          <w:color w:val="auto"/>
        </w:rPr>
        <w:t>®</w:t>
      </w:r>
      <w:r>
        <w:rPr>
          <w:rFonts w:ascii="Arial" w:cs="Arial" w:eastAsia="Arial" w:hAnsi="Arial"/>
          <w:sz w:val="17"/>
          <w:szCs w:val="17"/>
          <w:color w:val="auto"/>
        </w:rPr>
        <w:t>. In total, the fiscal 2008 impairment charges comprise $80.8 million for goodwill, $19.0 million related to indefinite-lived tradenames and $37.0 million for SFAS 144 long-lived assets. Of the $37.0 million impairment charge recorded for SFAS 144 long-lived assets, $15.1 million was recorded in cost of sales. On a reportable segment basis, $ 64.5 million of the impairment was in Global Consumer, $38.4 million was in Global Professional, with the remaining $33.9 million in Corporate &amp; Other.</w:t>
      </w:r>
    </w:p>
    <w:p>
      <w:pPr>
        <w:spacing w:after="0" w:line="68" w:lineRule="exact"/>
        <w:rPr>
          <w:sz w:val="20"/>
          <w:szCs w:val="20"/>
          <w:color w:val="auto"/>
        </w:rPr>
      </w:pPr>
    </w:p>
    <w:p>
      <w:pPr>
        <w:ind w:left="700" w:right="60" w:firstLine="402"/>
        <w:spacing w:after="0" w:line="255" w:lineRule="auto"/>
        <w:rPr>
          <w:sz w:val="20"/>
          <w:szCs w:val="20"/>
          <w:color w:val="auto"/>
        </w:rPr>
      </w:pPr>
      <w:r>
        <w:rPr>
          <w:rFonts w:ascii="Arial" w:cs="Arial" w:eastAsia="Arial" w:hAnsi="Arial"/>
          <w:sz w:val="18"/>
          <w:szCs w:val="18"/>
          <w:color w:val="auto"/>
        </w:rPr>
        <w:t>Given the timing of the interim impairment testing at the end of the third quarter of fiscal 2008, management performed an evaluation and determined that additional goodwill and indefinite-lived intangibles as of the annual impairment testing date at the beginning of the fourth fiscal quarter was not required in fiscal 2008.</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6"/>
          <w:szCs w:val="16"/>
          <w:b w:val="1"/>
          <w:bCs w:val="1"/>
          <w:u w:val="single" w:color="auto"/>
          <w:color w:val="auto"/>
        </w:rPr>
        <w:t>Fiscal 2007</w:t>
      </w:r>
    </w:p>
    <w:p>
      <w:pPr>
        <w:spacing w:after="0" w:line="124" w:lineRule="exact"/>
        <w:rPr>
          <w:sz w:val="20"/>
          <w:szCs w:val="20"/>
          <w:color w:val="auto"/>
        </w:rPr>
      </w:pPr>
    </w:p>
    <w:p>
      <w:pPr>
        <w:ind w:left="700" w:firstLine="402"/>
        <w:spacing w:after="0" w:line="238" w:lineRule="auto"/>
        <w:rPr>
          <w:sz w:val="20"/>
          <w:szCs w:val="20"/>
          <w:color w:val="auto"/>
        </w:rPr>
      </w:pPr>
      <w:r>
        <w:rPr>
          <w:rFonts w:ascii="Arial" w:cs="Arial" w:eastAsia="Arial" w:hAnsi="Arial"/>
          <w:sz w:val="18"/>
          <w:szCs w:val="18"/>
          <w:color w:val="auto"/>
        </w:rPr>
        <w:t>The Company’s fourth quarter fiscal 2007 impairment review resulted in a non-cash goodwill and intangible asset impairment charge of $35.3 million. Partially as a result of the disappointing 2007 lawn and garden season, management performed a comprehensive strategic update of the Company’s business initiatives in the fourth quarter of fiscal 2007. One outcome of this update was a decision to increase the focus of resources on the Company’s core consumer lawn and garden do-it-yourself businesses. This process also involved a re-evaluation of the strategy and cash flow projections surrounding the Company’s Smith &amp; Hawken</w:t>
      </w:r>
      <w:r>
        <w:rPr>
          <w:rFonts w:ascii="Arial" w:cs="Arial" w:eastAsia="Arial" w:hAnsi="Arial"/>
          <w:sz w:val="15"/>
          <w:szCs w:val="15"/>
          <w:color w:val="auto"/>
        </w:rPr>
        <w:t>®</w:t>
      </w:r>
      <w:r>
        <w:rPr>
          <w:rFonts w:ascii="Arial" w:cs="Arial" w:eastAsia="Arial" w:hAnsi="Arial"/>
          <w:sz w:val="18"/>
          <w:szCs w:val="18"/>
          <w:color w:val="auto"/>
        </w:rPr>
        <w:t xml:space="preserve"> business, which has consistently performed below expectations since it was acquired in early fiscal 2005. Management revised its Smith &amp; Hawken</w:t>
      </w:r>
      <w:r>
        <w:rPr>
          <w:rFonts w:ascii="Arial" w:cs="Arial" w:eastAsia="Arial" w:hAnsi="Arial"/>
          <w:sz w:val="15"/>
          <w:szCs w:val="15"/>
          <w:color w:val="auto"/>
        </w:rPr>
        <w:t>®</w:t>
      </w:r>
      <w:r>
        <w:rPr>
          <w:rFonts w:ascii="Arial" w:cs="Arial" w:eastAsia="Arial" w:hAnsi="Arial"/>
          <w:sz w:val="18"/>
          <w:szCs w:val="18"/>
          <w:color w:val="auto"/>
        </w:rPr>
        <w:t xml:space="preserve"> strategy to reflect a scaled back retail expansion plan, with an increased focus on aggressively expanding the wholesale aspect of this business. This resulted in a decrease in the prior cash flow projections for this business, resulting in a $24.6 million goodwill impairment charge and a $4.6 million impairment charge for an indefinite-lived tradename. The Company finalized the fourth quarter fiscal 2007 SFAS 142 impairment evaluation of the Smith &amp; Hawken</w:t>
      </w:r>
      <w:r>
        <w:rPr>
          <w:rFonts w:ascii="Arial" w:cs="Arial" w:eastAsia="Arial" w:hAnsi="Arial"/>
          <w:sz w:val="15"/>
          <w:szCs w:val="15"/>
          <w:color w:val="auto"/>
        </w:rPr>
        <w:t>®</w:t>
      </w:r>
      <w:r>
        <w:rPr>
          <w:rFonts w:ascii="Arial" w:cs="Arial" w:eastAsia="Arial" w:hAnsi="Arial"/>
          <w:sz w:val="18"/>
          <w:szCs w:val="18"/>
          <w:color w:val="auto"/>
        </w:rPr>
        <w:t xml:space="preserve"> goodwill during the first quarter of fiscal 2008 and there was no change to the related impairment charge recorded in the fourth quarter of fiscal 2007.</w:t>
      </w:r>
    </w:p>
    <w:p>
      <w:pPr>
        <w:spacing w:after="0" w:line="89" w:lineRule="exact"/>
        <w:rPr>
          <w:sz w:val="20"/>
          <w:szCs w:val="20"/>
          <w:color w:val="auto"/>
        </w:rPr>
      </w:pPr>
    </w:p>
    <w:p>
      <w:pPr>
        <w:ind w:left="700" w:firstLine="402"/>
        <w:spacing w:after="0"/>
        <w:rPr>
          <w:sz w:val="20"/>
          <w:szCs w:val="20"/>
          <w:color w:val="auto"/>
        </w:rPr>
      </w:pPr>
      <w:r>
        <w:rPr>
          <w:rFonts w:ascii="Arial" w:cs="Arial" w:eastAsia="Arial" w:hAnsi="Arial"/>
          <w:sz w:val="18"/>
          <w:szCs w:val="18"/>
          <w:color w:val="auto"/>
        </w:rPr>
        <w:t>Management’s fiscal 2007 fourth quarter strategic update also encompassed other areas. The Company remains committed to the development of turfgrass varieties that could one day require less mowing, less water and fewer treatments to resist insects, weeds and disease. The Company’s efforts to develop such turfgrass varieties include conventional breeding programs as well as research and development involving biotechnology. Efforts to develop turfgrass varieties involving biotechnology have yielded positive results; however, the required regulatory approval process is taking longer than anticipated, impacting the Company’s ability to commercialize such innovations. As a result of management’s fiscal 2007 fourth quarter strategic update, the Company recorded a $2.2 million goodwill impairment charge related to its turfgrass biotechnology program. Similarly, a strategic update of certain information technology initiatives in the Company’s Scotts LawnService</w:t>
      </w:r>
      <w:r>
        <w:rPr>
          <w:rFonts w:ascii="Arial" w:cs="Arial" w:eastAsia="Arial" w:hAnsi="Arial"/>
          <w:sz w:val="15"/>
          <w:szCs w:val="15"/>
          <w:color w:val="auto"/>
        </w:rPr>
        <w:t>®</w:t>
      </w:r>
      <w:r>
        <w:rPr>
          <w:rFonts w:ascii="Arial" w:cs="Arial" w:eastAsia="Arial" w:hAnsi="Arial"/>
          <w:sz w:val="18"/>
          <w:szCs w:val="18"/>
          <w:color w:val="auto"/>
        </w:rPr>
        <w:t xml:space="preserve"> segment resulted in a $3.9 million impairment charge.</w:t>
      </w:r>
    </w:p>
    <w:p>
      <w:pPr>
        <w:spacing w:after="0" w:line="193" w:lineRule="exact"/>
        <w:rPr>
          <w:sz w:val="20"/>
          <w:szCs w:val="20"/>
          <w:color w:val="auto"/>
        </w:rPr>
      </w:pPr>
    </w:p>
    <w:p>
      <w:pPr>
        <w:ind w:left="700"/>
        <w:spacing w:after="0"/>
        <w:rPr>
          <w:sz w:val="20"/>
          <w:szCs w:val="20"/>
          <w:color w:val="auto"/>
        </w:rPr>
      </w:pPr>
      <w:r>
        <w:rPr>
          <w:rFonts w:ascii="Arial" w:cs="Arial" w:eastAsia="Arial" w:hAnsi="Arial"/>
          <w:sz w:val="16"/>
          <w:szCs w:val="16"/>
          <w:b w:val="1"/>
          <w:bCs w:val="1"/>
          <w:u w:val="single" w:color="auto"/>
          <w:color w:val="auto"/>
        </w:rPr>
        <w:t>Fiscal 2006</w:t>
      </w:r>
    </w:p>
    <w:p>
      <w:pPr>
        <w:spacing w:after="0" w:line="124" w:lineRule="exact"/>
        <w:rPr>
          <w:sz w:val="20"/>
          <w:szCs w:val="20"/>
          <w:color w:val="auto"/>
        </w:rPr>
      </w:pPr>
    </w:p>
    <w:p>
      <w:pPr>
        <w:ind w:left="700" w:right="20" w:firstLine="402"/>
        <w:spacing w:after="0"/>
        <w:rPr>
          <w:sz w:val="20"/>
          <w:szCs w:val="20"/>
          <w:color w:val="auto"/>
        </w:rPr>
      </w:pPr>
      <w:r>
        <w:rPr>
          <w:rFonts w:ascii="Arial" w:cs="Arial" w:eastAsia="Arial" w:hAnsi="Arial"/>
          <w:sz w:val="18"/>
          <w:szCs w:val="18"/>
          <w:color w:val="auto"/>
        </w:rPr>
        <w:t>The Company’s fiscal 2006 annual impairment analysis resulted in an impairment charge of $1.0 million associated with a tradename no longer in use in the European portion of the Global Consumer reporting segment. Subsequent to the fiscal 2006 first quarter impairment analysis, the European portion of the Global Consumer reporting segment and Smith &amp; Hawken</w:t>
      </w:r>
      <w:r>
        <w:rPr>
          <w:rFonts w:ascii="Arial" w:cs="Arial" w:eastAsia="Arial" w:hAnsi="Arial"/>
          <w:sz w:val="15"/>
          <w:szCs w:val="15"/>
          <w:color w:val="auto"/>
        </w:rPr>
        <w:t>®</w:t>
      </w:r>
      <w:r>
        <w:rPr>
          <w:rFonts w:ascii="Arial" w:cs="Arial" w:eastAsia="Arial" w:hAnsi="Arial"/>
          <w:sz w:val="18"/>
          <w:szCs w:val="18"/>
          <w:color w:val="auto"/>
        </w:rPr>
        <w:t xml:space="preserve"> each experienced significant off-plan performance. Management believes the off-plan performance of the European consumer business was driven largely by category declines in the European consumer markets. The off-plan performance of these two businesses was an indication that, more-likely-than-not, the fair values of the related reporting units and indefinite-lived intangibles had declined below their carrying amount. Accordingly, an interim impairment test was performed for the goodwill and indefinite-lived tradenames of these reporting units during the</w:t>
      </w:r>
    </w:p>
    <w:p>
      <w:pPr>
        <w:spacing w:after="0" w:line="12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1"/>
          <w:szCs w:val="11"/>
          <w:b w:val="1"/>
          <w:bCs w:val="1"/>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-78105</wp:posOffset>
            </wp:positionV>
            <wp:extent cx="19748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00"/>
          </w:cols>
          <w:pgMar w:left="240" w:top="415" w:right="95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hyperlink w:anchor="page64">
        <w:r>
          <w:rPr>
            <w:rFonts w:ascii="Times New Roman" w:cs="Times New Roman" w:eastAsia="Times New Roman" w:hAnsi="Times New Roman"/>
            <w:sz w:val="18"/>
            <w:szCs w:val="18"/>
            <w:b w:val="1"/>
            <w:bCs w:val="1"/>
            <w:u w:val="single" w:color="auto"/>
            <w:color w:val="0000EE"/>
          </w:rPr>
          <w:t>Table of Contents</w:t>
        </w:r>
      </w:hyperlink>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5" w:lineRule="exact"/>
        <w:rPr>
          <w:sz w:val="20"/>
          <w:szCs w:val="20"/>
          <w:color w:val="auto"/>
        </w:rPr>
      </w:pPr>
    </w:p>
    <w:p>
      <w:pPr>
        <w:ind w:left="700" w:right="960"/>
        <w:spacing w:after="0" w:line="243" w:lineRule="auto"/>
        <w:rPr>
          <w:sz w:val="20"/>
          <w:szCs w:val="20"/>
          <w:color w:val="auto"/>
        </w:rPr>
      </w:pPr>
      <w:r>
        <w:rPr>
          <w:rFonts w:ascii="Arial" w:cs="Arial" w:eastAsia="Arial" w:hAnsi="Arial"/>
          <w:sz w:val="18"/>
          <w:szCs w:val="18"/>
          <w:color w:val="auto"/>
        </w:rPr>
        <w:t>fourth quarter of fiscal 2006. As a result of the interim impairment test, the Company recorded a $65.4 million non-cash impairment charge, $62.3 million of which was associated with indefinite-lived tradenames in the European portion of the Global Consumer reporting segment. The balance of the fiscal 2006 fourth quarter impairment charge was in the Global Consumer segment and consisted of $1.3 million for a Canadian tradename being phased out and $1.8 million related to goodwill of a pottery business being exited. The interim impairment testing of the Smith &amp; Hawken</w:t>
      </w:r>
      <w:r>
        <w:rPr>
          <w:rFonts w:ascii="Arial" w:cs="Arial" w:eastAsia="Arial" w:hAnsi="Arial"/>
          <w:sz w:val="15"/>
          <w:szCs w:val="15"/>
          <w:color w:val="auto"/>
        </w:rPr>
        <w:t>®</w:t>
      </w:r>
      <w:r>
        <w:rPr>
          <w:rFonts w:ascii="Arial" w:cs="Arial" w:eastAsia="Arial" w:hAnsi="Arial"/>
          <w:sz w:val="18"/>
          <w:szCs w:val="18"/>
          <w:color w:val="auto"/>
        </w:rPr>
        <w:t xml:space="preserve"> goodwill and indefinite-lived tradename did not indicate impairment.</w:t>
      </w:r>
    </w:p>
    <w:p>
      <w:pPr>
        <w:spacing w:after="0" w:line="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following table presents goodwill and intangible assets as of September 30, 2008 and 2007 (dollars in millions).</w:t>
      </w:r>
    </w:p>
    <w:p>
      <w:pPr>
        <w:spacing w:after="0" w:line="140" w:lineRule="exact"/>
        <w:rPr>
          <w:sz w:val="20"/>
          <w:szCs w:val="20"/>
          <w:color w:val="auto"/>
        </w:rPr>
      </w:pPr>
    </w:p>
    <w:tbl>
      <w:tblPr>
        <w:tblLayout w:type="fixed"/>
        <w:tblInd w:w="7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Weighted</w:t>
            </w:r>
          </w:p>
        </w:tc>
        <w:tc>
          <w:tcPr>
            <w:tcW w:w="100" w:type="dxa"/>
            <w:vAlign w:val="bottom"/>
          </w:tcPr>
          <w:p>
            <w:pPr>
              <w:spacing w:after="0"/>
              <w:rPr>
                <w:sz w:val="15"/>
                <w:szCs w:val="15"/>
                <w:color w:val="auto"/>
              </w:rPr>
            </w:pPr>
          </w:p>
        </w:tc>
        <w:tc>
          <w:tcPr>
            <w:tcW w:w="1900" w:type="dxa"/>
            <w:vAlign w:val="bottom"/>
            <w:tcBorders>
              <w:bottom w:val="single" w:sz="8" w:color="auto"/>
            </w:tcBorders>
            <w:gridSpan w:val="5"/>
          </w:tcPr>
          <w:p>
            <w:pPr>
              <w:ind w:left="520"/>
              <w:spacing w:after="0"/>
              <w:rPr>
                <w:sz w:val="20"/>
                <w:szCs w:val="20"/>
                <w:color w:val="auto"/>
              </w:rPr>
            </w:pPr>
            <w:r>
              <w:rPr>
                <w:rFonts w:ascii="Arial" w:cs="Arial" w:eastAsia="Arial" w:hAnsi="Arial"/>
                <w:sz w:val="14"/>
                <w:szCs w:val="14"/>
                <w:color w:val="auto"/>
              </w:rPr>
              <w:t>September 30, 2008</w:t>
            </w:r>
          </w:p>
        </w:tc>
        <w:tc>
          <w:tcPr>
            <w:tcW w:w="4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tcBorders>
              <w:bottom w:val="single" w:sz="8" w:color="auto"/>
            </w:tcBorders>
            <w:gridSpan w:val="5"/>
          </w:tcPr>
          <w:p>
            <w:pPr>
              <w:ind w:left="520"/>
              <w:spacing w:after="0"/>
              <w:rPr>
                <w:sz w:val="20"/>
                <w:szCs w:val="20"/>
                <w:color w:val="auto"/>
              </w:rPr>
            </w:pPr>
            <w:r>
              <w:rPr>
                <w:rFonts w:ascii="Arial" w:cs="Arial" w:eastAsia="Arial" w:hAnsi="Arial"/>
                <w:sz w:val="14"/>
                <w:szCs w:val="14"/>
                <w:color w:val="auto"/>
              </w:rPr>
              <w:t>September 30, 2007</w:t>
            </w:r>
          </w:p>
        </w:tc>
        <w:tc>
          <w:tcPr>
            <w:tcW w:w="4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8"/>
              <w:spacing w:after="0" w:line="143" w:lineRule="exact"/>
              <w:rPr>
                <w:sz w:val="20"/>
                <w:szCs w:val="20"/>
                <w:color w:val="auto"/>
              </w:rPr>
            </w:pPr>
            <w:r>
              <w:rPr>
                <w:rFonts w:ascii="Arial" w:cs="Arial" w:eastAsia="Arial" w:hAnsi="Arial"/>
                <w:sz w:val="14"/>
                <w:szCs w:val="14"/>
                <w:color w:val="auto"/>
              </w:rPr>
              <w:t>Gross</w:t>
            </w: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92"/>
              <w:spacing w:after="0" w:line="143" w:lineRule="exact"/>
              <w:rPr>
                <w:sz w:val="20"/>
                <w:szCs w:val="20"/>
                <w:color w:val="auto"/>
              </w:rPr>
            </w:pPr>
            <w:r>
              <w:rPr>
                <w:rFonts w:ascii="Arial" w:cs="Arial" w:eastAsia="Arial" w:hAnsi="Arial"/>
                <w:sz w:val="14"/>
                <w:szCs w:val="14"/>
                <w:color w:val="auto"/>
              </w:rPr>
              <w:t>Net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28"/>
              <w:spacing w:after="0" w:line="143" w:lineRule="exact"/>
              <w:rPr>
                <w:sz w:val="20"/>
                <w:szCs w:val="20"/>
                <w:color w:val="auto"/>
              </w:rPr>
            </w:pPr>
            <w:r>
              <w:rPr>
                <w:rFonts w:ascii="Arial" w:cs="Arial" w:eastAsia="Arial" w:hAnsi="Arial"/>
                <w:sz w:val="14"/>
                <w:szCs w:val="14"/>
                <w:color w:val="auto"/>
              </w:rPr>
              <w:t>Gross</w:t>
            </w: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92"/>
              <w:spacing w:after="0" w:line="143" w:lineRule="exact"/>
              <w:rPr>
                <w:sz w:val="20"/>
                <w:szCs w:val="20"/>
                <w:color w:val="auto"/>
              </w:rPr>
            </w:pPr>
            <w:r>
              <w:rPr>
                <w:rFonts w:ascii="Arial" w:cs="Arial" w:eastAsia="Arial" w:hAnsi="Arial"/>
                <w:sz w:val="14"/>
                <w:szCs w:val="14"/>
                <w:color w:val="auto"/>
              </w:rPr>
              <w:t>Net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160" w:type="dxa"/>
            <w:vAlign w:val="bottom"/>
          </w:tcPr>
          <w:p>
            <w:pPr>
              <w:jc w:val="right"/>
              <w:ind w:right="38"/>
              <w:spacing w:after="0"/>
              <w:rPr>
                <w:sz w:val="20"/>
                <w:szCs w:val="20"/>
                <w:color w:val="auto"/>
              </w:rPr>
            </w:pPr>
            <w:r>
              <w:rPr>
                <w:rFonts w:ascii="Arial" w:cs="Arial" w:eastAsia="Arial" w:hAnsi="Arial"/>
                <w:sz w:val="14"/>
                <w:szCs w:val="14"/>
                <w:color w:val="auto"/>
              </w:rPr>
              <w:t>Average</w:t>
            </w:r>
          </w:p>
        </w:tc>
        <w:tc>
          <w:tcPr>
            <w:tcW w:w="100" w:type="dxa"/>
            <w:vAlign w:val="bottom"/>
          </w:tcPr>
          <w:p>
            <w:pPr>
              <w:spacing w:after="0"/>
              <w:rPr>
                <w:sz w:val="14"/>
                <w:szCs w:val="14"/>
                <w:color w:val="auto"/>
              </w:rPr>
            </w:pPr>
          </w:p>
        </w:tc>
        <w:tc>
          <w:tcPr>
            <w:tcW w:w="660" w:type="dxa"/>
            <w:vAlign w:val="bottom"/>
          </w:tcPr>
          <w:p>
            <w:pPr>
              <w:jc w:val="center"/>
              <w:ind w:right="8"/>
              <w:spacing w:after="0"/>
              <w:rPr>
                <w:sz w:val="20"/>
                <w:szCs w:val="20"/>
                <w:color w:val="auto"/>
              </w:rPr>
            </w:pPr>
            <w:r>
              <w:rPr>
                <w:rFonts w:ascii="Arial" w:cs="Arial" w:eastAsia="Arial" w:hAnsi="Arial"/>
                <w:sz w:val="14"/>
                <w:szCs w:val="14"/>
                <w:color w:val="auto"/>
              </w:rPr>
              <w:t>Carrying</w:t>
            </w:r>
          </w:p>
        </w:tc>
        <w:tc>
          <w:tcPr>
            <w:tcW w:w="1060" w:type="dxa"/>
            <w:vAlign w:val="bottom"/>
            <w:gridSpan w:val="2"/>
          </w:tcPr>
          <w:p>
            <w:pPr>
              <w:ind w:left="100"/>
              <w:spacing w:after="0"/>
              <w:rPr>
                <w:sz w:val="20"/>
                <w:szCs w:val="20"/>
                <w:color w:val="auto"/>
              </w:rPr>
            </w:pPr>
            <w:r>
              <w:rPr>
                <w:rFonts w:ascii="Arial" w:cs="Arial" w:eastAsia="Arial" w:hAnsi="Arial"/>
                <w:sz w:val="14"/>
                <w:szCs w:val="14"/>
                <w:color w:val="auto"/>
              </w:rPr>
              <w:t>Accumulated</w:t>
            </w:r>
          </w:p>
        </w:tc>
        <w:tc>
          <w:tcPr>
            <w:tcW w:w="60" w:type="dxa"/>
            <w:vAlign w:val="bottom"/>
          </w:tcPr>
          <w:p>
            <w:pPr>
              <w:spacing w:after="0"/>
              <w:rPr>
                <w:sz w:val="14"/>
                <w:szCs w:val="14"/>
                <w:color w:val="auto"/>
              </w:rPr>
            </w:pPr>
          </w:p>
        </w:tc>
        <w:tc>
          <w:tcPr>
            <w:tcW w:w="660" w:type="dxa"/>
            <w:vAlign w:val="bottom"/>
            <w:gridSpan w:val="3"/>
          </w:tcPr>
          <w:p>
            <w:pPr>
              <w:ind w:left="20"/>
              <w:spacing w:after="0"/>
              <w:rPr>
                <w:sz w:val="20"/>
                <w:szCs w:val="20"/>
                <w:color w:val="auto"/>
              </w:rPr>
            </w:pPr>
            <w:r>
              <w:rPr>
                <w:rFonts w:ascii="Arial" w:cs="Arial" w:eastAsia="Arial" w:hAnsi="Arial"/>
                <w:sz w:val="14"/>
                <w:szCs w:val="14"/>
                <w:color w:val="auto"/>
              </w:rPr>
              <w:t>Carrying</w:t>
            </w:r>
          </w:p>
        </w:tc>
        <w:tc>
          <w:tcPr>
            <w:tcW w:w="100" w:type="dxa"/>
            <w:vAlign w:val="bottom"/>
          </w:tcPr>
          <w:p>
            <w:pPr>
              <w:spacing w:after="0"/>
              <w:rPr>
                <w:sz w:val="14"/>
                <w:szCs w:val="14"/>
                <w:color w:val="auto"/>
              </w:rPr>
            </w:pPr>
          </w:p>
        </w:tc>
        <w:tc>
          <w:tcPr>
            <w:tcW w:w="640" w:type="dxa"/>
            <w:vAlign w:val="bottom"/>
          </w:tcPr>
          <w:p>
            <w:pPr>
              <w:jc w:val="center"/>
              <w:ind w:right="28"/>
              <w:spacing w:after="0"/>
              <w:rPr>
                <w:sz w:val="20"/>
                <w:szCs w:val="20"/>
                <w:color w:val="auto"/>
              </w:rPr>
            </w:pPr>
            <w:r>
              <w:rPr>
                <w:rFonts w:ascii="Arial" w:cs="Arial" w:eastAsia="Arial" w:hAnsi="Arial"/>
                <w:sz w:val="14"/>
                <w:szCs w:val="14"/>
                <w:color w:val="auto"/>
              </w:rPr>
              <w:t>Carrying</w:t>
            </w:r>
          </w:p>
        </w:tc>
        <w:tc>
          <w:tcPr>
            <w:tcW w:w="1060" w:type="dxa"/>
            <w:vAlign w:val="bottom"/>
            <w:gridSpan w:val="2"/>
          </w:tcPr>
          <w:p>
            <w:pPr>
              <w:ind w:left="100"/>
              <w:spacing w:after="0"/>
              <w:rPr>
                <w:sz w:val="20"/>
                <w:szCs w:val="20"/>
                <w:color w:val="auto"/>
              </w:rPr>
            </w:pPr>
            <w:r>
              <w:rPr>
                <w:rFonts w:ascii="Arial" w:cs="Arial" w:eastAsia="Arial" w:hAnsi="Arial"/>
                <w:sz w:val="14"/>
                <w:szCs w:val="14"/>
                <w:color w:val="auto"/>
              </w:rPr>
              <w:t>Accumulated</w:t>
            </w:r>
          </w:p>
        </w:tc>
        <w:tc>
          <w:tcPr>
            <w:tcW w:w="60" w:type="dxa"/>
            <w:vAlign w:val="bottom"/>
          </w:tcPr>
          <w:p>
            <w:pPr>
              <w:spacing w:after="0"/>
              <w:rPr>
                <w:sz w:val="14"/>
                <w:szCs w:val="14"/>
                <w:color w:val="auto"/>
              </w:rPr>
            </w:pPr>
          </w:p>
        </w:tc>
        <w:tc>
          <w:tcPr>
            <w:tcW w:w="680" w:type="dxa"/>
            <w:vAlign w:val="bottom"/>
            <w:gridSpan w:val="3"/>
          </w:tcPr>
          <w:p>
            <w:pPr>
              <w:ind w:left="20"/>
              <w:spacing w:after="0"/>
              <w:rPr>
                <w:sz w:val="20"/>
                <w:szCs w:val="20"/>
                <w:color w:val="auto"/>
              </w:rPr>
            </w:pPr>
            <w:r>
              <w:rPr>
                <w:rFonts w:ascii="Arial" w:cs="Arial" w:eastAsia="Arial" w:hAnsi="Arial"/>
                <w:sz w:val="14"/>
                <w:szCs w:val="14"/>
                <w:color w:val="auto"/>
              </w:rPr>
              <w:t>Carrying</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160" w:type="dxa"/>
            <w:vAlign w:val="bottom"/>
          </w:tcPr>
          <w:p>
            <w:pPr>
              <w:jc w:val="right"/>
              <w:ind w:right="198"/>
              <w:spacing w:after="0"/>
              <w:rPr>
                <w:sz w:val="20"/>
                <w:szCs w:val="20"/>
                <w:color w:val="auto"/>
              </w:rPr>
            </w:pPr>
            <w:r>
              <w:rPr>
                <w:rFonts w:ascii="Arial" w:cs="Arial" w:eastAsia="Arial" w:hAnsi="Arial"/>
                <w:sz w:val="14"/>
                <w:szCs w:val="14"/>
                <w:color w:val="auto"/>
              </w:rPr>
              <w:t>Life</w:t>
            </w:r>
          </w:p>
        </w:tc>
        <w:tc>
          <w:tcPr>
            <w:tcW w:w="100" w:type="dxa"/>
            <w:vAlign w:val="bottom"/>
          </w:tcPr>
          <w:p>
            <w:pPr>
              <w:spacing w:after="0"/>
              <w:rPr>
                <w:sz w:val="16"/>
                <w:szCs w:val="16"/>
                <w:color w:val="auto"/>
              </w:rPr>
            </w:pPr>
          </w:p>
        </w:tc>
        <w:tc>
          <w:tcPr>
            <w:tcW w:w="660" w:type="dxa"/>
            <w:vAlign w:val="bottom"/>
          </w:tcPr>
          <w:p>
            <w:pPr>
              <w:jc w:val="center"/>
              <w:ind w:right="8"/>
              <w:spacing w:after="0"/>
              <w:rPr>
                <w:sz w:val="20"/>
                <w:szCs w:val="20"/>
                <w:color w:val="auto"/>
              </w:rPr>
            </w:pPr>
            <w:r>
              <w:rPr>
                <w:rFonts w:ascii="Arial" w:cs="Arial" w:eastAsia="Arial" w:hAnsi="Arial"/>
                <w:sz w:val="14"/>
                <w:szCs w:val="14"/>
                <w:color w:val="auto"/>
              </w:rPr>
              <w:t>Amount</w:t>
            </w:r>
          </w:p>
        </w:tc>
        <w:tc>
          <w:tcPr>
            <w:tcW w:w="1060" w:type="dxa"/>
            <w:vAlign w:val="bottom"/>
            <w:gridSpan w:val="2"/>
          </w:tcPr>
          <w:p>
            <w:pPr>
              <w:ind w:left="120"/>
              <w:spacing w:after="0"/>
              <w:rPr>
                <w:sz w:val="20"/>
                <w:szCs w:val="20"/>
                <w:color w:val="auto"/>
              </w:rPr>
            </w:pPr>
            <w:r>
              <w:rPr>
                <w:rFonts w:ascii="Arial" w:cs="Arial" w:eastAsia="Arial" w:hAnsi="Arial"/>
                <w:sz w:val="14"/>
                <w:szCs w:val="14"/>
                <w:color w:val="auto"/>
              </w:rPr>
              <w:t>Amortization</w:t>
            </w:r>
          </w:p>
        </w:tc>
        <w:tc>
          <w:tcPr>
            <w:tcW w:w="60" w:type="dxa"/>
            <w:vAlign w:val="bottom"/>
          </w:tcPr>
          <w:p>
            <w:pPr>
              <w:spacing w:after="0"/>
              <w:rPr>
                <w:sz w:val="16"/>
                <w:szCs w:val="16"/>
                <w:color w:val="auto"/>
              </w:rPr>
            </w:pPr>
          </w:p>
        </w:tc>
        <w:tc>
          <w:tcPr>
            <w:tcW w:w="660" w:type="dxa"/>
            <w:vAlign w:val="bottom"/>
            <w:gridSpan w:val="3"/>
          </w:tcPr>
          <w:p>
            <w:pPr>
              <w:ind w:left="40"/>
              <w:spacing w:after="0"/>
              <w:rPr>
                <w:sz w:val="20"/>
                <w:szCs w:val="20"/>
                <w:color w:val="auto"/>
              </w:rPr>
            </w:pPr>
            <w:r>
              <w:rPr>
                <w:rFonts w:ascii="Arial" w:cs="Arial" w:eastAsia="Arial" w:hAnsi="Arial"/>
                <w:sz w:val="14"/>
                <w:szCs w:val="14"/>
                <w:color w:val="auto"/>
              </w:rPr>
              <w:t>Amount</w:t>
            </w:r>
          </w:p>
        </w:tc>
        <w:tc>
          <w:tcPr>
            <w:tcW w:w="100" w:type="dxa"/>
            <w:vAlign w:val="bottom"/>
          </w:tcPr>
          <w:p>
            <w:pPr>
              <w:spacing w:after="0"/>
              <w:rPr>
                <w:sz w:val="16"/>
                <w:szCs w:val="16"/>
                <w:color w:val="auto"/>
              </w:rPr>
            </w:pPr>
          </w:p>
        </w:tc>
        <w:tc>
          <w:tcPr>
            <w:tcW w:w="640" w:type="dxa"/>
            <w:vAlign w:val="bottom"/>
          </w:tcPr>
          <w:p>
            <w:pPr>
              <w:jc w:val="center"/>
              <w:ind w:right="28"/>
              <w:spacing w:after="0"/>
              <w:rPr>
                <w:sz w:val="20"/>
                <w:szCs w:val="20"/>
                <w:color w:val="auto"/>
              </w:rPr>
            </w:pPr>
            <w:r>
              <w:rPr>
                <w:rFonts w:ascii="Arial" w:cs="Arial" w:eastAsia="Arial" w:hAnsi="Arial"/>
                <w:sz w:val="14"/>
                <w:szCs w:val="14"/>
                <w:color w:val="auto"/>
              </w:rPr>
              <w:t>Amount</w:t>
            </w:r>
          </w:p>
        </w:tc>
        <w:tc>
          <w:tcPr>
            <w:tcW w:w="1060" w:type="dxa"/>
            <w:vAlign w:val="bottom"/>
            <w:gridSpan w:val="2"/>
          </w:tcPr>
          <w:p>
            <w:pPr>
              <w:ind w:left="120"/>
              <w:spacing w:after="0"/>
              <w:rPr>
                <w:sz w:val="20"/>
                <w:szCs w:val="20"/>
                <w:color w:val="auto"/>
              </w:rPr>
            </w:pPr>
            <w:r>
              <w:rPr>
                <w:rFonts w:ascii="Arial" w:cs="Arial" w:eastAsia="Arial" w:hAnsi="Arial"/>
                <w:sz w:val="14"/>
                <w:szCs w:val="14"/>
                <w:color w:val="auto"/>
              </w:rPr>
              <w:t>Amortization</w:t>
            </w:r>
          </w:p>
        </w:tc>
        <w:tc>
          <w:tcPr>
            <w:tcW w:w="60" w:type="dxa"/>
            <w:vAlign w:val="bottom"/>
          </w:tcPr>
          <w:p>
            <w:pPr>
              <w:spacing w:after="0"/>
              <w:rPr>
                <w:sz w:val="16"/>
                <w:szCs w:val="16"/>
                <w:color w:val="auto"/>
              </w:rPr>
            </w:pPr>
          </w:p>
        </w:tc>
        <w:tc>
          <w:tcPr>
            <w:tcW w:w="680" w:type="dxa"/>
            <w:vAlign w:val="bottom"/>
            <w:gridSpan w:val="3"/>
          </w:tcPr>
          <w:p>
            <w:pPr>
              <w:ind w:left="40"/>
              <w:spacing w:after="0"/>
              <w:rPr>
                <w:sz w:val="20"/>
                <w:szCs w:val="20"/>
                <w:color w:val="auto"/>
              </w:rPr>
            </w:pPr>
            <w:r>
              <w:rPr>
                <w:rFonts w:ascii="Arial" w:cs="Arial" w:eastAsia="Arial" w:hAnsi="Arial"/>
                <w:sz w:val="14"/>
                <w:szCs w:val="14"/>
                <w:color w:val="auto"/>
              </w:rPr>
              <w:t>Amount</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37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37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Amortizable intangible assets:</w:t>
            </w: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80" w:type="dxa"/>
            <w:vAlign w:val="bottom"/>
          </w:tcPr>
          <w:p>
            <w:pPr>
              <w:ind w:left="160"/>
              <w:spacing w:after="0" w:line="202" w:lineRule="exact"/>
              <w:rPr>
                <w:sz w:val="20"/>
                <w:szCs w:val="20"/>
                <w:color w:val="auto"/>
              </w:rPr>
            </w:pPr>
            <w:r>
              <w:rPr>
                <w:rFonts w:ascii="Arial" w:cs="Arial" w:eastAsia="Arial" w:hAnsi="Arial"/>
                <w:sz w:val="18"/>
                <w:szCs w:val="18"/>
                <w:color w:val="auto"/>
              </w:rPr>
              <w:t>Technology</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16</w:t>
            </w:r>
          </w:p>
        </w:tc>
        <w:tc>
          <w:tcPr>
            <w:tcW w:w="760" w:type="dxa"/>
            <w:vAlign w:val="bottom"/>
            <w:gridSpan w:val="2"/>
          </w:tcPr>
          <w:p>
            <w:pPr>
              <w:jc w:val="right"/>
              <w:ind w:right="28"/>
              <w:spacing w:after="0" w:line="202" w:lineRule="exact"/>
              <w:rPr>
                <w:sz w:val="20"/>
                <w:szCs w:val="20"/>
                <w:color w:val="auto"/>
              </w:rPr>
            </w:pPr>
            <w:r>
              <w:rPr>
                <w:rFonts w:ascii="Arial" w:cs="Arial" w:eastAsia="Arial" w:hAnsi="Arial"/>
                <w:sz w:val="18"/>
                <w:szCs w:val="18"/>
                <w:color w:val="auto"/>
              </w:rPr>
              <w:t>$ 49.9</w:t>
            </w:r>
          </w:p>
        </w:tc>
        <w:tc>
          <w:tcPr>
            <w:tcW w:w="36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(39.1)</w:t>
            </w:r>
          </w:p>
        </w:tc>
        <w:tc>
          <w:tcPr>
            <w:tcW w:w="180" w:type="dxa"/>
            <w:vAlign w:val="bottom"/>
            <w:gridSpan w:val="2"/>
          </w:tcPr>
          <w:p>
            <w:pPr>
              <w:ind w:left="60"/>
              <w:spacing w:after="0" w:line="202" w:lineRule="exact"/>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10.8</w:t>
            </w:r>
          </w:p>
        </w:tc>
        <w:tc>
          <w:tcPr>
            <w:tcW w:w="80" w:type="dxa"/>
            <w:vAlign w:val="bottom"/>
          </w:tcPr>
          <w:p>
            <w:pPr>
              <w:spacing w:after="0"/>
              <w:rPr>
                <w:sz w:val="17"/>
                <w:szCs w:val="17"/>
                <w:color w:val="auto"/>
              </w:rPr>
            </w:pPr>
          </w:p>
        </w:tc>
        <w:tc>
          <w:tcPr>
            <w:tcW w:w="740" w:type="dxa"/>
            <w:vAlign w:val="bottom"/>
            <w:gridSpan w:val="2"/>
          </w:tcPr>
          <w:p>
            <w:pPr>
              <w:jc w:val="right"/>
              <w:ind w:right="8"/>
              <w:spacing w:after="0" w:line="202" w:lineRule="exact"/>
              <w:rPr>
                <w:sz w:val="20"/>
                <w:szCs w:val="20"/>
                <w:color w:val="auto"/>
              </w:rPr>
            </w:pPr>
            <w:r>
              <w:rPr>
                <w:rFonts w:ascii="Arial" w:cs="Arial" w:eastAsia="Arial" w:hAnsi="Arial"/>
                <w:sz w:val="18"/>
                <w:szCs w:val="18"/>
                <w:color w:val="auto"/>
              </w:rPr>
              <w:t>$ 56.7</w:t>
            </w:r>
          </w:p>
        </w:tc>
        <w:tc>
          <w:tcPr>
            <w:tcW w:w="36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(37.1)</w:t>
            </w:r>
          </w:p>
        </w:tc>
        <w:tc>
          <w:tcPr>
            <w:tcW w:w="180" w:type="dxa"/>
            <w:vAlign w:val="bottom"/>
            <w:gridSpan w:val="2"/>
          </w:tcPr>
          <w:p>
            <w:pPr>
              <w:ind w:left="60"/>
              <w:spacing w:after="0" w:line="202" w:lineRule="exact"/>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19.6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Customer accounts</w:t>
            </w: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w:t>
            </w:r>
          </w:p>
        </w:tc>
        <w:tc>
          <w:tcPr>
            <w:tcW w:w="760" w:type="dxa"/>
            <w:vAlign w:val="bottom"/>
            <w:gridSpan w:val="2"/>
            <w:shd w:val="clear" w:color="auto" w:fill="CCEEFF"/>
          </w:tcPr>
          <w:p>
            <w:pPr>
              <w:jc w:val="right"/>
              <w:ind w:right="28"/>
              <w:spacing w:after="0" w:line="202" w:lineRule="exact"/>
              <w:rPr>
                <w:sz w:val="20"/>
                <w:szCs w:val="20"/>
                <w:color w:val="auto"/>
              </w:rPr>
            </w:pPr>
            <w:r>
              <w:rPr>
                <w:rFonts w:ascii="Arial" w:cs="Arial" w:eastAsia="Arial" w:hAnsi="Arial"/>
                <w:sz w:val="18"/>
                <w:szCs w:val="18"/>
                <w:color w:val="auto"/>
              </w:rPr>
              <w:t>83.5</w:t>
            </w: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(38.0)</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45.5</w:t>
            </w: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
              <w:spacing w:after="0" w:line="202" w:lineRule="exact"/>
              <w:rPr>
                <w:sz w:val="20"/>
                <w:szCs w:val="20"/>
                <w:color w:val="auto"/>
              </w:rPr>
            </w:pPr>
            <w:r>
              <w:rPr>
                <w:rFonts w:ascii="Arial" w:cs="Arial" w:eastAsia="Arial" w:hAnsi="Arial"/>
                <w:sz w:val="18"/>
                <w:szCs w:val="18"/>
                <w:color w:val="auto"/>
              </w:rPr>
              <w:t>89.0</w:t>
            </w: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(29.6)</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80" w:type="dxa"/>
            <w:vAlign w:val="bottom"/>
          </w:tcPr>
          <w:p>
            <w:pPr>
              <w:ind w:left="160"/>
              <w:spacing w:after="0" w:line="202" w:lineRule="exact"/>
              <w:rPr>
                <w:sz w:val="20"/>
                <w:szCs w:val="20"/>
                <w:color w:val="auto"/>
              </w:rPr>
            </w:pPr>
            <w:r>
              <w:rPr>
                <w:rFonts w:ascii="Arial" w:cs="Arial" w:eastAsia="Arial" w:hAnsi="Arial"/>
                <w:sz w:val="18"/>
                <w:szCs w:val="18"/>
                <w:color w:val="auto"/>
              </w:rPr>
              <w:t>Tradenames</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17</w:t>
            </w:r>
          </w:p>
        </w:tc>
        <w:tc>
          <w:tcPr>
            <w:tcW w:w="760" w:type="dxa"/>
            <w:vAlign w:val="bottom"/>
            <w:gridSpan w:val="2"/>
          </w:tcPr>
          <w:p>
            <w:pPr>
              <w:jc w:val="right"/>
              <w:ind w:right="28"/>
              <w:spacing w:after="0" w:line="202" w:lineRule="exact"/>
              <w:rPr>
                <w:sz w:val="20"/>
                <w:szCs w:val="20"/>
                <w:color w:val="auto"/>
              </w:rPr>
            </w:pPr>
            <w:r>
              <w:rPr>
                <w:rFonts w:ascii="Arial" w:cs="Arial" w:eastAsia="Arial" w:hAnsi="Arial"/>
                <w:sz w:val="18"/>
                <w:szCs w:val="18"/>
                <w:color w:val="auto"/>
              </w:rPr>
              <w:t>11.3</w:t>
            </w:r>
          </w:p>
        </w:tc>
        <w:tc>
          <w:tcPr>
            <w:tcW w:w="3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(9.0)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2.3</w:t>
            </w:r>
          </w:p>
        </w:tc>
        <w:tc>
          <w:tcPr>
            <w:tcW w:w="740" w:type="dxa"/>
            <w:vAlign w:val="bottom"/>
            <w:gridSpan w:val="2"/>
          </w:tcPr>
          <w:p>
            <w:pPr>
              <w:jc w:val="right"/>
              <w:ind w:right="8"/>
              <w:spacing w:after="0" w:line="202" w:lineRule="exact"/>
              <w:rPr>
                <w:sz w:val="20"/>
                <w:szCs w:val="20"/>
                <w:color w:val="auto"/>
              </w:rPr>
            </w:pPr>
            <w:r>
              <w:rPr>
                <w:rFonts w:ascii="Arial" w:cs="Arial" w:eastAsia="Arial" w:hAnsi="Arial"/>
                <w:sz w:val="18"/>
                <w:szCs w:val="18"/>
                <w:color w:val="auto"/>
              </w:rPr>
              <w:t>11.3</w:t>
            </w:r>
          </w:p>
        </w:tc>
        <w:tc>
          <w:tcPr>
            <w:tcW w:w="3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(5.6)</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5.7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Other</w:t>
            </w: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w:t>
            </w:r>
          </w:p>
        </w:tc>
        <w:tc>
          <w:tcPr>
            <w:tcW w:w="760" w:type="dxa"/>
            <w:vAlign w:val="bottom"/>
            <w:gridSpan w:val="2"/>
            <w:shd w:val="clear" w:color="auto" w:fill="CCEEFF"/>
          </w:tcPr>
          <w:p>
            <w:pPr>
              <w:jc w:val="right"/>
              <w:ind w:right="28"/>
              <w:spacing w:after="0" w:line="202" w:lineRule="exact"/>
              <w:rPr>
                <w:sz w:val="20"/>
                <w:szCs w:val="20"/>
                <w:color w:val="auto"/>
              </w:rPr>
            </w:pPr>
            <w:r>
              <w:rPr>
                <w:rFonts w:ascii="Arial" w:cs="Arial" w:eastAsia="Arial" w:hAnsi="Arial"/>
                <w:sz w:val="18"/>
                <w:szCs w:val="18"/>
                <w:color w:val="auto"/>
              </w:rPr>
              <w:t>101.2</w:t>
            </w: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(71.2)</w:t>
            </w:r>
          </w:p>
        </w:tc>
        <w:tc>
          <w:tcPr>
            <w:tcW w:w="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30.0</w:t>
            </w: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
              <w:spacing w:after="0" w:line="202" w:lineRule="exact"/>
              <w:rPr>
                <w:sz w:val="20"/>
                <w:szCs w:val="20"/>
                <w:color w:val="auto"/>
              </w:rPr>
            </w:pPr>
            <w:r>
              <w:rPr>
                <w:rFonts w:ascii="Arial" w:cs="Arial" w:eastAsia="Arial" w:hAnsi="Arial"/>
                <w:sz w:val="18"/>
                <w:szCs w:val="18"/>
                <w:color w:val="auto"/>
              </w:rPr>
              <w:t>117.7</w:t>
            </w: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(82.0)</w:t>
            </w:r>
          </w:p>
        </w:tc>
        <w:tc>
          <w:tcPr>
            <w:tcW w:w="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35.7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tcPr>
          <w:p>
            <w:pPr>
              <w:ind w:left="160"/>
              <w:spacing w:after="0"/>
              <w:rPr>
                <w:sz w:val="20"/>
                <w:szCs w:val="20"/>
                <w:color w:val="auto"/>
              </w:rPr>
            </w:pPr>
            <w:r>
              <w:rPr>
                <w:rFonts w:ascii="Arial" w:cs="Arial" w:eastAsia="Arial" w:hAnsi="Arial"/>
                <w:sz w:val="18"/>
                <w:szCs w:val="18"/>
                <w:color w:val="auto"/>
              </w:rPr>
              <w:t>Total amortizable intangible assets, net</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88.6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120.4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Unamortizable intangible assets:</w:t>
            </w: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tcPr>
          <w:p>
            <w:pPr>
              <w:ind w:left="340"/>
              <w:spacing w:after="0" w:line="202" w:lineRule="exact"/>
              <w:rPr>
                <w:sz w:val="20"/>
                <w:szCs w:val="20"/>
                <w:color w:val="auto"/>
              </w:rPr>
            </w:pPr>
            <w:r>
              <w:rPr>
                <w:rFonts w:ascii="Arial" w:cs="Arial" w:eastAsia="Arial" w:hAnsi="Arial"/>
                <w:sz w:val="18"/>
                <w:szCs w:val="18"/>
                <w:color w:val="auto"/>
              </w:rPr>
              <w:t>Tradenames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7"/>
              </w:rPr>
              <w:t>278.6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7"/>
              </w:rPr>
              <w:t>298.4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Total intangible assets, net</w:t>
            </w: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367.2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418.8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tcPr>
          <w:p>
            <w:pPr>
              <w:ind w:left="160"/>
              <w:spacing w:after="0" w:line="202" w:lineRule="exact"/>
              <w:rPr>
                <w:sz w:val="20"/>
                <w:szCs w:val="20"/>
                <w:color w:val="auto"/>
              </w:rPr>
            </w:pPr>
            <w:r>
              <w:rPr>
                <w:rFonts w:ascii="Arial" w:cs="Arial" w:eastAsia="Arial" w:hAnsi="Arial"/>
                <w:sz w:val="18"/>
                <w:szCs w:val="18"/>
                <w:color w:val="auto"/>
              </w:rPr>
              <w:t>Goodwill</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7"/>
              </w:rPr>
              <w:t>377.7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7"/>
              </w:rPr>
              <w:t>462.9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Total goodwill and intangible assets, net</w:t>
            </w: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u w:val="single" w:color="auto"/>
                <w:color w:val="auto"/>
                <w:w w:val="99"/>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744.9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u w:val="single" w:color="auto"/>
                <w:color w:val="auto"/>
                <w:w w:val="99"/>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881.7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ind w:left="700" w:right="880" w:firstLine="402"/>
        <w:spacing w:after="0" w:line="276" w:lineRule="auto"/>
        <w:rPr>
          <w:sz w:val="20"/>
          <w:szCs w:val="20"/>
          <w:color w:val="auto"/>
        </w:rPr>
      </w:pPr>
      <w:r>
        <w:rPr>
          <w:rFonts w:ascii="Arial" w:cs="Arial" w:eastAsia="Arial" w:hAnsi="Arial"/>
          <w:sz w:val="18"/>
          <w:szCs w:val="18"/>
          <w:color w:val="auto"/>
        </w:rPr>
        <w:t>The changes to the net carrying value of goodwill by segment for the fiscal years ended September 30, 2008 and 2007 are as follows (in millions):</w:t>
      </w:r>
    </w:p>
    <w:p>
      <w:pPr>
        <w:spacing w:after="0" w:line="69" w:lineRule="exact"/>
        <w:rPr>
          <w:sz w:val="20"/>
          <w:szCs w:val="20"/>
          <w:color w:val="auto"/>
        </w:rPr>
      </w:pPr>
    </w:p>
    <w:tbl>
      <w:tblPr>
        <w:tblLayout w:type="fixed"/>
        <w:tblInd w:w="70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6"/>
                <w:szCs w:val="16"/>
                <w:color w:val="auto"/>
              </w:rPr>
              <w:t>Global</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6"/>
                <w:szCs w:val="16"/>
                <w:color w:val="auto"/>
              </w:rPr>
              <w:t>Global</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ind w:right="211"/>
              <w:spacing w:after="0"/>
              <w:rPr>
                <w:sz w:val="20"/>
                <w:szCs w:val="20"/>
                <w:color w:val="auto"/>
              </w:rPr>
            </w:pPr>
            <w:r>
              <w:rPr>
                <w:rFonts w:ascii="Arial" w:cs="Arial" w:eastAsia="Arial" w:hAnsi="Arial"/>
                <w:sz w:val="16"/>
                <w:szCs w:val="16"/>
                <w:color w:val="auto"/>
              </w:rPr>
              <w:t>Scotts</w:t>
            </w:r>
          </w:p>
        </w:tc>
        <w:tc>
          <w:tcPr>
            <w:tcW w:w="380" w:type="dxa"/>
            <w:vAlign w:val="bottom"/>
          </w:tcPr>
          <w:p>
            <w:pPr>
              <w:spacing w:after="0"/>
              <w:rPr>
                <w:sz w:val="16"/>
                <w:szCs w:val="16"/>
                <w:color w:val="auto"/>
              </w:rPr>
            </w:pPr>
          </w:p>
        </w:tc>
        <w:tc>
          <w:tcPr>
            <w:tcW w:w="960" w:type="dxa"/>
            <w:vAlign w:val="bottom"/>
            <w:gridSpan w:val="3"/>
          </w:tcPr>
          <w:p>
            <w:pPr>
              <w:ind w:left="20"/>
              <w:spacing w:after="0"/>
              <w:rPr>
                <w:sz w:val="20"/>
                <w:szCs w:val="20"/>
                <w:color w:val="auto"/>
              </w:rPr>
            </w:pPr>
            <w:r>
              <w:rPr>
                <w:rFonts w:ascii="Arial" w:cs="Arial" w:eastAsia="Arial" w:hAnsi="Arial"/>
                <w:sz w:val="16"/>
                <w:szCs w:val="16"/>
                <w:color w:val="auto"/>
              </w:rPr>
              <w:t>Corporate</w:t>
            </w: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80" w:type="dxa"/>
            <w:vAlign w:val="bottom"/>
            <w:gridSpan w:val="3"/>
          </w:tcPr>
          <w:p>
            <w:pPr>
              <w:spacing w:after="0"/>
              <w:rPr>
                <w:sz w:val="20"/>
                <w:szCs w:val="20"/>
                <w:color w:val="auto"/>
              </w:rPr>
            </w:pPr>
            <w:r>
              <w:rPr>
                <w:rFonts w:ascii="Arial" w:cs="Arial" w:eastAsia="Arial" w:hAnsi="Arial"/>
                <w:sz w:val="16"/>
                <w:szCs w:val="16"/>
                <w:color w:val="auto"/>
              </w:rPr>
              <w:t>Consumer</w:t>
            </w:r>
          </w:p>
        </w:tc>
        <w:tc>
          <w:tcPr>
            <w:tcW w:w="160" w:type="dxa"/>
            <w:vAlign w:val="bottom"/>
          </w:tcPr>
          <w:p>
            <w:pPr>
              <w:spacing w:after="0"/>
              <w:rPr>
                <w:sz w:val="21"/>
                <w:szCs w:val="21"/>
                <w:color w:val="auto"/>
              </w:rPr>
            </w:pPr>
          </w:p>
        </w:tc>
        <w:tc>
          <w:tcPr>
            <w:tcW w:w="1120" w:type="dxa"/>
            <w:vAlign w:val="bottom"/>
            <w:gridSpan w:val="3"/>
          </w:tcPr>
          <w:p>
            <w:pPr>
              <w:spacing w:after="0"/>
              <w:rPr>
                <w:sz w:val="20"/>
                <w:szCs w:val="20"/>
                <w:color w:val="auto"/>
              </w:rPr>
            </w:pPr>
            <w:r>
              <w:rPr>
                <w:rFonts w:ascii="Arial" w:cs="Arial" w:eastAsia="Arial" w:hAnsi="Arial"/>
                <w:sz w:val="16"/>
                <w:szCs w:val="16"/>
                <w:color w:val="auto"/>
              </w:rPr>
              <w:t>Professional</w:t>
            </w:r>
          </w:p>
        </w:tc>
        <w:tc>
          <w:tcPr>
            <w:tcW w:w="160" w:type="dxa"/>
            <w:vAlign w:val="bottom"/>
          </w:tcPr>
          <w:p>
            <w:pPr>
              <w:spacing w:after="0"/>
              <w:rPr>
                <w:sz w:val="21"/>
                <w:szCs w:val="21"/>
                <w:color w:val="auto"/>
              </w:rPr>
            </w:pPr>
          </w:p>
        </w:tc>
        <w:tc>
          <w:tcPr>
            <w:tcW w:w="1040" w:type="dxa"/>
            <w:vAlign w:val="bottom"/>
            <w:gridSpan w:val="2"/>
          </w:tcPr>
          <w:p>
            <w:pPr>
              <w:spacing w:after="0" w:line="250" w:lineRule="exact"/>
              <w:rPr>
                <w:sz w:val="20"/>
                <w:szCs w:val="20"/>
                <w:color w:val="auto"/>
              </w:rPr>
            </w:pPr>
            <w:r>
              <w:rPr>
                <w:rFonts w:ascii="Arial" w:cs="Arial" w:eastAsia="Arial" w:hAnsi="Arial"/>
                <w:sz w:val="16"/>
                <w:szCs w:val="16"/>
                <w:color w:val="auto"/>
                <w:w w:val="97"/>
              </w:rPr>
              <w:t>LawnService</w:t>
            </w:r>
            <w:r>
              <w:rPr>
                <w:rFonts w:ascii="Arial" w:cs="Arial" w:eastAsia="Arial" w:hAnsi="Arial"/>
                <w:sz w:val="27"/>
                <w:szCs w:val="27"/>
                <w:color w:val="auto"/>
                <w:w w:val="97"/>
                <w:vertAlign w:val="superscript"/>
              </w:rPr>
              <w:t>®</w:t>
            </w:r>
          </w:p>
        </w:tc>
        <w:tc>
          <w:tcPr>
            <w:tcW w:w="380" w:type="dxa"/>
            <w:vAlign w:val="bottom"/>
          </w:tcPr>
          <w:p>
            <w:pPr>
              <w:spacing w:after="0"/>
              <w:rPr>
                <w:sz w:val="21"/>
                <w:szCs w:val="21"/>
                <w:color w:val="auto"/>
              </w:rPr>
            </w:pPr>
          </w:p>
        </w:tc>
        <w:tc>
          <w:tcPr>
            <w:tcW w:w="960" w:type="dxa"/>
            <w:vAlign w:val="bottom"/>
            <w:gridSpan w:val="3"/>
          </w:tcPr>
          <w:p>
            <w:pPr>
              <w:ind w:left="100"/>
              <w:spacing w:after="0"/>
              <w:rPr>
                <w:sz w:val="20"/>
                <w:szCs w:val="20"/>
                <w:color w:val="auto"/>
              </w:rPr>
            </w:pPr>
            <w:r>
              <w:rPr>
                <w:rFonts w:ascii="Arial" w:cs="Arial" w:eastAsia="Arial" w:hAnsi="Arial"/>
                <w:sz w:val="16"/>
                <w:szCs w:val="16"/>
                <w:color w:val="auto"/>
              </w:rPr>
              <w:t>&amp; Other</w:t>
            </w:r>
          </w:p>
        </w:tc>
        <w:tc>
          <w:tcPr>
            <w:tcW w:w="16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368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as of September 30, 2006</w:t>
            </w:r>
          </w:p>
        </w:tc>
        <w:tc>
          <w:tcPr>
            <w:tcW w:w="820" w:type="dxa"/>
            <w:vAlign w:val="bottom"/>
            <w:gridSpan w:val="2"/>
            <w:shd w:val="clear" w:color="auto" w:fill="CCEEFF"/>
          </w:tcPr>
          <w:p>
            <w:pPr>
              <w:ind w:left="700"/>
              <w:spacing w:after="0" w:line="202" w:lineRule="exact"/>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267.0</w:t>
            </w:r>
          </w:p>
        </w:tc>
        <w:tc>
          <w:tcPr>
            <w:tcW w:w="2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57.9</w:t>
            </w:r>
          </w:p>
        </w:tc>
        <w:tc>
          <w:tcPr>
            <w:tcW w:w="220" w:type="dxa"/>
            <w:vAlign w:val="bottom"/>
            <w:shd w:val="clear" w:color="auto" w:fill="CCEEFF"/>
          </w:tcPr>
          <w:p>
            <w:pPr>
              <w:spacing w:after="0"/>
              <w:rPr>
                <w:sz w:val="17"/>
                <w:szCs w:val="17"/>
                <w:color w:val="auto"/>
              </w:rPr>
            </w:pPr>
          </w:p>
        </w:tc>
        <w:tc>
          <w:tcPr>
            <w:tcW w:w="36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108.6</w:t>
            </w:r>
          </w:p>
        </w:tc>
        <w:tc>
          <w:tcPr>
            <w:tcW w:w="60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24.6</w:t>
            </w:r>
          </w:p>
        </w:tc>
        <w:tc>
          <w:tcPr>
            <w:tcW w:w="2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$458.1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tcPr>
          <w:p>
            <w:pPr>
              <w:spacing w:after="0" w:line="202" w:lineRule="exact"/>
              <w:rPr>
                <w:sz w:val="20"/>
                <w:szCs w:val="20"/>
                <w:color w:val="auto"/>
              </w:rPr>
            </w:pPr>
            <w:r>
              <w:rPr>
                <w:rFonts w:ascii="Arial" w:cs="Arial" w:eastAsia="Arial" w:hAnsi="Arial"/>
                <w:sz w:val="18"/>
                <w:szCs w:val="18"/>
                <w:color w:val="auto"/>
              </w:rPr>
              <w:t>Increases due to acquisitions</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4.3</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14.9</w:t>
            </w: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Impairment</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(24.6)</w:t>
            </w:r>
          </w:p>
        </w:tc>
        <w:tc>
          <w:tcPr>
            <w:tcW w:w="84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tcPr>
          <w:p>
            <w:pPr>
              <w:spacing w:after="0" w:line="202" w:lineRule="exact"/>
              <w:rPr>
                <w:sz w:val="20"/>
                <w:szCs w:val="20"/>
                <w:color w:val="auto"/>
              </w:rPr>
            </w:pPr>
            <w:r>
              <w:rPr>
                <w:rFonts w:ascii="Arial" w:cs="Arial" w:eastAsia="Arial" w:hAnsi="Arial"/>
                <w:sz w:val="18"/>
                <w:szCs w:val="18"/>
                <w:color w:val="auto"/>
              </w:rPr>
              <w:t>Other, primarily cumulative translation</w:t>
            </w:r>
          </w:p>
        </w:tc>
        <w:tc>
          <w:tcPr>
            <w:tcW w:w="7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as of September 30, 2007</w:t>
            </w:r>
          </w:p>
        </w:tc>
        <w:tc>
          <w:tcPr>
            <w:tcW w:w="820" w:type="dxa"/>
            <w:vAlign w:val="bottom"/>
            <w:gridSpan w:val="2"/>
            <w:shd w:val="clear" w:color="auto" w:fill="CCEEFF"/>
          </w:tcPr>
          <w:p>
            <w:pPr>
              <w:ind w:left="700"/>
              <w:spacing w:after="0" w:line="202" w:lineRule="exact"/>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277.0</w:t>
            </w:r>
          </w:p>
        </w:tc>
        <w:tc>
          <w:tcPr>
            <w:tcW w:w="2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62.4</w:t>
            </w:r>
          </w:p>
        </w:tc>
        <w:tc>
          <w:tcPr>
            <w:tcW w:w="220" w:type="dxa"/>
            <w:vAlign w:val="bottom"/>
            <w:shd w:val="clear" w:color="auto" w:fill="CCEEFF"/>
          </w:tcPr>
          <w:p>
            <w:pPr>
              <w:spacing w:after="0"/>
              <w:rPr>
                <w:sz w:val="17"/>
                <w:szCs w:val="17"/>
                <w:color w:val="auto"/>
              </w:rPr>
            </w:pPr>
          </w:p>
        </w:tc>
        <w:tc>
          <w:tcPr>
            <w:tcW w:w="36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123.5</w:t>
            </w:r>
          </w:p>
        </w:tc>
        <w:tc>
          <w:tcPr>
            <w:tcW w:w="60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$462.9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tcPr>
          <w:p>
            <w:pPr>
              <w:spacing w:after="0" w:line="202" w:lineRule="exact"/>
              <w:rPr>
                <w:sz w:val="20"/>
                <w:szCs w:val="20"/>
                <w:color w:val="auto"/>
              </w:rPr>
            </w:pPr>
            <w:r>
              <w:rPr>
                <w:rFonts w:ascii="Arial" w:cs="Arial" w:eastAsia="Arial" w:hAnsi="Arial"/>
                <w:sz w:val="18"/>
                <w:szCs w:val="18"/>
                <w:color w:val="auto"/>
              </w:rPr>
              <w:t>Increases due to acquisitions</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0.3</w:t>
            </w: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Impairment</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(61.0)</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(19.8)</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tcPr>
          <w:p>
            <w:pPr>
              <w:spacing w:after="0" w:line="202" w:lineRule="exact"/>
              <w:rPr>
                <w:sz w:val="20"/>
                <w:szCs w:val="20"/>
                <w:color w:val="auto"/>
              </w:rPr>
            </w:pPr>
            <w:r>
              <w:rPr>
                <w:rFonts w:ascii="Arial" w:cs="Arial" w:eastAsia="Arial" w:hAnsi="Arial"/>
                <w:sz w:val="18"/>
                <w:szCs w:val="18"/>
                <w:color w:val="auto"/>
              </w:rPr>
              <w:t>Other, primarily cumulative translation</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(0.9)</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(3.8)</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as of September 30, 2008</w:t>
            </w:r>
          </w:p>
        </w:tc>
        <w:tc>
          <w:tcPr>
            <w:tcW w:w="820" w:type="dxa"/>
            <w:vAlign w:val="bottom"/>
            <w:gridSpan w:val="2"/>
            <w:shd w:val="clear" w:color="auto" w:fill="CCEEFF"/>
          </w:tcPr>
          <w:p>
            <w:pPr>
              <w:ind w:left="700"/>
              <w:spacing w:after="0" w:line="202" w:lineRule="exact"/>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215.1</w:t>
            </w:r>
          </w:p>
        </w:tc>
        <w:tc>
          <w:tcPr>
            <w:tcW w:w="2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38.8</w:t>
            </w:r>
          </w:p>
        </w:tc>
        <w:tc>
          <w:tcPr>
            <w:tcW w:w="220" w:type="dxa"/>
            <w:vAlign w:val="bottom"/>
            <w:shd w:val="clear" w:color="auto" w:fill="CCEEFF"/>
          </w:tcPr>
          <w:p>
            <w:pPr>
              <w:spacing w:after="0"/>
              <w:rPr>
                <w:sz w:val="17"/>
                <w:szCs w:val="17"/>
                <w:color w:val="auto"/>
              </w:rPr>
            </w:pPr>
          </w:p>
        </w:tc>
        <w:tc>
          <w:tcPr>
            <w:tcW w:w="36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123.8</w:t>
            </w:r>
          </w:p>
        </w:tc>
        <w:tc>
          <w:tcPr>
            <w:tcW w:w="60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377.7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ind w:left="700" w:right="740" w:firstLine="402"/>
        <w:spacing w:after="0" w:line="255" w:lineRule="auto"/>
        <w:rPr>
          <w:sz w:val="20"/>
          <w:szCs w:val="20"/>
          <w:color w:val="auto"/>
        </w:rPr>
      </w:pPr>
      <w:r>
        <w:rPr>
          <w:rFonts w:ascii="Arial" w:cs="Arial" w:eastAsia="Arial" w:hAnsi="Arial"/>
          <w:sz w:val="18"/>
          <w:szCs w:val="18"/>
          <w:color w:val="auto"/>
        </w:rPr>
        <w:t>The total amortization expense for the years ended September 30, 2008, 2007 and 2006 was $16.4 million, $16.1 million and $16.0 million, respectively. Amortization expense is estimated to be as follows for the years ending September 30 (in millions):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5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w:t>
            </w:r>
          </w:p>
        </w:tc>
        <w:tc>
          <w:tcPr>
            <w:tcW w:w="680" w:type="dxa"/>
            <w:vAlign w:val="bottom"/>
          </w:tcPr>
          <w:p>
            <w:pPr>
              <w:spacing w:after="0"/>
              <w:rPr>
                <w:sz w:val="18"/>
                <w:szCs w:val="18"/>
                <w:color w:val="auto"/>
              </w:rPr>
            </w:pPr>
          </w:p>
        </w:tc>
      </w:tr>
      <w:tr>
        <w:trPr>
          <w:trHeight w:val="203"/>
        </w:trPr>
        <w:tc>
          <w:tcPr>
            <w:tcW w:w="700" w:type="dxa"/>
            <w:vAlign w:val="bottom"/>
          </w:tcPr>
          <w:p>
            <w:pPr>
              <w:spacing w:after="0"/>
              <w:rPr>
                <w:sz w:val="17"/>
                <w:szCs w:val="17"/>
                <w:color w:val="auto"/>
              </w:rPr>
            </w:pPr>
          </w:p>
        </w:tc>
        <w:tc>
          <w:tcPr>
            <w:tcW w:w="4860" w:type="dxa"/>
            <w:vAlign w:val="bottom"/>
          </w:tcPr>
          <w:p>
            <w:pPr>
              <w:spacing w:after="0" w:line="202" w:lineRule="exact"/>
              <w:rPr>
                <w:sz w:val="20"/>
                <w:szCs w:val="20"/>
                <w:color w:val="auto"/>
              </w:rPr>
            </w:pPr>
            <w:r>
              <w:rPr>
                <w:rFonts w:ascii="Arial" w:cs="Arial" w:eastAsia="Arial" w:hAnsi="Arial"/>
                <w:sz w:val="18"/>
                <w:szCs w:val="18"/>
                <w:color w:val="auto"/>
              </w:rPr>
              <w:t>2010</w:t>
            </w:r>
          </w:p>
        </w:tc>
        <w:tc>
          <w:tcPr>
            <w:tcW w:w="51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11.2</w:t>
            </w:r>
          </w:p>
        </w:tc>
        <w:tc>
          <w:tcPr>
            <w:tcW w:w="68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4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2011</w:t>
            </w:r>
          </w:p>
        </w:tc>
        <w:tc>
          <w:tcPr>
            <w:tcW w:w="51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9.3</w:t>
            </w:r>
          </w:p>
        </w:tc>
        <w:tc>
          <w:tcPr>
            <w:tcW w:w="68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4860" w:type="dxa"/>
            <w:vAlign w:val="bottom"/>
          </w:tcPr>
          <w:p>
            <w:pPr>
              <w:spacing w:after="0" w:line="202" w:lineRule="exact"/>
              <w:rPr>
                <w:sz w:val="20"/>
                <w:szCs w:val="20"/>
                <w:color w:val="auto"/>
              </w:rPr>
            </w:pPr>
            <w:r>
              <w:rPr>
                <w:rFonts w:ascii="Arial" w:cs="Arial" w:eastAsia="Arial" w:hAnsi="Arial"/>
                <w:sz w:val="18"/>
                <w:szCs w:val="18"/>
                <w:color w:val="auto"/>
              </w:rPr>
              <w:t>2012</w:t>
            </w:r>
          </w:p>
        </w:tc>
        <w:tc>
          <w:tcPr>
            <w:tcW w:w="51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8.6</w:t>
            </w:r>
          </w:p>
        </w:tc>
        <w:tc>
          <w:tcPr>
            <w:tcW w:w="68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4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2013</w:t>
            </w:r>
          </w:p>
        </w:tc>
        <w:tc>
          <w:tcPr>
            <w:tcW w:w="51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8.3</w:t>
            </w:r>
          </w:p>
        </w:tc>
        <w:tc>
          <w:tcPr>
            <w:tcW w:w="680" w:type="dxa"/>
            <w:vAlign w:val="bottom"/>
          </w:tcPr>
          <w:p>
            <w:pPr>
              <w:spacing w:after="0"/>
              <w:rPr>
                <w:sz w:val="17"/>
                <w:szCs w:val="17"/>
                <w:color w:val="auto"/>
              </w:rPr>
            </w:pPr>
          </w:p>
        </w:tc>
      </w:tr>
      <w:tr>
        <w:trPr>
          <w:trHeight w:val="135"/>
        </w:trPr>
        <w:tc>
          <w:tcPr>
            <w:tcW w:w="70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48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6"/>
        </w:trPr>
        <w:tc>
          <w:tcPr>
            <w:tcW w:w="70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300" w:type="dxa"/>
            <w:vAlign w:val="bottom"/>
          </w:tcPr>
          <w:p>
            <w:pPr>
              <w:jc w:val="right"/>
              <w:ind w:right="16"/>
              <w:spacing w:after="0"/>
              <w:rPr>
                <w:sz w:val="20"/>
                <w:szCs w:val="20"/>
                <w:color w:val="auto"/>
              </w:rPr>
            </w:pPr>
            <w:r>
              <w:rPr>
                <w:rFonts w:ascii="Times New Roman" w:cs="Times New Roman" w:eastAsia="Times New Roman" w:hAnsi="Times New Roman"/>
                <w:sz w:val="11"/>
                <w:szCs w:val="11"/>
                <w:b w:val="1"/>
                <w:bCs w:val="1"/>
                <w:color w:val="auto"/>
              </w:rPr>
              <w:t>80</w:t>
            </w:r>
          </w:p>
        </w:tc>
        <w:tc>
          <w:tcPr>
            <w:tcW w:w="48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206"/>
        </w:trPr>
        <w:tc>
          <w:tcPr>
            <w:tcW w:w="700" w:type="dxa"/>
            <w:vAlign w:val="bottom"/>
            <w:tcBorders>
              <w:bottom w:val="single" w:sz="8" w:color="808080"/>
            </w:tcBorders>
          </w:tcPr>
          <w:p>
            <w:pPr>
              <w:spacing w:after="0"/>
              <w:rPr>
                <w:sz w:val="17"/>
                <w:szCs w:val="17"/>
                <w:color w:val="auto"/>
              </w:rPr>
            </w:pPr>
          </w:p>
        </w:tc>
        <w:tc>
          <w:tcPr>
            <w:tcW w:w="486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488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hyperlink w:anchor="page64">
        <w:r>
          <w:rPr>
            <w:rFonts w:ascii="Times New Roman" w:cs="Times New Roman" w:eastAsia="Times New Roman" w:hAnsi="Times New Roman"/>
            <w:sz w:val="18"/>
            <w:szCs w:val="18"/>
            <w:b w:val="1"/>
            <w:bCs w:val="1"/>
            <w:u w:val="single" w:color="auto"/>
            <w:color w:val="0000EE"/>
          </w:rPr>
          <w:t>Table of Contents</w:t>
        </w:r>
      </w:hyperlink>
    </w:p>
    <w:p>
      <w:pPr>
        <w:spacing w:after="0" w:line="317"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NOTE 5. RECAPITALIZATION</w:t>
      </w:r>
    </w:p>
    <w:p>
      <w:pPr>
        <w:spacing w:after="0" w:line="119" w:lineRule="exact"/>
        <w:rPr>
          <w:sz w:val="20"/>
          <w:szCs w:val="20"/>
          <w:color w:val="auto"/>
        </w:rPr>
      </w:pPr>
    </w:p>
    <w:p>
      <w:pPr>
        <w:ind w:left="700" w:right="60" w:firstLine="402"/>
        <w:spacing w:after="0"/>
        <w:rPr>
          <w:sz w:val="20"/>
          <w:szCs w:val="20"/>
          <w:color w:val="auto"/>
        </w:rPr>
      </w:pPr>
      <w:r>
        <w:rPr>
          <w:rFonts w:ascii="Arial" w:cs="Arial" w:eastAsia="Arial" w:hAnsi="Arial"/>
          <w:sz w:val="18"/>
          <w:szCs w:val="18"/>
          <w:color w:val="auto"/>
        </w:rPr>
        <w:t>On December 12, 2006, the Company announced a recapitalization plan to return $750 million to the Company’s shareholders. This plan expanded and accelerated the previously announced five-year, $500 million share repurchase program (which was canceled) under which the Company repurchased $87.9 million of its common shares during fiscal 2006. Pursuant to the recapitalization plan, on February 14, 2007, the Company completed a modified “Dutch auction” tender offer, resulting in the repurchase of 4.5 million of the Company’s common shares for an aggregate purchase price of $245.5 million ($54.50 per share). On February 16, 2007, the Company’s Board of Directors declared a special one-time cash dividend of $8.00 per share ($508 million in the aggregate), which was paid on March 5, 2007, to shareholders of record on February 26, 2007.</w:t>
      </w:r>
    </w:p>
    <w:p>
      <w:pPr>
        <w:spacing w:after="0" w:line="86" w:lineRule="exact"/>
        <w:rPr>
          <w:sz w:val="20"/>
          <w:szCs w:val="20"/>
          <w:color w:val="auto"/>
        </w:rPr>
      </w:pPr>
    </w:p>
    <w:p>
      <w:pPr>
        <w:ind w:left="700" w:right="280" w:firstLine="402"/>
        <w:spacing w:after="0" w:line="231" w:lineRule="auto"/>
        <w:rPr>
          <w:sz w:val="20"/>
          <w:szCs w:val="20"/>
          <w:color w:val="auto"/>
        </w:rPr>
      </w:pPr>
      <w:r>
        <w:rPr>
          <w:rFonts w:ascii="Arial" w:cs="Arial" w:eastAsia="Arial" w:hAnsi="Arial"/>
          <w:sz w:val="18"/>
          <w:szCs w:val="18"/>
          <w:color w:val="auto"/>
        </w:rPr>
        <w:t>In order to fund these transactions, the Company entered into new credit facilities aggregating $2.15 billion and terminated its prior credit facility. As part of this debt restructuring, the Company also conducted a cash tender offer for any and all of its outstanding 6</w:t>
      </w:r>
      <w:r>
        <w:rPr>
          <w:rFonts w:ascii="Arial" w:cs="Arial" w:eastAsia="Arial" w:hAnsi="Arial"/>
          <w:sz w:val="25"/>
          <w:szCs w:val="25"/>
          <w:color w:val="auto"/>
          <w:vertAlign w:val="superscript"/>
        </w:rPr>
        <w:t>5</w:t>
      </w:r>
      <w:r>
        <w:rPr>
          <w:rFonts w:ascii="Arial" w:cs="Arial" w:eastAsia="Arial" w:hAnsi="Arial"/>
          <w:sz w:val="18"/>
          <w:szCs w:val="18"/>
          <w:color w:val="auto"/>
        </w:rPr>
        <w:t>/</w:t>
      </w:r>
      <w:r>
        <w:rPr>
          <w:rFonts w:ascii="Arial" w:cs="Arial" w:eastAsia="Arial" w:hAnsi="Arial"/>
          <w:sz w:val="12"/>
          <w:szCs w:val="12"/>
          <w:color w:val="auto"/>
        </w:rPr>
        <w:t>8</w:t>
      </w:r>
      <w:r>
        <w:rPr>
          <w:rFonts w:ascii="Arial" w:cs="Arial" w:eastAsia="Arial" w:hAnsi="Arial"/>
          <w:sz w:val="18"/>
          <w:szCs w:val="18"/>
          <w:color w:val="auto"/>
        </w:rPr>
        <w:t>% senior subordinated notes in an aggregate principal amount of $200 million. Please refer to “NOTE 11. DEBT” for further information as to the new credit facilities and the repayment and termination of the prior credit facility and the 6</w:t>
      </w:r>
      <w:r>
        <w:rPr>
          <w:rFonts w:ascii="Arial" w:cs="Arial" w:eastAsia="Arial" w:hAnsi="Arial"/>
          <w:sz w:val="25"/>
          <w:szCs w:val="25"/>
          <w:color w:val="auto"/>
          <w:vertAlign w:val="superscript"/>
        </w:rPr>
        <w:t>5</w:t>
      </w:r>
      <w:r>
        <w:rPr>
          <w:rFonts w:ascii="Arial" w:cs="Arial" w:eastAsia="Arial" w:hAnsi="Arial"/>
          <w:sz w:val="18"/>
          <w:szCs w:val="18"/>
          <w:color w:val="auto"/>
        </w:rPr>
        <w:t>/</w:t>
      </w:r>
      <w:r>
        <w:rPr>
          <w:rFonts w:ascii="Arial" w:cs="Arial" w:eastAsia="Arial" w:hAnsi="Arial"/>
          <w:sz w:val="12"/>
          <w:szCs w:val="12"/>
          <w:color w:val="auto"/>
        </w:rPr>
        <w:t>8</w:t>
      </w:r>
      <w:r>
        <w:rPr>
          <w:rFonts w:ascii="Arial" w:cs="Arial" w:eastAsia="Arial" w:hAnsi="Arial"/>
          <w:sz w:val="18"/>
          <w:szCs w:val="18"/>
          <w:color w:val="auto"/>
        </w:rPr>
        <w:t>% senior subordinated notes.</w:t>
      </w:r>
    </w:p>
    <w:p>
      <w:pPr>
        <w:spacing w:after="0" w:line="1" w:lineRule="exact"/>
        <w:rPr>
          <w:sz w:val="20"/>
          <w:szCs w:val="20"/>
          <w:color w:val="auto"/>
        </w:rPr>
      </w:pPr>
    </w:p>
    <w:p>
      <w:pPr>
        <w:ind w:left="700" w:right="260" w:firstLine="402"/>
        <w:spacing w:after="0" w:line="241" w:lineRule="auto"/>
        <w:rPr>
          <w:sz w:val="20"/>
          <w:szCs w:val="20"/>
          <w:color w:val="auto"/>
        </w:rPr>
      </w:pPr>
      <w:r>
        <w:rPr>
          <w:rFonts w:ascii="Arial" w:cs="Arial" w:eastAsia="Arial" w:hAnsi="Arial"/>
          <w:sz w:val="18"/>
          <w:szCs w:val="18"/>
          <w:color w:val="auto"/>
        </w:rPr>
        <w:t>The payment of the special one-time cash dividend required the Company to adjust the number of common shares subject to stock options and stock appreciation rights outstanding under the Company’s share-based awards programs, as well as the price at which the awards may be exercised. Please refer to “NOTE 12. SHAREHOLDERS’ EQUITY” for further information.</w:t>
      </w:r>
    </w:p>
    <w:p>
      <w:pPr>
        <w:spacing w:after="0" w:line="83" w:lineRule="exact"/>
        <w:rPr>
          <w:sz w:val="20"/>
          <w:szCs w:val="20"/>
          <w:color w:val="auto"/>
        </w:rPr>
      </w:pPr>
    </w:p>
    <w:p>
      <w:pPr>
        <w:ind w:left="700" w:firstLine="402"/>
        <w:spacing w:after="0" w:line="245" w:lineRule="auto"/>
        <w:rPr>
          <w:sz w:val="20"/>
          <w:szCs w:val="20"/>
          <w:color w:val="auto"/>
        </w:rPr>
      </w:pPr>
      <w:r>
        <w:rPr>
          <w:rFonts w:ascii="Arial" w:cs="Arial" w:eastAsia="Arial" w:hAnsi="Arial"/>
          <w:sz w:val="18"/>
          <w:szCs w:val="18"/>
          <w:color w:val="auto"/>
        </w:rPr>
        <w:t>The Company’s interest expense will be significantly higher for periods subsequent to the recapitalization transactions as a result of the borrowings incurred to fund the cash returned to shareholders. The following pro forma financial information has been compiled as if the Company had completed the recapitalization transactions as of October 1, 2005 for fiscal 2006 and as of October 1, 2006 for fiscal 2007. Borrowing rates in effect as of March 30, 2007 were used to compute pro forma interest expense. As the recapitalization involved a share repurchase, pro forma diluted common shares are also provided.</w:t>
      </w:r>
    </w:p>
    <w:p>
      <w:pPr>
        <w:spacing w:after="0" w:line="23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1"/>
          <w:szCs w:val="11"/>
          <w:b w:val="1"/>
          <w:bCs w:val="1"/>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-78105</wp:posOffset>
            </wp:positionV>
            <wp:extent cx="19748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20"/>
          </w:cols>
          <w:pgMar w:left="240" w:top="415" w:right="9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07"/>
        </w:trPr>
        <w:tc>
          <w:tcPr>
            <w:tcW w:w="8480" w:type="dxa"/>
            <w:vAlign w:val="bottom"/>
            <w:gridSpan w:val="5"/>
          </w:tcPr>
          <w:p>
            <w:pPr>
              <w:spacing w:after="0"/>
              <w:rPr>
                <w:rFonts w:ascii="Times New Roman" w:cs="Times New Roman" w:eastAsia="Times New Roman" w:hAnsi="Times New Roman"/>
                <w:sz w:val="18"/>
                <w:szCs w:val="18"/>
                <w:b w:val="1"/>
                <w:bCs w:val="1"/>
                <w:color w:val="0000EE"/>
              </w:rPr>
            </w:pPr>
            <w:hyperlink w:anchor="page64">
              <w:r>
                <w:rPr>
                  <w:rFonts w:ascii="Times New Roman" w:cs="Times New Roman" w:eastAsia="Times New Roman" w:hAnsi="Times New Roman"/>
                  <w:sz w:val="18"/>
                  <w:szCs w:val="18"/>
                  <w:b w:val="1"/>
                  <w:bCs w:val="1"/>
                  <w:color w:val="0000EE"/>
                </w:rPr>
                <w:t>Table of Contents</w:t>
              </w:r>
            </w:hyperlink>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59"/>
        </w:trPr>
        <w:tc>
          <w:tcPr>
            <w:tcW w:w="70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7120" w:type="dxa"/>
            <w:vAlign w:val="bottom"/>
            <w:gridSpan w:val="3"/>
          </w:tcPr>
          <w:p>
            <w:pPr>
              <w:jc w:val="center"/>
              <w:ind w:left="1490"/>
              <w:spacing w:after="0"/>
              <w:rPr>
                <w:sz w:val="20"/>
                <w:szCs w:val="20"/>
                <w:color w:val="auto"/>
              </w:rPr>
            </w:pPr>
            <w:r>
              <w:rPr>
                <w:rFonts w:ascii="Arial" w:cs="Arial" w:eastAsia="Arial" w:hAnsi="Arial"/>
                <w:sz w:val="18"/>
                <w:szCs w:val="18"/>
                <w:b w:val="1"/>
                <w:bCs w:val="1"/>
                <w:color w:val="auto"/>
                <w:w w:val="99"/>
              </w:rPr>
              <w:t>NOTES TO CONSOLIDATED FINANCIAL STATEMENTS</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5"/>
        </w:trPr>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20" w:type="dxa"/>
            <w:vAlign w:val="bottom"/>
            <w:gridSpan w:val="11"/>
          </w:tcPr>
          <w:p>
            <w:pPr>
              <w:ind w:left="20"/>
              <w:spacing w:after="0"/>
              <w:rPr>
                <w:sz w:val="20"/>
                <w:szCs w:val="20"/>
                <w:color w:val="auto"/>
              </w:rPr>
            </w:pPr>
            <w:r>
              <w:rPr>
                <w:rFonts w:ascii="Arial" w:cs="Arial" w:eastAsia="Arial" w:hAnsi="Arial"/>
                <w:sz w:val="18"/>
                <w:szCs w:val="18"/>
                <w:color w:val="auto"/>
              </w:rPr>
              <w:t>Pro Forma Financial</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gridSpan w:val="9"/>
          </w:tcPr>
          <w:p>
            <w:pPr>
              <w:jc w:val="center"/>
              <w:ind w:right="500"/>
              <w:spacing w:after="0" w:line="202" w:lineRule="exact"/>
              <w:rPr>
                <w:sz w:val="20"/>
                <w:szCs w:val="20"/>
                <w:color w:val="auto"/>
              </w:rPr>
            </w:pPr>
            <w:r>
              <w:rPr>
                <w:rFonts w:ascii="Arial" w:cs="Arial" w:eastAsia="Arial" w:hAnsi="Arial"/>
                <w:sz w:val="18"/>
                <w:szCs w:val="18"/>
                <w:color w:val="auto"/>
                <w:w w:val="99"/>
              </w:rPr>
              <w:t>Information</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gridSpan w:val="9"/>
          </w:tcPr>
          <w:p>
            <w:pPr>
              <w:jc w:val="center"/>
              <w:ind w:right="500"/>
              <w:spacing w:after="0"/>
              <w:rPr>
                <w:sz w:val="20"/>
                <w:szCs w:val="20"/>
                <w:color w:val="auto"/>
              </w:rPr>
            </w:pPr>
            <w:r>
              <w:rPr>
                <w:rFonts w:ascii="Arial" w:cs="Arial" w:eastAsia="Arial" w:hAnsi="Arial"/>
                <w:sz w:val="18"/>
                <w:szCs w:val="18"/>
                <w:color w:val="auto"/>
                <w:w w:val="99"/>
              </w:rPr>
              <w:t>(Unaudited)</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gridSpan w:val="7"/>
          </w:tcPr>
          <w:p>
            <w:pPr>
              <w:jc w:val="center"/>
              <w:ind w:right="230"/>
              <w:spacing w:after="0" w:line="173" w:lineRule="exact"/>
              <w:rPr>
                <w:sz w:val="20"/>
                <w:szCs w:val="20"/>
                <w:color w:val="auto"/>
              </w:rPr>
            </w:pPr>
            <w:r>
              <w:rPr>
                <w:rFonts w:ascii="Arial" w:cs="Arial" w:eastAsia="Arial" w:hAnsi="Arial"/>
                <w:sz w:val="18"/>
                <w:szCs w:val="18"/>
                <w:color w:val="auto"/>
                <w:w w:val="98"/>
              </w:rPr>
              <w:t>Year Ended</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gridSpan w:val="10"/>
          </w:tcPr>
          <w:p>
            <w:pPr>
              <w:jc w:val="center"/>
              <w:ind w:right="260"/>
              <w:spacing w:after="0"/>
              <w:rPr>
                <w:sz w:val="20"/>
                <w:szCs w:val="20"/>
                <w:color w:val="auto"/>
              </w:rPr>
            </w:pPr>
            <w:r>
              <w:rPr>
                <w:rFonts w:ascii="Arial" w:cs="Arial" w:eastAsia="Arial" w:hAnsi="Arial"/>
                <w:sz w:val="18"/>
                <w:szCs w:val="18"/>
                <w:color w:val="auto"/>
                <w:w w:val="99"/>
              </w:rPr>
              <w:t>September 30,</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70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2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5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2007</w:t>
            </w:r>
          </w:p>
        </w:tc>
        <w:tc>
          <w:tcPr>
            <w:tcW w:w="22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4"/>
              </w:rPr>
              <w:t>2006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40" w:type="dxa"/>
            <w:vAlign w:val="bottom"/>
            <w:gridSpan w:val="9"/>
          </w:tcPr>
          <w:p>
            <w:pPr>
              <w:jc w:val="center"/>
              <w:spacing w:after="0" w:line="160" w:lineRule="exact"/>
              <w:rPr>
                <w:sz w:val="20"/>
                <w:szCs w:val="20"/>
                <w:color w:val="auto"/>
              </w:rPr>
            </w:pPr>
            <w:r>
              <w:rPr>
                <w:rFonts w:ascii="Arial" w:cs="Arial" w:eastAsia="Arial" w:hAnsi="Arial"/>
                <w:sz w:val="18"/>
                <w:szCs w:val="18"/>
                <w:color w:val="auto"/>
              </w:rPr>
              <w:t>(In millions, except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gridSpan w:val="10"/>
          </w:tcPr>
          <w:p>
            <w:pPr>
              <w:jc w:val="center"/>
              <w:ind w:right="260"/>
              <w:spacing w:after="0"/>
              <w:rPr>
                <w:sz w:val="20"/>
                <w:szCs w:val="20"/>
                <w:color w:val="auto"/>
              </w:rPr>
            </w:pPr>
            <w:r>
              <w:rPr>
                <w:rFonts w:ascii="Arial" w:cs="Arial" w:eastAsia="Arial" w:hAnsi="Arial"/>
                <w:sz w:val="18"/>
                <w:szCs w:val="18"/>
                <w:color w:val="auto"/>
                <w:w w:val="99"/>
              </w:rPr>
              <w:t>per share data)</w:t>
            </w: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
        </w:trPr>
        <w:tc>
          <w:tcPr>
            <w:tcW w:w="700" w:type="dxa"/>
            <w:vAlign w:val="bottom"/>
            <w:vMerge w:val="restart"/>
          </w:tcPr>
          <w:p>
            <w:pPr>
              <w:spacing w:after="0"/>
              <w:rPr>
                <w:sz w:val="3"/>
                <w:szCs w:val="3"/>
                <w:color w:val="auto"/>
              </w:rPr>
            </w:pPr>
          </w:p>
        </w:tc>
        <w:tc>
          <w:tcPr>
            <w:tcW w:w="660" w:type="dxa"/>
            <w:vAlign w:val="bottom"/>
          </w:tcPr>
          <w:p>
            <w:pPr>
              <w:spacing w:after="0"/>
              <w:rPr>
                <w:sz w:val="3"/>
                <w:szCs w:val="3"/>
                <w:color w:val="auto"/>
              </w:rPr>
            </w:pPr>
          </w:p>
        </w:tc>
        <w:tc>
          <w:tcPr>
            <w:tcW w:w="4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6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700" w:type="dxa"/>
            <w:vAlign w:val="bottom"/>
            <w:vMerge w:val="continue"/>
          </w:tcPr>
          <w:p>
            <w:pPr>
              <w:spacing w:after="0"/>
              <w:rPr>
                <w:sz w:val="17"/>
                <w:szCs w:val="17"/>
                <w:color w:val="auto"/>
              </w:rPr>
            </w:pPr>
          </w:p>
        </w:tc>
        <w:tc>
          <w:tcPr>
            <w:tcW w:w="778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Income before income taxes, as reported</w:t>
            </w:r>
          </w:p>
        </w:tc>
        <w:tc>
          <w:tcPr>
            <w:tcW w:w="54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188.1</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212.9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7780" w:type="dxa"/>
            <w:vAlign w:val="bottom"/>
            <w:gridSpan w:val="4"/>
          </w:tcPr>
          <w:p>
            <w:pPr>
              <w:spacing w:after="0" w:line="202" w:lineRule="exact"/>
              <w:rPr>
                <w:sz w:val="20"/>
                <w:szCs w:val="20"/>
                <w:color w:val="auto"/>
              </w:rPr>
            </w:pPr>
            <w:r>
              <w:rPr>
                <w:rFonts w:ascii="Arial" w:cs="Arial" w:eastAsia="Arial" w:hAnsi="Arial"/>
                <w:sz w:val="18"/>
                <w:szCs w:val="18"/>
                <w:color w:val="auto"/>
              </w:rPr>
              <w:t>Add back reported interest expense</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70.7</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39.6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778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Add back costs related to refinancing</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18.3</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7780" w:type="dxa"/>
            <w:vAlign w:val="bottom"/>
            <w:gridSpan w:val="4"/>
          </w:tcPr>
          <w:p>
            <w:pPr>
              <w:spacing w:after="0" w:line="202" w:lineRule="exact"/>
              <w:rPr>
                <w:sz w:val="20"/>
                <w:szCs w:val="20"/>
                <w:color w:val="auto"/>
              </w:rPr>
            </w:pPr>
            <w:r>
              <w:rPr>
                <w:rFonts w:ascii="Arial" w:cs="Arial" w:eastAsia="Arial" w:hAnsi="Arial"/>
                <w:sz w:val="18"/>
                <w:szCs w:val="18"/>
                <w:color w:val="auto"/>
              </w:rPr>
              <w:t>Deduct pro forma interest expense</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79"/>
              <w:spacing w:after="0" w:line="202" w:lineRule="exact"/>
              <w:rPr>
                <w:sz w:val="20"/>
                <w:szCs w:val="20"/>
                <w:color w:val="auto"/>
              </w:rPr>
            </w:pPr>
            <w:r>
              <w:rPr>
                <w:rFonts w:ascii="Arial" w:cs="Arial" w:eastAsia="Arial" w:hAnsi="Arial"/>
                <w:sz w:val="18"/>
                <w:szCs w:val="18"/>
                <w:color w:val="auto"/>
              </w:rPr>
              <w:t>(94.3)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w w:val="94"/>
              </w:rPr>
              <w:t>(100.8)</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778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Pro forma income before income taxes</w:t>
            </w:r>
          </w:p>
        </w:tc>
        <w:tc>
          <w:tcPr>
            <w:tcW w:w="4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182.8</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151.7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7780" w:type="dxa"/>
            <w:vAlign w:val="bottom"/>
            <w:gridSpan w:val="4"/>
          </w:tcPr>
          <w:p>
            <w:pPr>
              <w:spacing w:after="0" w:line="202" w:lineRule="exact"/>
              <w:rPr>
                <w:sz w:val="20"/>
                <w:szCs w:val="20"/>
                <w:color w:val="auto"/>
              </w:rPr>
            </w:pPr>
            <w:r>
              <w:rPr>
                <w:rFonts w:ascii="Arial" w:cs="Arial" w:eastAsia="Arial" w:hAnsi="Arial"/>
                <w:sz w:val="18"/>
                <w:szCs w:val="18"/>
                <w:color w:val="auto"/>
              </w:rPr>
              <w:t>Pro forma income taxes</w:t>
            </w:r>
          </w:p>
        </w:tc>
        <w:tc>
          <w:tcPr>
            <w:tcW w:w="4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72.5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57.3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778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Pro forma net income</w:t>
            </w:r>
          </w:p>
        </w:tc>
        <w:tc>
          <w:tcPr>
            <w:tcW w:w="4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110.3</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94.4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80" w:type="dxa"/>
            <w:vAlign w:val="bottom"/>
            <w:gridSpan w:val="5"/>
            <w:vMerge w:val="restart"/>
          </w:tcPr>
          <w:p>
            <w:pPr>
              <w:ind w:left="700"/>
              <w:spacing w:after="0"/>
              <w:rPr>
                <w:sz w:val="20"/>
                <w:szCs w:val="20"/>
                <w:color w:val="auto"/>
              </w:rPr>
            </w:pPr>
            <w:r>
              <w:rPr>
                <w:rFonts w:ascii="Arial" w:cs="Arial" w:eastAsia="Arial" w:hAnsi="Arial"/>
                <w:sz w:val="18"/>
                <w:szCs w:val="18"/>
                <w:color w:val="auto"/>
              </w:rPr>
              <w:t>Pro forma basic net income per common share</w:t>
            </w:r>
          </w:p>
        </w:tc>
        <w:tc>
          <w:tcPr>
            <w:tcW w:w="5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480" w:type="dxa"/>
            <w:vAlign w:val="bottom"/>
            <w:gridSpan w:val="5"/>
            <w:vMerge w:val="continue"/>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1.74</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1.50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0" w:type="dxa"/>
            <w:vAlign w:val="bottom"/>
          </w:tcPr>
          <w:p>
            <w:pPr>
              <w:spacing w:after="0"/>
              <w:rPr>
                <w:sz w:val="17"/>
                <w:szCs w:val="17"/>
                <w:color w:val="auto"/>
              </w:rPr>
            </w:pPr>
          </w:p>
        </w:tc>
        <w:tc>
          <w:tcPr>
            <w:tcW w:w="7780" w:type="dxa"/>
            <w:vAlign w:val="bottom"/>
            <w:gridSpan w:val="4"/>
            <w:shd w:val="clear" w:color="auto" w:fill="CCEEFF"/>
          </w:tcPr>
          <w:p>
            <w:pPr>
              <w:spacing w:after="0" w:line="196" w:lineRule="exact"/>
              <w:rPr>
                <w:sz w:val="20"/>
                <w:szCs w:val="20"/>
                <w:color w:val="auto"/>
              </w:rPr>
            </w:pPr>
            <w:r>
              <w:rPr>
                <w:rFonts w:ascii="Arial" w:cs="Arial" w:eastAsia="Arial" w:hAnsi="Arial"/>
                <w:sz w:val="18"/>
                <w:szCs w:val="18"/>
                <w:color w:val="auto"/>
              </w:rPr>
              <w:t>Pro forma diluted net income per common share</w:t>
            </w:r>
          </w:p>
        </w:tc>
        <w:tc>
          <w:tcPr>
            <w:tcW w:w="4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1.68</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1.45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80" w:type="dxa"/>
            <w:vAlign w:val="bottom"/>
            <w:gridSpan w:val="5"/>
            <w:vMerge w:val="restart"/>
          </w:tcPr>
          <w:p>
            <w:pPr>
              <w:ind w:left="700"/>
              <w:spacing w:after="0"/>
              <w:rPr>
                <w:sz w:val="20"/>
                <w:szCs w:val="20"/>
                <w:color w:val="auto"/>
              </w:rPr>
            </w:pPr>
            <w:r>
              <w:rPr>
                <w:rFonts w:ascii="Arial" w:cs="Arial" w:eastAsia="Arial" w:hAnsi="Arial"/>
                <w:sz w:val="18"/>
                <w:szCs w:val="18"/>
                <w:color w:val="auto"/>
              </w:rPr>
              <w:t>Reported interest expense</w:t>
            </w:r>
          </w:p>
        </w:tc>
        <w:tc>
          <w:tcPr>
            <w:tcW w:w="5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480" w:type="dxa"/>
            <w:vAlign w:val="bottom"/>
            <w:gridSpan w:val="5"/>
            <w:vMerge w:val="continue"/>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70.7</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39.6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778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Incremental interest on recapitalization borrowings</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21.8</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53.0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7780" w:type="dxa"/>
            <w:vAlign w:val="bottom"/>
            <w:gridSpan w:val="4"/>
          </w:tcPr>
          <w:p>
            <w:pPr>
              <w:spacing w:after="0" w:line="202" w:lineRule="exact"/>
              <w:rPr>
                <w:sz w:val="20"/>
                <w:szCs w:val="20"/>
                <w:color w:val="auto"/>
              </w:rPr>
            </w:pPr>
            <w:r>
              <w:rPr>
                <w:rFonts w:ascii="Arial" w:cs="Arial" w:eastAsia="Arial" w:hAnsi="Arial"/>
                <w:sz w:val="18"/>
                <w:szCs w:val="18"/>
                <w:color w:val="auto"/>
              </w:rPr>
              <w:t>New credit facilities interest rate differential</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778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Incremental amortization of new credit facilities fees</w:t>
            </w:r>
          </w:p>
        </w:tc>
        <w:tc>
          <w:tcPr>
            <w:tcW w:w="4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0.3</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480" w:type="dxa"/>
            <w:vAlign w:val="bottom"/>
            <w:gridSpan w:val="5"/>
          </w:tcPr>
          <w:p>
            <w:pPr>
              <w:ind w:left="700"/>
              <w:spacing w:after="0"/>
              <w:rPr>
                <w:sz w:val="20"/>
                <w:szCs w:val="20"/>
                <w:color w:val="auto"/>
              </w:rPr>
            </w:pPr>
            <w:r>
              <w:rPr>
                <w:rFonts w:ascii="Arial" w:cs="Arial" w:eastAsia="Arial" w:hAnsi="Arial"/>
                <w:sz w:val="18"/>
                <w:szCs w:val="18"/>
                <w:color w:val="auto"/>
              </w:rPr>
              <w:t>Pro forma interest expense</w:t>
            </w:r>
          </w:p>
        </w:tc>
        <w:tc>
          <w:tcPr>
            <w:tcW w:w="44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94.3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100.8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0" w:type="dxa"/>
            <w:vAlign w:val="bottom"/>
          </w:tcPr>
          <w:p>
            <w:pPr>
              <w:spacing w:after="0"/>
              <w:rPr>
                <w:sz w:val="17"/>
                <w:szCs w:val="17"/>
                <w:color w:val="auto"/>
              </w:rPr>
            </w:pPr>
          </w:p>
        </w:tc>
        <w:tc>
          <w:tcPr>
            <w:tcW w:w="7780" w:type="dxa"/>
            <w:vAlign w:val="bottom"/>
            <w:gridSpan w:val="4"/>
            <w:shd w:val="clear" w:color="auto" w:fill="CCEEFF"/>
          </w:tcPr>
          <w:p>
            <w:pPr>
              <w:spacing w:after="0" w:line="196" w:lineRule="exact"/>
              <w:rPr>
                <w:sz w:val="20"/>
                <w:szCs w:val="20"/>
                <w:color w:val="auto"/>
              </w:rPr>
            </w:pPr>
            <w:r>
              <w:rPr>
                <w:rFonts w:ascii="Arial" w:cs="Arial" w:eastAsia="Arial" w:hAnsi="Arial"/>
                <w:sz w:val="18"/>
                <w:szCs w:val="18"/>
                <w:color w:val="auto"/>
              </w:rPr>
              <w:t>Pro forma effective tax rates</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39.7%</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4"/>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37.8%</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gridSpan w:val="9"/>
          </w:tcPr>
          <w:p>
            <w:pPr>
              <w:jc w:val="center"/>
              <w:ind w:right="120"/>
              <w:spacing w:after="0"/>
              <w:rPr>
                <w:sz w:val="20"/>
                <w:szCs w:val="20"/>
                <w:color w:val="auto"/>
              </w:rPr>
            </w:pPr>
            <w:r>
              <w:rPr>
                <w:rFonts w:ascii="Arial" w:cs="Arial" w:eastAsia="Arial" w:hAnsi="Arial"/>
                <w:sz w:val="16"/>
                <w:szCs w:val="16"/>
                <w:color w:val="auto"/>
              </w:rPr>
              <w:t>Pro Forma Shares</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gridSpan w:val="7"/>
          </w:tcPr>
          <w:p>
            <w:pPr>
              <w:jc w:val="center"/>
              <w:ind w:right="240"/>
              <w:spacing w:after="0" w:line="165" w:lineRule="exact"/>
              <w:rPr>
                <w:sz w:val="20"/>
                <w:szCs w:val="20"/>
                <w:color w:val="auto"/>
              </w:rPr>
            </w:pPr>
            <w:r>
              <w:rPr>
                <w:rFonts w:ascii="Arial" w:cs="Arial" w:eastAsia="Arial" w:hAnsi="Arial"/>
                <w:sz w:val="16"/>
                <w:szCs w:val="16"/>
                <w:color w:val="auto"/>
                <w:w w:val="99"/>
              </w:rPr>
              <w:t>Year Ended</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9"/>
          </w:tcPr>
          <w:p>
            <w:pPr>
              <w:jc w:val="center"/>
              <w:ind w:right="100"/>
              <w:spacing w:after="0"/>
              <w:rPr>
                <w:sz w:val="20"/>
                <w:szCs w:val="20"/>
                <w:color w:val="auto"/>
              </w:rPr>
            </w:pPr>
            <w:r>
              <w:rPr>
                <w:rFonts w:ascii="Arial" w:cs="Arial" w:eastAsia="Arial" w:hAnsi="Arial"/>
                <w:sz w:val="16"/>
                <w:szCs w:val="16"/>
                <w:color w:val="auto"/>
              </w:rPr>
              <w:t>September 30,</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0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2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2007</w:t>
            </w:r>
          </w:p>
        </w:tc>
        <w:tc>
          <w:tcPr>
            <w:tcW w:w="1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6"/>
                <w:szCs w:val="16"/>
                <w:color w:val="auto"/>
              </w:rPr>
              <w:t>2006</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7"/>
          </w:tcPr>
          <w:p>
            <w:pPr>
              <w:jc w:val="center"/>
              <w:ind w:right="220"/>
              <w:spacing w:after="0"/>
              <w:rPr>
                <w:sz w:val="20"/>
                <w:szCs w:val="20"/>
                <w:color w:val="auto"/>
              </w:rPr>
            </w:pPr>
            <w:r>
              <w:rPr>
                <w:rFonts w:ascii="Arial" w:cs="Arial" w:eastAsia="Arial" w:hAnsi="Arial"/>
                <w:sz w:val="16"/>
                <w:szCs w:val="16"/>
                <w:color w:val="auto"/>
              </w:rPr>
              <w:t>(In millions)</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700" w:type="dxa"/>
            <w:vAlign w:val="bottom"/>
          </w:tcPr>
          <w:p>
            <w:pPr>
              <w:spacing w:after="0"/>
              <w:rPr>
                <w:sz w:val="18"/>
                <w:szCs w:val="18"/>
                <w:color w:val="auto"/>
              </w:rPr>
            </w:pPr>
          </w:p>
        </w:tc>
        <w:tc>
          <w:tcPr>
            <w:tcW w:w="77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Weighted-average common shares outstanding during the period</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00" w:type="dxa"/>
            <w:vAlign w:val="bottom"/>
            <w:shd w:val="clear" w:color="auto" w:fill="CCEEFF"/>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7780" w:type="dxa"/>
            <w:vAlign w:val="bottom"/>
            <w:gridSpan w:val="4"/>
          </w:tcPr>
          <w:p>
            <w:pPr>
              <w:spacing w:after="0" w:line="202" w:lineRule="exact"/>
              <w:rPr>
                <w:sz w:val="20"/>
                <w:szCs w:val="20"/>
                <w:color w:val="auto"/>
              </w:rPr>
            </w:pPr>
            <w:r>
              <w:rPr>
                <w:rFonts w:ascii="Arial" w:cs="Arial" w:eastAsia="Arial" w:hAnsi="Arial"/>
                <w:sz w:val="18"/>
                <w:szCs w:val="18"/>
                <w:color w:val="auto"/>
              </w:rPr>
              <w:t>Incremental full period impact of repurchased common shares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4"/>
          </w:tcPr>
          <w:p>
            <w:pPr>
              <w:jc w:val="right"/>
              <w:ind w:right="40"/>
              <w:spacing w:after="0" w:line="202" w:lineRule="exact"/>
              <w:rPr>
                <w:sz w:val="20"/>
                <w:szCs w:val="20"/>
                <w:color w:val="auto"/>
              </w:rPr>
            </w:pPr>
            <w:r>
              <w:rPr>
                <w:rFonts w:ascii="Arial" w:cs="Arial" w:eastAsia="Arial" w:hAnsi="Arial"/>
                <w:sz w:val="18"/>
                <w:szCs w:val="18"/>
                <w:color w:val="auto"/>
              </w:rPr>
              <w:t>(4.5)</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778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Pro forma basic common shares</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tcBorders>
              <w:top w:val="single" w:sz="8" w:color="auto"/>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63.4</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tcBorders>
              <w:top w:val="single" w:sz="8" w:color="auto"/>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63.0</w:t>
            </w:r>
          </w:p>
        </w:tc>
        <w:tc>
          <w:tcPr>
            <w:tcW w:w="100" w:type="dxa"/>
            <w:vAlign w:val="bottom"/>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20" w:type="dxa"/>
            <w:vAlign w:val="bottom"/>
            <w:gridSpan w:val="7"/>
            <w:vMerge w:val="restart"/>
          </w:tcPr>
          <w:p>
            <w:pPr>
              <w:ind w:left="700"/>
              <w:spacing w:after="0"/>
              <w:rPr>
                <w:sz w:val="20"/>
                <w:szCs w:val="20"/>
                <w:color w:val="auto"/>
              </w:rPr>
            </w:pPr>
            <w:r>
              <w:rPr>
                <w:rFonts w:ascii="Arial" w:cs="Arial" w:eastAsia="Arial" w:hAnsi="Arial"/>
                <w:sz w:val="18"/>
                <w:szCs w:val="18"/>
                <w:color w:val="auto"/>
              </w:rPr>
              <w:t>Weighted-average common shares outstanding during the period plus dilutive potential common shares</w:t>
            </w:r>
          </w:p>
        </w:tc>
        <w:tc>
          <w:tcPr>
            <w:tcW w:w="6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020" w:type="dxa"/>
            <w:vAlign w:val="bottom"/>
            <w:gridSpan w:val="7"/>
            <w:vMerge w:val="continue"/>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67.0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69.4</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778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Incremental full period impact of repurchased common shares</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4"/>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4"/>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(4.5)</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7780" w:type="dxa"/>
            <w:vAlign w:val="bottom"/>
            <w:gridSpan w:val="4"/>
          </w:tcPr>
          <w:p>
            <w:pPr>
              <w:spacing w:after="0" w:line="202" w:lineRule="exact"/>
              <w:rPr>
                <w:sz w:val="20"/>
                <w:szCs w:val="20"/>
                <w:color w:val="auto"/>
              </w:rPr>
            </w:pPr>
            <w:r>
              <w:rPr>
                <w:rFonts w:ascii="Arial" w:cs="Arial" w:eastAsia="Arial" w:hAnsi="Arial"/>
                <w:sz w:val="18"/>
                <w:szCs w:val="18"/>
                <w:color w:val="auto"/>
              </w:rPr>
              <w:t>Impact on dilutive potential common shares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0.3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778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Pro forma diluted common shares</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tcBorders>
              <w:top w:val="single" w:sz="8" w:color="auto"/>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65.5</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tcBorders>
              <w:top w:val="single" w:sz="8" w:color="auto"/>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65.2</w:t>
            </w:r>
          </w:p>
        </w:tc>
        <w:tc>
          <w:tcPr>
            <w:tcW w:w="100" w:type="dxa"/>
            <w:vAlign w:val="bottom"/>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gridSpan w:val="2"/>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360" w:type="dxa"/>
            <w:vAlign w:val="bottom"/>
            <w:gridSpan w:val="2"/>
            <w:vMerge w:val="restart"/>
          </w:tcPr>
          <w:p>
            <w:pPr>
              <w:spacing w:after="0"/>
              <w:rPr>
                <w:sz w:val="11"/>
                <w:szCs w:val="11"/>
                <w:color w:val="auto"/>
              </w:rPr>
            </w:pPr>
          </w:p>
        </w:tc>
        <w:tc>
          <w:tcPr>
            <w:tcW w:w="4200" w:type="dxa"/>
            <w:vAlign w:val="bottom"/>
            <w:vMerge w:val="restart"/>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360" w:type="dxa"/>
            <w:vAlign w:val="bottom"/>
            <w:gridSpan w:val="2"/>
            <w:vMerge w:val="continue"/>
          </w:tcPr>
          <w:p>
            <w:pPr>
              <w:spacing w:after="0"/>
              <w:rPr>
                <w:sz w:val="11"/>
                <w:szCs w:val="11"/>
                <w:color w:val="auto"/>
              </w:rPr>
            </w:pPr>
          </w:p>
        </w:tc>
        <w:tc>
          <w:tcPr>
            <w:tcW w:w="4200" w:type="dxa"/>
            <w:vAlign w:val="bottom"/>
            <w:vMerge w:val="continue"/>
          </w:tcPr>
          <w:p>
            <w:pPr>
              <w:spacing w:after="0"/>
              <w:rPr>
                <w:sz w:val="11"/>
                <w:szCs w:val="11"/>
                <w:color w:val="auto"/>
              </w:rPr>
            </w:pPr>
          </w:p>
        </w:tc>
        <w:tc>
          <w:tcPr>
            <w:tcW w:w="300" w:type="dxa"/>
            <w:vAlign w:val="bottom"/>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82</w:t>
            </w:r>
          </w:p>
        </w:tc>
        <w:tc>
          <w:tcPr>
            <w:tcW w:w="2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700" w:type="dxa"/>
            <w:vAlign w:val="bottom"/>
            <w:tcBorders>
              <w:bottom w:val="single" w:sz="8" w:color="808080"/>
            </w:tcBorders>
          </w:tcPr>
          <w:p>
            <w:pPr>
              <w:spacing w:after="0"/>
              <w:rPr>
                <w:sz w:val="17"/>
                <w:szCs w:val="17"/>
                <w:color w:val="auto"/>
              </w:rPr>
            </w:pPr>
          </w:p>
        </w:tc>
        <w:tc>
          <w:tcPr>
            <w:tcW w:w="660" w:type="dxa"/>
            <w:vAlign w:val="bottom"/>
            <w:tcBorders>
              <w:bottom w:val="single" w:sz="8" w:color="808080"/>
            </w:tcBorders>
          </w:tcPr>
          <w:p>
            <w:pPr>
              <w:spacing w:after="0"/>
              <w:rPr>
                <w:sz w:val="17"/>
                <w:szCs w:val="17"/>
                <w:color w:val="auto"/>
              </w:rPr>
            </w:pPr>
          </w:p>
        </w:tc>
        <w:tc>
          <w:tcPr>
            <w:tcW w:w="420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2620" w:type="dxa"/>
            <w:vAlign w:val="bottom"/>
            <w:tcBorders>
              <w:bottom w:val="single" w:sz="8" w:color="808080"/>
            </w:tcBorders>
          </w:tcPr>
          <w:p>
            <w:pPr>
              <w:spacing w:after="0"/>
              <w:rPr>
                <w:sz w:val="17"/>
                <w:szCs w:val="17"/>
                <w:color w:val="auto"/>
              </w:rPr>
            </w:pPr>
          </w:p>
        </w:tc>
        <w:tc>
          <w:tcPr>
            <w:tcW w:w="440" w:type="dxa"/>
            <w:vAlign w:val="bottom"/>
            <w:tcBorders>
              <w:bottom w:val="single" w:sz="8" w:color="808080"/>
            </w:tcBorders>
          </w:tcPr>
          <w:p>
            <w:pPr>
              <w:spacing w:after="0"/>
              <w:rPr>
                <w:sz w:val="17"/>
                <w:szCs w:val="17"/>
                <w:color w:val="auto"/>
              </w:rPr>
            </w:pPr>
          </w:p>
        </w:tc>
        <w:tc>
          <w:tcPr>
            <w:tcW w:w="10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8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80" w:type="dxa"/>
            <w:vAlign w:val="bottom"/>
            <w:tcBorders>
              <w:bottom w:val="single" w:sz="8" w:color="808080"/>
            </w:tcBorders>
          </w:tcPr>
          <w:p>
            <w:pPr>
              <w:spacing w:after="0"/>
              <w:rPr>
                <w:sz w:val="17"/>
                <w:szCs w:val="17"/>
                <w:color w:val="auto"/>
              </w:rPr>
            </w:pPr>
          </w:p>
        </w:tc>
        <w:tc>
          <w:tcPr>
            <w:tcW w:w="10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07"/>
        </w:trPr>
        <w:tc>
          <w:tcPr>
            <w:tcW w:w="8120" w:type="dxa"/>
            <w:vAlign w:val="bottom"/>
            <w:gridSpan w:val="3"/>
          </w:tcPr>
          <w:p>
            <w:pPr>
              <w:spacing w:after="0"/>
              <w:rPr>
                <w:rFonts w:ascii="Times New Roman" w:cs="Times New Roman" w:eastAsia="Times New Roman" w:hAnsi="Times New Roman"/>
                <w:sz w:val="18"/>
                <w:szCs w:val="18"/>
                <w:b w:val="1"/>
                <w:bCs w:val="1"/>
                <w:color w:val="0000EE"/>
              </w:rPr>
            </w:pPr>
            <w:hyperlink w:anchor="page64">
              <w:r>
                <w:rPr>
                  <w:rFonts w:ascii="Times New Roman" w:cs="Times New Roman" w:eastAsia="Times New Roman" w:hAnsi="Times New Roman"/>
                  <w:sz w:val="18"/>
                  <w:szCs w:val="18"/>
                  <w:b w:val="1"/>
                  <w:bCs w:val="1"/>
                  <w:color w:val="0000EE"/>
                </w:rPr>
                <w:t>Table of Contents</w:t>
              </w:r>
            </w:hyperlink>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59"/>
        </w:trPr>
        <w:tc>
          <w:tcPr>
            <w:tcW w:w="70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6760" w:type="dxa"/>
            <w:vAlign w:val="bottom"/>
          </w:tcPr>
          <w:p>
            <w:pPr>
              <w:ind w:left="2020"/>
              <w:spacing w:after="0"/>
              <w:rPr>
                <w:sz w:val="20"/>
                <w:szCs w:val="20"/>
                <w:color w:val="auto"/>
              </w:rPr>
            </w:pPr>
            <w:r>
              <w:rPr>
                <w:rFonts w:ascii="Arial" w:cs="Arial" w:eastAsia="Arial" w:hAnsi="Arial"/>
                <w:sz w:val="18"/>
                <w:szCs w:val="18"/>
                <w:b w:val="1"/>
                <w:bCs w:val="1"/>
                <w:color w:val="auto"/>
              </w:rPr>
              <w:t>NOTES TO CONSOLIDATED FINANCIAL STATEMENTS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8120" w:type="dxa"/>
            <w:vAlign w:val="bottom"/>
            <w:gridSpan w:val="3"/>
          </w:tcPr>
          <w:p>
            <w:pPr>
              <w:ind w:left="700"/>
              <w:spacing w:after="0"/>
              <w:rPr>
                <w:sz w:val="20"/>
                <w:szCs w:val="20"/>
                <w:color w:val="auto"/>
              </w:rPr>
            </w:pPr>
            <w:r>
              <w:rPr>
                <w:rFonts w:ascii="Arial" w:cs="Arial" w:eastAsia="Arial" w:hAnsi="Arial"/>
                <w:sz w:val="18"/>
                <w:szCs w:val="18"/>
                <w:b w:val="1"/>
                <w:bCs w:val="1"/>
                <w:color w:val="auto"/>
              </w:rPr>
              <w:t>NOTE 6. DETAIL OF CERTAIN FINANCIAL STATEMENT ACCOUNTS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w w:val="99"/>
              </w:rPr>
              <w:t>September 30,</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67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2008</w:t>
            </w: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4"/>
              </w:rPr>
              <w:t>2007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gridSpan w:val="4"/>
          </w:tcPr>
          <w:p>
            <w:pPr>
              <w:jc w:val="right"/>
              <w:ind w:right="60"/>
              <w:spacing w:after="0"/>
              <w:rPr>
                <w:sz w:val="20"/>
                <w:szCs w:val="20"/>
                <w:color w:val="auto"/>
              </w:rPr>
            </w:pPr>
            <w:r>
              <w:rPr>
                <w:rFonts w:ascii="Arial" w:cs="Arial" w:eastAsia="Arial" w:hAnsi="Arial"/>
                <w:sz w:val="18"/>
                <w:szCs w:val="18"/>
                <w:color w:val="auto"/>
              </w:rPr>
              <w:t>(In millions)</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74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INVENTORIES, NET: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74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Finished goods</w:t>
            </w:r>
          </w:p>
        </w:tc>
        <w:tc>
          <w:tcPr>
            <w:tcW w:w="700" w:type="dxa"/>
            <w:vAlign w:val="bottom"/>
            <w:gridSpan w:val="5"/>
          </w:tcPr>
          <w:p>
            <w:pPr>
              <w:jc w:val="right"/>
              <w:spacing w:after="0" w:line="202" w:lineRule="exact"/>
              <w:rPr>
                <w:sz w:val="20"/>
                <w:szCs w:val="20"/>
                <w:color w:val="auto"/>
              </w:rPr>
            </w:pPr>
            <w:r>
              <w:rPr>
                <w:rFonts w:ascii="Arial" w:cs="Arial" w:eastAsia="Arial" w:hAnsi="Arial"/>
                <w:sz w:val="18"/>
                <w:szCs w:val="18"/>
                <w:color w:val="auto"/>
              </w:rPr>
              <w:t>$ 277.3</w:t>
            </w: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gridSpan w:val="3"/>
          </w:tcPr>
          <w:p>
            <w:pPr>
              <w:jc w:val="right"/>
              <w:spacing w:after="0" w:line="202" w:lineRule="exact"/>
              <w:rPr>
                <w:sz w:val="20"/>
                <w:szCs w:val="20"/>
                <w:color w:val="auto"/>
              </w:rPr>
            </w:pPr>
            <w:r>
              <w:rPr>
                <w:rFonts w:ascii="Arial" w:cs="Arial" w:eastAsia="Arial" w:hAnsi="Arial"/>
                <w:sz w:val="18"/>
                <w:szCs w:val="18"/>
                <w:color w:val="auto"/>
                <w:w w:val="99"/>
              </w:rPr>
              <w:t>$ 289.9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742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Work-in-progress</w:t>
            </w:r>
          </w:p>
        </w:tc>
        <w:tc>
          <w:tcPr>
            <w:tcW w:w="700" w:type="dxa"/>
            <w:vAlign w:val="bottom"/>
            <w:gridSpan w:val="5"/>
            <w:shd w:val="clear" w:color="auto" w:fill="CCEEFF"/>
          </w:tcPr>
          <w:p>
            <w:pPr>
              <w:jc w:val="right"/>
              <w:spacing w:after="0" w:line="202" w:lineRule="exact"/>
              <w:rPr>
                <w:sz w:val="20"/>
                <w:szCs w:val="20"/>
                <w:color w:val="auto"/>
              </w:rPr>
            </w:pPr>
            <w:r>
              <w:rPr>
                <w:rFonts w:ascii="Arial" w:cs="Arial" w:eastAsia="Arial" w:hAnsi="Arial"/>
                <w:sz w:val="18"/>
                <w:szCs w:val="18"/>
                <w:color w:val="auto"/>
              </w:rPr>
              <w:t>29.9</w:t>
            </w: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74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Raw materials</w:t>
            </w:r>
          </w:p>
        </w:tc>
        <w:tc>
          <w:tcPr>
            <w:tcW w:w="80" w:type="dxa"/>
            <w:vAlign w:val="bottom"/>
          </w:tcPr>
          <w:p>
            <w:pPr>
              <w:spacing w:after="0"/>
              <w:rPr>
                <w:sz w:val="18"/>
                <w:szCs w:val="18"/>
                <w:color w:val="auto"/>
              </w:rPr>
            </w:pPr>
          </w:p>
        </w:tc>
        <w:tc>
          <w:tcPr>
            <w:tcW w:w="620" w:type="dxa"/>
            <w:vAlign w:val="bottom"/>
            <w:tcBorders>
              <w:bottom w:val="single" w:sz="8" w:color="auto"/>
            </w:tcBorders>
            <w:gridSpan w:val="4"/>
          </w:tcPr>
          <w:p>
            <w:pPr>
              <w:jc w:val="right"/>
              <w:spacing w:after="0" w:line="202" w:lineRule="exact"/>
              <w:rPr>
                <w:sz w:val="20"/>
                <w:szCs w:val="20"/>
                <w:color w:val="auto"/>
              </w:rPr>
            </w:pPr>
            <w:r>
              <w:rPr>
                <w:rFonts w:ascii="Arial" w:cs="Arial" w:eastAsia="Arial" w:hAnsi="Arial"/>
                <w:sz w:val="18"/>
                <w:szCs w:val="18"/>
                <w:color w:val="auto"/>
              </w:rPr>
              <w:t>108.7</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760" w:type="dxa"/>
            <w:vAlign w:val="bottom"/>
            <w:shd w:val="clear" w:color="auto" w:fill="CCEEFF"/>
          </w:tcPr>
          <w:p>
            <w:pPr>
              <w:spacing w:after="0"/>
              <w:rPr>
                <w:sz w:val="17"/>
                <w:szCs w:val="17"/>
                <w:color w:val="auto"/>
              </w:rPr>
            </w:pPr>
          </w:p>
        </w:tc>
        <w:tc>
          <w:tcPr>
            <w:tcW w:w="700" w:type="dxa"/>
            <w:vAlign w:val="bottom"/>
            <w:gridSpan w:val="5"/>
            <w:shd w:val="clear" w:color="auto" w:fill="CCEEFF"/>
          </w:tcPr>
          <w:p>
            <w:pPr>
              <w:jc w:val="right"/>
              <w:spacing w:after="0" w:line="202" w:lineRule="exact"/>
              <w:rPr>
                <w:sz w:val="20"/>
                <w:szCs w:val="20"/>
                <w:color w:val="auto"/>
              </w:rPr>
            </w:pPr>
            <w:r>
              <w:rPr>
                <w:rFonts w:ascii="Arial" w:cs="Arial" w:eastAsia="Arial" w:hAnsi="Arial"/>
                <w:sz w:val="18"/>
                <w:szCs w:val="18"/>
                <w:color w:val="auto"/>
              </w:rPr>
              <w:t>$ 415.9</w:t>
            </w: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$ 405.9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120" w:type="dxa"/>
            <w:vAlign w:val="bottom"/>
            <w:gridSpan w:val="3"/>
            <w:vMerge w:val="restart"/>
          </w:tcPr>
          <w:p>
            <w:pPr>
              <w:ind w:left="700"/>
              <w:spacing w:after="0"/>
              <w:rPr>
                <w:sz w:val="20"/>
                <w:szCs w:val="20"/>
                <w:color w:val="auto"/>
              </w:rPr>
            </w:pPr>
            <w:r>
              <w:rPr>
                <w:rFonts w:ascii="Arial" w:cs="Arial" w:eastAsia="Arial" w:hAnsi="Arial"/>
                <w:sz w:val="18"/>
                <w:szCs w:val="18"/>
                <w:b w:val="1"/>
                <w:bCs w:val="1"/>
                <w:color w:val="auto"/>
              </w:rPr>
              <w:t>PROPERTY, PLANT AND EQUIPMENT, NET:</w:t>
            </w: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2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742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Land and improvements</w:t>
            </w:r>
          </w:p>
        </w:tc>
        <w:tc>
          <w:tcPr>
            <w:tcW w:w="700" w:type="dxa"/>
            <w:vAlign w:val="bottom"/>
            <w:gridSpan w:val="5"/>
            <w:shd w:val="clear" w:color="auto" w:fill="CCEEFF"/>
          </w:tcPr>
          <w:p>
            <w:pPr>
              <w:jc w:val="right"/>
              <w:spacing w:after="0" w:line="202" w:lineRule="exact"/>
              <w:rPr>
                <w:sz w:val="20"/>
                <w:szCs w:val="20"/>
                <w:color w:val="auto"/>
              </w:rPr>
            </w:pPr>
            <w:r>
              <w:rPr>
                <w:rFonts w:ascii="Arial" w:cs="Arial" w:eastAsia="Arial" w:hAnsi="Arial"/>
                <w:sz w:val="18"/>
                <w:szCs w:val="18"/>
                <w:color w:val="auto"/>
              </w:rPr>
              <w:t>$  61.0</w:t>
            </w: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74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Buildings</w:t>
            </w:r>
          </w:p>
        </w:tc>
        <w:tc>
          <w:tcPr>
            <w:tcW w:w="700" w:type="dxa"/>
            <w:vAlign w:val="bottom"/>
            <w:gridSpan w:val="5"/>
          </w:tcPr>
          <w:p>
            <w:pPr>
              <w:jc w:val="right"/>
              <w:spacing w:after="0" w:line="202" w:lineRule="exact"/>
              <w:rPr>
                <w:sz w:val="20"/>
                <w:szCs w:val="20"/>
                <w:color w:val="auto"/>
              </w:rPr>
            </w:pPr>
            <w:r>
              <w:rPr>
                <w:rFonts w:ascii="Arial" w:cs="Arial" w:eastAsia="Arial" w:hAnsi="Arial"/>
                <w:sz w:val="18"/>
                <w:szCs w:val="18"/>
                <w:color w:val="auto"/>
              </w:rPr>
              <w:t>165.1</w:t>
            </w: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162.8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742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Machinery and equipment</w:t>
            </w:r>
          </w:p>
        </w:tc>
        <w:tc>
          <w:tcPr>
            <w:tcW w:w="700" w:type="dxa"/>
            <w:vAlign w:val="bottom"/>
            <w:gridSpan w:val="5"/>
            <w:shd w:val="clear" w:color="auto" w:fill="CCEEFF"/>
          </w:tcPr>
          <w:p>
            <w:pPr>
              <w:jc w:val="right"/>
              <w:spacing w:after="0" w:line="202" w:lineRule="exact"/>
              <w:rPr>
                <w:sz w:val="20"/>
                <w:szCs w:val="20"/>
                <w:color w:val="auto"/>
              </w:rPr>
            </w:pPr>
            <w:r>
              <w:rPr>
                <w:rFonts w:ascii="Arial" w:cs="Arial" w:eastAsia="Arial" w:hAnsi="Arial"/>
                <w:sz w:val="18"/>
                <w:szCs w:val="18"/>
                <w:color w:val="auto"/>
              </w:rPr>
              <w:t>432.0</w:t>
            </w: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417.4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74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Furniture and fixtures</w:t>
            </w:r>
          </w:p>
        </w:tc>
        <w:tc>
          <w:tcPr>
            <w:tcW w:w="700" w:type="dxa"/>
            <w:vAlign w:val="bottom"/>
            <w:gridSpan w:val="5"/>
          </w:tcPr>
          <w:p>
            <w:pPr>
              <w:jc w:val="right"/>
              <w:spacing w:after="0" w:line="202" w:lineRule="exact"/>
              <w:rPr>
                <w:sz w:val="20"/>
                <w:szCs w:val="20"/>
                <w:color w:val="auto"/>
              </w:rPr>
            </w:pPr>
            <w:r>
              <w:rPr>
                <w:rFonts w:ascii="Arial" w:cs="Arial" w:eastAsia="Arial" w:hAnsi="Arial"/>
                <w:sz w:val="18"/>
                <w:szCs w:val="18"/>
                <w:color w:val="auto"/>
              </w:rPr>
              <w:t>36.2</w:t>
            </w: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39.2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742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Software</w:t>
            </w:r>
          </w:p>
        </w:tc>
        <w:tc>
          <w:tcPr>
            <w:tcW w:w="700" w:type="dxa"/>
            <w:vAlign w:val="bottom"/>
            <w:gridSpan w:val="5"/>
            <w:shd w:val="clear" w:color="auto" w:fill="CCEEFF"/>
          </w:tcPr>
          <w:p>
            <w:pPr>
              <w:jc w:val="right"/>
              <w:spacing w:after="0" w:line="202" w:lineRule="exact"/>
              <w:rPr>
                <w:sz w:val="20"/>
                <w:szCs w:val="20"/>
                <w:color w:val="auto"/>
              </w:rPr>
            </w:pPr>
            <w:r>
              <w:rPr>
                <w:rFonts w:ascii="Arial" w:cs="Arial" w:eastAsia="Arial" w:hAnsi="Arial"/>
                <w:sz w:val="18"/>
                <w:szCs w:val="18"/>
                <w:color w:val="auto"/>
              </w:rPr>
              <w:t>92.0</w:t>
            </w: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88.6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74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Construction in progress</w:t>
            </w:r>
          </w:p>
        </w:tc>
        <w:tc>
          <w:tcPr>
            <w:tcW w:w="80" w:type="dxa"/>
            <w:vAlign w:val="bottom"/>
          </w:tcPr>
          <w:p>
            <w:pPr>
              <w:spacing w:after="0"/>
              <w:rPr>
                <w:sz w:val="18"/>
                <w:szCs w:val="18"/>
                <w:color w:val="auto"/>
              </w:rPr>
            </w:pPr>
          </w:p>
        </w:tc>
        <w:tc>
          <w:tcPr>
            <w:tcW w:w="620" w:type="dxa"/>
            <w:vAlign w:val="bottom"/>
            <w:tcBorders>
              <w:bottom w:val="single" w:sz="8" w:color="auto"/>
            </w:tcBorders>
            <w:gridSpan w:val="4"/>
          </w:tcPr>
          <w:p>
            <w:pPr>
              <w:jc w:val="right"/>
              <w:spacing w:after="0" w:line="202" w:lineRule="exact"/>
              <w:rPr>
                <w:sz w:val="20"/>
                <w:szCs w:val="20"/>
                <w:color w:val="auto"/>
              </w:rPr>
            </w:pPr>
            <w:r>
              <w:rPr>
                <w:rFonts w:ascii="Arial" w:cs="Arial" w:eastAsia="Arial" w:hAnsi="Arial"/>
                <w:sz w:val="18"/>
                <w:szCs w:val="18"/>
                <w:color w:val="auto"/>
              </w:rPr>
              <w:t>18.4</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760" w:type="dxa"/>
            <w:vAlign w:val="bottom"/>
            <w:shd w:val="clear" w:color="auto" w:fill="CCEEFF"/>
          </w:tcPr>
          <w:p>
            <w:pPr>
              <w:spacing w:after="0"/>
              <w:rPr>
                <w:sz w:val="17"/>
                <w:szCs w:val="17"/>
                <w:color w:val="auto"/>
              </w:rPr>
            </w:pPr>
          </w:p>
        </w:tc>
        <w:tc>
          <w:tcPr>
            <w:tcW w:w="700" w:type="dxa"/>
            <w:vAlign w:val="bottom"/>
            <w:gridSpan w:val="5"/>
            <w:shd w:val="clear" w:color="auto" w:fill="CCEEFF"/>
          </w:tcPr>
          <w:p>
            <w:pPr>
              <w:jc w:val="right"/>
              <w:spacing w:after="0" w:line="202" w:lineRule="exact"/>
              <w:rPr>
                <w:sz w:val="20"/>
                <w:szCs w:val="20"/>
                <w:color w:val="auto"/>
              </w:rPr>
            </w:pPr>
            <w:r>
              <w:rPr>
                <w:rFonts w:ascii="Arial" w:cs="Arial" w:eastAsia="Arial" w:hAnsi="Arial"/>
                <w:sz w:val="18"/>
                <w:szCs w:val="18"/>
                <w:color w:val="auto"/>
              </w:rPr>
              <w:t>804.7</w:t>
            </w: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784.7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74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Less: accumulated depreciation</w:t>
            </w:r>
          </w:p>
        </w:tc>
        <w:tc>
          <w:tcPr>
            <w:tcW w:w="80" w:type="dxa"/>
            <w:vAlign w:val="bottom"/>
          </w:tcPr>
          <w:p>
            <w:pPr>
              <w:spacing w:after="0"/>
              <w:rPr>
                <w:sz w:val="18"/>
                <w:szCs w:val="18"/>
                <w:color w:val="auto"/>
              </w:rPr>
            </w:pPr>
          </w:p>
        </w:tc>
        <w:tc>
          <w:tcPr>
            <w:tcW w:w="1000" w:type="dxa"/>
            <w:vAlign w:val="bottom"/>
            <w:gridSpan w:val="6"/>
          </w:tcPr>
          <w:p>
            <w:pPr>
              <w:jc w:val="right"/>
              <w:ind w:right="230"/>
              <w:spacing w:after="0" w:line="202" w:lineRule="exact"/>
              <w:rPr>
                <w:sz w:val="20"/>
                <w:szCs w:val="20"/>
                <w:color w:val="auto"/>
              </w:rPr>
            </w:pPr>
            <w:r>
              <w:rPr>
                <w:rFonts w:ascii="Arial" w:cs="Arial" w:eastAsia="Arial" w:hAnsi="Arial"/>
                <w:sz w:val="18"/>
                <w:szCs w:val="18"/>
                <w:color w:val="auto"/>
              </w:rPr>
              <w:t>(460.6)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8"/>
              </w:rPr>
              <w:t>(418.8)</w:t>
            </w: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tcBorders>
              <w:top w:val="single" w:sz="8" w:color="auto"/>
              <w:bottom w:val="single" w:sz="8" w:color="auto"/>
            </w:tcBorders>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$ 344.1</w:t>
            </w: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tcBorders>
              <w:top w:val="single" w:sz="8" w:color="auto"/>
              <w:bottom w:val="single" w:sz="8" w:color="auto"/>
            </w:tcBorders>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$ 365.9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120" w:type="dxa"/>
            <w:vAlign w:val="bottom"/>
            <w:gridSpan w:val="3"/>
            <w:vMerge w:val="restart"/>
          </w:tcPr>
          <w:p>
            <w:pPr>
              <w:ind w:left="700"/>
              <w:spacing w:after="0"/>
              <w:rPr>
                <w:sz w:val="20"/>
                <w:szCs w:val="20"/>
                <w:color w:val="auto"/>
              </w:rPr>
            </w:pPr>
            <w:r>
              <w:rPr>
                <w:rFonts w:ascii="Arial" w:cs="Arial" w:eastAsia="Arial" w:hAnsi="Arial"/>
                <w:sz w:val="18"/>
                <w:szCs w:val="18"/>
                <w:b w:val="1"/>
                <w:bCs w:val="1"/>
                <w:color w:val="auto"/>
              </w:rPr>
              <w:t>ACCRUED LIABILITIES:</w:t>
            </w: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2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742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Payroll and other compensation accruals</w:t>
            </w:r>
          </w:p>
        </w:tc>
        <w:tc>
          <w:tcPr>
            <w:tcW w:w="700" w:type="dxa"/>
            <w:vAlign w:val="bottom"/>
            <w:gridSpan w:val="5"/>
            <w:shd w:val="clear" w:color="auto" w:fill="CCEEFF"/>
          </w:tcPr>
          <w:p>
            <w:pPr>
              <w:jc w:val="right"/>
              <w:spacing w:after="0" w:line="202" w:lineRule="exact"/>
              <w:rPr>
                <w:sz w:val="20"/>
                <w:szCs w:val="20"/>
                <w:color w:val="auto"/>
              </w:rPr>
            </w:pPr>
            <w:r>
              <w:rPr>
                <w:rFonts w:ascii="Arial" w:cs="Arial" w:eastAsia="Arial" w:hAnsi="Arial"/>
                <w:sz w:val="18"/>
                <w:szCs w:val="18"/>
                <w:color w:val="auto"/>
              </w:rPr>
              <w:t>$  50.3</w:t>
            </w: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74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Advertising and promotional accruals</w:t>
            </w:r>
          </w:p>
        </w:tc>
        <w:tc>
          <w:tcPr>
            <w:tcW w:w="700" w:type="dxa"/>
            <w:vAlign w:val="bottom"/>
            <w:gridSpan w:val="5"/>
          </w:tcPr>
          <w:p>
            <w:pPr>
              <w:jc w:val="right"/>
              <w:spacing w:after="0" w:line="202" w:lineRule="exact"/>
              <w:rPr>
                <w:sz w:val="20"/>
                <w:szCs w:val="20"/>
                <w:color w:val="auto"/>
              </w:rPr>
            </w:pPr>
            <w:r>
              <w:rPr>
                <w:rFonts w:ascii="Arial" w:cs="Arial" w:eastAsia="Arial" w:hAnsi="Arial"/>
                <w:sz w:val="18"/>
                <w:szCs w:val="18"/>
                <w:color w:val="auto"/>
              </w:rPr>
              <w:t>144.1</w:t>
            </w: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138.8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742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Other</w:t>
            </w:r>
          </w:p>
        </w:tc>
        <w:tc>
          <w:tcPr>
            <w:tcW w:w="700" w:type="dxa"/>
            <w:vAlign w:val="bottom"/>
            <w:gridSpan w:val="5"/>
            <w:shd w:val="clear" w:color="auto" w:fill="CCEEFF"/>
          </w:tcPr>
          <w:p>
            <w:pPr>
              <w:jc w:val="right"/>
              <w:spacing w:after="0" w:line="202" w:lineRule="exact"/>
              <w:rPr>
                <w:sz w:val="20"/>
                <w:szCs w:val="20"/>
                <w:color w:val="auto"/>
              </w:rPr>
            </w:pPr>
            <w:r>
              <w:rPr>
                <w:rFonts w:ascii="Arial" w:cs="Arial" w:eastAsia="Arial" w:hAnsi="Arial"/>
                <w:sz w:val="18"/>
                <w:szCs w:val="18"/>
                <w:color w:val="auto"/>
              </w:rPr>
              <w:t>119.8</w:t>
            </w: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104.0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w w:val="99"/>
              </w:rPr>
              <w:t>$ 314.2</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9"/>
              </w:rPr>
              <w:t>$ 286.8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0" w:type="dxa"/>
            <w:vAlign w:val="bottom"/>
          </w:tcPr>
          <w:p>
            <w:pPr>
              <w:spacing w:after="0"/>
              <w:rPr>
                <w:sz w:val="17"/>
                <w:szCs w:val="17"/>
                <w:color w:val="auto"/>
              </w:rPr>
            </w:pPr>
          </w:p>
        </w:tc>
        <w:tc>
          <w:tcPr>
            <w:tcW w:w="74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OTHER NON-CURRENT LIABILITIES:</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74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Accrued pension and postretirement liabilities</w:t>
            </w:r>
          </w:p>
        </w:tc>
        <w:tc>
          <w:tcPr>
            <w:tcW w:w="700" w:type="dxa"/>
            <w:vAlign w:val="bottom"/>
            <w:gridSpan w:val="5"/>
          </w:tcPr>
          <w:p>
            <w:pPr>
              <w:jc w:val="right"/>
              <w:spacing w:after="0" w:line="202" w:lineRule="exact"/>
              <w:rPr>
                <w:sz w:val="20"/>
                <w:szCs w:val="20"/>
                <w:color w:val="auto"/>
              </w:rPr>
            </w:pPr>
            <w:r>
              <w:rPr>
                <w:rFonts w:ascii="Arial" w:cs="Arial" w:eastAsia="Arial" w:hAnsi="Arial"/>
                <w:sz w:val="18"/>
                <w:szCs w:val="18"/>
                <w:color w:val="auto"/>
              </w:rPr>
              <w:t>$ 108.4</w:t>
            </w: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79.8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742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Deferred tax liability</w:t>
            </w:r>
          </w:p>
        </w:tc>
        <w:tc>
          <w:tcPr>
            <w:tcW w:w="700" w:type="dxa"/>
            <w:vAlign w:val="bottom"/>
            <w:gridSpan w:val="5"/>
            <w:shd w:val="clear" w:color="auto" w:fill="CCEEFF"/>
          </w:tcPr>
          <w:p>
            <w:pPr>
              <w:jc w:val="right"/>
              <w:spacing w:after="0" w:line="202" w:lineRule="exact"/>
              <w:rPr>
                <w:sz w:val="20"/>
                <w:szCs w:val="20"/>
                <w:color w:val="auto"/>
              </w:rPr>
            </w:pPr>
            <w:r>
              <w:rPr>
                <w:rFonts w:ascii="Arial" w:cs="Arial" w:eastAsia="Arial" w:hAnsi="Arial"/>
                <w:sz w:val="18"/>
                <w:szCs w:val="18"/>
                <w:color w:val="auto"/>
              </w:rPr>
              <w:t>42.6</w:t>
            </w: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74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620" w:type="dxa"/>
            <w:vAlign w:val="bottom"/>
            <w:tcBorders>
              <w:bottom w:val="single" w:sz="8" w:color="auto"/>
            </w:tcBorders>
            <w:gridSpan w:val="4"/>
          </w:tcPr>
          <w:p>
            <w:pPr>
              <w:jc w:val="right"/>
              <w:spacing w:after="0" w:line="202" w:lineRule="exact"/>
              <w:rPr>
                <w:sz w:val="20"/>
                <w:szCs w:val="20"/>
                <w:color w:val="auto"/>
              </w:rPr>
            </w:pPr>
            <w:r>
              <w:rPr>
                <w:rFonts w:ascii="Arial" w:cs="Arial" w:eastAsia="Arial" w:hAnsi="Arial"/>
                <w:sz w:val="18"/>
                <w:szCs w:val="18"/>
                <w:color w:val="auto"/>
              </w:rPr>
              <w:t>41.0</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tcBorders>
              <w:bottom w:val="single" w:sz="8" w:color="auto"/>
            </w:tcBorders>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$ 192.0</w:t>
            </w: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tcBorders>
              <w:bottom w:val="single" w:sz="8" w:color="auto"/>
            </w:tcBorders>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$ 179.9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color w:val="auto"/>
                <w:w w:val="99"/>
              </w:rPr>
              <w:t>September 30,</w:t>
            </w: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67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gridSpan w:val="2"/>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2008</w:t>
            </w: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3"/>
          </w:tcPr>
          <w:p>
            <w:pPr>
              <w:jc w:val="center"/>
              <w:ind w:left="250"/>
              <w:spacing w:after="0"/>
              <w:rPr>
                <w:sz w:val="20"/>
                <w:szCs w:val="20"/>
                <w:color w:val="auto"/>
              </w:rPr>
            </w:pPr>
            <w:r>
              <w:rPr>
                <w:rFonts w:ascii="Arial" w:cs="Arial" w:eastAsia="Arial" w:hAnsi="Arial"/>
                <w:sz w:val="18"/>
                <w:szCs w:val="18"/>
                <w:color w:val="auto"/>
                <w:w w:val="99"/>
              </w:rPr>
              <w:t>2007</w:t>
            </w:r>
          </w:p>
        </w:tc>
        <w:tc>
          <w:tcPr>
            <w:tcW w:w="3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gridSpan w:val="4"/>
          </w:tcPr>
          <w:p>
            <w:pPr>
              <w:jc w:val="center"/>
              <w:spacing w:after="0"/>
              <w:rPr>
                <w:sz w:val="20"/>
                <w:szCs w:val="20"/>
                <w:color w:val="auto"/>
              </w:rPr>
            </w:pPr>
            <w:r>
              <w:rPr>
                <w:rFonts w:ascii="Arial" w:cs="Arial" w:eastAsia="Arial" w:hAnsi="Arial"/>
                <w:sz w:val="18"/>
                <w:szCs w:val="18"/>
                <w:color w:val="auto"/>
                <w:w w:val="99"/>
              </w:rPr>
              <w:t>(In millions)</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74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ACCUMULATED OTHER COMPREHENSIVE LOSS:</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74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Unrecognized gain (loss) on derivatives, net of tax of $8.9, $0.4 and $(0.9)</w:t>
            </w:r>
          </w:p>
        </w:tc>
        <w:tc>
          <w:tcPr>
            <w:tcW w:w="740" w:type="dxa"/>
            <w:vAlign w:val="bottom"/>
            <w:gridSpan w:val="6"/>
          </w:tcPr>
          <w:p>
            <w:pPr>
              <w:jc w:val="right"/>
              <w:spacing w:after="0" w:line="202" w:lineRule="exact"/>
              <w:rPr>
                <w:sz w:val="20"/>
                <w:szCs w:val="20"/>
                <w:color w:val="auto"/>
              </w:rPr>
            </w:pPr>
            <w:r>
              <w:rPr>
                <w:rFonts w:ascii="Arial" w:cs="Arial" w:eastAsia="Arial" w:hAnsi="Arial"/>
                <w:sz w:val="18"/>
                <w:szCs w:val="18"/>
                <w:color w:val="auto"/>
              </w:rPr>
              <w:t>$(14.1)</w:t>
            </w:r>
          </w:p>
        </w:tc>
        <w:tc>
          <w:tcPr>
            <w:tcW w:w="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(0.6)</w:t>
            </w:r>
          </w:p>
        </w:tc>
        <w:tc>
          <w:tcPr>
            <w:tcW w:w="6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  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742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Minimum pension liability, net of tax of $ 0, $ 0 and $19.5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74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Pension liability under SFAS 158, net of tax of $29.2, $15.9 and $0</w:t>
            </w:r>
          </w:p>
        </w:tc>
        <w:tc>
          <w:tcPr>
            <w:tcW w:w="740" w:type="dxa"/>
            <w:vAlign w:val="bottom"/>
            <w:gridSpan w:val="6"/>
          </w:tcPr>
          <w:p>
            <w:pPr>
              <w:jc w:val="right"/>
              <w:spacing w:after="0" w:line="202" w:lineRule="exact"/>
              <w:rPr>
                <w:sz w:val="20"/>
                <w:szCs w:val="20"/>
                <w:color w:val="auto"/>
              </w:rPr>
            </w:pPr>
            <w:r>
              <w:rPr>
                <w:rFonts w:ascii="Arial" w:cs="Arial" w:eastAsia="Arial" w:hAnsi="Arial"/>
                <w:sz w:val="18"/>
                <w:szCs w:val="18"/>
                <w:color w:val="auto"/>
              </w:rPr>
              <w:t>(47.1)</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w w:val="97"/>
              </w:rPr>
              <w:t>(27.0)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742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Foreign currency translation adjustment</w:t>
            </w:r>
          </w:p>
        </w:tc>
        <w:tc>
          <w:tcPr>
            <w:tcW w:w="740" w:type="dxa"/>
            <w:vAlign w:val="bottom"/>
            <w:gridSpan w:val="6"/>
            <w:shd w:val="clear" w:color="auto" w:fill="CCEEFF"/>
          </w:tcPr>
          <w:p>
            <w:pPr>
              <w:jc w:val="right"/>
              <w:spacing w:after="0" w:line="202" w:lineRule="exact"/>
              <w:rPr>
                <w:sz w:val="20"/>
                <w:szCs w:val="20"/>
                <w:color w:val="auto"/>
              </w:rPr>
            </w:pPr>
            <w:r>
              <w:rPr>
                <w:rFonts w:ascii="Arial" w:cs="Arial" w:eastAsia="Arial" w:hAnsi="Arial"/>
                <w:sz w:val="18"/>
                <w:szCs w:val="18"/>
                <w:color w:val="auto"/>
              </w:rPr>
              <w:t>(5.9)</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w w:val="97"/>
              </w:rPr>
              <w:t>(14.4)</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(67.1</w:t>
            </w:r>
          </w:p>
        </w:tc>
        <w:tc>
          <w:tcPr>
            <w:tcW w:w="60" w:type="dxa"/>
            <w:vAlign w:val="bottom"/>
            <w:gridSpan w:val="2"/>
          </w:tcPr>
          <w:p>
            <w:pPr>
              <w:jc w:val="right"/>
              <w:spacing w:after="0"/>
              <w:rPr>
                <w:sz w:val="20"/>
                <w:szCs w:val="20"/>
                <w:color w:val="auto"/>
              </w:rPr>
            </w:pPr>
            <w:r>
              <w:rPr>
                <w:rFonts w:ascii="Arial" w:cs="Arial" w:eastAsia="Arial" w:hAnsi="Arial"/>
                <w:sz w:val="16"/>
                <w:szCs w:val="16"/>
                <w:color w:val="auto"/>
                <w:w w:val="74"/>
              </w:rPr>
              <w:t>)</w:t>
            </w:r>
          </w:p>
        </w:tc>
        <w:tc>
          <w:tcPr>
            <w:tcW w:w="3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(42.0</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8"/>
                <w:szCs w:val="18"/>
                <w:color w:val="auto"/>
              </w:rPr>
            </w:pP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(51.6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NOTE 7. MARKETING AGREEMENT</w:t>
      </w:r>
    </w:p>
    <w:p>
      <w:pPr>
        <w:spacing w:after="0" w:line="119" w:lineRule="exact"/>
        <w:rPr>
          <w:sz w:val="20"/>
          <w:szCs w:val="20"/>
          <w:color w:val="auto"/>
        </w:rPr>
      </w:pPr>
    </w:p>
    <w:p>
      <w:pPr>
        <w:ind w:left="700" w:right="220" w:firstLine="402"/>
        <w:spacing w:after="0" w:line="248" w:lineRule="auto"/>
        <w:rPr>
          <w:sz w:val="20"/>
          <w:szCs w:val="20"/>
          <w:color w:val="auto"/>
        </w:rPr>
      </w:pPr>
      <w:r>
        <w:rPr>
          <w:rFonts w:ascii="Arial" w:cs="Arial" w:eastAsia="Arial" w:hAnsi="Arial"/>
          <w:sz w:val="18"/>
          <w:szCs w:val="18"/>
          <w:color w:val="auto"/>
        </w:rPr>
        <w:t>The Company is Monsanto’s exclusive agent for the domestic and international marketing and distribution of consumer Roundup</w:t>
      </w:r>
      <w:r>
        <w:rPr>
          <w:rFonts w:ascii="Arial" w:cs="Arial" w:eastAsia="Arial" w:hAnsi="Arial"/>
          <w:sz w:val="15"/>
          <w:szCs w:val="15"/>
          <w:color w:val="auto"/>
        </w:rPr>
        <w:t>®</w:t>
      </w:r>
      <w:r>
        <w:rPr>
          <w:rFonts w:ascii="Arial" w:cs="Arial" w:eastAsia="Arial" w:hAnsi="Arial"/>
          <w:sz w:val="18"/>
          <w:szCs w:val="18"/>
          <w:color w:val="auto"/>
        </w:rPr>
        <w:t xml:space="preserve"> herbicide products. Under the terms of the Marketing Agreement with Monsanto, the Company is entitled to receive an annual commission from Monsanto in consideration for the performance of the Company’s duties as agent. The annual gross commission under the Marketing</w:t>
      </w:r>
    </w:p>
    <w:p>
      <w:pPr>
        <w:spacing w:after="0" w:line="11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1"/>
          <w:szCs w:val="11"/>
          <w:b w:val="1"/>
          <w:bCs w:val="1"/>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-78105</wp:posOffset>
            </wp:positionV>
            <wp:extent cx="19748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240" w:top="405" w:right="91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hyperlink w:anchor="page64">
        <w:r>
          <w:rPr>
            <w:rFonts w:ascii="Times New Roman" w:cs="Times New Roman" w:eastAsia="Times New Roman" w:hAnsi="Times New Roman"/>
            <w:sz w:val="18"/>
            <w:szCs w:val="18"/>
            <w:b w:val="1"/>
            <w:bCs w:val="1"/>
            <w:u w:val="single" w:color="auto"/>
            <w:color w:val="0000EE"/>
          </w:rPr>
          <w:t>Table of Contents</w:t>
        </w:r>
      </w:hyperlink>
    </w:p>
    <w:p>
      <w:pPr>
        <w:spacing w:after="0" w:line="317"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5" w:lineRule="exact"/>
        <w:rPr>
          <w:sz w:val="20"/>
          <w:szCs w:val="20"/>
          <w:color w:val="auto"/>
        </w:rPr>
      </w:pPr>
    </w:p>
    <w:p>
      <w:pPr>
        <w:ind w:left="700" w:right="80"/>
        <w:spacing w:after="0" w:line="243" w:lineRule="auto"/>
        <w:rPr>
          <w:sz w:val="20"/>
          <w:szCs w:val="20"/>
          <w:color w:val="auto"/>
        </w:rPr>
      </w:pPr>
      <w:r>
        <w:rPr>
          <w:rFonts w:ascii="Arial" w:cs="Arial" w:eastAsia="Arial" w:hAnsi="Arial"/>
          <w:sz w:val="18"/>
          <w:szCs w:val="18"/>
          <w:color w:val="auto"/>
        </w:rPr>
        <w:t>Agreement is calculated as a percentage of the actual earnings before interest and income taxes (EBIT) of the consumer Roundup</w:t>
      </w:r>
      <w:r>
        <w:rPr>
          <w:rFonts w:ascii="Arial" w:cs="Arial" w:eastAsia="Arial" w:hAnsi="Arial"/>
          <w:sz w:val="15"/>
          <w:szCs w:val="15"/>
          <w:color w:val="auto"/>
        </w:rPr>
        <w:t>®</w:t>
      </w:r>
      <w:r>
        <w:rPr>
          <w:rFonts w:ascii="Arial" w:cs="Arial" w:eastAsia="Arial" w:hAnsi="Arial"/>
          <w:sz w:val="18"/>
          <w:szCs w:val="18"/>
          <w:color w:val="auto"/>
        </w:rPr>
        <w:t xml:space="preserve"> business, as defined in the Marketing Agreement. Each year’s percentage varies in accordance with the terms of the Marketing Agreement based on the achievement of two earnings thresholds and on commission rates that vary by threshold and program year. The Marketing Agreement also requires the Company to make annual payments to Monsanto as a contribution against the overall expenses of the consumer Roundup</w:t>
      </w:r>
      <w:r>
        <w:rPr>
          <w:rFonts w:ascii="Arial" w:cs="Arial" w:eastAsia="Arial" w:hAnsi="Arial"/>
          <w:sz w:val="15"/>
          <w:szCs w:val="15"/>
          <w:color w:val="auto"/>
        </w:rPr>
        <w:t>®</w:t>
      </w:r>
      <w:r>
        <w:rPr>
          <w:rFonts w:ascii="Arial" w:cs="Arial" w:eastAsia="Arial" w:hAnsi="Arial"/>
          <w:sz w:val="18"/>
          <w:szCs w:val="18"/>
          <w:color w:val="auto"/>
        </w:rPr>
        <w:t xml:space="preserve"> business. The annual contribution payment is defined in the Marketing Agreement as $20 million.</w:t>
      </w:r>
    </w:p>
    <w:p>
      <w:pPr>
        <w:spacing w:after="0" w:line="80" w:lineRule="exact"/>
        <w:rPr>
          <w:sz w:val="20"/>
          <w:szCs w:val="20"/>
          <w:color w:val="auto"/>
        </w:rPr>
      </w:pPr>
    </w:p>
    <w:p>
      <w:pPr>
        <w:ind w:left="700" w:right="100" w:firstLine="402"/>
        <w:spacing w:after="0" w:line="245" w:lineRule="auto"/>
        <w:rPr>
          <w:sz w:val="20"/>
          <w:szCs w:val="20"/>
          <w:color w:val="auto"/>
        </w:rPr>
      </w:pPr>
      <w:r>
        <w:rPr>
          <w:rFonts w:ascii="Arial" w:cs="Arial" w:eastAsia="Arial" w:hAnsi="Arial"/>
          <w:sz w:val="18"/>
          <w:szCs w:val="18"/>
          <w:color w:val="auto"/>
        </w:rPr>
        <w:t>In consideration for the rights granted to the Company under the Marketing Agreement for North America, the Company was required to pay a marketing fee of $32 million to Monsanto. The Company has deferred this amount on the basis that the payment will provide a future benefit through commissions that will be earned under the Marketing Agreement. Based on management’s current assessment of the likely term of the Marketing Agreement, the useful life over which the marketing fee is being amortized is 20 years.</w:t>
      </w:r>
    </w:p>
    <w:p>
      <w:pPr>
        <w:spacing w:after="0" w:line="78" w:lineRule="exact"/>
        <w:rPr>
          <w:sz w:val="20"/>
          <w:szCs w:val="20"/>
          <w:color w:val="auto"/>
        </w:rPr>
      </w:pPr>
    </w:p>
    <w:p>
      <w:pPr>
        <w:ind w:left="700" w:right="20" w:firstLine="402"/>
        <w:spacing w:after="0" w:line="241" w:lineRule="auto"/>
        <w:rPr>
          <w:sz w:val="20"/>
          <w:szCs w:val="20"/>
          <w:color w:val="auto"/>
        </w:rPr>
      </w:pPr>
      <w:r>
        <w:rPr>
          <w:rFonts w:ascii="Arial" w:cs="Arial" w:eastAsia="Arial" w:hAnsi="Arial"/>
          <w:sz w:val="18"/>
          <w:szCs w:val="18"/>
          <w:color w:val="auto"/>
        </w:rPr>
        <w:t>Under the terms of the Marketing Agreement, the Company performs certain functions, primarily manufacturing conversion, selling and marketing support, on behalf of Monsanto in the conduct of the consumer Roundup</w:t>
      </w:r>
      <w:r>
        <w:rPr>
          <w:rFonts w:ascii="Arial" w:cs="Arial" w:eastAsia="Arial" w:hAnsi="Arial"/>
          <w:sz w:val="15"/>
          <w:szCs w:val="15"/>
          <w:color w:val="auto"/>
        </w:rPr>
        <w:t>®</w:t>
      </w:r>
      <w:r>
        <w:rPr>
          <w:rFonts w:ascii="Arial" w:cs="Arial" w:eastAsia="Arial" w:hAnsi="Arial"/>
          <w:sz w:val="18"/>
          <w:szCs w:val="18"/>
          <w:color w:val="auto"/>
        </w:rPr>
        <w:t xml:space="preserve"> business. The actual costs incurred for these activities are charged to and reimbursed by Monsanto, for which the Company recognizes no gross profit or net income. The Company records costs incurred under the Marketing Agreement for which the Company is the primary obligor on a gross basis, recognizing such costs in “Cost of sales” and the reimbursement of these costs in “Net sales,” with no effect on gross profit or net income. The related net sales and cost of sales were $58.0 million, $47.7 million and $37.6 million for fiscal 2008, 2007 and 2006, respectively.</w:t>
      </w:r>
    </w:p>
    <w:p>
      <w:pPr>
        <w:spacing w:after="0" w:line="85" w:lineRule="exact"/>
        <w:rPr>
          <w:sz w:val="20"/>
          <w:szCs w:val="20"/>
          <w:color w:val="auto"/>
        </w:rPr>
      </w:pPr>
    </w:p>
    <w:p>
      <w:pPr>
        <w:ind w:left="700" w:right="180" w:firstLine="402"/>
        <w:spacing w:after="0" w:line="276" w:lineRule="auto"/>
        <w:rPr>
          <w:sz w:val="20"/>
          <w:szCs w:val="20"/>
          <w:color w:val="auto"/>
        </w:rPr>
      </w:pPr>
      <w:r>
        <w:rPr>
          <w:rFonts w:ascii="Arial" w:cs="Arial" w:eastAsia="Arial" w:hAnsi="Arial"/>
          <w:sz w:val="18"/>
          <w:szCs w:val="18"/>
          <w:color w:val="auto"/>
        </w:rPr>
        <w:t>The elements of the net commission earned under the Marketing Agreement and included in “Net sales” for each of the three years in the period ended September 30, 2008 were as follows:</w:t>
      </w:r>
    </w:p>
    <w:p>
      <w:pPr>
        <w:spacing w:after="0" w:line="69" w:lineRule="exact"/>
        <w:rPr>
          <w:sz w:val="20"/>
          <w:szCs w:val="20"/>
          <w:color w:val="auto"/>
        </w:rPr>
      </w:pPr>
    </w:p>
    <w:tbl>
      <w:tblPr>
        <w:tblLayout w:type="fixed"/>
        <w:tblInd w:w="700" w:type="dxa"/>
        <w:tblCellMar>
          <w:top w:w="0" w:type="dxa"/>
          <w:left w:w="0" w:type="dxa"/>
          <w:bottom w:w="0" w:type="dxa"/>
          <w:right w:w="0" w:type="dxa"/>
        </w:tblCellMar>
      </w:tblPr>
      <w:tr>
        <w:trPr>
          <w:trHeight w:val="219"/>
        </w:trPr>
        <w:tc>
          <w:tcPr>
            <w:tcW w:w="20" w:type="dxa"/>
            <w:vAlign w:val="bottom"/>
          </w:tcPr>
          <w:p>
            <w:pPr>
              <w:spacing w:after="0"/>
              <w:rPr>
                <w:sz w:val="19"/>
                <w:szCs w:val="19"/>
                <w:color w:val="auto"/>
              </w:rPr>
            </w:pPr>
          </w:p>
        </w:tc>
        <w:tc>
          <w:tcPr>
            <w:tcW w:w="7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ind w:right="11"/>
              <w:spacing w:after="0"/>
              <w:rPr>
                <w:sz w:val="20"/>
                <w:szCs w:val="20"/>
                <w:color w:val="auto"/>
              </w:rPr>
            </w:pPr>
            <w:r>
              <w:rPr>
                <w:rFonts w:ascii="Arial" w:cs="Arial" w:eastAsia="Arial" w:hAnsi="Arial"/>
                <w:sz w:val="16"/>
                <w:szCs w:val="16"/>
                <w:color w:val="auto"/>
                <w:w w:val="95"/>
              </w:rPr>
              <w:t>2008</w:t>
            </w:r>
          </w:p>
        </w:tc>
        <w:tc>
          <w:tcPr>
            <w:tcW w:w="22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2007</w:t>
            </w:r>
          </w:p>
        </w:tc>
        <w:tc>
          <w:tcPr>
            <w:tcW w:w="22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2006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7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75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commission</w:t>
            </w:r>
          </w:p>
        </w:tc>
        <w:tc>
          <w:tcPr>
            <w:tcW w:w="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65.1</w:t>
            </w:r>
          </w:p>
        </w:tc>
        <w:tc>
          <w:tcPr>
            <w:tcW w:w="2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$ 62.7</w:t>
            </w:r>
          </w:p>
        </w:tc>
        <w:tc>
          <w:tcPr>
            <w:tcW w:w="2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$ 60.7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Contribution expenses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(20.0)</w:t>
            </w:r>
          </w:p>
        </w:tc>
        <w:tc>
          <w:tcPr>
            <w:tcW w:w="92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(20.0)</w:t>
            </w:r>
          </w:p>
        </w:tc>
        <w:tc>
          <w:tcPr>
            <w:tcW w:w="80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Amortization of marketing fee</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(0.8)</w:t>
            </w:r>
          </w:p>
        </w:tc>
        <w:tc>
          <w:tcPr>
            <w:tcW w:w="92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(0.8)</w:t>
            </w:r>
          </w:p>
        </w:tc>
        <w:tc>
          <w:tcPr>
            <w:tcW w:w="80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Pr>
          <w:p>
            <w:pPr>
              <w:ind w:left="160"/>
              <w:spacing w:after="0"/>
              <w:rPr>
                <w:sz w:val="20"/>
                <w:szCs w:val="20"/>
                <w:color w:val="auto"/>
              </w:rPr>
            </w:pPr>
            <w:r>
              <w:rPr>
                <w:rFonts w:ascii="Arial" w:cs="Arial" w:eastAsia="Arial" w:hAnsi="Arial"/>
                <w:sz w:val="18"/>
                <w:szCs w:val="18"/>
                <w:color w:val="auto"/>
              </w:rPr>
              <w:t>Net commission income</w:t>
            </w: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Reimbursements associated with marketing agreement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58.0</w:t>
            </w:r>
          </w:p>
        </w:tc>
        <w:tc>
          <w:tcPr>
            <w:tcW w:w="2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47.7</w:t>
            </w:r>
          </w:p>
        </w:tc>
        <w:tc>
          <w:tcPr>
            <w:tcW w:w="2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37.6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Pr>
          <w:p>
            <w:pPr>
              <w:ind w:left="160"/>
              <w:spacing w:after="0"/>
              <w:rPr>
                <w:sz w:val="20"/>
                <w:szCs w:val="20"/>
                <w:color w:val="auto"/>
              </w:rPr>
            </w:pPr>
            <w:r>
              <w:rPr>
                <w:rFonts w:ascii="Arial" w:cs="Arial" w:eastAsia="Arial" w:hAnsi="Arial"/>
                <w:sz w:val="18"/>
                <w:szCs w:val="18"/>
                <w:color w:val="auto"/>
              </w:rPr>
              <w:t>Total net sales associated with marketing agreement</w:t>
            </w: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102.3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$ 89.6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$ 77.5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ind w:left="700" w:right="100" w:firstLine="402"/>
        <w:spacing w:after="0" w:line="248" w:lineRule="auto"/>
        <w:rPr>
          <w:sz w:val="20"/>
          <w:szCs w:val="20"/>
          <w:color w:val="auto"/>
        </w:rPr>
      </w:pPr>
      <w:r>
        <w:rPr>
          <w:rFonts w:ascii="Arial" w:cs="Arial" w:eastAsia="Arial" w:hAnsi="Arial"/>
          <w:sz w:val="18"/>
          <w:szCs w:val="18"/>
          <w:color w:val="auto"/>
        </w:rPr>
        <w:t>The Marketing Agreement has no definite term except as it relates to the European Union countries (the “EU term”). The EU term had previously been extended through September 30, 2008 and, on March 28, 2008, the parties agreed to further extend the EU term through September 30, 2011, with up to two additional automatic renewal periods of two years each, subject to non-renewal only upon the occurrence of certain performance defaults.</w:t>
      </w:r>
    </w:p>
    <w:p>
      <w:pPr>
        <w:spacing w:after="0" w:line="76" w:lineRule="exact"/>
        <w:rPr>
          <w:sz w:val="20"/>
          <w:szCs w:val="20"/>
          <w:color w:val="auto"/>
        </w:rPr>
      </w:pPr>
    </w:p>
    <w:p>
      <w:pPr>
        <w:ind w:left="700" w:firstLine="402"/>
        <w:spacing w:after="0" w:line="238" w:lineRule="auto"/>
        <w:rPr>
          <w:sz w:val="20"/>
          <w:szCs w:val="20"/>
          <w:color w:val="auto"/>
        </w:rPr>
      </w:pPr>
      <w:r>
        <w:rPr>
          <w:rFonts w:ascii="Arial" w:cs="Arial" w:eastAsia="Arial" w:hAnsi="Arial"/>
          <w:sz w:val="18"/>
          <w:szCs w:val="18"/>
          <w:color w:val="auto"/>
        </w:rPr>
        <w:t>The Marketing Agreement provides Monsanto with the right to terminate the Marketing Agreement upon an event of default (as defined in the Marketing Agreement) by the Company, a change in control of Monsanto or the sale of the consumer Roundup</w:t>
      </w:r>
      <w:r>
        <w:rPr>
          <w:rFonts w:ascii="Arial" w:cs="Arial" w:eastAsia="Arial" w:hAnsi="Arial"/>
          <w:sz w:val="15"/>
          <w:szCs w:val="15"/>
          <w:color w:val="auto"/>
        </w:rPr>
        <w:t>®</w:t>
      </w:r>
      <w:r>
        <w:rPr>
          <w:rFonts w:ascii="Arial" w:cs="Arial" w:eastAsia="Arial" w:hAnsi="Arial"/>
          <w:sz w:val="18"/>
          <w:szCs w:val="18"/>
          <w:color w:val="auto"/>
        </w:rPr>
        <w:t xml:space="preserve"> business. The Marketing Agreement provides the Company with the right to terminate the Marketing Agreement in certain circumstances, including an event of default by Monsanto or the sale of the consumer Roundup</w:t>
      </w:r>
      <w:r>
        <w:rPr>
          <w:rFonts w:ascii="Arial" w:cs="Arial" w:eastAsia="Arial" w:hAnsi="Arial"/>
          <w:sz w:val="15"/>
          <w:szCs w:val="15"/>
          <w:color w:val="auto"/>
        </w:rPr>
        <w:t>®</w:t>
      </w:r>
      <w:r>
        <w:rPr>
          <w:rFonts w:ascii="Arial" w:cs="Arial" w:eastAsia="Arial" w:hAnsi="Arial"/>
          <w:sz w:val="18"/>
          <w:szCs w:val="18"/>
          <w:color w:val="auto"/>
        </w:rPr>
        <w:t xml:space="preserve"> business. Unless Monsanto terminates the Marketing Agreement due to an event of default by the Company, Monsanto is required to pay a termination fee to the Company that varies by program year. The termination fee is calculated as a percentage of the value of the Roundup</w:t>
      </w:r>
      <w:r>
        <w:rPr>
          <w:rFonts w:ascii="Arial" w:cs="Arial" w:eastAsia="Arial" w:hAnsi="Arial"/>
          <w:sz w:val="15"/>
          <w:szCs w:val="15"/>
          <w:color w:val="auto"/>
        </w:rPr>
        <w:t>®</w:t>
      </w:r>
      <w:r>
        <w:rPr>
          <w:rFonts w:ascii="Arial" w:cs="Arial" w:eastAsia="Arial" w:hAnsi="Arial"/>
          <w:sz w:val="18"/>
          <w:szCs w:val="18"/>
          <w:color w:val="auto"/>
        </w:rPr>
        <w:t xml:space="preserve"> business exceeding a certain threshold, but in no event will the termination fee be less than $ 16 million. If Monsanto were to terminate the Marketing Agreement due to an event of default by the Company, however, the Company would not be entitled to any termination fee, and it would lose all, or a substantial portion, of the significant source of earnings and overhead expense absorption the Marketing Agreement provides. Monsanto may also be able to terminate the Marketing Agreement within a given region, including North America, without paying a termination fee if unit volume sales to consumers in that</w:t>
      </w:r>
    </w:p>
    <w:p>
      <w:pPr>
        <w:spacing w:after="0" w:line="12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1"/>
          <w:szCs w:val="11"/>
          <w:b w:val="1"/>
          <w:bCs w:val="1"/>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-78105</wp:posOffset>
            </wp:positionV>
            <wp:extent cx="19748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240" w:top="415" w:right="91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hyperlink w:anchor="page64">
        <w:r>
          <w:rPr>
            <w:rFonts w:ascii="Times New Roman" w:cs="Times New Roman" w:eastAsia="Times New Roman" w:hAnsi="Times New Roman"/>
            <w:sz w:val="18"/>
            <w:szCs w:val="18"/>
            <w:b w:val="1"/>
            <w:bCs w:val="1"/>
            <w:u w:val="single" w:color="auto"/>
            <w:color w:val="0000EE"/>
          </w:rPr>
          <w:t>Table of Contents</w:t>
        </w:r>
      </w:hyperlink>
    </w:p>
    <w:p>
      <w:pPr>
        <w:spacing w:after="0" w:line="317"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region decline: (1) over a cumulative three-fiscal-year period; or (2) by more than 5% for each of two consecutive years.</w:t>
      </w:r>
    </w:p>
    <w:p>
      <w:pPr>
        <w:spacing w:after="0" w:line="22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NOTE 8. ACQUISITIONS</w:t>
      </w:r>
    </w:p>
    <w:p>
      <w:pPr>
        <w:spacing w:after="0" w:line="119" w:lineRule="exact"/>
        <w:rPr>
          <w:sz w:val="20"/>
          <w:szCs w:val="20"/>
          <w:color w:val="auto"/>
        </w:rPr>
      </w:pPr>
    </w:p>
    <w:p>
      <w:pPr>
        <w:ind w:left="700" w:right="60" w:firstLine="402"/>
        <w:spacing w:after="0" w:line="276" w:lineRule="auto"/>
        <w:rPr>
          <w:sz w:val="20"/>
          <w:szCs w:val="20"/>
          <w:color w:val="auto"/>
        </w:rPr>
      </w:pPr>
      <w:r>
        <w:rPr>
          <w:rFonts w:ascii="Arial" w:cs="Arial" w:eastAsia="Arial" w:hAnsi="Arial"/>
          <w:sz w:val="18"/>
          <w:szCs w:val="18"/>
          <w:color w:val="auto"/>
        </w:rPr>
        <w:t>The Company continues to view strategic acquisitions as a means to enhance our strong core businesses. The following recaps key acquisitions made during fiscal 2006:</w:t>
      </w:r>
    </w:p>
    <w:p>
      <w:pPr>
        <w:spacing w:after="0" w:line="69" w:lineRule="exact"/>
        <w:rPr>
          <w:sz w:val="20"/>
          <w:szCs w:val="20"/>
          <w:color w:val="auto"/>
        </w:rPr>
      </w:pPr>
    </w:p>
    <w:p>
      <w:pPr>
        <w:ind w:left="1280"/>
        <w:spacing w:after="0"/>
        <w:tabs>
          <w:tab w:leader="none" w:pos="3960" w:val="left"/>
          <w:tab w:leader="none" w:pos="6560" w:val="left"/>
          <w:tab w:leader="none" w:pos="8580" w:val="left"/>
        </w:tabs>
        <w:rPr>
          <w:sz w:val="20"/>
          <w:szCs w:val="20"/>
          <w:color w:val="auto"/>
        </w:rPr>
      </w:pPr>
      <w:r>
        <w:rPr>
          <w:rFonts w:ascii="Arial" w:cs="Arial" w:eastAsia="Arial" w:hAnsi="Arial"/>
          <w:sz w:val="16"/>
          <w:szCs w:val="16"/>
          <w:color w:val="auto"/>
        </w:rPr>
        <w:t>Date of Acquisition</w:t>
      </w:r>
      <w:r>
        <w:rPr>
          <w:sz w:val="20"/>
          <w:szCs w:val="20"/>
          <w:color w:val="auto"/>
        </w:rPr>
        <w:tab/>
      </w:r>
      <w:r>
        <w:rPr>
          <w:rFonts w:ascii="Arial" w:cs="Arial" w:eastAsia="Arial" w:hAnsi="Arial"/>
          <w:sz w:val="16"/>
          <w:szCs w:val="16"/>
          <w:color w:val="auto"/>
        </w:rPr>
        <w:t>Assets Acquired</w:t>
      </w:r>
      <w:r>
        <w:rPr>
          <w:sz w:val="20"/>
          <w:szCs w:val="20"/>
          <w:color w:val="auto"/>
        </w:rPr>
        <w:tab/>
      </w:r>
      <w:r>
        <w:rPr>
          <w:rFonts w:ascii="Arial" w:cs="Arial" w:eastAsia="Arial" w:hAnsi="Arial"/>
          <w:sz w:val="16"/>
          <w:szCs w:val="16"/>
          <w:color w:val="auto"/>
        </w:rPr>
        <w:t>Consideration</w:t>
      </w:r>
      <w:r>
        <w:rPr>
          <w:sz w:val="20"/>
          <w:szCs w:val="20"/>
          <w:color w:val="auto"/>
        </w:rPr>
        <w:tab/>
      </w:r>
      <w:r>
        <w:rPr>
          <w:rFonts w:ascii="Arial" w:cs="Arial" w:eastAsia="Arial" w:hAnsi="Arial"/>
          <w:sz w:val="16"/>
          <w:szCs w:val="16"/>
          <w:color w:val="auto"/>
        </w:rPr>
        <w:t>Reasons for the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23495</wp:posOffset>
            </wp:positionV>
            <wp:extent cx="637159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371590" cy="8890"/>
                    </a:xfrm>
                    <a:prstGeom prst="rect">
                      <a:avLst/>
                    </a:prstGeom>
                    <a:noFill/>
                  </pic:spPr>
                </pic:pic>
              </a:graphicData>
            </a:graphic>
          </wp:anchor>
        </w:drawing>
      </w:r>
    </w:p>
    <w:p>
      <w:pPr>
        <w:sectPr>
          <w:pgSz w:w="11900" w:h="16838" w:orient="portrait"/>
          <w:cols w:equalWidth="0" w:num="1">
            <w:col w:w="10720"/>
          </w:cols>
          <w:pgMar w:left="240" w:top="415" w:right="939" w:bottom="1440" w:gutter="0" w:footer="0" w:header="0"/>
        </w:sectPr>
      </w:pPr>
    </w:p>
    <w:p>
      <w:pPr>
        <w:spacing w:after="0" w:line="68" w:lineRule="exact"/>
        <w:rPr>
          <w:sz w:val="20"/>
          <w:szCs w:val="20"/>
          <w:color w:val="auto"/>
        </w:rPr>
      </w:pPr>
    </w:p>
    <w:p>
      <w:pPr>
        <w:ind w:left="700"/>
        <w:spacing w:after="0"/>
        <w:tabs>
          <w:tab w:leader="none" w:pos="3400" w:val="left"/>
          <w:tab w:leader="none" w:pos="5900" w:val="left"/>
        </w:tabs>
        <w:rPr>
          <w:sz w:val="20"/>
          <w:szCs w:val="20"/>
          <w:color w:val="auto"/>
        </w:rPr>
      </w:pPr>
      <w:r>
        <w:rPr>
          <w:rFonts w:ascii="Arial" w:cs="Arial" w:eastAsia="Arial" w:hAnsi="Arial"/>
          <w:sz w:val="18"/>
          <w:szCs w:val="18"/>
          <w:color w:val="auto"/>
        </w:rPr>
        <w:t>June 2006</w:t>
      </w:r>
      <w:r>
        <w:rPr>
          <w:sz w:val="20"/>
          <w:szCs w:val="20"/>
          <w:color w:val="auto"/>
        </w:rPr>
        <w:tab/>
      </w:r>
      <w:r>
        <w:rPr>
          <w:rFonts w:ascii="Arial" w:cs="Arial" w:eastAsia="Arial" w:hAnsi="Arial"/>
          <w:sz w:val="18"/>
          <w:szCs w:val="18"/>
          <w:color w:val="auto"/>
        </w:rPr>
        <w:t>Certain brands and assets of</w:t>
      </w:r>
      <w:r>
        <w:rPr>
          <w:sz w:val="20"/>
          <w:szCs w:val="20"/>
          <w:color w:val="auto"/>
        </w:rPr>
        <w:tab/>
      </w:r>
      <w:r>
        <w:rPr>
          <w:rFonts w:ascii="Arial" w:cs="Arial" w:eastAsia="Arial" w:hAnsi="Arial"/>
          <w:sz w:val="17"/>
          <w:szCs w:val="17"/>
          <w:color w:val="auto"/>
        </w:rPr>
        <w:t>Cash of $6.2 million with an</w:t>
      </w:r>
    </w:p>
    <w:p>
      <w:pPr>
        <w:spacing w:after="0" w:line="13" w:lineRule="exact"/>
        <w:rPr>
          <w:sz w:val="20"/>
          <w:szCs w:val="20"/>
          <w:color w:val="auto"/>
        </w:rPr>
      </w:pPr>
    </w:p>
    <w:p>
      <w:pPr>
        <w:ind w:left="3420"/>
        <w:spacing w:after="0"/>
        <w:tabs>
          <w:tab w:leader="none" w:pos="5900" w:val="left"/>
        </w:tabs>
        <w:rPr>
          <w:sz w:val="20"/>
          <w:szCs w:val="20"/>
          <w:color w:val="auto"/>
        </w:rPr>
      </w:pPr>
      <w:r>
        <w:rPr>
          <w:rFonts w:ascii="Arial" w:cs="Arial" w:eastAsia="Arial" w:hAnsi="Arial"/>
          <w:sz w:val="18"/>
          <w:szCs w:val="18"/>
          <w:color w:val="auto"/>
        </w:rPr>
        <w:t>Landmark Seed Company, a</w:t>
        <w:tab/>
        <w:t>additional $1.0 million</w:t>
      </w:r>
    </w:p>
    <w:p>
      <w:pPr>
        <w:ind w:left="3420"/>
        <w:spacing w:after="0" w:line="234" w:lineRule="auto"/>
        <w:tabs>
          <w:tab w:leader="none" w:pos="5900" w:val="left"/>
        </w:tabs>
        <w:rPr>
          <w:sz w:val="20"/>
          <w:szCs w:val="20"/>
          <w:color w:val="auto"/>
        </w:rPr>
      </w:pPr>
      <w:r>
        <w:rPr>
          <w:rFonts w:ascii="Arial" w:cs="Arial" w:eastAsia="Arial" w:hAnsi="Arial"/>
          <w:sz w:val="18"/>
          <w:szCs w:val="18"/>
          <w:color w:val="auto"/>
        </w:rPr>
        <w:t>producer and distributor of</w:t>
      </w:r>
      <w:r>
        <w:rPr>
          <w:sz w:val="20"/>
          <w:szCs w:val="20"/>
          <w:color w:val="auto"/>
        </w:rPr>
        <w:tab/>
      </w:r>
      <w:r>
        <w:rPr>
          <w:rFonts w:ascii="Arial" w:cs="Arial" w:eastAsia="Arial" w:hAnsi="Arial"/>
          <w:sz w:val="18"/>
          <w:szCs w:val="18"/>
          <w:color w:val="auto"/>
        </w:rPr>
        <w:t>deferred to future periods.</w:t>
      </w:r>
    </w:p>
    <w:p>
      <w:pPr>
        <w:ind w:left="3420"/>
        <w:spacing w:after="0" w:line="235" w:lineRule="auto"/>
        <w:rPr>
          <w:sz w:val="20"/>
          <w:szCs w:val="20"/>
          <w:color w:val="auto"/>
        </w:rPr>
      </w:pPr>
      <w:r>
        <w:rPr>
          <w:rFonts w:ascii="Arial" w:cs="Arial" w:eastAsia="Arial" w:hAnsi="Arial"/>
          <w:sz w:val="18"/>
          <w:szCs w:val="18"/>
          <w:color w:val="auto"/>
        </w:rPr>
        <w:t>quality professional seed</w:t>
      </w:r>
    </w:p>
    <w:p>
      <w:pPr>
        <w:spacing w:after="0" w:line="1"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and turfgrasses.</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Enhanced the Company’s position in the global turfgrass seed industry and complemented the acquisition from Turf-Seed, Inc.</w:t>
      </w:r>
    </w:p>
    <w:p>
      <w:pPr>
        <w:spacing w:after="0" w:line="1" w:lineRule="exact"/>
        <w:rPr>
          <w:sz w:val="20"/>
          <w:szCs w:val="20"/>
          <w:color w:val="auto"/>
        </w:rPr>
      </w:pPr>
    </w:p>
    <w:p>
      <w:pPr>
        <w:sectPr>
          <w:pgSz w:w="11900" w:h="16838" w:orient="portrait"/>
          <w:cols w:equalWidth="0" w:num="2">
            <w:col w:w="8120" w:space="320"/>
            <w:col w:w="2280"/>
          </w:cols>
          <w:pgMar w:left="240" w:top="415" w:right="939" w:bottom="1440" w:gutter="0" w:footer="0" w:header="0"/>
          <w:type w:val="continuous"/>
        </w:sectPr>
      </w:pPr>
    </w:p>
    <w:p>
      <w:pPr>
        <w:ind w:left="700"/>
        <w:spacing w:after="0"/>
        <w:tabs>
          <w:tab w:leader="none" w:pos="3400" w:val="left"/>
        </w:tabs>
        <w:rPr>
          <w:sz w:val="20"/>
          <w:szCs w:val="20"/>
          <w:color w:val="auto"/>
        </w:rPr>
      </w:pPr>
      <w:r>
        <w:rPr>
          <w:rFonts w:ascii="Arial" w:cs="Arial" w:eastAsia="Arial" w:hAnsi="Arial"/>
          <w:sz w:val="18"/>
          <w:szCs w:val="18"/>
          <w:color w:val="auto"/>
        </w:rPr>
        <w:t>May 2006</w:t>
      </w:r>
      <w:r>
        <w:rPr>
          <w:sz w:val="20"/>
          <w:szCs w:val="20"/>
          <w:color w:val="auto"/>
        </w:rPr>
        <w:tab/>
      </w:r>
      <w:r>
        <w:rPr>
          <w:rFonts w:ascii="Arial" w:cs="Arial" w:eastAsia="Arial" w:hAnsi="Arial"/>
          <w:sz w:val="17"/>
          <w:szCs w:val="17"/>
          <w:color w:val="auto"/>
        </w:rPr>
        <w:t>Certain brands and assets of</w:t>
      </w:r>
    </w:p>
    <w:p>
      <w:pPr>
        <w:ind w:left="3420"/>
        <w:spacing w:after="0" w:line="235" w:lineRule="auto"/>
        <w:rPr>
          <w:sz w:val="20"/>
          <w:szCs w:val="20"/>
          <w:color w:val="auto"/>
        </w:rPr>
      </w:pPr>
      <w:r>
        <w:rPr>
          <w:rFonts w:ascii="Arial" w:cs="Arial" w:eastAsia="Arial" w:hAnsi="Arial"/>
          <w:sz w:val="18"/>
          <w:szCs w:val="18"/>
          <w:color w:val="auto"/>
        </w:rPr>
        <w:t>Turf-Seed, Inc., a leading</w:t>
      </w:r>
    </w:p>
    <w:p>
      <w:pPr>
        <w:ind w:left="3420"/>
        <w:spacing w:after="0" w:line="235" w:lineRule="auto"/>
        <w:rPr>
          <w:sz w:val="20"/>
          <w:szCs w:val="20"/>
          <w:color w:val="auto"/>
        </w:rPr>
      </w:pPr>
      <w:r>
        <w:rPr>
          <w:rFonts w:ascii="Arial" w:cs="Arial" w:eastAsia="Arial" w:hAnsi="Arial"/>
          <w:sz w:val="18"/>
          <w:szCs w:val="18"/>
          <w:color w:val="auto"/>
        </w:rPr>
        <w:t>producer of quality</w:t>
      </w:r>
    </w:p>
    <w:p>
      <w:pPr>
        <w:ind w:left="3420"/>
        <w:spacing w:after="0" w:line="235" w:lineRule="auto"/>
        <w:rPr>
          <w:sz w:val="20"/>
          <w:szCs w:val="20"/>
          <w:color w:val="auto"/>
        </w:rPr>
      </w:pPr>
      <w:r>
        <w:rPr>
          <w:rFonts w:ascii="Arial" w:cs="Arial" w:eastAsia="Arial" w:hAnsi="Arial"/>
          <w:sz w:val="18"/>
          <w:szCs w:val="18"/>
          <w:color w:val="auto"/>
        </w:rPr>
        <w:t>commercial turfgrasses,</w:t>
      </w:r>
    </w:p>
    <w:p>
      <w:pPr>
        <w:ind w:left="3420"/>
        <w:spacing w:after="0" w:line="235" w:lineRule="auto"/>
        <w:rPr>
          <w:sz w:val="20"/>
          <w:szCs w:val="20"/>
          <w:color w:val="auto"/>
        </w:rPr>
      </w:pPr>
      <w:r>
        <w:rPr>
          <w:rFonts w:ascii="Arial" w:cs="Arial" w:eastAsia="Arial" w:hAnsi="Arial"/>
          <w:sz w:val="18"/>
          <w:szCs w:val="18"/>
          <w:color w:val="auto"/>
        </w:rPr>
        <w:t>including 49% equity interest</w:t>
      </w:r>
    </w:p>
    <w:p>
      <w:pPr>
        <w:ind w:left="3420"/>
        <w:spacing w:after="0" w:line="235" w:lineRule="auto"/>
        <w:rPr>
          <w:sz w:val="20"/>
          <w:szCs w:val="20"/>
          <w:color w:val="auto"/>
        </w:rPr>
      </w:pPr>
      <w:r>
        <w:rPr>
          <w:rFonts w:ascii="Arial" w:cs="Arial" w:eastAsia="Arial" w:hAnsi="Arial"/>
          <w:sz w:val="18"/>
          <w:szCs w:val="18"/>
          <w:color w:val="auto"/>
        </w:rPr>
        <w:t>in Turf-Seed Europe, which</w:t>
      </w:r>
    </w:p>
    <w:p>
      <w:pPr>
        <w:ind w:left="3420"/>
        <w:spacing w:after="0" w:line="235" w:lineRule="auto"/>
        <w:rPr>
          <w:sz w:val="20"/>
          <w:szCs w:val="20"/>
          <w:color w:val="auto"/>
        </w:rPr>
      </w:pPr>
      <w:r>
        <w:rPr>
          <w:rFonts w:ascii="Arial" w:cs="Arial" w:eastAsia="Arial" w:hAnsi="Arial"/>
          <w:sz w:val="18"/>
          <w:szCs w:val="18"/>
          <w:color w:val="auto"/>
        </w:rPr>
        <w:t>distributes Turf-Seed’s grass</w:t>
      </w:r>
    </w:p>
    <w:p>
      <w:pPr>
        <w:ind w:left="3420"/>
        <w:spacing w:after="0" w:line="234" w:lineRule="auto"/>
        <w:rPr>
          <w:sz w:val="20"/>
          <w:szCs w:val="20"/>
          <w:color w:val="auto"/>
        </w:rPr>
      </w:pPr>
      <w:r>
        <w:rPr>
          <w:rFonts w:ascii="Arial" w:cs="Arial" w:eastAsia="Arial" w:hAnsi="Arial"/>
          <w:sz w:val="18"/>
          <w:szCs w:val="18"/>
          <w:color w:val="auto"/>
        </w:rPr>
        <w:t>varieties throughout the</w:t>
      </w:r>
    </w:p>
    <w:p>
      <w:pPr>
        <w:ind w:left="3420"/>
        <w:spacing w:after="0" w:line="235" w:lineRule="auto"/>
        <w:rPr>
          <w:sz w:val="20"/>
          <w:szCs w:val="20"/>
          <w:color w:val="auto"/>
        </w:rPr>
      </w:pPr>
      <w:r>
        <w:rPr>
          <w:rFonts w:ascii="Arial" w:cs="Arial" w:eastAsia="Arial" w:hAnsi="Arial"/>
          <w:sz w:val="18"/>
          <w:szCs w:val="18"/>
          <w:color w:val="auto"/>
        </w:rPr>
        <w:t>European Union and other</w:t>
      </w:r>
    </w:p>
    <w:p>
      <w:pPr>
        <w:spacing w:after="0" w:line="1"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countries in the region.</w:t>
      </w:r>
    </w:p>
    <w:p>
      <w:pPr>
        <w:spacing w:after="0" w:line="176" w:lineRule="exact"/>
        <w:rPr>
          <w:sz w:val="20"/>
          <w:szCs w:val="20"/>
          <w:color w:val="auto"/>
        </w:rPr>
      </w:pPr>
    </w:p>
    <w:p>
      <w:pPr>
        <w:ind w:left="700"/>
        <w:spacing w:after="0"/>
        <w:tabs>
          <w:tab w:leader="none" w:pos="3400" w:val="left"/>
        </w:tabs>
        <w:rPr>
          <w:sz w:val="20"/>
          <w:szCs w:val="20"/>
          <w:color w:val="auto"/>
        </w:rPr>
      </w:pPr>
      <w:r>
        <w:rPr>
          <w:rFonts w:ascii="Arial" w:cs="Arial" w:eastAsia="Arial" w:hAnsi="Arial"/>
          <w:sz w:val="18"/>
          <w:szCs w:val="18"/>
          <w:color w:val="auto"/>
        </w:rPr>
        <w:t>November 2005</w:t>
      </w:r>
      <w:r>
        <w:rPr>
          <w:sz w:val="20"/>
          <w:szCs w:val="20"/>
          <w:color w:val="auto"/>
        </w:rPr>
        <w:tab/>
      </w:r>
      <w:r>
        <w:rPr>
          <w:rFonts w:ascii="Arial" w:cs="Arial" w:eastAsia="Arial" w:hAnsi="Arial"/>
          <w:sz w:val="17"/>
          <w:szCs w:val="17"/>
          <w:color w:val="auto"/>
        </w:rPr>
        <w:t>All the outstanding shares of</w:t>
      </w:r>
    </w:p>
    <w:p>
      <w:pPr>
        <w:spacing w:after="0" w:line="13"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Gutwein &amp; Co., Inc.</w:t>
      </w:r>
    </w:p>
    <w:p>
      <w:pPr>
        <w:ind w:left="3420"/>
        <w:spacing w:after="0" w:line="234" w:lineRule="auto"/>
        <w:rPr>
          <w:sz w:val="20"/>
          <w:szCs w:val="20"/>
          <w:color w:val="auto"/>
        </w:rPr>
      </w:pPr>
      <w:r>
        <w:rPr>
          <w:rFonts w:ascii="Arial" w:cs="Arial" w:eastAsia="Arial" w:hAnsi="Arial"/>
          <w:sz w:val="18"/>
          <w:szCs w:val="18"/>
          <w:color w:val="auto"/>
        </w:rPr>
        <w:t>(“Gutwein”), a branded</w:t>
      </w:r>
    </w:p>
    <w:p>
      <w:pPr>
        <w:ind w:left="3420"/>
        <w:spacing w:after="0" w:line="235" w:lineRule="auto"/>
        <w:rPr>
          <w:sz w:val="20"/>
          <w:szCs w:val="20"/>
          <w:color w:val="auto"/>
        </w:rPr>
      </w:pPr>
      <w:r>
        <w:rPr>
          <w:rFonts w:ascii="Arial" w:cs="Arial" w:eastAsia="Arial" w:hAnsi="Arial"/>
          <w:sz w:val="18"/>
          <w:szCs w:val="18"/>
          <w:color w:val="auto"/>
        </w:rPr>
        <w:t>producer and marketer in</w:t>
      </w:r>
    </w:p>
    <w:p>
      <w:pPr>
        <w:ind w:left="3420"/>
        <w:spacing w:after="0" w:line="235" w:lineRule="auto"/>
        <w:rPr>
          <w:sz w:val="20"/>
          <w:szCs w:val="20"/>
          <w:color w:val="auto"/>
        </w:rPr>
      </w:pPr>
      <w:r>
        <w:rPr>
          <w:rFonts w:ascii="Arial" w:cs="Arial" w:eastAsia="Arial" w:hAnsi="Arial"/>
          <w:sz w:val="18"/>
          <w:szCs w:val="18"/>
          <w:color w:val="auto"/>
        </w:rPr>
        <w:t>the North American wild bird</w:t>
      </w:r>
    </w:p>
    <w:p>
      <w:pPr>
        <w:spacing w:after="0" w:line="1"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food category.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700"/>
        <w:spacing w:after="0"/>
        <w:tabs>
          <w:tab w:leader="none" w:pos="3400" w:val="left"/>
        </w:tabs>
        <w:rPr>
          <w:sz w:val="20"/>
          <w:szCs w:val="20"/>
          <w:color w:val="auto"/>
        </w:rPr>
      </w:pPr>
      <w:r>
        <w:rPr>
          <w:rFonts w:ascii="Arial" w:cs="Arial" w:eastAsia="Arial" w:hAnsi="Arial"/>
          <w:sz w:val="18"/>
          <w:szCs w:val="18"/>
          <w:color w:val="auto"/>
        </w:rPr>
        <w:t>October 2005</w:t>
      </w:r>
      <w:r>
        <w:rPr>
          <w:sz w:val="20"/>
          <w:szCs w:val="20"/>
          <w:color w:val="auto"/>
        </w:rPr>
        <w:tab/>
      </w:r>
      <w:r>
        <w:rPr>
          <w:rFonts w:ascii="Arial" w:cs="Arial" w:eastAsia="Arial" w:hAnsi="Arial"/>
          <w:sz w:val="17"/>
          <w:szCs w:val="17"/>
          <w:color w:val="auto"/>
        </w:rPr>
        <w:t>All the outstanding shares of</w:t>
      </w:r>
    </w:p>
    <w:p>
      <w:pPr>
        <w:spacing w:after="0" w:line="13"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Rod McLellan Company</w:t>
      </w:r>
    </w:p>
    <w:p>
      <w:pPr>
        <w:ind w:left="3420"/>
        <w:spacing w:after="0" w:line="234" w:lineRule="auto"/>
        <w:rPr>
          <w:sz w:val="20"/>
          <w:szCs w:val="20"/>
          <w:color w:val="auto"/>
        </w:rPr>
      </w:pPr>
      <w:r>
        <w:rPr>
          <w:rFonts w:ascii="Arial" w:cs="Arial" w:eastAsia="Arial" w:hAnsi="Arial"/>
          <w:sz w:val="18"/>
          <w:szCs w:val="18"/>
          <w:color w:val="auto"/>
        </w:rPr>
        <w:t>(“RMC”), a branded</w:t>
      </w:r>
    </w:p>
    <w:p>
      <w:pPr>
        <w:ind w:left="3420"/>
        <w:spacing w:after="0" w:line="235" w:lineRule="auto"/>
        <w:rPr>
          <w:sz w:val="20"/>
          <w:szCs w:val="20"/>
          <w:color w:val="auto"/>
        </w:rPr>
      </w:pPr>
      <w:r>
        <w:rPr>
          <w:rFonts w:ascii="Arial" w:cs="Arial" w:eastAsia="Arial" w:hAnsi="Arial"/>
          <w:sz w:val="18"/>
          <w:szCs w:val="18"/>
          <w:color w:val="auto"/>
        </w:rPr>
        <w:t>producer and marketer of</w:t>
      </w:r>
    </w:p>
    <w:p>
      <w:pPr>
        <w:ind w:left="3420"/>
        <w:spacing w:after="0" w:line="235" w:lineRule="auto"/>
        <w:rPr>
          <w:sz w:val="20"/>
          <w:szCs w:val="20"/>
          <w:color w:val="auto"/>
        </w:rPr>
      </w:pPr>
      <w:r>
        <w:rPr>
          <w:rFonts w:ascii="Arial" w:cs="Arial" w:eastAsia="Arial" w:hAnsi="Arial"/>
          <w:sz w:val="18"/>
          <w:szCs w:val="18"/>
          <w:color w:val="auto"/>
        </w:rPr>
        <w:t>soil and landscape products</w:t>
      </w:r>
    </w:p>
    <w:p>
      <w:pPr>
        <w:spacing w:after="0" w:line="1"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in the western United States.</w:t>
      </w:r>
    </w:p>
    <w:p>
      <w:pPr>
        <w:spacing w:after="0" w:line="20" w:lineRule="exact"/>
        <w:rPr>
          <w:sz w:val="20"/>
          <w:szCs w:val="20"/>
          <w:color w:val="auto"/>
        </w:rPr>
      </w:pPr>
      <w:r>
        <w:rPr>
          <w:sz w:val="20"/>
          <w:szCs w:val="20"/>
          <w:color w:val="auto"/>
        </w:rPr>
        <w:br w:type="column"/>
      </w:r>
    </w:p>
    <w:p>
      <w:pPr>
        <w:spacing w:after="0" w:line="237" w:lineRule="auto"/>
        <w:rPr>
          <w:sz w:val="20"/>
          <w:szCs w:val="20"/>
          <w:color w:val="auto"/>
        </w:rPr>
      </w:pPr>
      <w:r>
        <w:rPr>
          <w:rFonts w:ascii="Arial" w:cs="Arial" w:eastAsia="Arial" w:hAnsi="Arial"/>
          <w:sz w:val="18"/>
          <w:szCs w:val="18"/>
          <w:color w:val="auto"/>
        </w:rPr>
        <w:t>Cash of $ 10.0 million plus assumed liabilities of $4.5 million. Contingent consideration based on future performance of the business due in 2012 that may approximate $15 million which would be recorded as additional purchase price.</w:t>
      </w:r>
    </w:p>
    <w:p>
      <w:pPr>
        <w:spacing w:after="0" w:line="367" w:lineRule="exact"/>
        <w:rPr>
          <w:sz w:val="20"/>
          <w:szCs w:val="20"/>
          <w:color w:val="auto"/>
        </w:rPr>
      </w:pPr>
    </w:p>
    <w:p>
      <w:pPr>
        <w:jc w:val="both"/>
        <w:ind w:right="240"/>
        <w:spacing w:after="0" w:line="255" w:lineRule="auto"/>
        <w:rPr>
          <w:sz w:val="20"/>
          <w:szCs w:val="20"/>
          <w:color w:val="auto"/>
        </w:rPr>
      </w:pPr>
      <w:r>
        <w:rPr>
          <w:rFonts w:ascii="Arial" w:cs="Arial" w:eastAsia="Arial" w:hAnsi="Arial"/>
          <w:sz w:val="18"/>
          <w:szCs w:val="18"/>
          <w:color w:val="auto"/>
        </w:rPr>
        <w:t>$78.3 million in cash plus assumed liabilities of $4.7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ind w:right="240"/>
        <w:spacing w:after="0" w:line="255" w:lineRule="auto"/>
        <w:rPr>
          <w:sz w:val="20"/>
          <w:szCs w:val="20"/>
          <w:color w:val="auto"/>
        </w:rPr>
      </w:pPr>
      <w:r>
        <w:rPr>
          <w:rFonts w:ascii="Arial" w:cs="Arial" w:eastAsia="Arial" w:hAnsi="Arial"/>
          <w:sz w:val="18"/>
          <w:szCs w:val="18"/>
          <w:color w:val="auto"/>
        </w:rPr>
        <w:t>$20.5 million in cash plus assumed liabilities of $6.8 million.</w:t>
      </w:r>
    </w:p>
    <w:p>
      <w:pPr>
        <w:spacing w:after="0" w:line="20" w:lineRule="exact"/>
        <w:rPr>
          <w:sz w:val="20"/>
          <w:szCs w:val="20"/>
          <w:color w:val="auto"/>
        </w:rPr>
      </w:pPr>
      <w:r>
        <w:rPr>
          <w:sz w:val="20"/>
          <w:szCs w:val="20"/>
          <w:color w:val="auto"/>
        </w:rPr>
        <w:br w:type="column"/>
      </w:r>
    </w:p>
    <w:p>
      <w:pPr>
        <w:ind w:right="40"/>
        <w:spacing w:after="0" w:line="249" w:lineRule="auto"/>
        <w:rPr>
          <w:sz w:val="20"/>
          <w:szCs w:val="20"/>
          <w:color w:val="auto"/>
        </w:rPr>
      </w:pPr>
      <w:r>
        <w:rPr>
          <w:rFonts w:ascii="Arial" w:cs="Arial" w:eastAsia="Arial" w:hAnsi="Arial"/>
          <w:sz w:val="17"/>
          <w:szCs w:val="17"/>
          <w:color w:val="auto"/>
        </w:rPr>
        <w:t>Integration of Turf-Seed’s extensive professional seed sales and distribution network with the Company’s existing presence and industry leading brands in the consumer seed market strengthened the Company’s overall global position in the seed category.</w:t>
      </w:r>
    </w:p>
    <w:p>
      <w:pPr>
        <w:spacing w:after="0" w:line="198"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Gutwein’s Morning Song</w:t>
      </w:r>
      <w:r>
        <w:rPr>
          <w:rFonts w:ascii="Arial" w:cs="Arial" w:eastAsia="Arial" w:hAnsi="Arial"/>
          <w:sz w:val="15"/>
          <w:szCs w:val="15"/>
          <w:color w:val="auto"/>
        </w:rPr>
        <w:t>®</w:t>
      </w:r>
      <w:r>
        <w:rPr>
          <w:rFonts w:ascii="Arial" w:cs="Arial" w:eastAsia="Arial" w:hAnsi="Arial"/>
          <w:sz w:val="18"/>
          <w:szCs w:val="18"/>
          <w:color w:val="auto"/>
        </w:rPr>
        <w:t xml:space="preserve"> branded products are sold at leading mass retailers, grocery, pet and general merchandise stores. This acquisition gave the Company its entry into the North American wild bird food category, a large, fragmented category with opportunity for branding and innovation.</w:t>
      </w:r>
    </w:p>
    <w:p>
      <w:pPr>
        <w:spacing w:after="0" w:line="1" w:lineRule="exact"/>
        <w:rPr>
          <w:sz w:val="20"/>
          <w:szCs w:val="20"/>
          <w:color w:val="auto"/>
        </w:rPr>
      </w:pPr>
    </w:p>
    <w:p>
      <w:pPr>
        <w:ind w:right="340"/>
        <w:spacing w:after="0" w:line="256" w:lineRule="auto"/>
        <w:rPr>
          <w:sz w:val="20"/>
          <w:szCs w:val="20"/>
          <w:color w:val="auto"/>
        </w:rPr>
      </w:pPr>
      <w:r>
        <w:rPr>
          <w:rFonts w:ascii="Arial" w:cs="Arial" w:eastAsia="Arial" w:hAnsi="Arial"/>
          <w:sz w:val="17"/>
          <w:szCs w:val="17"/>
          <w:color w:val="auto"/>
        </w:rPr>
        <w:t>RMC complemented our existing line of growing media products and has been integrated into that business.</w:t>
      </w:r>
    </w:p>
    <w:p>
      <w:pPr>
        <w:spacing w:after="0" w:line="272" w:lineRule="exact"/>
        <w:rPr>
          <w:sz w:val="20"/>
          <w:szCs w:val="20"/>
          <w:color w:val="auto"/>
        </w:rPr>
      </w:pPr>
    </w:p>
    <w:p>
      <w:pPr>
        <w:sectPr>
          <w:pgSz w:w="11900" w:h="16838" w:orient="portrait"/>
          <w:cols w:equalWidth="0" w:num="3">
            <w:col w:w="5720" w:space="200"/>
            <w:col w:w="2300" w:space="220"/>
            <w:col w:w="2280"/>
          </w:cols>
          <w:pgMar w:left="240" w:top="415" w:right="939" w:bottom="1440" w:gutter="0" w:footer="0" w:header="0"/>
          <w:type w:val="continuous"/>
        </w:sectPr>
      </w:pPr>
    </w:p>
    <w:p>
      <w:pPr>
        <w:ind w:left="700" w:right="500" w:firstLine="402"/>
        <w:spacing w:after="0" w:line="276" w:lineRule="auto"/>
        <w:rPr>
          <w:sz w:val="20"/>
          <w:szCs w:val="20"/>
          <w:color w:val="auto"/>
        </w:rPr>
      </w:pPr>
      <w:r>
        <w:rPr>
          <w:rFonts w:ascii="Arial" w:cs="Arial" w:eastAsia="Arial" w:hAnsi="Arial"/>
          <w:sz w:val="18"/>
          <w:szCs w:val="18"/>
          <w:color w:val="auto"/>
        </w:rPr>
        <w:t>Due to the timing of these acquisitions in fiscal 2006, pro forma results would not be materially different from actual results for the year ended September 30, 2006.</w:t>
      </w:r>
    </w:p>
    <w:p>
      <w:pPr>
        <w:spacing w:after="0" w:line="8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1"/>
          <w:szCs w:val="11"/>
          <w:b w:val="1"/>
          <w:bCs w:val="1"/>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-78105</wp:posOffset>
            </wp:positionV>
            <wp:extent cx="19748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20"/>
          </w:cols>
          <w:pgMar w:left="240" w:top="415" w:right="939" w:bottom="1440" w:gutter="0" w:footer="0" w:header="0"/>
          <w:type w:val="continuous"/>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hyperlink w:anchor="page64">
        <w:r>
          <w:rPr>
            <w:rFonts w:ascii="Times New Roman" w:cs="Times New Roman" w:eastAsia="Times New Roman" w:hAnsi="Times New Roman"/>
            <w:sz w:val="18"/>
            <w:szCs w:val="18"/>
            <w:b w:val="1"/>
            <w:bCs w:val="1"/>
            <w:u w:val="single" w:color="auto"/>
            <w:color w:val="0000EE"/>
          </w:rPr>
          <w:t>Table of Contents</w:t>
        </w:r>
      </w:hyperlink>
    </w:p>
    <w:p>
      <w:pPr>
        <w:spacing w:after="0" w:line="317"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ind w:left="700"/>
        <w:spacing w:after="0"/>
        <w:rPr>
          <w:sz w:val="20"/>
          <w:szCs w:val="20"/>
          <w:color w:val="auto"/>
        </w:rPr>
      </w:pPr>
      <w:r>
        <w:rPr>
          <w:rFonts w:ascii="Arial" w:cs="Arial" w:eastAsia="Arial" w:hAnsi="Arial"/>
          <w:sz w:val="18"/>
          <w:szCs w:val="18"/>
          <w:b w:val="1"/>
          <w:bCs w:val="1"/>
          <w:u w:val="single" w:color="auto"/>
          <w:color w:val="auto"/>
        </w:rPr>
        <w:t>Scotts LawnService</w:t>
      </w:r>
      <w:r>
        <w:rPr>
          <w:rFonts w:ascii="Arial" w:cs="Arial" w:eastAsia="Arial" w:hAnsi="Arial"/>
          <w:sz w:val="15"/>
          <w:szCs w:val="15"/>
          <w:b w:val="1"/>
          <w:bCs w:val="1"/>
          <w:u w:val="single" w:color="auto"/>
          <w:color w:val="auto"/>
        </w:rPr>
        <w:t>®</w:t>
      </w:r>
    </w:p>
    <w:p>
      <w:pPr>
        <w:spacing w:after="0" w:line="119" w:lineRule="exact"/>
        <w:rPr>
          <w:sz w:val="20"/>
          <w:szCs w:val="20"/>
          <w:color w:val="auto"/>
        </w:rPr>
      </w:pPr>
    </w:p>
    <w:p>
      <w:pPr>
        <w:jc w:val="both"/>
        <w:ind w:left="700" w:right="340" w:firstLine="402"/>
        <w:spacing w:after="0" w:line="256" w:lineRule="auto"/>
        <w:rPr>
          <w:sz w:val="20"/>
          <w:szCs w:val="20"/>
          <w:color w:val="auto"/>
        </w:rPr>
      </w:pPr>
      <w:r>
        <w:rPr>
          <w:rFonts w:ascii="Arial" w:cs="Arial" w:eastAsia="Arial" w:hAnsi="Arial"/>
          <w:sz w:val="18"/>
          <w:szCs w:val="18"/>
          <w:color w:val="auto"/>
        </w:rPr>
        <w:t>During fiscal 2006 and fiscal 2007, the Company’s Scotts LawnService</w:t>
      </w:r>
      <w:r>
        <w:rPr>
          <w:rFonts w:ascii="Arial" w:cs="Arial" w:eastAsia="Arial" w:hAnsi="Arial"/>
          <w:sz w:val="15"/>
          <w:szCs w:val="15"/>
          <w:color w:val="auto"/>
        </w:rPr>
        <w:t>®</w:t>
      </w:r>
      <w:r>
        <w:rPr>
          <w:rFonts w:ascii="Arial" w:cs="Arial" w:eastAsia="Arial" w:hAnsi="Arial"/>
          <w:sz w:val="18"/>
          <w:szCs w:val="18"/>
          <w:color w:val="auto"/>
        </w:rPr>
        <w:t xml:space="preserve"> segment acquired 16 individual lawn service entities for a total cost of approximately $26.9 million. The following table summarizes the details of these transactions by fiscal year (dollar amounts in millions):</w:t>
      </w:r>
    </w:p>
    <w:p>
      <w:pPr>
        <w:spacing w:after="0" w:line="86"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320" w:type="dxa"/>
            <w:vAlign w:val="bottom"/>
            <w:gridSpan w:val="3"/>
          </w:tcPr>
          <w:p>
            <w:pPr>
              <w:ind w:left="220"/>
              <w:spacing w:after="0"/>
              <w:rPr>
                <w:sz w:val="20"/>
                <w:szCs w:val="20"/>
                <w:color w:val="auto"/>
              </w:rPr>
            </w:pPr>
            <w:r>
              <w:rPr>
                <w:rFonts w:ascii="Arial" w:cs="Arial" w:eastAsia="Arial" w:hAnsi="Arial"/>
                <w:sz w:val="16"/>
                <w:szCs w:val="16"/>
                <w:color w:val="auto"/>
              </w:rPr>
              <w:t>Fiscal Year</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4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2007</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6340" w:type="dxa"/>
            <w:vAlign w:val="bottom"/>
          </w:tcPr>
          <w:p>
            <w:pPr>
              <w:spacing w:after="0"/>
              <w:rPr>
                <w:sz w:val="3"/>
                <w:szCs w:val="3"/>
                <w:color w:val="auto"/>
              </w:rPr>
            </w:pPr>
          </w:p>
        </w:tc>
        <w:tc>
          <w:tcPr>
            <w:tcW w:w="23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Number of individual acquisitions</w:t>
            </w:r>
          </w:p>
        </w:tc>
        <w:tc>
          <w:tcPr>
            <w:tcW w:w="3020" w:type="dxa"/>
            <w:vAlign w:val="bottom"/>
            <w:gridSpan w:val="2"/>
            <w:shd w:val="clear" w:color="auto" w:fill="CCEEFF"/>
          </w:tcPr>
          <w:p>
            <w:pPr>
              <w:jc w:val="right"/>
              <w:ind w:right="119"/>
              <w:spacing w:after="0" w:line="202" w:lineRule="exact"/>
              <w:rPr>
                <w:sz w:val="20"/>
                <w:szCs w:val="20"/>
                <w:color w:val="auto"/>
              </w:rPr>
            </w:pPr>
            <w:r>
              <w:rPr>
                <w:rFonts w:ascii="Arial" w:cs="Arial" w:eastAsia="Arial" w:hAnsi="Arial"/>
                <w:sz w:val="18"/>
                <w:szCs w:val="18"/>
                <w:color w:val="auto"/>
              </w:rPr>
              <w:t>11</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40" w:type="dxa"/>
            <w:vAlign w:val="bottom"/>
          </w:tcPr>
          <w:p>
            <w:pPr>
              <w:spacing w:after="0" w:line="202" w:lineRule="exact"/>
              <w:rPr>
                <w:sz w:val="20"/>
                <w:szCs w:val="20"/>
                <w:color w:val="auto"/>
              </w:rPr>
            </w:pPr>
            <w:r>
              <w:rPr>
                <w:rFonts w:ascii="Arial" w:cs="Arial" w:eastAsia="Arial" w:hAnsi="Arial"/>
                <w:sz w:val="18"/>
                <w:szCs w:val="18"/>
                <w:color w:val="auto"/>
              </w:rPr>
              <w:t>Total cost</w:t>
            </w:r>
          </w:p>
        </w:tc>
        <w:tc>
          <w:tcPr>
            <w:tcW w:w="3020" w:type="dxa"/>
            <w:vAlign w:val="bottom"/>
            <w:gridSpan w:val="2"/>
          </w:tcPr>
          <w:p>
            <w:pPr>
              <w:jc w:val="right"/>
              <w:ind w:right="119"/>
              <w:spacing w:after="0" w:line="202" w:lineRule="exact"/>
              <w:rPr>
                <w:sz w:val="20"/>
                <w:szCs w:val="20"/>
                <w:color w:val="auto"/>
              </w:rPr>
            </w:pPr>
            <w:r>
              <w:rPr>
                <w:rFonts w:ascii="Arial" w:cs="Arial" w:eastAsia="Arial" w:hAnsi="Arial"/>
                <w:sz w:val="18"/>
                <w:szCs w:val="18"/>
                <w:color w:val="auto"/>
              </w:rPr>
              <w:t>$22.5</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$4.4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Portion of cost paid in cash</w:t>
            </w:r>
          </w:p>
        </w:tc>
        <w:tc>
          <w:tcPr>
            <w:tcW w:w="3020" w:type="dxa"/>
            <w:vAlign w:val="bottom"/>
            <w:gridSpan w:val="2"/>
            <w:shd w:val="clear" w:color="auto" w:fill="CCEEFF"/>
          </w:tcPr>
          <w:p>
            <w:pPr>
              <w:jc w:val="right"/>
              <w:ind w:right="119"/>
              <w:spacing w:after="0" w:line="202" w:lineRule="exact"/>
              <w:rPr>
                <w:sz w:val="20"/>
                <w:szCs w:val="20"/>
                <w:color w:val="auto"/>
              </w:rPr>
            </w:pPr>
            <w:r>
              <w:rPr>
                <w:rFonts w:ascii="Arial" w:cs="Arial" w:eastAsia="Arial" w:hAnsi="Arial"/>
                <w:sz w:val="18"/>
                <w:szCs w:val="18"/>
                <w:color w:val="auto"/>
              </w:rPr>
              <w:t>18.7</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40" w:type="dxa"/>
            <w:vAlign w:val="bottom"/>
          </w:tcPr>
          <w:p>
            <w:pPr>
              <w:spacing w:after="0" w:line="202" w:lineRule="exact"/>
              <w:rPr>
                <w:sz w:val="20"/>
                <w:szCs w:val="20"/>
                <w:color w:val="auto"/>
              </w:rPr>
            </w:pPr>
            <w:r>
              <w:rPr>
                <w:rFonts w:ascii="Arial" w:cs="Arial" w:eastAsia="Arial" w:hAnsi="Arial"/>
                <w:sz w:val="18"/>
                <w:szCs w:val="18"/>
                <w:color w:val="auto"/>
              </w:rPr>
              <w:t>Notes issued and liabilities assumed</w:t>
            </w:r>
          </w:p>
        </w:tc>
        <w:tc>
          <w:tcPr>
            <w:tcW w:w="3020" w:type="dxa"/>
            <w:vAlign w:val="bottom"/>
            <w:gridSpan w:val="2"/>
          </w:tcPr>
          <w:p>
            <w:pPr>
              <w:jc w:val="right"/>
              <w:ind w:right="119"/>
              <w:spacing w:after="0" w:line="202" w:lineRule="exact"/>
              <w:rPr>
                <w:sz w:val="20"/>
                <w:szCs w:val="20"/>
                <w:color w:val="auto"/>
              </w:rPr>
            </w:pPr>
            <w:r>
              <w:rPr>
                <w:rFonts w:ascii="Arial" w:cs="Arial" w:eastAsia="Arial" w:hAnsi="Arial"/>
                <w:sz w:val="18"/>
                <w:szCs w:val="18"/>
                <w:color w:val="auto"/>
              </w:rPr>
              <w:t>3.8</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3020" w:type="dxa"/>
            <w:vAlign w:val="bottom"/>
            <w:gridSpan w:val="2"/>
            <w:shd w:val="clear" w:color="auto" w:fill="CCEEFF"/>
          </w:tcPr>
          <w:p>
            <w:pPr>
              <w:jc w:val="right"/>
              <w:ind w:right="119"/>
              <w:spacing w:after="0" w:line="202" w:lineRule="exact"/>
              <w:rPr>
                <w:sz w:val="20"/>
                <w:szCs w:val="20"/>
                <w:color w:val="auto"/>
              </w:rPr>
            </w:pPr>
            <w:r>
              <w:rPr>
                <w:rFonts w:ascii="Arial" w:cs="Arial" w:eastAsia="Arial" w:hAnsi="Arial"/>
                <w:sz w:val="18"/>
                <w:szCs w:val="18"/>
                <w:color w:val="auto"/>
              </w:rPr>
              <w:t>14.9</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40" w:type="dxa"/>
            <w:vAlign w:val="bottom"/>
          </w:tcPr>
          <w:p>
            <w:pPr>
              <w:spacing w:after="0" w:line="202" w:lineRule="exact"/>
              <w:rPr>
                <w:sz w:val="20"/>
                <w:szCs w:val="20"/>
                <w:color w:val="auto"/>
              </w:rPr>
            </w:pPr>
            <w:r>
              <w:rPr>
                <w:rFonts w:ascii="Arial" w:cs="Arial" w:eastAsia="Arial" w:hAnsi="Arial"/>
                <w:sz w:val="18"/>
                <w:szCs w:val="18"/>
                <w:color w:val="auto"/>
              </w:rPr>
              <w:t>Other intangible assets</w:t>
            </w:r>
          </w:p>
        </w:tc>
        <w:tc>
          <w:tcPr>
            <w:tcW w:w="3020" w:type="dxa"/>
            <w:vAlign w:val="bottom"/>
            <w:gridSpan w:val="2"/>
          </w:tcPr>
          <w:p>
            <w:pPr>
              <w:jc w:val="right"/>
              <w:ind w:right="119"/>
              <w:spacing w:after="0" w:line="202" w:lineRule="exact"/>
              <w:rPr>
                <w:sz w:val="20"/>
                <w:szCs w:val="20"/>
                <w:color w:val="auto"/>
              </w:rPr>
            </w:pPr>
            <w:r>
              <w:rPr>
                <w:rFonts w:ascii="Arial" w:cs="Arial" w:eastAsia="Arial" w:hAnsi="Arial"/>
                <w:sz w:val="18"/>
                <w:szCs w:val="18"/>
                <w:color w:val="auto"/>
              </w:rPr>
              <w:t>6.3</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0.7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Working capital and property, plant and equipment</w:t>
            </w:r>
          </w:p>
        </w:tc>
        <w:tc>
          <w:tcPr>
            <w:tcW w:w="3020" w:type="dxa"/>
            <w:vAlign w:val="bottom"/>
            <w:gridSpan w:val="2"/>
            <w:shd w:val="clear" w:color="auto" w:fill="CCEEFF"/>
          </w:tcPr>
          <w:p>
            <w:pPr>
              <w:jc w:val="right"/>
              <w:ind w:right="119"/>
              <w:spacing w:after="0" w:line="202" w:lineRule="exact"/>
              <w:rPr>
                <w:sz w:val="20"/>
                <w:szCs w:val="20"/>
                <w:color w:val="auto"/>
              </w:rPr>
            </w:pPr>
            <w:r>
              <w:rPr>
                <w:rFonts w:ascii="Arial" w:cs="Arial" w:eastAsia="Arial" w:hAnsi="Arial"/>
                <w:sz w:val="18"/>
                <w:szCs w:val="18"/>
                <w:color w:val="auto"/>
              </w:rPr>
              <w:t>1.3</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NOTE 9. RETIREMENT PLANS</w:t>
      </w:r>
    </w:p>
    <w:p>
      <w:pPr>
        <w:spacing w:after="0" w:line="119" w:lineRule="exact"/>
        <w:rPr>
          <w:sz w:val="20"/>
          <w:szCs w:val="20"/>
          <w:color w:val="auto"/>
        </w:rPr>
      </w:pPr>
    </w:p>
    <w:p>
      <w:pPr>
        <w:ind w:left="700" w:right="80" w:firstLine="402"/>
        <w:spacing w:after="0" w:line="263" w:lineRule="auto"/>
        <w:rPr>
          <w:sz w:val="20"/>
          <w:szCs w:val="20"/>
          <w:color w:val="auto"/>
        </w:rPr>
      </w:pPr>
      <w:r>
        <w:rPr>
          <w:rFonts w:ascii="Arial" w:cs="Arial" w:eastAsia="Arial" w:hAnsi="Arial"/>
          <w:sz w:val="17"/>
          <w:szCs w:val="17"/>
          <w:color w:val="auto"/>
        </w:rPr>
        <w:t>The Company sponsors a defined contribution profit sharing and 401(k) plans for substantially all U.S. associates. The Company provides a base contribution equal to 2% of compensation up to 50% of the Social Security taxable wage base plus 4% of remaining compensation. Associates also may make pretax contributions from compensation that are matched by the Company at 100% of the associates’ initial 3% contribution and 50% of their remaining contribution up to 5%. The Company recorded charges of $11.4 million, $10.7 million and $10.3 million under the plan in fiscal 2008, 2007 and 2006, respectively.</w:t>
      </w:r>
    </w:p>
    <w:p>
      <w:pPr>
        <w:spacing w:after="0" w:line="63" w:lineRule="exact"/>
        <w:rPr>
          <w:sz w:val="20"/>
          <w:szCs w:val="20"/>
          <w:color w:val="auto"/>
        </w:rPr>
      </w:pPr>
    </w:p>
    <w:p>
      <w:pPr>
        <w:ind w:left="700" w:right="60" w:firstLine="402"/>
        <w:spacing w:after="0" w:line="241" w:lineRule="auto"/>
        <w:rPr>
          <w:sz w:val="20"/>
          <w:szCs w:val="20"/>
          <w:color w:val="auto"/>
        </w:rPr>
      </w:pPr>
      <w:r>
        <w:rPr>
          <w:rFonts w:ascii="Arial" w:cs="Arial" w:eastAsia="Arial" w:hAnsi="Arial"/>
          <w:sz w:val="18"/>
          <w:szCs w:val="18"/>
          <w:color w:val="auto"/>
        </w:rPr>
        <w:t>The Company sponsors two defined benefit plans for certain U.S. associates. Benefits under these plans have been frozen and closed to new associates since 1997. The benefits under the primary plan are based on years of service and the associates’ average final compensation or stated amounts. The Company’s funding policy, consistent with statutory requirements and tax considerations, is based on actuarial computations using the Projected Unit Credit method. The second frozen plan is a non-qualified supplemental pension plan. This plan provides for incremental pension payments so that total pension payments equal amounts that would have been payable from the Company’s pension plan if it were not for limitations imposed by the income tax regulations.</w:t>
      </w:r>
    </w:p>
    <w:p>
      <w:pPr>
        <w:spacing w:after="0" w:line="85" w:lineRule="exact"/>
        <w:rPr>
          <w:sz w:val="20"/>
          <w:szCs w:val="20"/>
          <w:color w:val="auto"/>
        </w:rPr>
      </w:pPr>
    </w:p>
    <w:p>
      <w:pPr>
        <w:ind w:left="700" w:right="120" w:firstLine="402"/>
        <w:spacing w:after="0" w:line="245" w:lineRule="auto"/>
        <w:rPr>
          <w:sz w:val="20"/>
          <w:szCs w:val="20"/>
          <w:color w:val="auto"/>
        </w:rPr>
      </w:pPr>
      <w:r>
        <w:rPr>
          <w:rFonts w:ascii="Arial" w:cs="Arial" w:eastAsia="Arial" w:hAnsi="Arial"/>
          <w:sz w:val="18"/>
          <w:szCs w:val="18"/>
          <w:color w:val="auto"/>
        </w:rPr>
        <w:t>The Company sponsors defined benefit pension plans associated with its international businesses in the United Kingdom, the Netherlands, Germany and France. These plans generally cover all associates of the respective businesses, with retirement benefits primarily based on years of service and compensation levels. During fiscal 2004, the U.K. plans were closed to new participants, but existing participants continue to accrue benefits. All newly hired associates of the U.K. business now participate in a defined contribution plan.</w:t>
      </w:r>
    </w:p>
    <w:p>
      <w:pPr>
        <w:spacing w:after="0" w:line="11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1"/>
          <w:szCs w:val="11"/>
          <w:b w:val="1"/>
          <w:bCs w:val="1"/>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-78105</wp:posOffset>
            </wp:positionV>
            <wp:extent cx="19748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240" w:top="415" w:right="91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hyperlink w:anchor="page64">
        <w:r>
          <w:rPr>
            <w:rFonts w:ascii="Times New Roman" w:cs="Times New Roman" w:eastAsia="Times New Roman" w:hAnsi="Times New Roman"/>
            <w:sz w:val="18"/>
            <w:szCs w:val="18"/>
            <w:b w:val="1"/>
            <w:bCs w:val="1"/>
            <w:u w:val="single" w:color="auto"/>
            <w:color w:val="0000EE"/>
          </w:rPr>
          <w:t>Table of Contents</w:t>
        </w:r>
      </w:hyperlink>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5" w:lineRule="exact"/>
        <w:rPr>
          <w:sz w:val="20"/>
          <w:szCs w:val="20"/>
          <w:color w:val="auto"/>
        </w:rPr>
      </w:pPr>
    </w:p>
    <w:p>
      <w:pPr>
        <w:ind w:left="700" w:right="840" w:firstLine="402"/>
        <w:spacing w:after="0" w:line="255" w:lineRule="auto"/>
        <w:rPr>
          <w:sz w:val="20"/>
          <w:szCs w:val="20"/>
          <w:color w:val="auto"/>
        </w:rPr>
      </w:pPr>
      <w:r>
        <w:rPr>
          <w:rFonts w:ascii="Arial" w:cs="Arial" w:eastAsia="Arial" w:hAnsi="Arial"/>
          <w:sz w:val="18"/>
          <w:szCs w:val="18"/>
          <w:color w:val="auto"/>
        </w:rPr>
        <w:t>The following tables present information about benefit obligations, plan assets, annual expense, assumptions and other information about the Company’s defined benefit pension plans (in millions). The defined benefit plans are valued using a September 30 measurement date.</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0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6"/>
          </w:tcPr>
          <w:p>
            <w:pPr>
              <w:jc w:val="right"/>
              <w:ind w:right="280"/>
              <w:spacing w:after="0"/>
              <w:rPr>
                <w:sz w:val="20"/>
                <w:szCs w:val="20"/>
                <w:color w:val="auto"/>
              </w:rPr>
            </w:pPr>
            <w:r>
              <w:rPr>
                <w:rFonts w:ascii="Arial" w:cs="Arial" w:eastAsia="Arial" w:hAnsi="Arial"/>
                <w:sz w:val="16"/>
                <w:szCs w:val="16"/>
                <w:color w:val="auto"/>
              </w:rPr>
              <w:t>Curtailed Defined</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6"/>
          </w:tcPr>
          <w:p>
            <w:pPr>
              <w:jc w:val="right"/>
              <w:ind w:right="340"/>
              <w:spacing w:after="0"/>
              <w:rPr>
                <w:sz w:val="20"/>
                <w:szCs w:val="20"/>
                <w:color w:val="auto"/>
              </w:rPr>
            </w:pPr>
            <w:r>
              <w:rPr>
                <w:rFonts w:ascii="Arial" w:cs="Arial" w:eastAsia="Arial" w:hAnsi="Arial"/>
                <w:sz w:val="16"/>
                <w:szCs w:val="16"/>
                <w:color w:val="auto"/>
              </w:rPr>
              <w:t>International</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0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6"/>
          </w:tcPr>
          <w:p>
            <w:pPr>
              <w:jc w:val="right"/>
              <w:ind w:right="440"/>
              <w:spacing w:after="0"/>
              <w:rPr>
                <w:sz w:val="20"/>
                <w:szCs w:val="20"/>
                <w:color w:val="auto"/>
              </w:rPr>
            </w:pPr>
            <w:r>
              <w:rPr>
                <w:rFonts w:ascii="Arial" w:cs="Arial" w:eastAsia="Arial" w:hAnsi="Arial"/>
                <w:sz w:val="16"/>
                <w:szCs w:val="16"/>
                <w:color w:val="auto"/>
              </w:rPr>
              <w:t>Benefit Plans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6"/>
          </w:tcPr>
          <w:p>
            <w:pPr>
              <w:jc w:val="right"/>
              <w:ind w:right="300"/>
              <w:spacing w:after="0"/>
              <w:rPr>
                <w:sz w:val="20"/>
                <w:szCs w:val="20"/>
                <w:color w:val="auto"/>
              </w:rPr>
            </w:pPr>
            <w:r>
              <w:rPr>
                <w:rFonts w:ascii="Arial" w:cs="Arial" w:eastAsia="Arial" w:hAnsi="Arial"/>
                <w:sz w:val="16"/>
                <w:szCs w:val="16"/>
                <w:color w:val="auto"/>
              </w:rPr>
              <w:t>Benefit Plans</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00" w:type="dxa"/>
            <w:vAlign w:val="bottom"/>
          </w:tcPr>
          <w:p>
            <w:pPr>
              <w:spacing w:after="0"/>
              <w:rPr>
                <w:sz w:val="18"/>
                <w:szCs w:val="18"/>
                <w:color w:val="auto"/>
              </w:rPr>
            </w:pPr>
          </w:p>
        </w:tc>
        <w:tc>
          <w:tcPr>
            <w:tcW w:w="48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2008</w:t>
            </w:r>
          </w:p>
        </w:tc>
        <w:tc>
          <w:tcPr>
            <w:tcW w:w="2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color w:val="auto"/>
              </w:rPr>
              <w:t>2007</w:t>
            </w: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6"/>
                <w:szCs w:val="16"/>
                <w:color w:val="auto"/>
                <w:w w:val="95"/>
              </w:rPr>
              <w:t>2008</w:t>
            </w:r>
          </w:p>
        </w:tc>
        <w:tc>
          <w:tcPr>
            <w:tcW w:w="2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6"/>
                <w:szCs w:val="16"/>
                <w:color w:val="auto"/>
                <w:w w:val="95"/>
              </w:rPr>
              <w:t>2007</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
        </w:trPr>
        <w:tc>
          <w:tcPr>
            <w:tcW w:w="700" w:type="dxa"/>
            <w:vAlign w:val="bottom"/>
            <w:vMerge w:val="restart"/>
          </w:tcPr>
          <w:p>
            <w:pPr>
              <w:spacing w:after="0"/>
              <w:rPr>
                <w:sz w:val="3"/>
                <w:szCs w:val="3"/>
                <w:color w:val="auto"/>
              </w:rPr>
            </w:pPr>
          </w:p>
        </w:tc>
        <w:tc>
          <w:tcPr>
            <w:tcW w:w="48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700" w:type="dxa"/>
            <w:vAlign w:val="bottom"/>
            <w:vMerge w:val="continue"/>
          </w:tcPr>
          <w:p>
            <w:pPr>
              <w:spacing w:after="0"/>
              <w:rPr>
                <w:sz w:val="17"/>
                <w:szCs w:val="17"/>
                <w:color w:val="auto"/>
              </w:rPr>
            </w:pPr>
          </w:p>
        </w:tc>
        <w:tc>
          <w:tcPr>
            <w:tcW w:w="63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Change in projected benefit obligation</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300" w:type="dxa"/>
            <w:vAlign w:val="bottom"/>
            <w:gridSpan w:val="3"/>
          </w:tcPr>
          <w:p>
            <w:pPr>
              <w:spacing w:after="0" w:line="202" w:lineRule="exact"/>
              <w:rPr>
                <w:sz w:val="20"/>
                <w:szCs w:val="20"/>
                <w:color w:val="auto"/>
              </w:rPr>
            </w:pPr>
            <w:r>
              <w:rPr>
                <w:rFonts w:ascii="Arial" w:cs="Arial" w:eastAsia="Arial" w:hAnsi="Arial"/>
                <w:sz w:val="18"/>
                <w:szCs w:val="18"/>
                <w:color w:val="auto"/>
              </w:rPr>
              <w:t>Benefit obligation at beginning of year</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90.8</w:t>
            </w:r>
          </w:p>
        </w:tc>
        <w:tc>
          <w:tcPr>
            <w:tcW w:w="280" w:type="dxa"/>
            <w:vAlign w:val="bottom"/>
          </w:tcPr>
          <w:p>
            <w:pPr>
              <w:spacing w:after="0"/>
              <w:rPr>
                <w:sz w:val="17"/>
                <w:szCs w:val="17"/>
                <w:color w:val="auto"/>
              </w:rPr>
            </w:pP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93.4</w:t>
            </w:r>
          </w:p>
        </w:tc>
        <w:tc>
          <w:tcPr>
            <w:tcW w:w="220" w:type="dxa"/>
            <w:vAlign w:val="bottom"/>
          </w:tcPr>
          <w:p>
            <w:pPr>
              <w:spacing w:after="0"/>
              <w:rPr>
                <w:sz w:val="17"/>
                <w:szCs w:val="17"/>
                <w:color w:val="auto"/>
              </w:rPr>
            </w:pP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w w:val="97"/>
              </w:rPr>
              <w:t>179.5</w:t>
            </w:r>
          </w:p>
        </w:tc>
        <w:tc>
          <w:tcPr>
            <w:tcW w:w="220" w:type="dxa"/>
            <w:vAlign w:val="bottom"/>
          </w:tcPr>
          <w:p>
            <w:pPr>
              <w:spacing w:after="0"/>
              <w:rPr>
                <w:sz w:val="17"/>
                <w:szCs w:val="17"/>
                <w:color w:val="auto"/>
              </w:rPr>
            </w:pP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w w:val="97"/>
              </w:rPr>
              <w:t>178.7</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3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Service cost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300" w:type="dxa"/>
            <w:vAlign w:val="bottom"/>
            <w:gridSpan w:val="3"/>
          </w:tcPr>
          <w:p>
            <w:pPr>
              <w:spacing w:after="0" w:line="202" w:lineRule="exact"/>
              <w:rPr>
                <w:sz w:val="20"/>
                <w:szCs w:val="20"/>
                <w:color w:val="auto"/>
              </w:rPr>
            </w:pPr>
            <w:r>
              <w:rPr>
                <w:rFonts w:ascii="Arial" w:cs="Arial" w:eastAsia="Arial" w:hAnsi="Arial"/>
                <w:sz w:val="18"/>
                <w:szCs w:val="18"/>
                <w:color w:val="auto"/>
              </w:rPr>
              <w:t>Interest cost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5.4</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5.3</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9.2</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3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Plan participants’ contributions</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0.9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300" w:type="dxa"/>
            <w:vAlign w:val="bottom"/>
            <w:gridSpan w:val="3"/>
          </w:tcPr>
          <w:p>
            <w:pPr>
              <w:spacing w:after="0" w:line="202" w:lineRule="exact"/>
              <w:rPr>
                <w:sz w:val="20"/>
                <w:szCs w:val="20"/>
                <w:color w:val="auto"/>
              </w:rPr>
            </w:pPr>
            <w:r>
              <w:rPr>
                <w:rFonts w:ascii="Arial" w:cs="Arial" w:eastAsia="Arial" w:hAnsi="Arial"/>
                <w:sz w:val="18"/>
                <w:szCs w:val="18"/>
                <w:color w:val="auto"/>
              </w:rPr>
              <w:t>Plan amendments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(0.8)</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3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Curtailment/settlement gain</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(0.6)</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300" w:type="dxa"/>
            <w:vAlign w:val="bottom"/>
            <w:gridSpan w:val="3"/>
          </w:tcPr>
          <w:p>
            <w:pPr>
              <w:spacing w:after="0" w:line="202" w:lineRule="exact"/>
              <w:rPr>
                <w:sz w:val="20"/>
                <w:szCs w:val="20"/>
                <w:color w:val="auto"/>
              </w:rPr>
            </w:pPr>
            <w:r>
              <w:rPr>
                <w:rFonts w:ascii="Arial" w:cs="Arial" w:eastAsia="Arial" w:hAnsi="Arial"/>
                <w:sz w:val="18"/>
                <w:szCs w:val="18"/>
                <w:color w:val="auto"/>
              </w:rPr>
              <w:t>Actuarial loss (gain)</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0.5</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10.2</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(23.8)</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3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Benefits paid</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(6.5)</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(6.4)</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(6.0)</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300" w:type="dxa"/>
            <w:vAlign w:val="bottom"/>
            <w:gridSpan w:val="3"/>
          </w:tcPr>
          <w:p>
            <w:pPr>
              <w:spacing w:after="0" w:line="202" w:lineRule="exact"/>
              <w:rPr>
                <w:sz w:val="20"/>
                <w:szCs w:val="20"/>
                <w:color w:val="auto"/>
              </w:rPr>
            </w:pPr>
            <w:r>
              <w:rPr>
                <w:rFonts w:ascii="Arial" w:cs="Arial" w:eastAsia="Arial" w:hAnsi="Arial"/>
                <w:sz w:val="18"/>
                <w:szCs w:val="18"/>
                <w:color w:val="auto"/>
              </w:rPr>
              <w:t>Other</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(0.6)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0.2</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3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Special termination benefits</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300" w:type="dxa"/>
            <w:vAlign w:val="bottom"/>
            <w:gridSpan w:val="3"/>
          </w:tcPr>
          <w:p>
            <w:pPr>
              <w:spacing w:after="0" w:line="202" w:lineRule="exact"/>
              <w:rPr>
                <w:sz w:val="20"/>
                <w:szCs w:val="20"/>
                <w:color w:val="auto"/>
              </w:rPr>
            </w:pPr>
            <w:r>
              <w:rPr>
                <w:rFonts w:ascii="Arial" w:cs="Arial" w:eastAsia="Arial" w:hAnsi="Arial"/>
                <w:sz w:val="18"/>
                <w:szCs w:val="18"/>
                <w:color w:val="auto"/>
              </w:rPr>
              <w:t>Foreign currency translation</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(19.6)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17.3</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700" w:type="dxa"/>
            <w:vAlign w:val="bottom"/>
            <w:vMerge w:val="restart"/>
          </w:tcPr>
          <w:p>
            <w:pPr>
              <w:spacing w:after="0"/>
              <w:rPr>
                <w:sz w:val="2"/>
                <w:szCs w:val="2"/>
                <w:color w:val="auto"/>
              </w:rPr>
            </w:pPr>
          </w:p>
        </w:tc>
        <w:tc>
          <w:tcPr>
            <w:tcW w:w="4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00" w:type="dxa"/>
            <w:vAlign w:val="bottom"/>
            <w:vMerge w:val="continue"/>
          </w:tcPr>
          <w:p>
            <w:pPr>
              <w:spacing w:after="0"/>
              <w:rPr>
                <w:sz w:val="17"/>
                <w:szCs w:val="17"/>
                <w:color w:val="auto"/>
              </w:rPr>
            </w:pPr>
          </w:p>
        </w:tc>
        <w:tc>
          <w:tcPr>
            <w:tcW w:w="63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Projected benefit obligation at end of year</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90.2</w:t>
            </w:r>
          </w:p>
        </w:tc>
        <w:tc>
          <w:tcPr>
            <w:tcW w:w="2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90.8</w:t>
            </w:r>
          </w:p>
        </w:tc>
        <w:tc>
          <w:tcPr>
            <w:tcW w:w="22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176.7</w:t>
            </w:r>
          </w:p>
        </w:tc>
        <w:tc>
          <w:tcPr>
            <w:tcW w:w="22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179.5</w:t>
            </w:r>
          </w:p>
        </w:tc>
        <w:tc>
          <w:tcPr>
            <w:tcW w:w="100" w:type="dxa"/>
            <w:vAlign w:val="bottom"/>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0" w:type="dxa"/>
            <w:vAlign w:val="bottom"/>
            <w:gridSpan w:val="4"/>
            <w:vMerge w:val="restart"/>
          </w:tcPr>
          <w:p>
            <w:pPr>
              <w:ind w:left="700"/>
              <w:spacing w:after="0"/>
              <w:rPr>
                <w:sz w:val="20"/>
                <w:szCs w:val="20"/>
                <w:color w:val="auto"/>
              </w:rPr>
            </w:pPr>
            <w:r>
              <w:rPr>
                <w:rFonts w:ascii="Arial" w:cs="Arial" w:eastAsia="Arial" w:hAnsi="Arial"/>
                <w:sz w:val="18"/>
                <w:szCs w:val="18"/>
                <w:b w:val="1"/>
                <w:bCs w:val="1"/>
                <w:color w:val="auto"/>
              </w:rPr>
              <w:t>Accumulated benefit obligation at end of year</w:t>
            </w: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00" w:type="dxa"/>
            <w:vAlign w:val="bottom"/>
            <w:gridSpan w:val="4"/>
            <w:vMerge w:val="continue"/>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90.2</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90.8</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u w:val="single" w:color="auto"/>
                <w:color w:val="auto"/>
                <w:w w:val="79"/>
              </w:rPr>
              <w:t>$</w:t>
            </w:r>
          </w:p>
        </w:tc>
        <w:tc>
          <w:tcPr>
            <w:tcW w:w="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152.4</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u w:val="single" w:color="auto"/>
                <w:color w:val="auto"/>
                <w:w w:val="79"/>
              </w:rPr>
              <w:t>$</w:t>
            </w:r>
          </w:p>
        </w:tc>
        <w:tc>
          <w:tcPr>
            <w:tcW w:w="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158.6</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0" w:type="dxa"/>
            <w:vAlign w:val="bottom"/>
          </w:tcPr>
          <w:p>
            <w:pPr>
              <w:spacing w:after="0"/>
              <w:rPr>
                <w:sz w:val="17"/>
                <w:szCs w:val="17"/>
                <w:color w:val="auto"/>
              </w:rPr>
            </w:pPr>
          </w:p>
        </w:tc>
        <w:tc>
          <w:tcPr>
            <w:tcW w:w="630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Change in plan assets</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300" w:type="dxa"/>
            <w:vAlign w:val="bottom"/>
            <w:gridSpan w:val="3"/>
          </w:tcPr>
          <w:p>
            <w:pPr>
              <w:spacing w:after="0" w:line="202" w:lineRule="exact"/>
              <w:rPr>
                <w:sz w:val="20"/>
                <w:szCs w:val="20"/>
                <w:color w:val="auto"/>
              </w:rPr>
            </w:pPr>
            <w:r>
              <w:rPr>
                <w:rFonts w:ascii="Arial" w:cs="Arial" w:eastAsia="Arial" w:hAnsi="Arial"/>
                <w:sz w:val="18"/>
                <w:szCs w:val="18"/>
                <w:color w:val="auto"/>
              </w:rPr>
              <w:t>Fair value of plan assets at beginning of year</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77.9</w:t>
            </w:r>
          </w:p>
        </w:tc>
        <w:tc>
          <w:tcPr>
            <w:tcW w:w="280" w:type="dxa"/>
            <w:vAlign w:val="bottom"/>
          </w:tcPr>
          <w:p>
            <w:pPr>
              <w:spacing w:after="0"/>
              <w:rPr>
                <w:sz w:val="17"/>
                <w:szCs w:val="17"/>
                <w:color w:val="auto"/>
              </w:rPr>
            </w:pP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70.9</w:t>
            </w:r>
          </w:p>
        </w:tc>
        <w:tc>
          <w:tcPr>
            <w:tcW w:w="220" w:type="dxa"/>
            <w:vAlign w:val="bottom"/>
          </w:tcPr>
          <w:p>
            <w:pPr>
              <w:spacing w:after="0"/>
              <w:rPr>
                <w:sz w:val="17"/>
                <w:szCs w:val="17"/>
                <w:color w:val="auto"/>
              </w:rPr>
            </w:pP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w w:val="97"/>
              </w:rPr>
              <w:t>142.7</w:t>
            </w:r>
          </w:p>
        </w:tc>
        <w:tc>
          <w:tcPr>
            <w:tcW w:w="220" w:type="dxa"/>
            <w:vAlign w:val="bottom"/>
          </w:tcPr>
          <w:p>
            <w:pPr>
              <w:spacing w:after="0"/>
              <w:rPr>
                <w:sz w:val="17"/>
                <w:szCs w:val="17"/>
                <w:color w:val="auto"/>
              </w:rPr>
            </w:pP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w w:val="97"/>
              </w:rPr>
              <w:t>116.1</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3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Actual return on plan assets</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7"/>
              </w:rPr>
              <w:t>(10.3)</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9.3</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(11.5)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300" w:type="dxa"/>
            <w:vAlign w:val="bottom"/>
            <w:gridSpan w:val="3"/>
          </w:tcPr>
          <w:p>
            <w:pPr>
              <w:spacing w:after="0" w:line="202" w:lineRule="exact"/>
              <w:rPr>
                <w:sz w:val="20"/>
                <w:szCs w:val="20"/>
                <w:color w:val="auto"/>
              </w:rPr>
            </w:pPr>
            <w:r>
              <w:rPr>
                <w:rFonts w:ascii="Arial" w:cs="Arial" w:eastAsia="Arial" w:hAnsi="Arial"/>
                <w:sz w:val="18"/>
                <w:szCs w:val="18"/>
                <w:color w:val="auto"/>
              </w:rPr>
              <w:t>Employer contribution</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4.8</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4.1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9.1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9.6</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3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Plan participants’ contributions</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0.9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300" w:type="dxa"/>
            <w:vAlign w:val="bottom"/>
            <w:gridSpan w:val="3"/>
          </w:tcPr>
          <w:p>
            <w:pPr>
              <w:spacing w:after="0" w:line="202" w:lineRule="exact"/>
              <w:rPr>
                <w:sz w:val="20"/>
                <w:szCs w:val="20"/>
                <w:color w:val="auto"/>
              </w:rPr>
            </w:pPr>
            <w:r>
              <w:rPr>
                <w:rFonts w:ascii="Arial" w:cs="Arial" w:eastAsia="Arial" w:hAnsi="Arial"/>
                <w:sz w:val="18"/>
                <w:szCs w:val="18"/>
                <w:color w:val="auto"/>
              </w:rPr>
              <w:t>Benefits paid</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(6.5)</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(6.4)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(6.6)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(6.0)</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3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Foreign currency translation</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(15.0)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300" w:type="dxa"/>
            <w:vAlign w:val="bottom"/>
            <w:gridSpan w:val="3"/>
          </w:tcPr>
          <w:p>
            <w:pPr>
              <w:spacing w:after="0" w:line="202" w:lineRule="exact"/>
              <w:rPr>
                <w:sz w:val="20"/>
                <w:szCs w:val="20"/>
                <w:color w:val="auto"/>
              </w:rPr>
            </w:pPr>
            <w:r>
              <w:rPr>
                <w:rFonts w:ascii="Arial" w:cs="Arial" w:eastAsia="Arial" w:hAnsi="Arial"/>
                <w:sz w:val="18"/>
                <w:szCs w:val="18"/>
                <w:color w:val="auto"/>
              </w:rPr>
              <w:t>Other</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(0.7)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(0.2)</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700" w:type="dxa"/>
            <w:vAlign w:val="bottom"/>
            <w:vMerge w:val="restart"/>
          </w:tcPr>
          <w:p>
            <w:pPr>
              <w:spacing w:after="0"/>
              <w:rPr>
                <w:sz w:val="2"/>
                <w:szCs w:val="2"/>
                <w:color w:val="auto"/>
              </w:rPr>
            </w:pPr>
          </w:p>
        </w:tc>
        <w:tc>
          <w:tcPr>
            <w:tcW w:w="4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00" w:type="dxa"/>
            <w:vAlign w:val="bottom"/>
            <w:vMerge w:val="continue"/>
          </w:tcPr>
          <w:p>
            <w:pPr>
              <w:spacing w:after="0"/>
              <w:rPr>
                <w:sz w:val="17"/>
                <w:szCs w:val="17"/>
                <w:color w:val="auto"/>
              </w:rPr>
            </w:pPr>
          </w:p>
        </w:tc>
        <w:tc>
          <w:tcPr>
            <w:tcW w:w="63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Fair value of plan assets at end of year</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65.9</w:t>
            </w:r>
          </w:p>
        </w:tc>
        <w:tc>
          <w:tcPr>
            <w:tcW w:w="2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77.9</w:t>
            </w:r>
          </w:p>
        </w:tc>
        <w:tc>
          <w:tcPr>
            <w:tcW w:w="22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118.9</w:t>
            </w:r>
          </w:p>
        </w:tc>
        <w:tc>
          <w:tcPr>
            <w:tcW w:w="22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142.7</w:t>
            </w:r>
          </w:p>
        </w:tc>
        <w:tc>
          <w:tcPr>
            <w:tcW w:w="100" w:type="dxa"/>
            <w:vAlign w:val="bottom"/>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0" w:type="dxa"/>
            <w:vAlign w:val="bottom"/>
            <w:gridSpan w:val="4"/>
            <w:vMerge w:val="restart"/>
          </w:tcPr>
          <w:p>
            <w:pPr>
              <w:ind w:left="700"/>
              <w:spacing w:after="0"/>
              <w:rPr>
                <w:sz w:val="20"/>
                <w:szCs w:val="20"/>
                <w:color w:val="auto"/>
              </w:rPr>
            </w:pPr>
            <w:r>
              <w:rPr>
                <w:rFonts w:ascii="Arial" w:cs="Arial" w:eastAsia="Arial" w:hAnsi="Arial"/>
                <w:sz w:val="18"/>
                <w:szCs w:val="18"/>
                <w:b w:val="1"/>
                <w:bCs w:val="1"/>
                <w:color w:val="auto"/>
              </w:rPr>
              <w:t>Underfunded status at end of year</w:t>
            </w: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00" w:type="dxa"/>
            <w:vAlign w:val="bottom"/>
            <w:gridSpan w:val="4"/>
            <w:vMerge w:val="continue"/>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u w:val="single" w:color="auto"/>
                <w:color w:val="auto"/>
                <w:w w:val="79"/>
              </w:rPr>
              <w:t>$</w:t>
            </w:r>
          </w:p>
        </w:tc>
        <w:tc>
          <w:tcPr>
            <w:tcW w:w="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(24.3</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u w:val="single" w:color="auto"/>
                <w:color w:val="auto"/>
                <w:w w:val="79"/>
              </w:rPr>
              <w:t>$</w:t>
            </w:r>
          </w:p>
        </w:tc>
        <w:tc>
          <w:tcPr>
            <w:tcW w:w="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(12.9</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(57.8</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700" w:type="dxa"/>
            <w:vAlign w:val="bottom"/>
          </w:tcPr>
          <w:p>
            <w:pPr>
              <w:spacing w:after="0"/>
              <w:rPr>
                <w:sz w:val="14"/>
                <w:szCs w:val="14"/>
                <w:color w:val="auto"/>
              </w:rPr>
            </w:pPr>
          </w:p>
        </w:tc>
        <w:tc>
          <w:tcPr>
            <w:tcW w:w="6300" w:type="dxa"/>
            <w:vAlign w:val="bottom"/>
            <w:gridSpan w:val="3"/>
            <w:shd w:val="clear" w:color="auto" w:fill="CCEEFF"/>
          </w:tcPr>
          <w:p>
            <w:pPr>
              <w:spacing w:after="0" w:line="172" w:lineRule="exact"/>
              <w:rPr>
                <w:sz w:val="20"/>
                <w:szCs w:val="20"/>
                <w:color w:val="auto"/>
              </w:rPr>
            </w:pPr>
            <w:r>
              <w:rPr>
                <w:rFonts w:ascii="Arial" w:cs="Arial" w:eastAsia="Arial" w:hAnsi="Arial"/>
                <w:sz w:val="18"/>
                <w:szCs w:val="18"/>
                <w:b w:val="1"/>
                <w:bCs w:val="1"/>
                <w:color w:val="auto"/>
              </w:rPr>
              <w:t>Information for pension plans with an accumulated benefit obligation in</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700" w:type="dxa"/>
            <w:vAlign w:val="bottom"/>
          </w:tcPr>
          <w:p>
            <w:pPr>
              <w:spacing w:after="0"/>
              <w:rPr>
                <w:sz w:val="19"/>
                <w:szCs w:val="19"/>
                <w:color w:val="auto"/>
              </w:rPr>
            </w:pPr>
          </w:p>
        </w:tc>
        <w:tc>
          <w:tcPr>
            <w:tcW w:w="6300" w:type="dxa"/>
            <w:vAlign w:val="bottom"/>
            <w:gridSpan w:val="3"/>
            <w:shd w:val="clear" w:color="auto" w:fill="CCEEFF"/>
          </w:tcPr>
          <w:p>
            <w:pPr>
              <w:ind w:left="180"/>
              <w:spacing w:after="0"/>
              <w:rPr>
                <w:sz w:val="20"/>
                <w:szCs w:val="20"/>
                <w:color w:val="auto"/>
              </w:rPr>
            </w:pPr>
            <w:r>
              <w:rPr>
                <w:rFonts w:ascii="Arial" w:cs="Arial" w:eastAsia="Arial" w:hAnsi="Arial"/>
                <w:sz w:val="18"/>
                <w:szCs w:val="18"/>
                <w:b w:val="1"/>
                <w:bCs w:val="1"/>
                <w:color w:val="auto"/>
              </w:rPr>
              <w:t>excess of plan assets</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300" w:type="dxa"/>
            <w:vAlign w:val="bottom"/>
            <w:gridSpan w:val="3"/>
          </w:tcPr>
          <w:p>
            <w:pPr>
              <w:spacing w:after="0" w:line="202" w:lineRule="exact"/>
              <w:rPr>
                <w:sz w:val="20"/>
                <w:szCs w:val="20"/>
                <w:color w:val="auto"/>
              </w:rPr>
            </w:pPr>
            <w:r>
              <w:rPr>
                <w:rFonts w:ascii="Arial" w:cs="Arial" w:eastAsia="Arial" w:hAnsi="Arial"/>
                <w:sz w:val="18"/>
                <w:szCs w:val="18"/>
                <w:color w:val="auto"/>
              </w:rPr>
              <w:t>Projected benefit obligation</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90.2</w:t>
            </w:r>
          </w:p>
        </w:tc>
        <w:tc>
          <w:tcPr>
            <w:tcW w:w="280" w:type="dxa"/>
            <w:vAlign w:val="bottom"/>
          </w:tcPr>
          <w:p>
            <w:pPr>
              <w:spacing w:after="0"/>
              <w:rPr>
                <w:sz w:val="17"/>
                <w:szCs w:val="17"/>
                <w:color w:val="auto"/>
              </w:rPr>
            </w:pP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90.8</w:t>
            </w:r>
          </w:p>
        </w:tc>
        <w:tc>
          <w:tcPr>
            <w:tcW w:w="220" w:type="dxa"/>
            <w:vAlign w:val="bottom"/>
          </w:tcPr>
          <w:p>
            <w:pPr>
              <w:spacing w:after="0"/>
              <w:rPr>
                <w:sz w:val="17"/>
                <w:szCs w:val="17"/>
                <w:color w:val="auto"/>
              </w:rPr>
            </w:pP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w w:val="97"/>
              </w:rPr>
              <w:t>157.0</w:t>
            </w:r>
          </w:p>
        </w:tc>
        <w:tc>
          <w:tcPr>
            <w:tcW w:w="220" w:type="dxa"/>
            <w:vAlign w:val="bottom"/>
          </w:tcPr>
          <w:p>
            <w:pPr>
              <w:spacing w:after="0"/>
              <w:rPr>
                <w:sz w:val="17"/>
                <w:szCs w:val="17"/>
                <w:color w:val="auto"/>
              </w:rPr>
            </w:pP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28.1</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3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Accumulated benefit obligation</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90.2</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90.8</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135.9</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26.5</w:t>
            </w:r>
          </w:p>
        </w:tc>
        <w:tc>
          <w:tcPr>
            <w:tcW w:w="100" w:type="dxa"/>
            <w:vAlign w:val="bottom"/>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300" w:type="dxa"/>
            <w:vAlign w:val="bottom"/>
            <w:gridSpan w:val="3"/>
          </w:tcPr>
          <w:p>
            <w:pPr>
              <w:spacing w:after="0" w:line="202" w:lineRule="exact"/>
              <w:rPr>
                <w:sz w:val="20"/>
                <w:szCs w:val="20"/>
                <w:color w:val="auto"/>
              </w:rPr>
            </w:pPr>
            <w:r>
              <w:rPr>
                <w:rFonts w:ascii="Arial" w:cs="Arial" w:eastAsia="Arial" w:hAnsi="Arial"/>
                <w:sz w:val="18"/>
                <w:szCs w:val="18"/>
                <w:color w:val="auto"/>
              </w:rPr>
              <w:t>Fair value of plan assets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65.9</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77.9</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w w:val="97"/>
              </w:rPr>
              <w:t>102.0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7.0</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3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Amounts recognized in the Consolidated Balance Sheets consist of:</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300" w:type="dxa"/>
            <w:vAlign w:val="bottom"/>
            <w:gridSpan w:val="3"/>
          </w:tcPr>
          <w:p>
            <w:pPr>
              <w:spacing w:after="0" w:line="202" w:lineRule="exact"/>
              <w:rPr>
                <w:sz w:val="20"/>
                <w:szCs w:val="20"/>
                <w:color w:val="auto"/>
              </w:rPr>
            </w:pPr>
            <w:r>
              <w:rPr>
                <w:rFonts w:ascii="Arial" w:cs="Arial" w:eastAsia="Arial" w:hAnsi="Arial"/>
                <w:sz w:val="18"/>
                <w:szCs w:val="18"/>
                <w:color w:val="auto"/>
              </w:rPr>
              <w:t>Current liabilities</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(0.2)</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(0.2)</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(1.0)</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3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Noncurrent liabilities</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7"/>
              </w:rPr>
              <w:t>(24.1)</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w w:val="97"/>
              </w:rPr>
              <w:t>(12.7)</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(56.8)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(35.8)</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000" w:type="dxa"/>
            <w:vAlign w:val="bottom"/>
            <w:gridSpan w:val="4"/>
          </w:tcPr>
          <w:p>
            <w:pPr>
              <w:ind w:left="700"/>
              <w:spacing w:after="0"/>
              <w:rPr>
                <w:sz w:val="20"/>
                <w:szCs w:val="20"/>
                <w:color w:val="auto"/>
              </w:rPr>
            </w:pPr>
            <w:r>
              <w:rPr>
                <w:rFonts w:ascii="Arial" w:cs="Arial" w:eastAsia="Arial" w:hAnsi="Arial"/>
                <w:sz w:val="18"/>
                <w:szCs w:val="18"/>
                <w:color w:val="auto"/>
              </w:rPr>
              <w:t>Total amount accrued</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(24.3</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(12.9</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(57.8</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560" w:type="dxa"/>
            <w:vAlign w:val="bottom"/>
            <w:gridSpan w:val="2"/>
            <w:vMerge w:val="restart"/>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5560" w:type="dxa"/>
            <w:vAlign w:val="bottom"/>
            <w:gridSpan w:val="2"/>
            <w:vMerge w:val="continue"/>
          </w:tcPr>
          <w:p>
            <w:pPr>
              <w:spacing w:after="0"/>
              <w:rPr>
                <w:sz w:val="11"/>
                <w:szCs w:val="11"/>
                <w:color w:val="auto"/>
              </w:rPr>
            </w:pPr>
          </w:p>
        </w:tc>
        <w:tc>
          <w:tcPr>
            <w:tcW w:w="300" w:type="dxa"/>
            <w:vAlign w:val="bottom"/>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87</w:t>
            </w:r>
          </w:p>
        </w:tc>
        <w:tc>
          <w:tcPr>
            <w:tcW w:w="1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700" w:type="dxa"/>
            <w:vAlign w:val="bottom"/>
            <w:tcBorders>
              <w:bottom w:val="single" w:sz="8" w:color="808080"/>
            </w:tcBorders>
          </w:tcPr>
          <w:p>
            <w:pPr>
              <w:spacing w:after="0"/>
              <w:rPr>
                <w:sz w:val="17"/>
                <w:szCs w:val="17"/>
                <w:color w:val="auto"/>
              </w:rPr>
            </w:pPr>
          </w:p>
        </w:tc>
        <w:tc>
          <w:tcPr>
            <w:tcW w:w="486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1140" w:type="dxa"/>
            <w:vAlign w:val="bottom"/>
            <w:tcBorders>
              <w:bottom w:val="single" w:sz="8" w:color="808080"/>
            </w:tcBorders>
          </w:tcPr>
          <w:p>
            <w:pPr>
              <w:spacing w:after="0"/>
              <w:rPr>
                <w:sz w:val="17"/>
                <w:szCs w:val="17"/>
                <w:color w:val="auto"/>
              </w:rPr>
            </w:pPr>
          </w:p>
        </w:tc>
        <w:tc>
          <w:tcPr>
            <w:tcW w:w="180" w:type="dxa"/>
            <w:vAlign w:val="bottom"/>
            <w:tcBorders>
              <w:bottom w:val="single" w:sz="8" w:color="808080"/>
            </w:tcBorders>
          </w:tcPr>
          <w:p>
            <w:pPr>
              <w:spacing w:after="0"/>
              <w:rPr>
                <w:sz w:val="17"/>
                <w:szCs w:val="17"/>
                <w:color w:val="auto"/>
              </w:rPr>
            </w:pPr>
          </w:p>
        </w:tc>
        <w:tc>
          <w:tcPr>
            <w:tcW w:w="100" w:type="dxa"/>
            <w:vAlign w:val="bottom"/>
            <w:tcBorders>
              <w:bottom w:val="single" w:sz="8" w:color="808080"/>
            </w:tcBorders>
          </w:tcPr>
          <w:p>
            <w:pPr>
              <w:spacing w:after="0"/>
              <w:rPr>
                <w:sz w:val="17"/>
                <w:szCs w:val="17"/>
                <w:color w:val="auto"/>
              </w:rPr>
            </w:pPr>
          </w:p>
        </w:tc>
        <w:tc>
          <w:tcPr>
            <w:tcW w:w="42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100" w:type="dxa"/>
            <w:vAlign w:val="bottom"/>
            <w:tcBorders>
              <w:bottom w:val="single" w:sz="8" w:color="808080"/>
            </w:tcBorders>
          </w:tcPr>
          <w:p>
            <w:pPr>
              <w:spacing w:after="0"/>
              <w:rPr>
                <w:sz w:val="17"/>
                <w:szCs w:val="17"/>
                <w:color w:val="auto"/>
              </w:rPr>
            </w:pPr>
          </w:p>
        </w:tc>
        <w:tc>
          <w:tcPr>
            <w:tcW w:w="42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180" w:type="dxa"/>
            <w:vAlign w:val="bottom"/>
            <w:tcBorders>
              <w:bottom w:val="single" w:sz="8" w:color="808080"/>
            </w:tcBorders>
          </w:tcPr>
          <w:p>
            <w:pPr>
              <w:spacing w:after="0"/>
              <w:rPr>
                <w:sz w:val="17"/>
                <w:szCs w:val="17"/>
                <w:color w:val="auto"/>
              </w:rPr>
            </w:pPr>
          </w:p>
        </w:tc>
        <w:tc>
          <w:tcPr>
            <w:tcW w:w="100" w:type="dxa"/>
            <w:vAlign w:val="bottom"/>
            <w:tcBorders>
              <w:bottom w:val="single" w:sz="8" w:color="808080"/>
            </w:tcBorders>
          </w:tcPr>
          <w:p>
            <w:pPr>
              <w:spacing w:after="0"/>
              <w:rPr>
                <w:sz w:val="17"/>
                <w:szCs w:val="17"/>
                <w:color w:val="auto"/>
              </w:rPr>
            </w:pPr>
          </w:p>
        </w:tc>
        <w:tc>
          <w:tcPr>
            <w:tcW w:w="46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460" w:type="dxa"/>
            <w:vAlign w:val="bottom"/>
            <w:tcBorders>
              <w:bottom w:val="single" w:sz="8" w:color="808080"/>
            </w:tcBorders>
          </w:tcPr>
          <w:p>
            <w:pPr>
              <w:spacing w:after="0"/>
              <w:rPr>
                <w:sz w:val="17"/>
                <w:szCs w:val="17"/>
                <w:color w:val="auto"/>
              </w:rPr>
            </w:pPr>
          </w:p>
        </w:tc>
        <w:tc>
          <w:tcPr>
            <w:tcW w:w="10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hyperlink w:anchor="page64">
        <w:r>
          <w:rPr>
            <w:rFonts w:ascii="Times New Roman" w:cs="Times New Roman" w:eastAsia="Times New Roman" w:hAnsi="Times New Roman"/>
            <w:sz w:val="18"/>
            <w:szCs w:val="18"/>
            <w:b w:val="1"/>
            <w:bCs w:val="1"/>
            <w:u w:val="single" w:color="auto"/>
            <w:color w:val="0000EE"/>
          </w:rPr>
          <w:t>Table of Contents</w:t>
        </w:r>
      </w:hyperlink>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0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gridSpan w:val="12"/>
          </w:tcPr>
          <w:p>
            <w:pPr>
              <w:ind w:left="20"/>
              <w:spacing w:after="0"/>
              <w:rPr>
                <w:sz w:val="20"/>
                <w:szCs w:val="20"/>
                <w:color w:val="auto"/>
              </w:rPr>
            </w:pPr>
            <w:r>
              <w:rPr>
                <w:rFonts w:ascii="Arial" w:cs="Arial" w:eastAsia="Arial" w:hAnsi="Arial"/>
                <w:sz w:val="16"/>
                <w:szCs w:val="16"/>
                <w:color w:val="auto"/>
              </w:rPr>
              <w:t>Curtailed Defined</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9"/>
          </w:tcPr>
          <w:p>
            <w:pPr>
              <w:jc w:val="right"/>
              <w:ind w:right="360"/>
              <w:spacing w:after="0"/>
              <w:rPr>
                <w:sz w:val="20"/>
                <w:szCs w:val="20"/>
                <w:color w:val="auto"/>
              </w:rPr>
            </w:pPr>
            <w:r>
              <w:rPr>
                <w:rFonts w:ascii="Arial" w:cs="Arial" w:eastAsia="Arial" w:hAnsi="Arial"/>
                <w:sz w:val="16"/>
                <w:szCs w:val="16"/>
                <w:color w:val="auto"/>
              </w:rPr>
              <w:t>International</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0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11"/>
          </w:tcPr>
          <w:p>
            <w:pPr>
              <w:ind w:left="60"/>
              <w:spacing w:after="0"/>
              <w:rPr>
                <w:sz w:val="20"/>
                <w:szCs w:val="20"/>
                <w:color w:val="auto"/>
              </w:rPr>
            </w:pPr>
            <w:r>
              <w:rPr>
                <w:rFonts w:ascii="Arial" w:cs="Arial" w:eastAsia="Arial" w:hAnsi="Arial"/>
                <w:sz w:val="16"/>
                <w:szCs w:val="16"/>
                <w:color w:val="auto"/>
              </w:rPr>
              <w:t>Benefit Plans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9"/>
          </w:tcPr>
          <w:p>
            <w:pPr>
              <w:ind w:left="100"/>
              <w:spacing w:after="0"/>
              <w:rPr>
                <w:sz w:val="20"/>
                <w:szCs w:val="20"/>
                <w:color w:val="auto"/>
              </w:rPr>
            </w:pPr>
            <w:r>
              <w:rPr>
                <w:rFonts w:ascii="Arial" w:cs="Arial" w:eastAsia="Arial" w:hAnsi="Arial"/>
                <w:sz w:val="16"/>
                <w:szCs w:val="16"/>
                <w:color w:val="auto"/>
              </w:rPr>
              <w:t>Benefit Plans</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00" w:type="dxa"/>
            <w:vAlign w:val="bottom"/>
          </w:tcPr>
          <w:p>
            <w:pPr>
              <w:spacing w:after="0"/>
              <w:rPr>
                <w:sz w:val="18"/>
                <w:szCs w:val="18"/>
                <w:color w:val="auto"/>
              </w:rPr>
            </w:pPr>
          </w:p>
        </w:tc>
        <w:tc>
          <w:tcPr>
            <w:tcW w:w="48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6"/>
                <w:szCs w:val="16"/>
                <w:color w:val="auto"/>
              </w:rPr>
              <w:t>2008</w:t>
            </w:r>
          </w:p>
        </w:tc>
        <w:tc>
          <w:tcPr>
            <w:tcW w:w="2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6"/>
                <w:szCs w:val="16"/>
                <w:color w:val="auto"/>
              </w:rPr>
              <w:t>2007</w:t>
            </w:r>
          </w:p>
        </w:tc>
        <w:tc>
          <w:tcPr>
            <w:tcW w:w="4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2008</w:t>
            </w:r>
          </w:p>
        </w:tc>
        <w:tc>
          <w:tcPr>
            <w:tcW w:w="6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6"/>
                <w:szCs w:val="16"/>
                <w:color w:val="auto"/>
              </w:rPr>
              <w:t>2007</w:t>
            </w:r>
          </w:p>
        </w:tc>
        <w:tc>
          <w:tcPr>
            <w:tcW w:w="8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
        </w:trPr>
        <w:tc>
          <w:tcPr>
            <w:tcW w:w="700" w:type="dxa"/>
            <w:vAlign w:val="bottom"/>
            <w:vMerge w:val="restart"/>
          </w:tcPr>
          <w:p>
            <w:pPr>
              <w:spacing w:after="0"/>
              <w:rPr>
                <w:sz w:val="3"/>
                <w:szCs w:val="3"/>
                <w:color w:val="auto"/>
              </w:rPr>
            </w:pPr>
          </w:p>
        </w:tc>
        <w:tc>
          <w:tcPr>
            <w:tcW w:w="4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700" w:type="dxa"/>
            <w:vAlign w:val="bottom"/>
            <w:vMerge w:val="continue"/>
          </w:tcPr>
          <w:p>
            <w:pPr>
              <w:spacing w:after="0"/>
              <w:rPr>
                <w:sz w:val="17"/>
                <w:szCs w:val="17"/>
                <w:color w:val="auto"/>
              </w:rPr>
            </w:pPr>
          </w:p>
        </w:tc>
        <w:tc>
          <w:tcPr>
            <w:tcW w:w="6580" w:type="dxa"/>
            <w:vAlign w:val="bottom"/>
            <w:gridSpan w:val="10"/>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Amounts recognized in accumulated other comprehensive loss consist of:</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60" w:type="dxa"/>
            <w:vAlign w:val="bottom"/>
          </w:tcPr>
          <w:p>
            <w:pPr>
              <w:spacing w:after="0" w:line="202" w:lineRule="exact"/>
              <w:rPr>
                <w:sz w:val="20"/>
                <w:szCs w:val="20"/>
                <w:color w:val="auto"/>
              </w:rPr>
            </w:pPr>
            <w:r>
              <w:rPr>
                <w:rFonts w:ascii="Arial" w:cs="Arial" w:eastAsia="Arial" w:hAnsi="Arial"/>
                <w:sz w:val="18"/>
                <w:szCs w:val="18"/>
                <w:color w:val="auto"/>
              </w:rPr>
              <w:t>Actuarial loss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gridSpan w:val="5"/>
          </w:tcPr>
          <w:p>
            <w:pPr>
              <w:jc w:val="right"/>
              <w:spacing w:after="0" w:line="202" w:lineRule="exact"/>
              <w:rPr>
                <w:sz w:val="20"/>
                <w:szCs w:val="20"/>
                <w:color w:val="auto"/>
              </w:rPr>
            </w:pPr>
            <w:r>
              <w:rPr>
                <w:rFonts w:ascii="Arial" w:cs="Arial" w:eastAsia="Arial" w:hAnsi="Arial"/>
                <w:sz w:val="18"/>
                <w:szCs w:val="18"/>
                <w:color w:val="auto"/>
              </w:rPr>
              <w:t>$ 37.7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gridSpan w:val="6"/>
          </w:tcPr>
          <w:p>
            <w:pPr>
              <w:jc w:val="right"/>
              <w:spacing w:after="0" w:line="202" w:lineRule="exact"/>
              <w:rPr>
                <w:sz w:val="20"/>
                <w:szCs w:val="20"/>
                <w:color w:val="auto"/>
              </w:rPr>
            </w:pPr>
            <w:r>
              <w:rPr>
                <w:rFonts w:ascii="Arial" w:cs="Arial" w:eastAsia="Arial" w:hAnsi="Arial"/>
                <w:sz w:val="18"/>
                <w:szCs w:val="18"/>
                <w:color w:val="auto"/>
              </w:rPr>
              <w:t>$ 22.0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gridSpan w:val="5"/>
          </w:tcPr>
          <w:p>
            <w:pPr>
              <w:jc w:val="right"/>
              <w:spacing w:after="0" w:line="202" w:lineRule="exact"/>
              <w:rPr>
                <w:sz w:val="20"/>
                <w:szCs w:val="20"/>
                <w:color w:val="auto"/>
              </w:rPr>
            </w:pPr>
            <w:r>
              <w:rPr>
                <w:rFonts w:ascii="Arial" w:cs="Arial" w:eastAsia="Arial" w:hAnsi="Arial"/>
                <w:sz w:val="18"/>
                <w:szCs w:val="18"/>
                <w:color w:val="auto"/>
              </w:rPr>
              <w:t>$ 46.3</w:t>
            </w:r>
          </w:p>
        </w:tc>
        <w:tc>
          <w:tcPr>
            <w:tcW w:w="280" w:type="dxa"/>
            <w:vAlign w:val="bottom"/>
          </w:tcPr>
          <w:p>
            <w:pPr>
              <w:spacing w:after="0"/>
              <w:rPr>
                <w:sz w:val="17"/>
                <w:szCs w:val="17"/>
                <w:color w:val="auto"/>
              </w:rPr>
            </w:pPr>
          </w:p>
        </w:tc>
        <w:tc>
          <w:tcPr>
            <w:tcW w:w="620" w:type="dxa"/>
            <w:vAlign w:val="bottom"/>
            <w:gridSpan w:val="5"/>
          </w:tcPr>
          <w:p>
            <w:pPr>
              <w:jc w:val="right"/>
              <w:spacing w:after="0" w:line="202" w:lineRule="exact"/>
              <w:rPr>
                <w:sz w:val="20"/>
                <w:szCs w:val="20"/>
                <w:color w:val="auto"/>
              </w:rPr>
            </w:pPr>
            <w:r>
              <w:rPr>
                <w:rFonts w:ascii="Arial" w:cs="Arial" w:eastAsia="Arial" w:hAnsi="Arial"/>
                <w:sz w:val="18"/>
                <w:szCs w:val="18"/>
                <w:color w:val="auto"/>
              </w:rPr>
              <w:t>$ 21.7</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Prior service cost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4"/>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gridSpan w:val="4"/>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(1.1)</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560" w:type="dxa"/>
            <w:vAlign w:val="bottom"/>
            <w:gridSpan w:val="2"/>
          </w:tcPr>
          <w:p>
            <w:pPr>
              <w:ind w:left="700"/>
              <w:spacing w:after="0"/>
              <w:rPr>
                <w:sz w:val="20"/>
                <w:szCs w:val="20"/>
                <w:color w:val="auto"/>
              </w:rPr>
            </w:pPr>
            <w:r>
              <w:rPr>
                <w:rFonts w:ascii="Arial" w:cs="Arial" w:eastAsia="Arial" w:hAnsi="Arial"/>
                <w:sz w:val="18"/>
                <w:szCs w:val="18"/>
                <w:color w:val="auto"/>
              </w:rPr>
              <w:t>Net amount recognized</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$ 37.7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w w:val="95"/>
              </w:rPr>
              <w:t>$ 22.0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5"/>
              </w:rPr>
              <w:t>$ 45.2</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5"/>
              </w:rPr>
              <w:t>$ 20.6</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700" w:type="dxa"/>
            <w:vAlign w:val="bottom"/>
          </w:tcPr>
          <w:p>
            <w:pPr>
              <w:spacing w:after="0"/>
              <w:rPr>
                <w:sz w:val="14"/>
                <w:szCs w:val="14"/>
                <w:color w:val="auto"/>
              </w:rPr>
            </w:pPr>
          </w:p>
        </w:tc>
        <w:tc>
          <w:tcPr>
            <w:tcW w:w="5980" w:type="dxa"/>
            <w:vAlign w:val="bottom"/>
            <w:gridSpan w:val="8"/>
            <w:shd w:val="clear" w:color="auto" w:fill="CCEEFF"/>
          </w:tcPr>
          <w:p>
            <w:pPr>
              <w:spacing w:after="0" w:line="172" w:lineRule="exact"/>
              <w:rPr>
                <w:sz w:val="20"/>
                <w:szCs w:val="20"/>
                <w:color w:val="auto"/>
              </w:rPr>
            </w:pPr>
            <w:r>
              <w:rPr>
                <w:rFonts w:ascii="Arial" w:cs="Arial" w:eastAsia="Arial" w:hAnsi="Arial"/>
                <w:sz w:val="18"/>
                <w:szCs w:val="18"/>
                <w:b w:val="1"/>
                <w:bCs w:val="1"/>
                <w:color w:val="auto"/>
              </w:rPr>
              <w:t>Amounts in accumulated other comprehensive loss expected to be</w:t>
            </w:r>
          </w:p>
        </w:tc>
        <w:tc>
          <w:tcPr>
            <w:tcW w:w="3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580" w:type="dxa"/>
            <w:vAlign w:val="bottom"/>
            <w:gridSpan w:val="10"/>
            <w:shd w:val="clear" w:color="auto" w:fill="CCEEFF"/>
          </w:tcPr>
          <w:p>
            <w:pPr>
              <w:ind w:left="180"/>
              <w:spacing w:after="0" w:line="202" w:lineRule="exact"/>
              <w:rPr>
                <w:sz w:val="20"/>
                <w:szCs w:val="20"/>
                <w:color w:val="auto"/>
              </w:rPr>
            </w:pPr>
            <w:r>
              <w:rPr>
                <w:rFonts w:ascii="Arial" w:cs="Arial" w:eastAsia="Arial" w:hAnsi="Arial"/>
                <w:sz w:val="18"/>
                <w:szCs w:val="18"/>
                <w:b w:val="1"/>
                <w:bCs w:val="1"/>
                <w:color w:val="auto"/>
              </w:rPr>
              <w:t>recognized as components of net periodic benefit cost in fiscal 2009 are</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700" w:type="dxa"/>
            <w:vAlign w:val="bottom"/>
          </w:tcPr>
          <w:p>
            <w:pPr>
              <w:spacing w:after="0"/>
              <w:rPr>
                <w:sz w:val="19"/>
                <w:szCs w:val="19"/>
                <w:color w:val="auto"/>
              </w:rPr>
            </w:pPr>
          </w:p>
        </w:tc>
        <w:tc>
          <w:tcPr>
            <w:tcW w:w="48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as follows:</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60" w:type="dxa"/>
            <w:vAlign w:val="bottom"/>
          </w:tcPr>
          <w:p>
            <w:pPr>
              <w:spacing w:after="0" w:line="202" w:lineRule="exact"/>
              <w:rPr>
                <w:sz w:val="20"/>
                <w:szCs w:val="20"/>
                <w:color w:val="auto"/>
              </w:rPr>
            </w:pPr>
            <w:r>
              <w:rPr>
                <w:rFonts w:ascii="Arial" w:cs="Arial" w:eastAsia="Arial" w:hAnsi="Arial"/>
                <w:sz w:val="18"/>
                <w:szCs w:val="18"/>
                <w:color w:val="auto"/>
              </w:rPr>
              <w:t>Actuarial loss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3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3.0</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gridSpan w:val="3"/>
          </w:tcPr>
          <w:p>
            <w:pPr>
              <w:ind w:left="160"/>
              <w:spacing w:after="0" w:line="202" w:lineRule="exact"/>
              <w:rPr>
                <w:sz w:val="20"/>
                <w:szCs w:val="20"/>
                <w:color w:val="auto"/>
              </w:rPr>
            </w:pPr>
            <w:r>
              <w:rPr>
                <w:rFonts w:ascii="Arial" w:cs="Arial" w:eastAsia="Arial" w:hAnsi="Arial"/>
                <w:sz w:val="18"/>
                <w:szCs w:val="18"/>
                <w:color w:val="auto"/>
                <w:w w:val="79"/>
              </w:rPr>
              <w:t>$</w:t>
            </w:r>
          </w:p>
        </w:tc>
        <w:tc>
          <w:tcPr>
            <w:tcW w:w="500" w:type="dxa"/>
            <w:vAlign w:val="bottom"/>
            <w:gridSpan w:val="4"/>
          </w:tcPr>
          <w:p>
            <w:pPr>
              <w:jc w:val="right"/>
              <w:ind w:right="100"/>
              <w:spacing w:after="0" w:line="202" w:lineRule="exact"/>
              <w:rPr>
                <w:sz w:val="20"/>
                <w:szCs w:val="20"/>
                <w:color w:val="auto"/>
              </w:rPr>
            </w:pPr>
            <w:r>
              <w:rPr>
                <w:rFonts w:ascii="Arial" w:cs="Arial" w:eastAsia="Arial" w:hAnsi="Arial"/>
                <w:sz w:val="18"/>
                <w:szCs w:val="18"/>
                <w:color w:val="auto"/>
              </w:rPr>
              <w:t>1.3</w:t>
            </w:r>
          </w:p>
        </w:tc>
        <w:tc>
          <w:tcPr>
            <w:tcW w:w="20" w:type="dxa"/>
            <w:vAlign w:val="bottom"/>
          </w:tcPr>
          <w:p>
            <w:pPr>
              <w:spacing w:after="0"/>
              <w:rPr>
                <w:sz w:val="17"/>
                <w:szCs w:val="17"/>
                <w:color w:val="auto"/>
              </w:rPr>
            </w:pPr>
          </w:p>
        </w:tc>
        <w:tc>
          <w:tcPr>
            <w:tcW w:w="3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2.4</w:t>
            </w:r>
          </w:p>
        </w:tc>
        <w:tc>
          <w:tcPr>
            <w:tcW w:w="280" w:type="dxa"/>
            <w:vAlign w:val="bottom"/>
          </w:tcPr>
          <w:p>
            <w:pPr>
              <w:spacing w:after="0"/>
              <w:rPr>
                <w:sz w:val="17"/>
                <w:szCs w:val="17"/>
                <w:color w:val="auto"/>
              </w:rPr>
            </w:pPr>
          </w:p>
        </w:tc>
        <w:tc>
          <w:tcPr>
            <w:tcW w:w="220" w:type="dxa"/>
            <w:vAlign w:val="bottom"/>
            <w:gridSpan w:val="3"/>
          </w:tcPr>
          <w:p>
            <w:pPr>
              <w:ind w:left="120"/>
              <w:spacing w:after="0" w:line="202" w:lineRule="exact"/>
              <w:rPr>
                <w:sz w:val="20"/>
                <w:szCs w:val="20"/>
                <w:color w:val="auto"/>
              </w:rPr>
            </w:pPr>
            <w:r>
              <w:rPr>
                <w:rFonts w:ascii="Arial" w:cs="Arial" w:eastAsia="Arial" w:hAnsi="Arial"/>
                <w:sz w:val="18"/>
                <w:szCs w:val="18"/>
                <w:color w:val="auto"/>
                <w:w w:val="79"/>
              </w:rPr>
              <w:t>$</w:t>
            </w: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0.6</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Prior service cost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4"/>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gridSpan w:val="4"/>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(0.1)</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560" w:type="dxa"/>
            <w:vAlign w:val="bottom"/>
            <w:gridSpan w:val="2"/>
          </w:tcPr>
          <w:p>
            <w:pPr>
              <w:ind w:left="700"/>
              <w:spacing w:after="0"/>
              <w:rPr>
                <w:sz w:val="20"/>
                <w:szCs w:val="20"/>
                <w:color w:val="auto"/>
              </w:rPr>
            </w:pPr>
            <w:r>
              <w:rPr>
                <w:rFonts w:ascii="Arial" w:cs="Arial" w:eastAsia="Arial" w:hAnsi="Arial"/>
                <w:sz w:val="18"/>
                <w:szCs w:val="18"/>
                <w:b w:val="1"/>
                <w:bCs w:val="1"/>
                <w:color w:val="auto"/>
              </w:rPr>
              <w:t>Amount to be amortized into net periodic benefit cost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0"/>
        </w:trPr>
        <w:tc>
          <w:tcPr>
            <w:tcW w:w="70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gridSpan w:val="12"/>
          </w:tcPr>
          <w:p>
            <w:pPr>
              <w:ind w:left="20"/>
              <w:spacing w:after="0"/>
              <w:rPr>
                <w:sz w:val="20"/>
                <w:szCs w:val="20"/>
                <w:color w:val="auto"/>
              </w:rPr>
            </w:pPr>
            <w:r>
              <w:rPr>
                <w:rFonts w:ascii="Arial" w:cs="Arial" w:eastAsia="Arial" w:hAnsi="Arial"/>
                <w:sz w:val="16"/>
                <w:szCs w:val="16"/>
                <w:color w:val="auto"/>
              </w:rPr>
              <w:t>Curtailed Defined</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9"/>
          </w:tcPr>
          <w:p>
            <w:pPr>
              <w:ind w:left="100"/>
              <w:spacing w:after="0"/>
              <w:rPr>
                <w:sz w:val="20"/>
                <w:szCs w:val="20"/>
                <w:color w:val="auto"/>
              </w:rPr>
            </w:pPr>
            <w:r>
              <w:rPr>
                <w:rFonts w:ascii="Arial" w:cs="Arial" w:eastAsia="Arial" w:hAnsi="Arial"/>
                <w:sz w:val="16"/>
                <w:szCs w:val="16"/>
                <w:color w:val="auto"/>
              </w:rPr>
              <w:t>International</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70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11"/>
          </w:tcPr>
          <w:p>
            <w:pPr>
              <w:ind w:left="40"/>
              <w:spacing w:after="0"/>
              <w:rPr>
                <w:sz w:val="20"/>
                <w:szCs w:val="20"/>
                <w:color w:val="auto"/>
              </w:rPr>
            </w:pPr>
            <w:r>
              <w:rPr>
                <w:rFonts w:ascii="Arial" w:cs="Arial" w:eastAsia="Arial" w:hAnsi="Arial"/>
                <w:sz w:val="16"/>
                <w:szCs w:val="16"/>
                <w:color w:val="auto"/>
              </w:rPr>
              <w:t>Benefit Plans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9"/>
          </w:tcPr>
          <w:p>
            <w:pPr>
              <w:jc w:val="right"/>
              <w:ind w:right="360"/>
              <w:spacing w:after="0"/>
              <w:rPr>
                <w:sz w:val="20"/>
                <w:szCs w:val="20"/>
                <w:color w:val="auto"/>
              </w:rPr>
            </w:pPr>
            <w:r>
              <w:rPr>
                <w:rFonts w:ascii="Arial" w:cs="Arial" w:eastAsia="Arial" w:hAnsi="Arial"/>
                <w:sz w:val="16"/>
                <w:szCs w:val="16"/>
                <w:color w:val="auto"/>
              </w:rPr>
              <w:t>Benefit Plans</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00" w:type="dxa"/>
            <w:vAlign w:val="bottom"/>
          </w:tcPr>
          <w:p>
            <w:pPr>
              <w:spacing w:after="0"/>
              <w:rPr>
                <w:sz w:val="18"/>
                <w:szCs w:val="18"/>
                <w:color w:val="auto"/>
              </w:rPr>
            </w:pPr>
          </w:p>
        </w:tc>
        <w:tc>
          <w:tcPr>
            <w:tcW w:w="48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gridSpan w:val="2"/>
          </w:tcPr>
          <w:p>
            <w:pPr>
              <w:spacing w:after="0"/>
              <w:rPr>
                <w:sz w:val="18"/>
                <w:szCs w:val="18"/>
                <w:color w:val="auto"/>
              </w:rPr>
            </w:pPr>
          </w:p>
        </w:tc>
        <w:tc>
          <w:tcPr>
            <w:tcW w:w="5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color w:val="auto"/>
              </w:rPr>
              <w:t>2008</w:t>
            </w:r>
          </w:p>
        </w:tc>
        <w:tc>
          <w:tcPr>
            <w:tcW w:w="2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6"/>
                <w:szCs w:val="16"/>
                <w:color w:val="auto"/>
              </w:rPr>
              <w:t>2007</w:t>
            </w:r>
          </w:p>
        </w:tc>
        <w:tc>
          <w:tcPr>
            <w:tcW w:w="40" w:type="dxa"/>
            <w:vAlign w:val="bottom"/>
            <w:tcBorders>
              <w:top w:val="single" w:sz="8" w:color="auto"/>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4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6"/>
                <w:szCs w:val="16"/>
                <w:color w:val="auto"/>
              </w:rPr>
              <w:t>2008</w:t>
            </w:r>
          </w:p>
        </w:tc>
        <w:tc>
          <w:tcPr>
            <w:tcW w:w="6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6"/>
                <w:szCs w:val="16"/>
                <w:color w:val="auto"/>
              </w:rPr>
              <w:t>2007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
        </w:trPr>
        <w:tc>
          <w:tcPr>
            <w:tcW w:w="700" w:type="dxa"/>
            <w:vAlign w:val="bottom"/>
            <w:vMerge w:val="restart"/>
          </w:tcPr>
          <w:p>
            <w:pPr>
              <w:spacing w:after="0"/>
              <w:rPr>
                <w:sz w:val="3"/>
                <w:szCs w:val="3"/>
                <w:color w:val="auto"/>
              </w:rPr>
            </w:pPr>
          </w:p>
        </w:tc>
        <w:tc>
          <w:tcPr>
            <w:tcW w:w="4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700" w:type="dxa"/>
            <w:vAlign w:val="bottom"/>
            <w:vMerge w:val="continue"/>
          </w:tcPr>
          <w:p>
            <w:pPr>
              <w:spacing w:after="0"/>
              <w:rPr>
                <w:sz w:val="15"/>
                <w:szCs w:val="15"/>
                <w:color w:val="auto"/>
              </w:rPr>
            </w:pPr>
          </w:p>
        </w:tc>
        <w:tc>
          <w:tcPr>
            <w:tcW w:w="6580" w:type="dxa"/>
            <w:vAlign w:val="bottom"/>
            <w:gridSpan w:val="10"/>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Weighted average assumptions used in development of projected benefit</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700" w:type="dxa"/>
            <w:vAlign w:val="bottom"/>
          </w:tcPr>
          <w:p>
            <w:pPr>
              <w:spacing w:after="0"/>
              <w:rPr>
                <w:sz w:val="19"/>
                <w:szCs w:val="19"/>
                <w:color w:val="auto"/>
              </w:rPr>
            </w:pPr>
          </w:p>
        </w:tc>
        <w:tc>
          <w:tcPr>
            <w:tcW w:w="48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obligation</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60" w:type="dxa"/>
            <w:vAlign w:val="bottom"/>
          </w:tcPr>
          <w:p>
            <w:pPr>
              <w:spacing w:after="0" w:line="202" w:lineRule="exact"/>
              <w:rPr>
                <w:sz w:val="20"/>
                <w:szCs w:val="20"/>
                <w:color w:val="auto"/>
              </w:rPr>
            </w:pPr>
            <w:r>
              <w:rPr>
                <w:rFonts w:ascii="Arial" w:cs="Arial" w:eastAsia="Arial" w:hAnsi="Arial"/>
                <w:sz w:val="18"/>
                <w:szCs w:val="18"/>
                <w:color w:val="auto"/>
              </w:rPr>
              <w:t>Discount rate</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8"/>
          </w:tcPr>
          <w:p>
            <w:pPr>
              <w:ind w:left="200"/>
              <w:spacing w:after="0" w:line="202" w:lineRule="exact"/>
              <w:rPr>
                <w:sz w:val="20"/>
                <w:szCs w:val="20"/>
                <w:color w:val="auto"/>
              </w:rPr>
            </w:pPr>
            <w:r>
              <w:rPr>
                <w:rFonts w:ascii="Arial" w:cs="Arial" w:eastAsia="Arial" w:hAnsi="Arial"/>
                <w:sz w:val="18"/>
                <w:szCs w:val="18"/>
                <w:color w:val="auto"/>
              </w:rPr>
              <w:t>6.46%</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5"/>
          </w:tcPr>
          <w:p>
            <w:pPr>
              <w:jc w:val="right"/>
              <w:spacing w:after="0" w:line="202" w:lineRule="exact"/>
              <w:rPr>
                <w:sz w:val="20"/>
                <w:szCs w:val="20"/>
                <w:color w:val="auto"/>
              </w:rPr>
            </w:pPr>
            <w:r>
              <w:rPr>
                <w:rFonts w:ascii="Arial" w:cs="Arial" w:eastAsia="Arial" w:hAnsi="Arial"/>
                <w:sz w:val="18"/>
                <w:szCs w:val="18"/>
                <w:color w:val="auto"/>
                <w:w w:val="97"/>
              </w:rPr>
              <w:t>6.11%</w:t>
            </w:r>
          </w:p>
        </w:tc>
        <w:tc>
          <w:tcPr>
            <w:tcW w:w="1040" w:type="dxa"/>
            <w:vAlign w:val="bottom"/>
            <w:gridSpan w:val="6"/>
          </w:tcPr>
          <w:p>
            <w:pPr>
              <w:jc w:val="right"/>
              <w:ind w:right="160"/>
              <w:spacing w:after="0" w:line="202" w:lineRule="exact"/>
              <w:rPr>
                <w:sz w:val="20"/>
                <w:szCs w:val="20"/>
                <w:color w:val="auto"/>
              </w:rPr>
            </w:pPr>
            <w:r>
              <w:rPr>
                <w:rFonts w:ascii="Arial" w:cs="Arial" w:eastAsia="Arial" w:hAnsi="Arial"/>
                <w:sz w:val="18"/>
                <w:szCs w:val="18"/>
                <w:color w:val="auto"/>
              </w:rPr>
              <w:t>6.06%</w:t>
            </w:r>
          </w:p>
        </w:tc>
        <w:tc>
          <w:tcPr>
            <w:tcW w:w="720" w:type="dxa"/>
            <w:vAlign w:val="bottom"/>
            <w:gridSpan w:val="6"/>
          </w:tcPr>
          <w:p>
            <w:pPr>
              <w:jc w:val="right"/>
              <w:ind w:right="20"/>
              <w:spacing w:after="0" w:line="202" w:lineRule="exact"/>
              <w:rPr>
                <w:sz w:val="20"/>
                <w:szCs w:val="20"/>
                <w:color w:val="auto"/>
              </w:rPr>
            </w:pPr>
            <w:r>
              <w:rPr>
                <w:rFonts w:ascii="Arial" w:cs="Arial" w:eastAsia="Arial" w:hAnsi="Arial"/>
                <w:sz w:val="18"/>
                <w:szCs w:val="18"/>
                <w:color w:val="auto"/>
              </w:rPr>
              <w:t>5.67%</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Rate of compensation increase</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4"/>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w w:val="95"/>
              </w:rPr>
              <w:t>n/a</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gridSpan w:val="4"/>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n/a</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gridSpan w:val="3"/>
            <w:shd w:val="clear" w:color="auto" w:fill="CCEEFF"/>
          </w:tcPr>
          <w:p>
            <w:pPr>
              <w:ind w:left="80"/>
              <w:spacing w:after="0" w:line="202" w:lineRule="exact"/>
              <w:rPr>
                <w:sz w:val="20"/>
                <w:szCs w:val="20"/>
                <w:color w:val="auto"/>
              </w:rPr>
            </w:pPr>
            <w:r>
              <w:rPr>
                <w:rFonts w:ascii="Arial" w:cs="Arial" w:eastAsia="Arial" w:hAnsi="Arial"/>
                <w:sz w:val="18"/>
                <w:szCs w:val="18"/>
                <w:color w:val="auto"/>
                <w:w w:val="97"/>
              </w:rPr>
              <w:t>3.5%</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4"/>
        </w:trPr>
        <w:tc>
          <w:tcPr>
            <w:tcW w:w="70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gridSpan w:val="9"/>
          </w:tcPr>
          <w:p>
            <w:pPr>
              <w:jc w:val="right"/>
              <w:ind w:right="36"/>
              <w:spacing w:after="0"/>
              <w:rPr>
                <w:sz w:val="20"/>
                <w:szCs w:val="20"/>
                <w:color w:val="auto"/>
              </w:rPr>
            </w:pPr>
            <w:r>
              <w:rPr>
                <w:rFonts w:ascii="Arial" w:cs="Arial" w:eastAsia="Arial" w:hAnsi="Arial"/>
                <w:sz w:val="16"/>
                <w:szCs w:val="16"/>
                <w:color w:val="auto"/>
              </w:rPr>
              <w:t>Curtailed Defined</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gridSpan w:val="6"/>
          </w:tcPr>
          <w:p>
            <w:pPr>
              <w:jc w:val="center"/>
              <w:ind w:right="100"/>
              <w:spacing w:after="0"/>
              <w:rPr>
                <w:sz w:val="20"/>
                <w:szCs w:val="20"/>
                <w:color w:val="auto"/>
              </w:rPr>
            </w:pPr>
            <w:r>
              <w:rPr>
                <w:rFonts w:ascii="Arial" w:cs="Arial" w:eastAsia="Arial" w:hAnsi="Arial"/>
                <w:sz w:val="16"/>
                <w:szCs w:val="16"/>
                <w:color w:val="auto"/>
              </w:rPr>
              <w:t>International</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70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6"/>
                <w:szCs w:val="16"/>
                <w:color w:val="auto"/>
              </w:rPr>
              <w:t>Benefit Plan</w:t>
            </w: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7"/>
          </w:tcPr>
          <w:p>
            <w:pPr>
              <w:jc w:val="center"/>
              <w:ind w:right="80"/>
              <w:spacing w:after="0"/>
              <w:rPr>
                <w:sz w:val="20"/>
                <w:szCs w:val="20"/>
                <w:color w:val="auto"/>
              </w:rPr>
            </w:pPr>
            <w:r>
              <w:rPr>
                <w:rFonts w:ascii="Arial" w:cs="Arial" w:eastAsia="Arial" w:hAnsi="Arial"/>
                <w:sz w:val="16"/>
                <w:szCs w:val="16"/>
                <w:color w:val="auto"/>
                <w:w w:val="99"/>
              </w:rPr>
              <w:t>Benefit Plans</w:t>
            </w: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00" w:type="dxa"/>
            <w:vAlign w:val="bottom"/>
          </w:tcPr>
          <w:p>
            <w:pPr>
              <w:spacing w:after="0"/>
              <w:rPr>
                <w:sz w:val="18"/>
                <w:szCs w:val="18"/>
                <w:color w:val="auto"/>
              </w:rPr>
            </w:pPr>
          </w:p>
        </w:tc>
        <w:tc>
          <w:tcPr>
            <w:tcW w:w="48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2008</w:t>
            </w: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2007</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7"/>
          </w:tcPr>
          <w:p>
            <w:pPr>
              <w:jc w:val="right"/>
              <w:ind w:right="40"/>
              <w:spacing w:after="0"/>
              <w:rPr>
                <w:sz w:val="20"/>
                <w:szCs w:val="20"/>
                <w:color w:val="auto"/>
              </w:rPr>
            </w:pPr>
            <w:r>
              <w:rPr>
                <w:rFonts w:ascii="Arial" w:cs="Arial" w:eastAsia="Arial" w:hAnsi="Arial"/>
                <w:sz w:val="16"/>
                <w:szCs w:val="16"/>
                <w:color w:val="auto"/>
              </w:rPr>
              <w:t>2006</w:t>
            </w: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color w:val="auto"/>
              </w:rPr>
              <w:t>2008</w:t>
            </w: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4"/>
          </w:tcPr>
          <w:p>
            <w:pPr>
              <w:jc w:val="center"/>
              <w:ind w:left="133"/>
              <w:spacing w:after="0"/>
              <w:rPr>
                <w:sz w:val="20"/>
                <w:szCs w:val="20"/>
                <w:color w:val="auto"/>
              </w:rPr>
            </w:pPr>
            <w:r>
              <w:rPr>
                <w:rFonts w:ascii="Arial" w:cs="Arial" w:eastAsia="Arial" w:hAnsi="Arial"/>
                <w:sz w:val="16"/>
                <w:szCs w:val="16"/>
                <w:color w:val="auto"/>
              </w:rPr>
              <w:t>2007</w:t>
            </w:r>
          </w:p>
        </w:tc>
        <w:tc>
          <w:tcPr>
            <w:tcW w:w="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4"/>
          </w:tcPr>
          <w:p>
            <w:pPr>
              <w:ind w:left="140"/>
              <w:spacing w:after="0"/>
              <w:rPr>
                <w:sz w:val="20"/>
                <w:szCs w:val="20"/>
                <w:color w:val="auto"/>
              </w:rPr>
            </w:pPr>
            <w:r>
              <w:rPr>
                <w:rFonts w:ascii="Arial" w:cs="Arial" w:eastAsia="Arial" w:hAnsi="Arial"/>
                <w:sz w:val="16"/>
                <w:szCs w:val="16"/>
                <w:color w:val="auto"/>
              </w:rPr>
              <w:t>2006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
        </w:trPr>
        <w:tc>
          <w:tcPr>
            <w:tcW w:w="700" w:type="dxa"/>
            <w:vAlign w:val="bottom"/>
            <w:vMerge w:val="restart"/>
          </w:tcPr>
          <w:p>
            <w:pPr>
              <w:spacing w:after="0"/>
              <w:rPr>
                <w:sz w:val="3"/>
                <w:szCs w:val="3"/>
                <w:color w:val="auto"/>
              </w:rPr>
            </w:pPr>
          </w:p>
        </w:tc>
        <w:tc>
          <w:tcPr>
            <w:tcW w:w="4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700" w:type="dxa"/>
            <w:vAlign w:val="bottom"/>
            <w:vMerge w:val="continue"/>
          </w:tcPr>
          <w:p>
            <w:pPr>
              <w:spacing w:after="0"/>
              <w:rPr>
                <w:sz w:val="17"/>
                <w:szCs w:val="17"/>
                <w:color w:val="auto"/>
              </w:rPr>
            </w:pPr>
          </w:p>
        </w:tc>
        <w:tc>
          <w:tcPr>
            <w:tcW w:w="48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Components of net periodic benefit cost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60" w:type="dxa"/>
            <w:vAlign w:val="bottom"/>
          </w:tcPr>
          <w:p>
            <w:pPr>
              <w:spacing w:after="0" w:line="202" w:lineRule="exact"/>
              <w:rPr>
                <w:sz w:val="20"/>
                <w:szCs w:val="20"/>
                <w:color w:val="auto"/>
              </w:rPr>
            </w:pPr>
            <w:r>
              <w:rPr>
                <w:rFonts w:ascii="Arial" w:cs="Arial" w:eastAsia="Arial" w:hAnsi="Arial"/>
                <w:sz w:val="18"/>
                <w:szCs w:val="18"/>
                <w:color w:val="auto"/>
              </w:rPr>
              <w:t>Service cost</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480" w:type="dxa"/>
            <w:vAlign w:val="bottom"/>
            <w:gridSpan w:val="2"/>
          </w:tcPr>
          <w:p>
            <w:pPr>
              <w:jc w:val="right"/>
              <w:ind w:right="99"/>
              <w:spacing w:after="0" w:line="202" w:lineRule="exact"/>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80" w:type="dxa"/>
            <w:vAlign w:val="bottom"/>
            <w:gridSpan w:val="4"/>
          </w:tcPr>
          <w:p>
            <w:pPr>
              <w:ind w:left="160"/>
              <w:spacing w:after="0" w:line="202" w:lineRule="exact"/>
              <w:rPr>
                <w:sz w:val="20"/>
                <w:szCs w:val="20"/>
                <w:color w:val="auto"/>
              </w:rPr>
            </w:pPr>
            <w:r>
              <w:rPr>
                <w:rFonts w:ascii="Arial" w:cs="Arial" w:eastAsia="Arial" w:hAnsi="Arial"/>
                <w:sz w:val="18"/>
                <w:szCs w:val="18"/>
                <w:color w:val="auto"/>
                <w:w w:val="99"/>
              </w:rPr>
              <w:t>$</w:t>
            </w:r>
          </w:p>
        </w:tc>
        <w:tc>
          <w:tcPr>
            <w:tcW w:w="640" w:type="dxa"/>
            <w:vAlign w:val="bottom"/>
            <w:gridSpan w:val="4"/>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2.8</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3.9</w:t>
            </w:r>
          </w:p>
        </w:tc>
        <w:tc>
          <w:tcPr>
            <w:tcW w:w="280" w:type="dxa"/>
            <w:vAlign w:val="bottom"/>
          </w:tcPr>
          <w:p>
            <w:pPr>
              <w:spacing w:after="0"/>
              <w:rPr>
                <w:sz w:val="17"/>
                <w:szCs w:val="17"/>
                <w:color w:val="auto"/>
              </w:rPr>
            </w:pPr>
          </w:p>
        </w:tc>
        <w:tc>
          <w:tcPr>
            <w:tcW w:w="2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ind w:left="80"/>
              <w:spacing w:after="0" w:line="202" w:lineRule="exact"/>
              <w:rPr>
                <w:sz w:val="20"/>
                <w:szCs w:val="20"/>
                <w:color w:val="auto"/>
              </w:rPr>
            </w:pPr>
            <w:r>
              <w:rPr>
                <w:rFonts w:ascii="Arial" w:cs="Arial" w:eastAsia="Arial" w:hAnsi="Arial"/>
                <w:sz w:val="18"/>
                <w:szCs w:val="18"/>
                <w:color w:val="auto"/>
                <w:w w:val="87"/>
              </w:rPr>
              <w:t>4.2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cost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5.4</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5.3</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4"/>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5.2</w:t>
            </w:r>
          </w:p>
        </w:tc>
        <w:tc>
          <w:tcPr>
            <w:tcW w:w="58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9.2</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w w:val="87"/>
              </w:rPr>
              <w:t>7.7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60" w:type="dxa"/>
            <w:vAlign w:val="bottom"/>
          </w:tcPr>
          <w:p>
            <w:pPr>
              <w:spacing w:after="0" w:line="202" w:lineRule="exact"/>
              <w:rPr>
                <w:sz w:val="20"/>
                <w:szCs w:val="20"/>
                <w:color w:val="auto"/>
              </w:rPr>
            </w:pPr>
            <w:r>
              <w:rPr>
                <w:rFonts w:ascii="Arial" w:cs="Arial" w:eastAsia="Arial" w:hAnsi="Arial"/>
                <w:sz w:val="18"/>
                <w:szCs w:val="18"/>
                <w:color w:val="auto"/>
              </w:rPr>
              <w:t>Expected return on plan assets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gridSpan w:val="3"/>
          </w:tcPr>
          <w:p>
            <w:pPr>
              <w:jc w:val="right"/>
              <w:ind w:right="39"/>
              <w:spacing w:after="0" w:line="202" w:lineRule="exact"/>
              <w:rPr>
                <w:sz w:val="20"/>
                <w:szCs w:val="20"/>
                <w:color w:val="auto"/>
              </w:rPr>
            </w:pPr>
            <w:r>
              <w:rPr>
                <w:rFonts w:ascii="Arial" w:cs="Arial" w:eastAsia="Arial" w:hAnsi="Arial"/>
                <w:sz w:val="18"/>
                <w:szCs w:val="18"/>
                <w:color w:val="auto"/>
              </w:rPr>
              <w:t>(6.2)</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(5.6)</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4"/>
          </w:tcPr>
          <w:p>
            <w:pPr>
              <w:jc w:val="right"/>
              <w:ind w:right="240"/>
              <w:spacing w:after="0" w:line="202" w:lineRule="exact"/>
              <w:rPr>
                <w:sz w:val="20"/>
                <w:szCs w:val="20"/>
                <w:color w:val="auto"/>
              </w:rPr>
            </w:pPr>
            <w:r>
              <w:rPr>
                <w:rFonts w:ascii="Arial" w:cs="Arial" w:eastAsia="Arial" w:hAnsi="Arial"/>
                <w:sz w:val="18"/>
                <w:szCs w:val="18"/>
                <w:color w:val="auto"/>
              </w:rPr>
              <w:t>(5.5)</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w w:val="97"/>
              </w:rPr>
              <w:t>(9.3)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7"/>
              </w:rPr>
              <w:t>(8.2)</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97"/>
              </w:rPr>
              <w:t>(7.0)</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amortization</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2.1</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4"/>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0.4</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2.1</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w w:val="87"/>
              </w:rPr>
              <w:t>2.0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560" w:type="dxa"/>
            <w:vAlign w:val="bottom"/>
            <w:gridSpan w:val="2"/>
          </w:tcPr>
          <w:p>
            <w:pPr>
              <w:ind w:left="700"/>
              <w:spacing w:after="0"/>
              <w:rPr>
                <w:sz w:val="20"/>
                <w:szCs w:val="20"/>
                <w:color w:val="auto"/>
              </w:rPr>
            </w:pPr>
            <w:r>
              <w:rPr>
                <w:rFonts w:ascii="Arial" w:cs="Arial" w:eastAsia="Arial" w:hAnsi="Arial"/>
                <w:sz w:val="18"/>
                <w:szCs w:val="18"/>
                <w:color w:val="auto"/>
              </w:rPr>
              <w:t>Net periodic benefit cost</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color w:val="auto"/>
                <w:w w:val="87"/>
              </w:rPr>
              <w:t>1.9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w w:val="87"/>
              </w:rPr>
              <w:t>6.9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Curtailment/settlement loss (gain)</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99"/>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4"/>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0.1</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0.6</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w w:val="97"/>
              </w:rPr>
              <w:t>(1.1)</w:t>
            </w:r>
          </w:p>
        </w:tc>
        <w:tc>
          <w:tcPr>
            <w:tcW w:w="100" w:type="dxa"/>
            <w:vAlign w:val="bottom"/>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560" w:type="dxa"/>
            <w:vAlign w:val="bottom"/>
            <w:gridSpan w:val="2"/>
          </w:tcPr>
          <w:p>
            <w:pPr>
              <w:ind w:left="700"/>
              <w:spacing w:after="0"/>
              <w:rPr>
                <w:sz w:val="20"/>
                <w:szCs w:val="20"/>
                <w:color w:val="auto"/>
              </w:rPr>
            </w:pPr>
            <w:r>
              <w:rPr>
                <w:rFonts w:ascii="Arial" w:cs="Arial" w:eastAsia="Arial" w:hAnsi="Arial"/>
                <w:sz w:val="18"/>
                <w:szCs w:val="18"/>
                <w:color w:val="auto"/>
              </w:rPr>
              <w:t>Total benefit cost</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8"/>
                <w:szCs w:val="18"/>
                <w:color w:val="auto"/>
              </w:rPr>
            </w:pPr>
          </w:p>
        </w:tc>
        <w:tc>
          <w:tcPr>
            <w:tcW w:w="160" w:type="dxa"/>
            <w:vAlign w:val="bottom"/>
            <w:gridSpan w:val="3"/>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w w:val="87"/>
              </w:rPr>
              <w:t>1.9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7"/>
              </w:rPr>
              <w:t>5.8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700" w:type="dxa"/>
            <w:vAlign w:val="bottom"/>
          </w:tcPr>
          <w:p>
            <w:pPr>
              <w:spacing w:after="0"/>
              <w:rPr>
                <w:sz w:val="14"/>
                <w:szCs w:val="14"/>
                <w:color w:val="auto"/>
              </w:rPr>
            </w:pPr>
          </w:p>
        </w:tc>
        <w:tc>
          <w:tcPr>
            <w:tcW w:w="4860" w:type="dxa"/>
            <w:vAlign w:val="bottom"/>
            <w:shd w:val="clear" w:color="auto" w:fill="CCEEFF"/>
          </w:tcPr>
          <w:p>
            <w:pPr>
              <w:spacing w:after="0" w:line="172" w:lineRule="exact"/>
              <w:rPr>
                <w:sz w:val="20"/>
                <w:szCs w:val="20"/>
                <w:color w:val="auto"/>
              </w:rPr>
            </w:pPr>
            <w:r>
              <w:rPr>
                <w:rFonts w:ascii="Arial" w:cs="Arial" w:eastAsia="Arial" w:hAnsi="Arial"/>
                <w:sz w:val="18"/>
                <w:szCs w:val="18"/>
                <w:b w:val="1"/>
                <w:bCs w:val="1"/>
                <w:color w:val="auto"/>
              </w:rPr>
              <w:t>Weighted average assumptions used in development of</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700" w:type="dxa"/>
            <w:vAlign w:val="bottom"/>
          </w:tcPr>
          <w:p>
            <w:pPr>
              <w:spacing w:after="0"/>
              <w:rPr>
                <w:sz w:val="19"/>
                <w:szCs w:val="19"/>
                <w:color w:val="auto"/>
              </w:rPr>
            </w:pPr>
          </w:p>
        </w:tc>
        <w:tc>
          <w:tcPr>
            <w:tcW w:w="48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net periodic benefit cost</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60" w:type="dxa"/>
            <w:vAlign w:val="bottom"/>
          </w:tcPr>
          <w:p>
            <w:pPr>
              <w:spacing w:after="0" w:line="202" w:lineRule="exact"/>
              <w:rPr>
                <w:sz w:val="20"/>
                <w:szCs w:val="20"/>
                <w:color w:val="auto"/>
              </w:rPr>
            </w:pPr>
            <w:r>
              <w:rPr>
                <w:rFonts w:ascii="Arial" w:cs="Arial" w:eastAsia="Arial" w:hAnsi="Arial"/>
                <w:sz w:val="18"/>
                <w:szCs w:val="18"/>
                <w:color w:val="auto"/>
              </w:rPr>
              <w:t>Discount rate</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gridSpan w:val="3"/>
          </w:tcPr>
          <w:p>
            <w:pPr>
              <w:jc w:val="right"/>
              <w:spacing w:after="0" w:line="202" w:lineRule="exact"/>
              <w:rPr>
                <w:sz w:val="20"/>
                <w:szCs w:val="20"/>
                <w:color w:val="auto"/>
              </w:rPr>
            </w:pPr>
            <w:r>
              <w:rPr>
                <w:rFonts w:ascii="Arial" w:cs="Arial" w:eastAsia="Arial" w:hAnsi="Arial"/>
                <w:sz w:val="18"/>
                <w:szCs w:val="18"/>
                <w:color w:val="auto"/>
                <w:w w:val="93"/>
              </w:rPr>
              <w:t>6.11%</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w w:val="97"/>
              </w:rPr>
              <w:t>5.93%</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4"/>
          </w:tcPr>
          <w:p>
            <w:pPr>
              <w:jc w:val="right"/>
              <w:ind w:right="140"/>
              <w:spacing w:after="0" w:line="202" w:lineRule="exact"/>
              <w:rPr>
                <w:sz w:val="20"/>
                <w:szCs w:val="20"/>
                <w:color w:val="auto"/>
              </w:rPr>
            </w:pPr>
            <w:r>
              <w:rPr>
                <w:rFonts w:ascii="Arial" w:cs="Arial" w:eastAsia="Arial" w:hAnsi="Arial"/>
                <w:sz w:val="18"/>
                <w:szCs w:val="18"/>
                <w:color w:val="auto"/>
                <w:w w:val="93"/>
              </w:rPr>
              <w:t>5.63%</w:t>
            </w:r>
          </w:p>
        </w:tc>
        <w:tc>
          <w:tcPr>
            <w:tcW w:w="760" w:type="dxa"/>
            <w:vAlign w:val="bottom"/>
            <w:gridSpan w:val="7"/>
          </w:tcPr>
          <w:p>
            <w:pPr>
              <w:jc w:val="right"/>
              <w:ind w:right="20"/>
              <w:spacing w:after="0" w:line="202" w:lineRule="exact"/>
              <w:rPr>
                <w:sz w:val="20"/>
                <w:szCs w:val="20"/>
                <w:color w:val="auto"/>
              </w:rPr>
            </w:pPr>
            <w:r>
              <w:rPr>
                <w:rFonts w:ascii="Arial" w:cs="Arial" w:eastAsia="Arial" w:hAnsi="Arial"/>
                <w:sz w:val="18"/>
                <w:szCs w:val="18"/>
                <w:color w:val="auto"/>
              </w:rPr>
              <w:t>5.67%</w:t>
            </w:r>
          </w:p>
        </w:tc>
        <w:tc>
          <w:tcPr>
            <w:tcW w:w="20" w:type="dxa"/>
            <w:vAlign w:val="bottom"/>
          </w:tcPr>
          <w:p>
            <w:pPr>
              <w:spacing w:after="0"/>
              <w:rPr>
                <w:sz w:val="17"/>
                <w:szCs w:val="17"/>
                <w:color w:val="auto"/>
              </w:rPr>
            </w:pPr>
          </w:p>
        </w:tc>
        <w:tc>
          <w:tcPr>
            <w:tcW w:w="1040" w:type="dxa"/>
            <w:vAlign w:val="bottom"/>
            <w:gridSpan w:val="6"/>
          </w:tcPr>
          <w:p>
            <w:pPr>
              <w:jc w:val="right"/>
              <w:ind w:right="180"/>
              <w:spacing w:after="0" w:line="202" w:lineRule="exact"/>
              <w:rPr>
                <w:sz w:val="20"/>
                <w:szCs w:val="20"/>
                <w:color w:val="auto"/>
              </w:rPr>
            </w:pPr>
            <w:r>
              <w:rPr>
                <w:rFonts w:ascii="Arial" w:cs="Arial" w:eastAsia="Arial" w:hAnsi="Arial"/>
                <w:sz w:val="18"/>
                <w:szCs w:val="18"/>
                <w:color w:val="auto"/>
              </w:rPr>
              <w:t>4.86%</w:t>
            </w:r>
          </w:p>
        </w:tc>
        <w:tc>
          <w:tcPr>
            <w:tcW w:w="720" w:type="dxa"/>
            <w:vAlign w:val="bottom"/>
            <w:gridSpan w:val="6"/>
          </w:tcPr>
          <w:p>
            <w:pPr>
              <w:jc w:val="right"/>
              <w:ind w:right="20"/>
              <w:spacing w:after="0" w:line="202" w:lineRule="exact"/>
              <w:rPr>
                <w:sz w:val="20"/>
                <w:szCs w:val="20"/>
                <w:color w:val="auto"/>
              </w:rPr>
            </w:pPr>
            <w:r>
              <w:rPr>
                <w:rFonts w:ascii="Arial" w:cs="Arial" w:eastAsia="Arial" w:hAnsi="Arial"/>
                <w:sz w:val="18"/>
                <w:szCs w:val="18"/>
                <w:color w:val="auto"/>
              </w:rPr>
              <w:t>4.68%</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return on plan assets</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8.0%</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8.0%</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4"/>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gridSpan w:val="4"/>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5.8%</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6.6%</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gridSpan w:val="3"/>
            <w:shd w:val="clear" w:color="auto" w:fill="CCEEFF"/>
          </w:tcPr>
          <w:p>
            <w:pPr>
              <w:ind w:left="80"/>
              <w:spacing w:after="0" w:line="202" w:lineRule="exact"/>
              <w:rPr>
                <w:sz w:val="20"/>
                <w:szCs w:val="20"/>
                <w:color w:val="auto"/>
              </w:rPr>
            </w:pPr>
            <w:r>
              <w:rPr>
                <w:rFonts w:ascii="Arial" w:cs="Arial" w:eastAsia="Arial" w:hAnsi="Arial"/>
                <w:sz w:val="18"/>
                <w:szCs w:val="18"/>
                <w:color w:val="auto"/>
                <w:w w:val="97"/>
              </w:rPr>
              <w:t>6.9%</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00" w:type="dxa"/>
            <w:vAlign w:val="bottom"/>
          </w:tcPr>
          <w:p>
            <w:pPr>
              <w:spacing w:after="0"/>
              <w:rPr>
                <w:sz w:val="21"/>
                <w:szCs w:val="21"/>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Rate of compensation increase</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gridSpan w:val="2"/>
          </w:tcPr>
          <w:p>
            <w:pPr>
              <w:jc w:val="right"/>
              <w:ind w:right="99"/>
              <w:spacing w:after="0"/>
              <w:rPr>
                <w:sz w:val="20"/>
                <w:szCs w:val="20"/>
                <w:color w:val="auto"/>
              </w:rPr>
            </w:pPr>
            <w:r>
              <w:rPr>
                <w:rFonts w:ascii="Arial" w:cs="Arial" w:eastAsia="Arial" w:hAnsi="Arial"/>
                <w:sz w:val="18"/>
                <w:szCs w:val="18"/>
                <w:color w:val="auto"/>
              </w:rPr>
              <w:t>n/a</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n/a</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gridSpan w:val="4"/>
          </w:tcPr>
          <w:p>
            <w:pPr>
              <w:ind w:left="10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gridSpan w:val="4"/>
          </w:tcPr>
          <w:p>
            <w:pPr>
              <w:jc w:val="right"/>
              <w:ind w:right="20"/>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gridSpan w:val="3"/>
          </w:tcPr>
          <w:p>
            <w:pPr>
              <w:ind w:left="80"/>
              <w:spacing w:after="0"/>
              <w:rPr>
                <w:sz w:val="20"/>
                <w:szCs w:val="20"/>
                <w:color w:val="auto"/>
              </w:rPr>
            </w:pPr>
            <w:r>
              <w:rPr>
                <w:rFonts w:ascii="Arial" w:cs="Arial" w:eastAsia="Arial" w:hAnsi="Arial"/>
                <w:sz w:val="18"/>
                <w:szCs w:val="18"/>
                <w:color w:val="auto"/>
                <w:w w:val="97"/>
              </w:rPr>
              <w:t>3.5%</w:t>
            </w: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5"/>
        </w:trPr>
        <w:tc>
          <w:tcPr>
            <w:tcW w:w="700" w:type="dxa"/>
            <w:vAlign w:val="bottom"/>
          </w:tcPr>
          <w:p>
            <w:pPr>
              <w:spacing w:after="0"/>
              <w:rPr>
                <w:sz w:val="8"/>
                <w:szCs w:val="8"/>
                <w:color w:val="auto"/>
              </w:rPr>
            </w:pPr>
          </w:p>
        </w:tc>
        <w:tc>
          <w:tcPr>
            <w:tcW w:w="4860" w:type="dxa"/>
            <w:vAlign w:val="bottom"/>
          </w:tcPr>
          <w:p>
            <w:pPr>
              <w:spacing w:after="0"/>
              <w:rPr>
                <w:sz w:val="8"/>
                <w:szCs w:val="8"/>
                <w:color w:val="auto"/>
              </w:rPr>
            </w:pPr>
          </w:p>
        </w:tc>
        <w:tc>
          <w:tcPr>
            <w:tcW w:w="260" w:type="dxa"/>
            <w:vAlign w:val="bottom"/>
            <w:tcBorders>
              <w:bottom w:val="single" w:sz="8" w:color="auto"/>
            </w:tcBorders>
            <w:gridSpan w:val="2"/>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70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88</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700" w:type="dxa"/>
            <w:vAlign w:val="bottom"/>
            <w:tcBorders>
              <w:bottom w:val="single" w:sz="8" w:color="808080"/>
            </w:tcBorders>
          </w:tcPr>
          <w:p>
            <w:pPr>
              <w:spacing w:after="0"/>
              <w:rPr>
                <w:sz w:val="17"/>
                <w:szCs w:val="17"/>
                <w:color w:val="auto"/>
              </w:rPr>
            </w:pPr>
          </w:p>
        </w:tc>
        <w:tc>
          <w:tcPr>
            <w:tcW w:w="486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18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10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8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20" w:type="dxa"/>
            <w:vAlign w:val="bottom"/>
            <w:tcBorders>
              <w:bottom w:val="single" w:sz="8" w:color="808080"/>
            </w:tcBorders>
          </w:tcPr>
          <w:p>
            <w:pPr>
              <w:spacing w:after="0"/>
              <w:rPr>
                <w:sz w:val="17"/>
                <w:szCs w:val="17"/>
                <w:color w:val="auto"/>
              </w:rPr>
            </w:pPr>
          </w:p>
        </w:tc>
        <w:tc>
          <w:tcPr>
            <w:tcW w:w="2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10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100" w:type="dxa"/>
            <w:vAlign w:val="bottom"/>
            <w:tcBorders>
              <w:bottom w:val="single" w:sz="8" w:color="808080"/>
            </w:tcBorders>
          </w:tcPr>
          <w:p>
            <w:pPr>
              <w:spacing w:after="0"/>
              <w:rPr>
                <w:sz w:val="17"/>
                <w:szCs w:val="17"/>
                <w:color w:val="auto"/>
              </w:rPr>
            </w:pPr>
          </w:p>
        </w:tc>
        <w:tc>
          <w:tcPr>
            <w:tcW w:w="2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2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10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80" w:type="dxa"/>
            <w:vAlign w:val="bottom"/>
            <w:tcBorders>
              <w:bottom w:val="single" w:sz="8" w:color="808080"/>
            </w:tcBorders>
          </w:tcPr>
          <w:p>
            <w:pPr>
              <w:spacing w:after="0"/>
              <w:rPr>
                <w:sz w:val="17"/>
                <w:szCs w:val="17"/>
                <w:color w:val="auto"/>
              </w:rPr>
            </w:pPr>
          </w:p>
        </w:tc>
        <w:tc>
          <w:tcPr>
            <w:tcW w:w="10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hyperlink w:anchor="page64">
        <w:r>
          <w:rPr>
            <w:rFonts w:ascii="Times New Roman" w:cs="Times New Roman" w:eastAsia="Times New Roman" w:hAnsi="Times New Roman"/>
            <w:sz w:val="18"/>
            <w:szCs w:val="18"/>
            <w:b w:val="1"/>
            <w:bCs w:val="1"/>
            <w:u w:val="single" w:color="auto"/>
            <w:color w:val="0000EE"/>
          </w:rPr>
          <w:t>Table of Contents</w:t>
        </w:r>
      </w:hyperlink>
    </w:p>
    <w:p>
      <w:pPr>
        <w:spacing w:after="0" w:line="317"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Other Information</w:t>
      </w:r>
    </w:p>
    <w:p>
      <w:pPr>
        <w:spacing w:after="0" w:line="245" w:lineRule="exact"/>
        <w:rPr>
          <w:sz w:val="20"/>
          <w:szCs w:val="20"/>
          <w:color w:val="auto"/>
        </w:rPr>
      </w:pPr>
    </w:p>
    <w:tbl>
      <w:tblPr>
        <w:tblLayout w:type="fixed"/>
        <w:tblInd w:w="70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1520" w:type="dxa"/>
            <w:vAlign w:val="bottom"/>
          </w:tcPr>
          <w:p>
            <w:pPr>
              <w:jc w:val="center"/>
              <w:ind w:left="51"/>
              <w:spacing w:after="0"/>
              <w:rPr>
                <w:sz w:val="20"/>
                <w:szCs w:val="20"/>
                <w:color w:val="auto"/>
              </w:rPr>
            </w:pPr>
            <w:r>
              <w:rPr>
                <w:rFonts w:ascii="Arial" w:cs="Arial" w:eastAsia="Arial" w:hAnsi="Arial"/>
                <w:sz w:val="16"/>
                <w:szCs w:val="16"/>
                <w:color w:val="auto"/>
              </w:rPr>
              <w:t>International</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3580" w:type="dxa"/>
            <w:vAlign w:val="bottom"/>
          </w:tcPr>
          <w:p>
            <w:pPr>
              <w:jc w:val="right"/>
              <w:ind w:right="291"/>
              <w:spacing w:after="0"/>
              <w:rPr>
                <w:sz w:val="20"/>
                <w:szCs w:val="20"/>
                <w:color w:val="auto"/>
              </w:rPr>
            </w:pPr>
            <w:r>
              <w:rPr>
                <w:rFonts w:ascii="Arial" w:cs="Arial" w:eastAsia="Arial" w:hAnsi="Arial"/>
                <w:sz w:val="16"/>
                <w:szCs w:val="16"/>
                <w:color w:val="auto"/>
              </w:rPr>
              <w:t>Curtailed Defined</w:t>
            </w:r>
          </w:p>
        </w:tc>
        <w:tc>
          <w:tcPr>
            <w:tcW w:w="1520" w:type="dxa"/>
            <w:vAlign w:val="bottom"/>
          </w:tcPr>
          <w:p>
            <w:pPr>
              <w:jc w:val="center"/>
              <w:ind w:left="51"/>
              <w:spacing w:after="0"/>
              <w:rPr>
                <w:sz w:val="20"/>
                <w:szCs w:val="20"/>
                <w:color w:val="auto"/>
              </w:rPr>
            </w:pPr>
            <w:r>
              <w:rPr>
                <w:rFonts w:ascii="Arial" w:cs="Arial" w:eastAsia="Arial" w:hAnsi="Arial"/>
                <w:sz w:val="16"/>
                <w:szCs w:val="16"/>
                <w:color w:val="auto"/>
              </w:rPr>
              <w:t>Benefit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920" w:type="dxa"/>
            <w:vAlign w:val="bottom"/>
            <w:tcBorders>
              <w:bottom w:val="single" w:sz="8" w:color="auto"/>
            </w:tcBorders>
          </w:tcPr>
          <w:p>
            <w:pPr>
              <w:spacing w:after="0"/>
              <w:rPr>
                <w:sz w:val="19"/>
                <w:szCs w:val="19"/>
                <w:color w:val="auto"/>
              </w:rPr>
            </w:pPr>
          </w:p>
        </w:tc>
        <w:tc>
          <w:tcPr>
            <w:tcW w:w="358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color w:val="auto"/>
              </w:rPr>
              <w:t>Benefit Plans</w:t>
            </w:r>
          </w:p>
        </w:tc>
        <w:tc>
          <w:tcPr>
            <w:tcW w:w="1520" w:type="dxa"/>
            <w:vAlign w:val="bottom"/>
            <w:tcBorders>
              <w:bottom w:val="single" w:sz="8" w:color="auto"/>
            </w:tcBorders>
          </w:tcPr>
          <w:p>
            <w:pPr>
              <w:jc w:val="center"/>
              <w:ind w:left="71"/>
              <w:spacing w:after="0"/>
              <w:rPr>
                <w:sz w:val="20"/>
                <w:szCs w:val="20"/>
                <w:color w:val="auto"/>
              </w:rPr>
            </w:pPr>
            <w:r>
              <w:rPr>
                <w:rFonts w:ascii="Arial" w:cs="Arial" w:eastAsia="Arial" w:hAnsi="Arial"/>
                <w:sz w:val="16"/>
                <w:szCs w:val="16"/>
                <w:color w:val="auto"/>
                <w:w w:val="99"/>
              </w:rPr>
              <w:t>Plans</w:t>
            </w:r>
          </w:p>
        </w:tc>
        <w:tc>
          <w:tcPr>
            <w:tcW w:w="0" w:type="dxa"/>
            <w:vAlign w:val="bottom"/>
          </w:tcPr>
          <w:p>
            <w:pPr>
              <w:spacing w:after="0"/>
              <w:rPr>
                <w:sz w:val="1"/>
                <w:szCs w:val="1"/>
                <w:color w:val="auto"/>
              </w:rPr>
            </w:pPr>
          </w:p>
        </w:tc>
      </w:tr>
      <w:tr>
        <w:trPr>
          <w:trHeight w:val="35"/>
        </w:trPr>
        <w:tc>
          <w:tcPr>
            <w:tcW w:w="20" w:type="dxa"/>
            <w:vAlign w:val="bottom"/>
            <w:vMerge w:val="restart"/>
          </w:tcPr>
          <w:p>
            <w:pPr>
              <w:spacing w:after="0"/>
              <w:rPr>
                <w:sz w:val="3"/>
                <w:szCs w:val="3"/>
                <w:color w:val="auto"/>
              </w:rPr>
            </w:pPr>
          </w:p>
        </w:tc>
        <w:tc>
          <w:tcPr>
            <w:tcW w:w="4920" w:type="dxa"/>
            <w:vAlign w:val="bottom"/>
          </w:tcPr>
          <w:p>
            <w:pPr>
              <w:spacing w:after="0"/>
              <w:rPr>
                <w:sz w:val="3"/>
                <w:szCs w:val="3"/>
                <w:color w:val="auto"/>
              </w:rPr>
            </w:pPr>
          </w:p>
        </w:tc>
        <w:tc>
          <w:tcPr>
            <w:tcW w:w="3580" w:type="dxa"/>
            <w:vAlign w:val="bottom"/>
          </w:tcPr>
          <w:p>
            <w:pPr>
              <w:spacing w:after="0"/>
              <w:rPr>
                <w:sz w:val="3"/>
                <w:szCs w:val="3"/>
                <w:color w:val="auto"/>
              </w:rPr>
            </w:pPr>
          </w:p>
        </w:tc>
        <w:tc>
          <w:tcPr>
            <w:tcW w:w="1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Plan asset allocations:</w:t>
            </w:r>
          </w:p>
        </w:tc>
        <w:tc>
          <w:tcPr>
            <w:tcW w:w="35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20" w:type="dxa"/>
            <w:vAlign w:val="bottom"/>
          </w:tcPr>
          <w:p>
            <w:pPr>
              <w:ind w:left="160"/>
              <w:spacing w:after="0" w:line="202" w:lineRule="exact"/>
              <w:rPr>
                <w:sz w:val="20"/>
                <w:szCs w:val="20"/>
                <w:color w:val="auto"/>
              </w:rPr>
            </w:pPr>
            <w:r>
              <w:rPr>
                <w:rFonts w:ascii="Arial" w:cs="Arial" w:eastAsia="Arial" w:hAnsi="Arial"/>
                <w:sz w:val="18"/>
                <w:szCs w:val="18"/>
                <w:color w:val="auto"/>
              </w:rPr>
              <w:t>Target for September 30, 2009:</w:t>
            </w:r>
          </w:p>
        </w:tc>
        <w:tc>
          <w:tcPr>
            <w:tcW w:w="35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2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color w:val="auto"/>
              </w:rPr>
              <w:t>Equity securities</w:t>
            </w:r>
          </w:p>
        </w:tc>
        <w:tc>
          <w:tcPr>
            <w:tcW w:w="3580" w:type="dxa"/>
            <w:vAlign w:val="bottom"/>
            <w:shd w:val="clear" w:color="auto" w:fill="CCEEFF"/>
          </w:tcPr>
          <w:p>
            <w:pPr>
              <w:jc w:val="right"/>
              <w:ind w:right="571"/>
              <w:spacing w:after="0" w:line="202" w:lineRule="exact"/>
              <w:rPr>
                <w:sz w:val="20"/>
                <w:szCs w:val="20"/>
                <w:color w:val="auto"/>
              </w:rPr>
            </w:pPr>
            <w:r>
              <w:rPr>
                <w:rFonts w:ascii="Arial" w:cs="Arial" w:eastAsia="Arial" w:hAnsi="Arial"/>
                <w:sz w:val="18"/>
                <w:szCs w:val="18"/>
                <w:color w:val="auto"/>
              </w:rPr>
              <w:t>60%</w:t>
            </w:r>
          </w:p>
        </w:tc>
        <w:tc>
          <w:tcPr>
            <w:tcW w:w="1520" w:type="dxa"/>
            <w:vAlign w:val="bottom"/>
            <w:shd w:val="clear" w:color="auto" w:fill="CCEEFF"/>
          </w:tcPr>
          <w:p>
            <w:pPr>
              <w:jc w:val="right"/>
              <w:ind w:right="251"/>
              <w:spacing w:after="0" w:line="202"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20" w:type="dxa"/>
            <w:vAlign w:val="bottom"/>
          </w:tcPr>
          <w:p>
            <w:pPr>
              <w:ind w:left="520"/>
              <w:spacing w:after="0" w:line="202" w:lineRule="exact"/>
              <w:rPr>
                <w:sz w:val="20"/>
                <w:szCs w:val="20"/>
                <w:color w:val="auto"/>
              </w:rPr>
            </w:pPr>
            <w:r>
              <w:rPr>
                <w:rFonts w:ascii="Arial" w:cs="Arial" w:eastAsia="Arial" w:hAnsi="Arial"/>
                <w:sz w:val="18"/>
                <w:szCs w:val="18"/>
                <w:color w:val="auto"/>
              </w:rPr>
              <w:t>Debt securities</w:t>
            </w:r>
          </w:p>
        </w:tc>
        <w:tc>
          <w:tcPr>
            <w:tcW w:w="3580" w:type="dxa"/>
            <w:vAlign w:val="bottom"/>
          </w:tcPr>
          <w:p>
            <w:pPr>
              <w:jc w:val="right"/>
              <w:ind w:right="571"/>
              <w:spacing w:after="0" w:line="202" w:lineRule="exact"/>
              <w:rPr>
                <w:sz w:val="20"/>
                <w:szCs w:val="20"/>
                <w:color w:val="auto"/>
              </w:rPr>
            </w:pPr>
            <w:r>
              <w:rPr>
                <w:rFonts w:ascii="Arial" w:cs="Arial" w:eastAsia="Arial" w:hAnsi="Arial"/>
                <w:sz w:val="18"/>
                <w:szCs w:val="18"/>
                <w:color w:val="auto"/>
              </w:rPr>
              <w:t>40%</w:t>
            </w:r>
          </w:p>
        </w:tc>
        <w:tc>
          <w:tcPr>
            <w:tcW w:w="1520" w:type="dxa"/>
            <w:vAlign w:val="bottom"/>
          </w:tcPr>
          <w:p>
            <w:pPr>
              <w:jc w:val="right"/>
              <w:ind w:right="251"/>
              <w:spacing w:after="0" w:line="202"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September 30, 2008:</w:t>
            </w:r>
          </w:p>
        </w:tc>
        <w:tc>
          <w:tcPr>
            <w:tcW w:w="35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20" w:type="dxa"/>
            <w:vAlign w:val="bottom"/>
          </w:tcPr>
          <w:p>
            <w:pPr>
              <w:ind w:left="520"/>
              <w:spacing w:after="0" w:line="202" w:lineRule="exact"/>
              <w:rPr>
                <w:sz w:val="20"/>
                <w:szCs w:val="20"/>
                <w:color w:val="auto"/>
              </w:rPr>
            </w:pPr>
            <w:r>
              <w:rPr>
                <w:rFonts w:ascii="Arial" w:cs="Arial" w:eastAsia="Arial" w:hAnsi="Arial"/>
                <w:sz w:val="18"/>
                <w:szCs w:val="18"/>
                <w:color w:val="auto"/>
              </w:rPr>
              <w:t>Equity securities</w:t>
            </w:r>
          </w:p>
        </w:tc>
        <w:tc>
          <w:tcPr>
            <w:tcW w:w="3580" w:type="dxa"/>
            <w:vAlign w:val="bottom"/>
          </w:tcPr>
          <w:p>
            <w:pPr>
              <w:jc w:val="right"/>
              <w:ind w:right="571"/>
              <w:spacing w:after="0" w:line="202" w:lineRule="exact"/>
              <w:rPr>
                <w:sz w:val="20"/>
                <w:szCs w:val="20"/>
                <w:color w:val="auto"/>
              </w:rPr>
            </w:pPr>
            <w:r>
              <w:rPr>
                <w:rFonts w:ascii="Arial" w:cs="Arial" w:eastAsia="Arial" w:hAnsi="Arial"/>
                <w:sz w:val="18"/>
                <w:szCs w:val="18"/>
                <w:color w:val="auto"/>
              </w:rPr>
              <w:t>56%</w:t>
            </w:r>
          </w:p>
        </w:tc>
        <w:tc>
          <w:tcPr>
            <w:tcW w:w="1520" w:type="dxa"/>
            <w:vAlign w:val="bottom"/>
          </w:tcPr>
          <w:p>
            <w:pPr>
              <w:jc w:val="right"/>
              <w:ind w:right="251"/>
              <w:spacing w:after="0" w:line="202"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2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color w:val="auto"/>
              </w:rPr>
              <w:t>Debt securities</w:t>
            </w:r>
          </w:p>
        </w:tc>
        <w:tc>
          <w:tcPr>
            <w:tcW w:w="3580" w:type="dxa"/>
            <w:vAlign w:val="bottom"/>
            <w:shd w:val="clear" w:color="auto" w:fill="CCEEFF"/>
          </w:tcPr>
          <w:p>
            <w:pPr>
              <w:jc w:val="right"/>
              <w:ind w:right="571"/>
              <w:spacing w:after="0" w:line="202" w:lineRule="exact"/>
              <w:rPr>
                <w:sz w:val="20"/>
                <w:szCs w:val="20"/>
                <w:color w:val="auto"/>
              </w:rPr>
            </w:pPr>
            <w:r>
              <w:rPr>
                <w:rFonts w:ascii="Arial" w:cs="Arial" w:eastAsia="Arial" w:hAnsi="Arial"/>
                <w:sz w:val="18"/>
                <w:szCs w:val="18"/>
                <w:color w:val="auto"/>
              </w:rPr>
              <w:t>43%</w:t>
            </w:r>
          </w:p>
        </w:tc>
        <w:tc>
          <w:tcPr>
            <w:tcW w:w="1520" w:type="dxa"/>
            <w:vAlign w:val="bottom"/>
            <w:shd w:val="clear" w:color="auto" w:fill="CCEEFF"/>
          </w:tcPr>
          <w:p>
            <w:pPr>
              <w:jc w:val="right"/>
              <w:ind w:right="251"/>
              <w:spacing w:after="0" w:line="202"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20" w:type="dxa"/>
            <w:vAlign w:val="bottom"/>
          </w:tcPr>
          <w:p>
            <w:pPr>
              <w:ind w:left="520"/>
              <w:spacing w:after="0" w:line="202" w:lineRule="exact"/>
              <w:rPr>
                <w:sz w:val="20"/>
                <w:szCs w:val="20"/>
                <w:color w:val="auto"/>
              </w:rPr>
            </w:pPr>
            <w:r>
              <w:rPr>
                <w:rFonts w:ascii="Arial" w:cs="Arial" w:eastAsia="Arial" w:hAnsi="Arial"/>
                <w:sz w:val="18"/>
                <w:szCs w:val="18"/>
                <w:color w:val="auto"/>
              </w:rPr>
              <w:t>Other</w:t>
            </w:r>
          </w:p>
        </w:tc>
        <w:tc>
          <w:tcPr>
            <w:tcW w:w="3580" w:type="dxa"/>
            <w:vAlign w:val="bottom"/>
          </w:tcPr>
          <w:p>
            <w:pPr>
              <w:jc w:val="right"/>
              <w:ind w:right="571"/>
              <w:spacing w:after="0" w:line="202" w:lineRule="exact"/>
              <w:rPr>
                <w:sz w:val="20"/>
                <w:szCs w:val="20"/>
                <w:color w:val="auto"/>
              </w:rPr>
            </w:pPr>
            <w:r>
              <w:rPr>
                <w:rFonts w:ascii="Arial" w:cs="Arial" w:eastAsia="Arial" w:hAnsi="Arial"/>
                <w:sz w:val="18"/>
                <w:szCs w:val="18"/>
                <w:color w:val="auto"/>
              </w:rPr>
              <w:t>1%</w:t>
            </w:r>
          </w:p>
        </w:tc>
        <w:tc>
          <w:tcPr>
            <w:tcW w:w="1520" w:type="dxa"/>
            <w:vAlign w:val="bottom"/>
          </w:tcPr>
          <w:p>
            <w:pPr>
              <w:jc w:val="right"/>
              <w:ind w:right="251"/>
              <w:spacing w:after="0" w:line="202"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September 30, 2007:</w:t>
            </w:r>
          </w:p>
        </w:tc>
        <w:tc>
          <w:tcPr>
            <w:tcW w:w="35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20" w:type="dxa"/>
            <w:vAlign w:val="bottom"/>
          </w:tcPr>
          <w:p>
            <w:pPr>
              <w:ind w:left="520"/>
              <w:spacing w:after="0" w:line="202" w:lineRule="exact"/>
              <w:rPr>
                <w:sz w:val="20"/>
                <w:szCs w:val="20"/>
                <w:color w:val="auto"/>
              </w:rPr>
            </w:pPr>
            <w:r>
              <w:rPr>
                <w:rFonts w:ascii="Arial" w:cs="Arial" w:eastAsia="Arial" w:hAnsi="Arial"/>
                <w:sz w:val="18"/>
                <w:szCs w:val="18"/>
                <w:color w:val="auto"/>
              </w:rPr>
              <w:t>Equity securities</w:t>
            </w:r>
          </w:p>
        </w:tc>
        <w:tc>
          <w:tcPr>
            <w:tcW w:w="3580" w:type="dxa"/>
            <w:vAlign w:val="bottom"/>
          </w:tcPr>
          <w:p>
            <w:pPr>
              <w:jc w:val="right"/>
              <w:ind w:right="571"/>
              <w:spacing w:after="0" w:line="202" w:lineRule="exact"/>
              <w:rPr>
                <w:sz w:val="20"/>
                <w:szCs w:val="20"/>
                <w:color w:val="auto"/>
              </w:rPr>
            </w:pPr>
            <w:r>
              <w:rPr>
                <w:rFonts w:ascii="Arial" w:cs="Arial" w:eastAsia="Arial" w:hAnsi="Arial"/>
                <w:sz w:val="18"/>
                <w:szCs w:val="18"/>
                <w:color w:val="auto"/>
              </w:rPr>
              <w:t>61%</w:t>
            </w:r>
          </w:p>
        </w:tc>
        <w:tc>
          <w:tcPr>
            <w:tcW w:w="1520" w:type="dxa"/>
            <w:vAlign w:val="bottom"/>
          </w:tcPr>
          <w:p>
            <w:pPr>
              <w:jc w:val="right"/>
              <w:ind w:right="251"/>
              <w:spacing w:after="0" w:line="202"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2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color w:val="auto"/>
              </w:rPr>
              <w:t>Debt securities</w:t>
            </w:r>
          </w:p>
        </w:tc>
        <w:tc>
          <w:tcPr>
            <w:tcW w:w="3580" w:type="dxa"/>
            <w:vAlign w:val="bottom"/>
            <w:shd w:val="clear" w:color="auto" w:fill="CCEEFF"/>
          </w:tcPr>
          <w:p>
            <w:pPr>
              <w:jc w:val="right"/>
              <w:ind w:right="571"/>
              <w:spacing w:after="0" w:line="202" w:lineRule="exact"/>
              <w:rPr>
                <w:sz w:val="20"/>
                <w:szCs w:val="20"/>
                <w:color w:val="auto"/>
              </w:rPr>
            </w:pPr>
            <w:r>
              <w:rPr>
                <w:rFonts w:ascii="Arial" w:cs="Arial" w:eastAsia="Arial" w:hAnsi="Arial"/>
                <w:sz w:val="18"/>
                <w:szCs w:val="18"/>
                <w:color w:val="auto"/>
              </w:rPr>
              <w:t>38%</w:t>
            </w:r>
          </w:p>
        </w:tc>
        <w:tc>
          <w:tcPr>
            <w:tcW w:w="1520" w:type="dxa"/>
            <w:vAlign w:val="bottom"/>
            <w:shd w:val="clear" w:color="auto" w:fill="CCEEFF"/>
          </w:tcPr>
          <w:p>
            <w:pPr>
              <w:jc w:val="right"/>
              <w:ind w:right="251"/>
              <w:spacing w:after="0" w:line="202"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20" w:type="dxa"/>
            <w:vAlign w:val="bottom"/>
          </w:tcPr>
          <w:p>
            <w:pPr>
              <w:ind w:left="520"/>
              <w:spacing w:after="0" w:line="202" w:lineRule="exact"/>
              <w:rPr>
                <w:sz w:val="20"/>
                <w:szCs w:val="20"/>
                <w:color w:val="auto"/>
              </w:rPr>
            </w:pPr>
            <w:r>
              <w:rPr>
                <w:rFonts w:ascii="Arial" w:cs="Arial" w:eastAsia="Arial" w:hAnsi="Arial"/>
                <w:sz w:val="18"/>
                <w:szCs w:val="18"/>
                <w:color w:val="auto"/>
              </w:rPr>
              <w:t>Other</w:t>
            </w:r>
          </w:p>
        </w:tc>
        <w:tc>
          <w:tcPr>
            <w:tcW w:w="3580" w:type="dxa"/>
            <w:vAlign w:val="bottom"/>
          </w:tcPr>
          <w:p>
            <w:pPr>
              <w:jc w:val="right"/>
              <w:ind w:right="571"/>
              <w:spacing w:after="0" w:line="202" w:lineRule="exact"/>
              <w:rPr>
                <w:sz w:val="20"/>
                <w:szCs w:val="20"/>
                <w:color w:val="auto"/>
              </w:rPr>
            </w:pPr>
            <w:r>
              <w:rPr>
                <w:rFonts w:ascii="Arial" w:cs="Arial" w:eastAsia="Arial" w:hAnsi="Arial"/>
                <w:sz w:val="18"/>
                <w:szCs w:val="18"/>
                <w:color w:val="auto"/>
              </w:rPr>
              <w:t>1%</w:t>
            </w:r>
          </w:p>
        </w:tc>
        <w:tc>
          <w:tcPr>
            <w:tcW w:w="1520" w:type="dxa"/>
            <w:vAlign w:val="bottom"/>
          </w:tcPr>
          <w:p>
            <w:pPr>
              <w:jc w:val="right"/>
              <w:ind w:right="251"/>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contributions in fiscal 2009:</w:t>
            </w:r>
          </w:p>
        </w:tc>
        <w:tc>
          <w:tcPr>
            <w:tcW w:w="35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20" w:type="dxa"/>
            <w:vAlign w:val="bottom"/>
          </w:tcPr>
          <w:p>
            <w:pPr>
              <w:ind w:left="160"/>
              <w:spacing w:after="0" w:line="202" w:lineRule="exact"/>
              <w:rPr>
                <w:sz w:val="20"/>
                <w:szCs w:val="20"/>
                <w:color w:val="auto"/>
              </w:rPr>
            </w:pPr>
            <w:r>
              <w:rPr>
                <w:rFonts w:ascii="Arial" w:cs="Arial" w:eastAsia="Arial" w:hAnsi="Arial"/>
                <w:sz w:val="18"/>
                <w:szCs w:val="18"/>
                <w:color w:val="auto"/>
              </w:rPr>
              <w:t>Company</w:t>
            </w:r>
          </w:p>
        </w:tc>
        <w:tc>
          <w:tcPr>
            <w:tcW w:w="3580" w:type="dxa"/>
            <w:vAlign w:val="bottom"/>
          </w:tcPr>
          <w:p>
            <w:pPr>
              <w:jc w:val="right"/>
              <w:ind w:right="731"/>
              <w:spacing w:after="0" w:line="202" w:lineRule="exact"/>
              <w:rPr>
                <w:sz w:val="20"/>
                <w:szCs w:val="20"/>
                <w:color w:val="auto"/>
              </w:rPr>
            </w:pPr>
            <w:r>
              <w:rPr>
                <w:rFonts w:ascii="Arial" w:cs="Arial" w:eastAsia="Arial" w:hAnsi="Arial"/>
                <w:sz w:val="18"/>
                <w:szCs w:val="18"/>
                <w:color w:val="auto"/>
              </w:rPr>
              <w:t>1.5</w:t>
            </w:r>
          </w:p>
        </w:tc>
        <w:tc>
          <w:tcPr>
            <w:tcW w:w="1520" w:type="dxa"/>
            <w:vAlign w:val="bottom"/>
          </w:tcPr>
          <w:p>
            <w:pPr>
              <w:jc w:val="right"/>
              <w:ind w:right="411"/>
              <w:spacing w:after="0" w:line="202"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Employee</w:t>
            </w:r>
          </w:p>
        </w:tc>
        <w:tc>
          <w:tcPr>
            <w:tcW w:w="3580" w:type="dxa"/>
            <w:vAlign w:val="bottom"/>
            <w:shd w:val="clear" w:color="auto" w:fill="CCEEFF"/>
          </w:tcPr>
          <w:p>
            <w:pPr>
              <w:jc w:val="right"/>
              <w:ind w:right="731"/>
              <w:spacing w:after="0" w:line="202" w:lineRule="exact"/>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411"/>
              <w:spacing w:after="0" w:line="202" w:lineRule="exact"/>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20" w:type="dxa"/>
            <w:vAlign w:val="bottom"/>
          </w:tcPr>
          <w:p>
            <w:pPr>
              <w:spacing w:after="0" w:line="202" w:lineRule="exact"/>
              <w:rPr>
                <w:sz w:val="20"/>
                <w:szCs w:val="20"/>
                <w:color w:val="auto"/>
              </w:rPr>
            </w:pPr>
            <w:r>
              <w:rPr>
                <w:rFonts w:ascii="Arial" w:cs="Arial" w:eastAsia="Arial" w:hAnsi="Arial"/>
                <w:sz w:val="18"/>
                <w:szCs w:val="18"/>
                <w:color w:val="auto"/>
              </w:rPr>
              <w:t>Expected future benefit payments:</w:t>
            </w:r>
          </w:p>
        </w:tc>
        <w:tc>
          <w:tcPr>
            <w:tcW w:w="35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2009</w:t>
            </w:r>
          </w:p>
        </w:tc>
        <w:tc>
          <w:tcPr>
            <w:tcW w:w="3580" w:type="dxa"/>
            <w:vAlign w:val="bottom"/>
            <w:shd w:val="clear" w:color="auto" w:fill="CCEEFF"/>
          </w:tcPr>
          <w:p>
            <w:pPr>
              <w:jc w:val="right"/>
              <w:ind w:right="731"/>
              <w:spacing w:after="0" w:line="202" w:lineRule="exact"/>
              <w:rPr>
                <w:sz w:val="20"/>
                <w:szCs w:val="20"/>
                <w:color w:val="auto"/>
              </w:rPr>
            </w:pPr>
            <w:r>
              <w:rPr>
                <w:rFonts w:ascii="Arial" w:cs="Arial" w:eastAsia="Arial" w:hAnsi="Arial"/>
                <w:sz w:val="18"/>
                <w:szCs w:val="18"/>
                <w:color w:val="auto"/>
              </w:rPr>
              <w:t>6.6</w:t>
            </w:r>
          </w:p>
        </w:tc>
        <w:tc>
          <w:tcPr>
            <w:tcW w:w="1520" w:type="dxa"/>
            <w:vAlign w:val="bottom"/>
            <w:shd w:val="clear" w:color="auto" w:fill="CCEEFF"/>
          </w:tcPr>
          <w:p>
            <w:pPr>
              <w:jc w:val="right"/>
              <w:ind w:right="411"/>
              <w:spacing w:after="0" w:line="202"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20" w:type="dxa"/>
            <w:vAlign w:val="bottom"/>
          </w:tcPr>
          <w:p>
            <w:pPr>
              <w:spacing w:after="0" w:line="202" w:lineRule="exact"/>
              <w:rPr>
                <w:sz w:val="20"/>
                <w:szCs w:val="20"/>
                <w:color w:val="auto"/>
              </w:rPr>
            </w:pPr>
            <w:r>
              <w:rPr>
                <w:rFonts w:ascii="Arial" w:cs="Arial" w:eastAsia="Arial" w:hAnsi="Arial"/>
                <w:sz w:val="18"/>
                <w:szCs w:val="18"/>
                <w:color w:val="auto"/>
              </w:rPr>
              <w:t>2010</w:t>
            </w:r>
          </w:p>
        </w:tc>
        <w:tc>
          <w:tcPr>
            <w:tcW w:w="3580" w:type="dxa"/>
            <w:vAlign w:val="bottom"/>
          </w:tcPr>
          <w:p>
            <w:pPr>
              <w:jc w:val="right"/>
              <w:ind w:right="731"/>
              <w:spacing w:after="0" w:line="202" w:lineRule="exact"/>
              <w:rPr>
                <w:sz w:val="20"/>
                <w:szCs w:val="20"/>
                <w:color w:val="auto"/>
              </w:rPr>
            </w:pPr>
            <w:r>
              <w:rPr>
                <w:rFonts w:ascii="Arial" w:cs="Arial" w:eastAsia="Arial" w:hAnsi="Arial"/>
                <w:sz w:val="18"/>
                <w:szCs w:val="18"/>
                <w:color w:val="auto"/>
              </w:rPr>
              <w:t>6.6</w:t>
            </w:r>
          </w:p>
        </w:tc>
        <w:tc>
          <w:tcPr>
            <w:tcW w:w="1520" w:type="dxa"/>
            <w:vAlign w:val="bottom"/>
          </w:tcPr>
          <w:p>
            <w:pPr>
              <w:jc w:val="right"/>
              <w:ind w:right="411"/>
              <w:spacing w:after="0" w:line="202"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2011</w:t>
            </w:r>
          </w:p>
        </w:tc>
        <w:tc>
          <w:tcPr>
            <w:tcW w:w="3580" w:type="dxa"/>
            <w:vAlign w:val="bottom"/>
            <w:shd w:val="clear" w:color="auto" w:fill="CCEEFF"/>
          </w:tcPr>
          <w:p>
            <w:pPr>
              <w:jc w:val="right"/>
              <w:ind w:right="731"/>
              <w:spacing w:after="0" w:line="202" w:lineRule="exact"/>
              <w:rPr>
                <w:sz w:val="20"/>
                <w:szCs w:val="20"/>
                <w:color w:val="auto"/>
              </w:rPr>
            </w:pPr>
            <w:r>
              <w:rPr>
                <w:rFonts w:ascii="Arial" w:cs="Arial" w:eastAsia="Arial" w:hAnsi="Arial"/>
                <w:sz w:val="18"/>
                <w:szCs w:val="18"/>
                <w:color w:val="auto"/>
              </w:rPr>
              <w:t>6.7</w:t>
            </w:r>
          </w:p>
        </w:tc>
        <w:tc>
          <w:tcPr>
            <w:tcW w:w="1520" w:type="dxa"/>
            <w:vAlign w:val="bottom"/>
            <w:shd w:val="clear" w:color="auto" w:fill="CCEEFF"/>
          </w:tcPr>
          <w:p>
            <w:pPr>
              <w:jc w:val="right"/>
              <w:ind w:right="411"/>
              <w:spacing w:after="0" w:line="202"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20" w:type="dxa"/>
            <w:vAlign w:val="bottom"/>
          </w:tcPr>
          <w:p>
            <w:pPr>
              <w:spacing w:after="0" w:line="202" w:lineRule="exact"/>
              <w:rPr>
                <w:sz w:val="20"/>
                <w:szCs w:val="20"/>
                <w:color w:val="auto"/>
              </w:rPr>
            </w:pPr>
            <w:r>
              <w:rPr>
                <w:rFonts w:ascii="Arial" w:cs="Arial" w:eastAsia="Arial" w:hAnsi="Arial"/>
                <w:sz w:val="18"/>
                <w:szCs w:val="18"/>
                <w:color w:val="auto"/>
              </w:rPr>
              <w:t>2012</w:t>
            </w:r>
          </w:p>
        </w:tc>
        <w:tc>
          <w:tcPr>
            <w:tcW w:w="3580" w:type="dxa"/>
            <w:vAlign w:val="bottom"/>
          </w:tcPr>
          <w:p>
            <w:pPr>
              <w:jc w:val="right"/>
              <w:ind w:right="731"/>
              <w:spacing w:after="0" w:line="202" w:lineRule="exact"/>
              <w:rPr>
                <w:sz w:val="20"/>
                <w:szCs w:val="20"/>
                <w:color w:val="auto"/>
              </w:rPr>
            </w:pPr>
            <w:r>
              <w:rPr>
                <w:rFonts w:ascii="Arial" w:cs="Arial" w:eastAsia="Arial" w:hAnsi="Arial"/>
                <w:sz w:val="18"/>
                <w:szCs w:val="18"/>
                <w:color w:val="auto"/>
              </w:rPr>
              <w:t>6.8</w:t>
            </w:r>
          </w:p>
        </w:tc>
        <w:tc>
          <w:tcPr>
            <w:tcW w:w="1520" w:type="dxa"/>
            <w:vAlign w:val="bottom"/>
          </w:tcPr>
          <w:p>
            <w:pPr>
              <w:jc w:val="right"/>
              <w:ind w:right="411"/>
              <w:spacing w:after="0" w:line="202"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2013</w:t>
            </w:r>
          </w:p>
        </w:tc>
        <w:tc>
          <w:tcPr>
            <w:tcW w:w="3580" w:type="dxa"/>
            <w:vAlign w:val="bottom"/>
            <w:shd w:val="clear" w:color="auto" w:fill="CCEEFF"/>
          </w:tcPr>
          <w:p>
            <w:pPr>
              <w:jc w:val="right"/>
              <w:ind w:right="731"/>
              <w:spacing w:after="0" w:line="202" w:lineRule="exact"/>
              <w:rPr>
                <w:sz w:val="20"/>
                <w:szCs w:val="20"/>
                <w:color w:val="auto"/>
              </w:rPr>
            </w:pPr>
            <w:r>
              <w:rPr>
                <w:rFonts w:ascii="Arial" w:cs="Arial" w:eastAsia="Arial" w:hAnsi="Arial"/>
                <w:sz w:val="18"/>
                <w:szCs w:val="18"/>
                <w:color w:val="auto"/>
              </w:rPr>
              <w:t>6.8</w:t>
            </w:r>
          </w:p>
        </w:tc>
        <w:tc>
          <w:tcPr>
            <w:tcW w:w="1520" w:type="dxa"/>
            <w:vAlign w:val="bottom"/>
            <w:shd w:val="clear" w:color="auto" w:fill="CCEEFF"/>
          </w:tcPr>
          <w:p>
            <w:pPr>
              <w:jc w:val="right"/>
              <w:ind w:right="411"/>
              <w:spacing w:after="0" w:line="202"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2014–2018</w:t>
            </w:r>
          </w:p>
        </w:tc>
        <w:tc>
          <w:tcPr>
            <w:tcW w:w="3580" w:type="dxa"/>
            <w:vAlign w:val="bottom"/>
          </w:tcPr>
          <w:p>
            <w:pPr>
              <w:jc w:val="right"/>
              <w:ind w:right="731"/>
              <w:spacing w:after="0"/>
              <w:rPr>
                <w:sz w:val="20"/>
                <w:szCs w:val="20"/>
                <w:color w:val="auto"/>
              </w:rPr>
            </w:pPr>
            <w:r>
              <w:rPr>
                <w:rFonts w:ascii="Arial" w:cs="Arial" w:eastAsia="Arial" w:hAnsi="Arial"/>
                <w:sz w:val="18"/>
                <w:szCs w:val="18"/>
                <w:color w:val="auto"/>
              </w:rPr>
              <w:t>35.2</w:t>
            </w:r>
          </w:p>
        </w:tc>
        <w:tc>
          <w:tcPr>
            <w:tcW w:w="1520" w:type="dxa"/>
            <w:vAlign w:val="bottom"/>
          </w:tcPr>
          <w:p>
            <w:pPr>
              <w:jc w:val="right"/>
              <w:ind w:right="411"/>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bl>
    <w:p>
      <w:pPr>
        <w:spacing w:after="0" w:line="16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Investment Strategy</w:t>
      </w:r>
    </w:p>
    <w:p>
      <w:pPr>
        <w:spacing w:after="0" w:line="119" w:lineRule="exact"/>
        <w:rPr>
          <w:sz w:val="20"/>
          <w:szCs w:val="20"/>
          <w:color w:val="auto"/>
        </w:rPr>
      </w:pPr>
    </w:p>
    <w:p>
      <w:pPr>
        <w:ind w:left="700" w:right="40" w:firstLine="402"/>
        <w:spacing w:after="0"/>
        <w:rPr>
          <w:sz w:val="20"/>
          <w:szCs w:val="20"/>
          <w:color w:val="auto"/>
        </w:rPr>
      </w:pPr>
      <w:r>
        <w:rPr>
          <w:rFonts w:ascii="Arial" w:cs="Arial" w:eastAsia="Arial" w:hAnsi="Arial"/>
          <w:sz w:val="18"/>
          <w:szCs w:val="18"/>
          <w:color w:val="auto"/>
        </w:rPr>
        <w:t>Target allocation percentages among various asset classes are maintained based on an individual investment policy established for each of the various pension plans. Asset allocations are designed to achieve long-term objectives of return, while mitigating against downside risk and considering expected cash requirements necessary to fund benefit payments. Subsequent to September 30, 2008, investment markets have continued to decline. This has put further downward pressure on the investments of the Company’s pension plans. Management continues to monitor this situation and the potential impact on our future pension plan funding requirements and related expenses. However, we cannot predict future investment returns, and therefore cannot determine whether future pension plan funding requirements could materially and adversely affect our financial condition, results of operations and cash flows.</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Basis for Long-Term Rate of Return on Asset Assumptions</w:t>
      </w:r>
    </w:p>
    <w:p>
      <w:pPr>
        <w:spacing w:after="0" w:line="119" w:lineRule="exact"/>
        <w:rPr>
          <w:sz w:val="20"/>
          <w:szCs w:val="20"/>
          <w:color w:val="auto"/>
        </w:rPr>
      </w:pPr>
    </w:p>
    <w:p>
      <w:pPr>
        <w:ind w:left="700" w:right="40" w:firstLine="402"/>
        <w:spacing w:after="0" w:line="245" w:lineRule="auto"/>
        <w:rPr>
          <w:sz w:val="20"/>
          <w:szCs w:val="20"/>
          <w:color w:val="auto"/>
        </w:rPr>
      </w:pPr>
      <w:r>
        <w:rPr>
          <w:rFonts w:ascii="Arial" w:cs="Arial" w:eastAsia="Arial" w:hAnsi="Arial"/>
          <w:sz w:val="18"/>
          <w:szCs w:val="18"/>
          <w:color w:val="auto"/>
        </w:rPr>
        <w:t>The Company’s expected long-term rate of return on asset assumptions is derived from studies conducted by third parties. The studies include a review of anticipated future long-term performance of individual asset classes and consideration of the appropriate asset allocation strategy given the anticipated requirements of the plan to determine the average rate of earnings expected. While the studies give appropriate consideration to recent fund performance and historical returns, the assumptions primarily represent expectations about future rates of return over the long term.</w:t>
      </w:r>
    </w:p>
    <w:p>
      <w:pPr>
        <w:spacing w:after="0" w:line="11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1"/>
          <w:szCs w:val="11"/>
          <w:b w:val="1"/>
          <w:bCs w:val="1"/>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-78105</wp:posOffset>
            </wp:positionV>
            <wp:extent cx="19748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240" w:top="415" w:right="91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EE"/>
        </w:rPr>
      </w:pPr>
      <w:hyperlink w:anchor="page64">
        <w:r>
          <w:rPr>
            <w:rFonts w:ascii="Times New Roman" w:cs="Times New Roman" w:eastAsia="Times New Roman" w:hAnsi="Times New Roman"/>
            <w:sz w:val="18"/>
            <w:szCs w:val="18"/>
            <w:b w:val="1"/>
            <w:bCs w:val="1"/>
            <w:u w:val="single" w:color="auto"/>
            <w:color w:val="0000EE"/>
          </w:rPr>
          <w:t>Table of Contents</w:t>
        </w:r>
      </w:hyperlink>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NOTE 10. ASSOCIATE MEDICAL BENEFITS</w:t>
      </w:r>
    </w:p>
    <w:p>
      <w:pPr>
        <w:spacing w:after="0" w:line="119" w:lineRule="exact"/>
        <w:rPr>
          <w:sz w:val="20"/>
          <w:szCs w:val="20"/>
          <w:color w:val="auto"/>
        </w:rPr>
      </w:pPr>
    </w:p>
    <w:p>
      <w:pPr>
        <w:ind w:left="700" w:right="860" w:firstLine="402"/>
        <w:spacing w:after="0" w:line="245" w:lineRule="auto"/>
        <w:rPr>
          <w:sz w:val="20"/>
          <w:szCs w:val="20"/>
          <w:color w:val="auto"/>
        </w:rPr>
      </w:pPr>
      <w:r>
        <w:rPr>
          <w:rFonts w:ascii="Arial" w:cs="Arial" w:eastAsia="Arial" w:hAnsi="Arial"/>
          <w:sz w:val="18"/>
          <w:szCs w:val="18"/>
          <w:color w:val="auto"/>
        </w:rPr>
        <w:t>The Company provides comprehensive major medical benefits to certain of its retired associates and their dependents. Substantially all of the Company’s domestic associates who were hired before January 1, 1998 become eligible for these benefits if they retire at age 55 or older with more than ten years of service. The plan requires certain minimum contributions from retired associates and includes provisions to limit the overall cost increases the Company is required to cover. The Company funds its portion of retiree medical benefits on a pay-as-you-go basis.</w:t>
      </w:r>
    </w:p>
    <w:p>
      <w:pPr>
        <w:spacing w:after="0" w:line="78" w:lineRule="exact"/>
        <w:rPr>
          <w:sz w:val="20"/>
          <w:szCs w:val="20"/>
          <w:color w:val="auto"/>
        </w:rPr>
      </w:pPr>
    </w:p>
    <w:p>
      <w:pPr>
        <w:ind w:left="700" w:right="1080" w:firstLine="402"/>
        <w:spacing w:after="0" w:line="276" w:lineRule="auto"/>
        <w:rPr>
          <w:sz w:val="20"/>
          <w:szCs w:val="20"/>
          <w:color w:val="auto"/>
        </w:rPr>
      </w:pPr>
      <w:r>
        <w:rPr>
          <w:rFonts w:ascii="Arial" w:cs="Arial" w:eastAsia="Arial" w:hAnsi="Arial"/>
          <w:sz w:val="18"/>
          <w:szCs w:val="18"/>
          <w:color w:val="auto"/>
        </w:rPr>
        <w:t>The following table sets forth the information about the retiree medical plan for domestic associates (in millions). The retiree medical plan is valued using a September 30 measurement date.</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0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gridSpan w:val="5"/>
          </w:tcPr>
          <w:p>
            <w:pPr>
              <w:jc w:val="right"/>
              <w:spacing w:after="0"/>
              <w:rPr>
                <w:sz w:val="20"/>
                <w:szCs w:val="20"/>
                <w:color w:val="auto"/>
              </w:rPr>
            </w:pPr>
            <w:r>
              <w:rPr>
                <w:rFonts w:ascii="Arial" w:cs="Arial" w:eastAsia="Arial" w:hAnsi="Arial"/>
                <w:sz w:val="16"/>
                <w:szCs w:val="16"/>
                <w:color w:val="auto"/>
              </w:rPr>
              <w:t>2008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Arial" w:cs="Arial" w:eastAsia="Arial" w:hAnsi="Arial"/>
                <w:sz w:val="16"/>
                <w:szCs w:val="16"/>
                <w:color w:val="auto"/>
              </w:rPr>
              <w:t>2007</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700" w:type="dxa"/>
            <w:vAlign w:val="bottom"/>
          </w:tcPr>
          <w:p>
            <w:pPr>
              <w:spacing w:after="0"/>
              <w:rPr>
                <w:sz w:val="2"/>
                <w:szCs w:val="2"/>
                <w:color w:val="auto"/>
              </w:rPr>
            </w:pPr>
          </w:p>
        </w:tc>
        <w:tc>
          <w:tcPr>
            <w:tcW w:w="4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700" w:type="dxa"/>
            <w:vAlign w:val="bottom"/>
            <w:vMerge w:val="restart"/>
          </w:tcPr>
          <w:p>
            <w:pPr>
              <w:spacing w:after="0"/>
              <w:rPr>
                <w:sz w:val="2"/>
                <w:szCs w:val="2"/>
                <w:color w:val="auto"/>
              </w:rPr>
            </w:pPr>
          </w:p>
        </w:tc>
        <w:tc>
          <w:tcPr>
            <w:tcW w:w="4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00" w:type="dxa"/>
            <w:vAlign w:val="bottom"/>
            <w:vMerge w:val="continue"/>
          </w:tcPr>
          <w:p>
            <w:pPr>
              <w:spacing w:after="0"/>
              <w:rPr>
                <w:sz w:val="17"/>
                <w:szCs w:val="17"/>
                <w:color w:val="auto"/>
              </w:rPr>
            </w:pPr>
          </w:p>
        </w:tc>
        <w:tc>
          <w:tcPr>
            <w:tcW w:w="69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Change in Accumulated Plan Benefit Obligation (APBO)</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980" w:type="dxa"/>
            <w:vAlign w:val="bottom"/>
            <w:gridSpan w:val="3"/>
          </w:tcPr>
          <w:p>
            <w:pPr>
              <w:spacing w:after="0" w:line="202" w:lineRule="exact"/>
              <w:rPr>
                <w:sz w:val="20"/>
                <w:szCs w:val="20"/>
                <w:color w:val="auto"/>
              </w:rPr>
            </w:pPr>
            <w:r>
              <w:rPr>
                <w:rFonts w:ascii="Arial" w:cs="Arial" w:eastAsia="Arial" w:hAnsi="Arial"/>
                <w:sz w:val="18"/>
                <w:szCs w:val="18"/>
                <w:color w:val="auto"/>
              </w:rPr>
              <w:t>Benefit obligation at beginning of year</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gridSpan w:val="5"/>
          </w:tcPr>
          <w:p>
            <w:pPr>
              <w:jc w:val="right"/>
              <w:spacing w:after="0" w:line="202" w:lineRule="exact"/>
              <w:rPr>
                <w:sz w:val="20"/>
                <w:szCs w:val="20"/>
                <w:color w:val="auto"/>
              </w:rPr>
            </w:pPr>
            <w:r>
              <w:rPr>
                <w:rFonts w:ascii="Arial" w:cs="Arial" w:eastAsia="Arial" w:hAnsi="Arial"/>
                <w:sz w:val="18"/>
                <w:szCs w:val="18"/>
                <w:color w:val="auto"/>
              </w:rPr>
              <w:t>$ 30.4</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$ 33.2</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9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Service cost</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0.5</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0.6</w:t>
            </w:r>
          </w:p>
        </w:tc>
        <w:tc>
          <w:tcPr>
            <w:tcW w:w="180" w:type="dxa"/>
            <w:vAlign w:val="bottom"/>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980" w:type="dxa"/>
            <w:vAlign w:val="bottom"/>
            <w:gridSpan w:val="3"/>
          </w:tcPr>
          <w:p>
            <w:pPr>
              <w:spacing w:after="0" w:line="202" w:lineRule="exact"/>
              <w:rPr>
                <w:sz w:val="20"/>
                <w:szCs w:val="20"/>
                <w:color w:val="auto"/>
              </w:rPr>
            </w:pPr>
            <w:r>
              <w:rPr>
                <w:rFonts w:ascii="Arial" w:cs="Arial" w:eastAsia="Arial" w:hAnsi="Arial"/>
                <w:sz w:val="18"/>
                <w:szCs w:val="18"/>
                <w:color w:val="auto"/>
              </w:rPr>
              <w:t>Interest cost</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1.8</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1.8</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9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Plan participants’ contributions</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0.9</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0.9</w:t>
            </w:r>
          </w:p>
        </w:tc>
        <w:tc>
          <w:tcPr>
            <w:tcW w:w="180" w:type="dxa"/>
            <w:vAlign w:val="bottom"/>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980" w:type="dxa"/>
            <w:vAlign w:val="bottom"/>
            <w:gridSpan w:val="3"/>
          </w:tcPr>
          <w:p>
            <w:pPr>
              <w:spacing w:after="0" w:line="202" w:lineRule="exact"/>
              <w:rPr>
                <w:sz w:val="20"/>
                <w:szCs w:val="20"/>
                <w:color w:val="auto"/>
              </w:rPr>
            </w:pPr>
            <w:r>
              <w:rPr>
                <w:rFonts w:ascii="Arial" w:cs="Arial" w:eastAsia="Arial" w:hAnsi="Arial"/>
                <w:sz w:val="18"/>
                <w:szCs w:val="18"/>
                <w:color w:val="auto"/>
              </w:rPr>
              <w:t>Actuarial gain</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gridSpan w:val="4"/>
          </w:tcPr>
          <w:p>
            <w:pPr>
              <w:jc w:val="right"/>
              <w:ind w:right="20"/>
              <w:spacing w:after="0" w:line="202" w:lineRule="exact"/>
              <w:rPr>
                <w:sz w:val="20"/>
                <w:szCs w:val="20"/>
                <w:color w:val="auto"/>
              </w:rPr>
            </w:pPr>
            <w:r>
              <w:rPr>
                <w:rFonts w:ascii="Arial" w:cs="Arial" w:eastAsia="Arial" w:hAnsi="Arial"/>
                <w:sz w:val="18"/>
                <w:szCs w:val="18"/>
                <w:color w:val="auto"/>
              </w:rPr>
              <w:t>(4.5)</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(3.4)</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9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Benefits paid (net of federal subsidy of $0.3 and $0.3)</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gridSpan w:val="4"/>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(2.9)</w:t>
            </w:r>
          </w:p>
        </w:tc>
        <w:tc>
          <w:tcPr>
            <w:tcW w:w="2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(2.7)</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680" w:type="dxa"/>
            <w:vAlign w:val="bottom"/>
            <w:gridSpan w:val="4"/>
          </w:tcPr>
          <w:p>
            <w:pPr>
              <w:ind w:left="700"/>
              <w:spacing w:after="0"/>
              <w:rPr>
                <w:sz w:val="20"/>
                <w:szCs w:val="20"/>
                <w:color w:val="auto"/>
              </w:rPr>
            </w:pPr>
            <w:r>
              <w:rPr>
                <w:rFonts w:ascii="Arial" w:cs="Arial" w:eastAsia="Arial" w:hAnsi="Arial"/>
                <w:sz w:val="18"/>
                <w:szCs w:val="18"/>
                <w:color w:val="auto"/>
              </w:rPr>
              <w:t>Benefit obligation at end of year</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w w:val="99"/>
              </w:rPr>
              <w:t>$ 26.2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$ 30.4</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0" w:type="dxa"/>
            <w:vAlign w:val="bottom"/>
          </w:tcPr>
          <w:p>
            <w:pPr>
              <w:spacing w:after="0"/>
              <w:rPr>
                <w:sz w:val="17"/>
                <w:szCs w:val="17"/>
                <w:color w:val="auto"/>
              </w:rPr>
            </w:pPr>
          </w:p>
        </w:tc>
        <w:tc>
          <w:tcPr>
            <w:tcW w:w="698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Change in plan assets</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980" w:type="dxa"/>
            <w:vAlign w:val="bottom"/>
            <w:gridSpan w:val="3"/>
          </w:tcPr>
          <w:p>
            <w:pPr>
              <w:spacing w:after="0" w:line="202" w:lineRule="exact"/>
              <w:rPr>
                <w:sz w:val="20"/>
                <w:szCs w:val="20"/>
                <w:color w:val="auto"/>
              </w:rPr>
            </w:pPr>
            <w:r>
              <w:rPr>
                <w:rFonts w:ascii="Arial" w:cs="Arial" w:eastAsia="Arial" w:hAnsi="Arial"/>
                <w:sz w:val="18"/>
                <w:szCs w:val="18"/>
                <w:color w:val="auto"/>
              </w:rPr>
              <w:t>Fair value of plan assets at beginning of year</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9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Employer contribution</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w:t>
            </w:r>
          </w:p>
        </w:tc>
        <w:tc>
          <w:tcPr>
            <w:tcW w:w="180" w:type="dxa"/>
            <w:vAlign w:val="bottom"/>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980" w:type="dxa"/>
            <w:vAlign w:val="bottom"/>
            <w:gridSpan w:val="3"/>
          </w:tcPr>
          <w:p>
            <w:pPr>
              <w:spacing w:after="0" w:line="202" w:lineRule="exact"/>
              <w:rPr>
                <w:sz w:val="20"/>
                <w:szCs w:val="20"/>
                <w:color w:val="auto"/>
              </w:rPr>
            </w:pPr>
            <w:r>
              <w:rPr>
                <w:rFonts w:ascii="Arial" w:cs="Arial" w:eastAsia="Arial" w:hAnsi="Arial"/>
                <w:sz w:val="18"/>
                <w:szCs w:val="18"/>
                <w:color w:val="auto"/>
              </w:rPr>
              <w:t>Plan participants’ contributions</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0.9</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0.9</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9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Gross benefits paid</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gridSpan w:val="4"/>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(3.2)</w:t>
            </w:r>
          </w:p>
        </w:tc>
        <w:tc>
          <w:tcPr>
            <w:tcW w:w="2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(3.0)</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680" w:type="dxa"/>
            <w:vAlign w:val="bottom"/>
            <w:gridSpan w:val="4"/>
          </w:tcPr>
          <w:p>
            <w:pPr>
              <w:ind w:left="700"/>
              <w:spacing w:after="0"/>
              <w:rPr>
                <w:sz w:val="20"/>
                <w:szCs w:val="20"/>
                <w:color w:val="auto"/>
              </w:rPr>
            </w:pPr>
            <w:r>
              <w:rPr>
                <w:rFonts w:ascii="Arial" w:cs="Arial" w:eastAsia="Arial" w:hAnsi="Arial"/>
                <w:sz w:val="18"/>
                <w:szCs w:val="18"/>
                <w:color w:val="auto"/>
              </w:rPr>
              <w:t>Fair value of plan assets at end of year</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9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Funded status at end of year</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gridSpan w:val="6"/>
            <w:shd w:val="clear" w:color="auto" w:fill="CCEEFF"/>
          </w:tcPr>
          <w:p>
            <w:pPr>
              <w:jc w:val="right"/>
              <w:ind w:right="2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(26.2)</w:t>
            </w:r>
          </w:p>
        </w:tc>
        <w:tc>
          <w:tcPr>
            <w:tcW w:w="260" w:type="dxa"/>
            <w:vAlign w:val="bottom"/>
            <w:shd w:val="clear" w:color="auto" w:fill="CCEEFF"/>
          </w:tcPr>
          <w:p>
            <w:pPr>
              <w:spacing w:after="0"/>
              <w:rPr>
                <w:sz w:val="17"/>
                <w:szCs w:val="17"/>
                <w:color w:val="auto"/>
              </w:rPr>
            </w:pPr>
          </w:p>
        </w:tc>
        <w:tc>
          <w:tcPr>
            <w:tcW w:w="820" w:type="dxa"/>
            <w:vAlign w:val="bottom"/>
            <w:gridSpan w:val="4"/>
            <w:shd w:val="clear" w:color="auto" w:fill="CCEEFF"/>
          </w:tcPr>
          <w:p>
            <w:pPr>
              <w:jc w:val="right"/>
              <w:ind w:right="12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(30.4)</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80" w:type="dxa"/>
            <w:vAlign w:val="bottom"/>
            <w:gridSpan w:val="4"/>
            <w:vMerge w:val="restart"/>
          </w:tcPr>
          <w:p>
            <w:pPr>
              <w:ind w:left="700"/>
              <w:spacing w:after="0"/>
              <w:rPr>
                <w:sz w:val="20"/>
                <w:szCs w:val="20"/>
                <w:color w:val="auto"/>
              </w:rPr>
            </w:pPr>
            <w:r>
              <w:rPr>
                <w:rFonts w:ascii="Arial" w:cs="Arial" w:eastAsia="Arial" w:hAnsi="Arial"/>
                <w:sz w:val="18"/>
                <w:szCs w:val="18"/>
                <w:b w:val="1"/>
                <w:bCs w:val="1"/>
                <w:color w:val="auto"/>
              </w:rPr>
              <w:t>Amounts recognized in the Consolidated Balance Sheets consist of:</w:t>
            </w: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80" w:type="dxa"/>
            <w:vAlign w:val="bottom"/>
            <w:gridSpan w:val="4"/>
            <w:vMerge w:val="continue"/>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9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Current liabilities</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gridSpan w:val="4"/>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(2.4)</w:t>
            </w:r>
          </w:p>
        </w:tc>
        <w:tc>
          <w:tcPr>
            <w:tcW w:w="26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(2.5)</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980" w:type="dxa"/>
            <w:vAlign w:val="bottom"/>
            <w:gridSpan w:val="3"/>
          </w:tcPr>
          <w:p>
            <w:pPr>
              <w:spacing w:after="0" w:line="202" w:lineRule="exact"/>
              <w:rPr>
                <w:sz w:val="20"/>
                <w:szCs w:val="20"/>
                <w:color w:val="auto"/>
              </w:rPr>
            </w:pPr>
            <w:r>
              <w:rPr>
                <w:rFonts w:ascii="Arial" w:cs="Arial" w:eastAsia="Arial" w:hAnsi="Arial"/>
                <w:sz w:val="18"/>
                <w:szCs w:val="18"/>
                <w:color w:val="auto"/>
              </w:rPr>
              <w:t>Noncurrent liabilities</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gridSpan w:val="4"/>
          </w:tcPr>
          <w:p>
            <w:pPr>
              <w:jc w:val="right"/>
              <w:ind w:right="20"/>
              <w:spacing w:after="0" w:line="202" w:lineRule="exact"/>
              <w:rPr>
                <w:sz w:val="20"/>
                <w:szCs w:val="20"/>
                <w:color w:val="auto"/>
              </w:rPr>
            </w:pPr>
            <w:r>
              <w:rPr>
                <w:rFonts w:ascii="Arial" w:cs="Arial" w:eastAsia="Arial" w:hAnsi="Arial"/>
                <w:sz w:val="18"/>
                <w:szCs w:val="18"/>
                <w:color w:val="auto"/>
                <w:w w:val="97"/>
              </w:rPr>
              <w:t>(23.8)</w:t>
            </w:r>
          </w:p>
        </w:tc>
        <w:tc>
          <w:tcPr>
            <w:tcW w:w="260" w:type="dxa"/>
            <w:vAlign w:val="bottom"/>
          </w:tcPr>
          <w:p>
            <w:pPr>
              <w:spacing w:after="0"/>
              <w:rPr>
                <w:sz w:val="17"/>
                <w:szCs w:val="17"/>
                <w:color w:val="auto"/>
              </w:rPr>
            </w:pPr>
          </w:p>
        </w:tc>
        <w:tc>
          <w:tcPr>
            <w:tcW w:w="820" w:type="dxa"/>
            <w:vAlign w:val="bottom"/>
            <w:gridSpan w:val="4"/>
          </w:tcPr>
          <w:p>
            <w:pPr>
              <w:jc w:val="right"/>
              <w:ind w:right="120"/>
              <w:spacing w:after="0" w:line="202" w:lineRule="exact"/>
              <w:rPr>
                <w:sz w:val="20"/>
                <w:szCs w:val="20"/>
                <w:color w:val="auto"/>
              </w:rPr>
            </w:pPr>
            <w:r>
              <w:rPr>
                <w:rFonts w:ascii="Arial" w:cs="Arial" w:eastAsia="Arial" w:hAnsi="Arial"/>
                <w:sz w:val="18"/>
                <w:szCs w:val="18"/>
                <w:color w:val="auto"/>
              </w:rPr>
              <w:t>(27.9)</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700" w:type="dxa"/>
            <w:vAlign w:val="bottom"/>
            <w:vMerge w:val="restart"/>
          </w:tcPr>
          <w:p>
            <w:pPr>
              <w:spacing w:after="0"/>
              <w:rPr>
                <w:sz w:val="2"/>
                <w:szCs w:val="2"/>
                <w:color w:val="auto"/>
              </w:rPr>
            </w:pPr>
          </w:p>
        </w:tc>
        <w:tc>
          <w:tcPr>
            <w:tcW w:w="4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00" w:type="dxa"/>
            <w:vAlign w:val="bottom"/>
            <w:vMerge w:val="continue"/>
          </w:tcPr>
          <w:p>
            <w:pPr>
              <w:spacing w:after="0"/>
              <w:rPr>
                <w:sz w:val="17"/>
                <w:szCs w:val="17"/>
                <w:color w:val="auto"/>
              </w:rPr>
            </w:pPr>
          </w:p>
        </w:tc>
        <w:tc>
          <w:tcPr>
            <w:tcW w:w="69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Total amount accrued</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gridSpan w:val="6"/>
            <w:shd w:val="clear" w:color="auto" w:fill="CCEEFF"/>
          </w:tcPr>
          <w:p>
            <w:pPr>
              <w:jc w:val="right"/>
              <w:ind w:right="2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(26.2)</w:t>
            </w:r>
          </w:p>
        </w:tc>
        <w:tc>
          <w:tcPr>
            <w:tcW w:w="260" w:type="dxa"/>
            <w:vAlign w:val="bottom"/>
            <w:shd w:val="clear" w:color="auto" w:fill="CCEEFF"/>
          </w:tcPr>
          <w:p>
            <w:pPr>
              <w:spacing w:after="0"/>
              <w:rPr>
                <w:sz w:val="17"/>
                <w:szCs w:val="17"/>
                <w:color w:val="auto"/>
              </w:rPr>
            </w:pPr>
          </w:p>
        </w:tc>
        <w:tc>
          <w:tcPr>
            <w:tcW w:w="820" w:type="dxa"/>
            <w:vAlign w:val="bottom"/>
            <w:gridSpan w:val="4"/>
            <w:shd w:val="clear" w:color="auto" w:fill="CCEEFF"/>
          </w:tcPr>
          <w:p>
            <w:pPr>
              <w:jc w:val="right"/>
              <w:ind w:right="12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(30.4)</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80" w:type="dxa"/>
            <w:vAlign w:val="bottom"/>
            <w:gridSpan w:val="4"/>
            <w:vMerge w:val="restart"/>
          </w:tcPr>
          <w:p>
            <w:pPr>
              <w:ind w:left="700"/>
              <w:spacing w:after="0"/>
              <w:rPr>
                <w:sz w:val="20"/>
                <w:szCs w:val="20"/>
                <w:color w:val="auto"/>
              </w:rPr>
            </w:pPr>
            <w:r>
              <w:rPr>
                <w:rFonts w:ascii="Arial" w:cs="Arial" w:eastAsia="Arial" w:hAnsi="Arial"/>
                <w:sz w:val="18"/>
                <w:szCs w:val="18"/>
                <w:b w:val="1"/>
                <w:bCs w:val="1"/>
                <w:color w:val="auto"/>
              </w:rPr>
              <w:t>Amounts recognized in accumulated other comprehensive loss consist of:</w:t>
            </w: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80" w:type="dxa"/>
            <w:vAlign w:val="bottom"/>
            <w:gridSpan w:val="4"/>
            <w:vMerge w:val="continue"/>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9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Actuarial (gain) loss</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gridSpan w:val="4"/>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(4.2)</w:t>
            </w:r>
          </w:p>
        </w:tc>
        <w:tc>
          <w:tcPr>
            <w:tcW w:w="26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0.3</w:t>
            </w:r>
          </w:p>
        </w:tc>
        <w:tc>
          <w:tcPr>
            <w:tcW w:w="180" w:type="dxa"/>
            <w:vAlign w:val="bottom"/>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980" w:type="dxa"/>
            <w:vAlign w:val="bottom"/>
            <w:gridSpan w:val="8"/>
            <w:vMerge w:val="restart"/>
          </w:tcPr>
          <w:p>
            <w:pPr>
              <w:ind w:left="700"/>
              <w:spacing w:after="0"/>
              <w:rPr>
                <w:sz w:val="20"/>
                <w:szCs w:val="20"/>
                <w:color w:val="auto"/>
              </w:rPr>
            </w:pPr>
            <w:r>
              <w:rPr>
                <w:rFonts w:ascii="Arial" w:cs="Arial" w:eastAsia="Arial" w:hAnsi="Arial"/>
                <w:sz w:val="18"/>
                <w:szCs w:val="18"/>
                <w:color w:val="auto"/>
              </w:rPr>
              <w:t>The estimated actuarial gain that will be amortized from accumulated other comprehensive income</w:t>
            </w: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8980" w:type="dxa"/>
            <w:vAlign w:val="bottom"/>
            <w:gridSpan w:val="8"/>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700" w:type="dxa"/>
            <w:vAlign w:val="bottom"/>
          </w:tcPr>
          <w:p>
            <w:pPr>
              <w:spacing w:after="0"/>
              <w:rPr>
                <w:sz w:val="19"/>
                <w:szCs w:val="19"/>
                <w:color w:val="auto"/>
              </w:rPr>
            </w:pPr>
          </w:p>
        </w:tc>
        <w:tc>
          <w:tcPr>
            <w:tcW w:w="6980" w:type="dxa"/>
            <w:vAlign w:val="bottom"/>
            <w:gridSpan w:val="3"/>
          </w:tcPr>
          <w:p>
            <w:pPr>
              <w:ind w:left="180"/>
              <w:spacing w:after="0"/>
              <w:rPr>
                <w:sz w:val="20"/>
                <w:szCs w:val="20"/>
                <w:color w:val="auto"/>
              </w:rPr>
            </w:pPr>
            <w:r>
              <w:rPr>
                <w:rFonts w:ascii="Arial" w:cs="Arial" w:eastAsia="Arial" w:hAnsi="Arial"/>
                <w:sz w:val="18"/>
                <w:szCs w:val="18"/>
                <w:color w:val="auto"/>
              </w:rPr>
              <w:t>into net periodic benefit cost over the next fiscal year is $0.2 million.</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9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Discount rate used in development of APBO</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5"/>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7.54%</w:t>
            </w: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w w:val="93"/>
              </w:rPr>
              <w:t>6.22%</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70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60" w:type="dxa"/>
            <w:vAlign w:val="bottom"/>
            <w:gridSpan w:val="3"/>
          </w:tcPr>
          <w:p>
            <w:pPr>
              <w:jc w:val="right"/>
              <w:spacing w:after="0"/>
              <w:rPr>
                <w:sz w:val="20"/>
                <w:szCs w:val="20"/>
                <w:color w:val="auto"/>
              </w:rPr>
            </w:pPr>
            <w:r>
              <w:rPr>
                <w:rFonts w:ascii="Arial" w:cs="Arial" w:eastAsia="Arial" w:hAnsi="Arial"/>
                <w:sz w:val="16"/>
                <w:szCs w:val="16"/>
                <w:color w:val="auto"/>
              </w:rPr>
              <w:t>2008</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gridSpan w:val="4"/>
          </w:tcPr>
          <w:p>
            <w:pPr>
              <w:jc w:val="right"/>
              <w:ind w:right="60"/>
              <w:spacing w:after="0"/>
              <w:rPr>
                <w:sz w:val="20"/>
                <w:szCs w:val="20"/>
                <w:color w:val="auto"/>
              </w:rPr>
            </w:pPr>
            <w:r>
              <w:rPr>
                <w:rFonts w:ascii="Arial" w:cs="Arial" w:eastAsia="Arial" w:hAnsi="Arial"/>
                <w:sz w:val="16"/>
                <w:szCs w:val="16"/>
                <w:color w:val="auto"/>
              </w:rPr>
              <w:t>2007</w:t>
            </w:r>
          </w:p>
        </w:tc>
        <w:tc>
          <w:tcPr>
            <w:tcW w:w="260" w:type="dxa"/>
            <w:vAlign w:val="bottom"/>
          </w:tcPr>
          <w:p>
            <w:pPr>
              <w:spacing w:after="0"/>
              <w:rPr>
                <w:sz w:val="24"/>
                <w:szCs w:val="24"/>
                <w:color w:val="auto"/>
              </w:rPr>
            </w:pPr>
          </w:p>
        </w:tc>
        <w:tc>
          <w:tcPr>
            <w:tcW w:w="640" w:type="dxa"/>
            <w:vAlign w:val="bottom"/>
            <w:gridSpan w:val="3"/>
          </w:tcPr>
          <w:p>
            <w:pPr>
              <w:jc w:val="right"/>
              <w:spacing w:after="0"/>
              <w:rPr>
                <w:sz w:val="20"/>
                <w:szCs w:val="20"/>
                <w:color w:val="auto"/>
              </w:rPr>
            </w:pPr>
            <w:r>
              <w:rPr>
                <w:rFonts w:ascii="Arial" w:cs="Arial" w:eastAsia="Arial" w:hAnsi="Arial"/>
                <w:sz w:val="16"/>
                <w:szCs w:val="16"/>
                <w:color w:val="auto"/>
              </w:rPr>
              <w:t>2006</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700" w:type="dxa"/>
            <w:vAlign w:val="bottom"/>
          </w:tcPr>
          <w:p>
            <w:pPr>
              <w:spacing w:after="0"/>
              <w:rPr>
                <w:sz w:val="2"/>
                <w:szCs w:val="2"/>
                <w:color w:val="auto"/>
              </w:rPr>
            </w:pPr>
          </w:p>
        </w:tc>
        <w:tc>
          <w:tcPr>
            <w:tcW w:w="4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700" w:type="dxa"/>
            <w:vAlign w:val="bottom"/>
            <w:vMerge w:val="restart"/>
          </w:tcPr>
          <w:p>
            <w:pPr>
              <w:spacing w:after="0"/>
              <w:rPr>
                <w:sz w:val="2"/>
                <w:szCs w:val="2"/>
                <w:color w:val="auto"/>
              </w:rPr>
            </w:pPr>
          </w:p>
        </w:tc>
        <w:tc>
          <w:tcPr>
            <w:tcW w:w="4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00" w:type="dxa"/>
            <w:vAlign w:val="bottom"/>
            <w:vMerge w:val="continue"/>
          </w:tcPr>
          <w:p>
            <w:pPr>
              <w:spacing w:after="0"/>
              <w:rPr>
                <w:sz w:val="17"/>
                <w:szCs w:val="17"/>
                <w:color w:val="auto"/>
              </w:rPr>
            </w:pPr>
          </w:p>
        </w:tc>
        <w:tc>
          <w:tcPr>
            <w:tcW w:w="69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Components of net periodic benefit cost</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980" w:type="dxa"/>
            <w:vAlign w:val="bottom"/>
            <w:gridSpan w:val="3"/>
          </w:tcPr>
          <w:p>
            <w:pPr>
              <w:spacing w:after="0" w:line="202" w:lineRule="exact"/>
              <w:rPr>
                <w:sz w:val="20"/>
                <w:szCs w:val="20"/>
                <w:color w:val="auto"/>
              </w:rPr>
            </w:pPr>
            <w:r>
              <w:rPr>
                <w:rFonts w:ascii="Arial" w:cs="Arial" w:eastAsia="Arial" w:hAnsi="Arial"/>
                <w:sz w:val="18"/>
                <w:szCs w:val="18"/>
                <w:color w:val="auto"/>
              </w:rPr>
              <w:t>Service cost</w:t>
            </w:r>
          </w:p>
        </w:tc>
        <w:tc>
          <w:tcPr>
            <w:tcW w:w="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0.5</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0.6</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0.7</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9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Interest cost</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1.8</w:t>
            </w: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6980" w:type="dxa"/>
            <w:vAlign w:val="bottom"/>
            <w:gridSpan w:val="3"/>
          </w:tcPr>
          <w:p>
            <w:pPr>
              <w:spacing w:after="0" w:line="202" w:lineRule="exact"/>
              <w:rPr>
                <w:sz w:val="20"/>
                <w:szCs w:val="20"/>
                <w:color w:val="auto"/>
              </w:rPr>
            </w:pPr>
            <w:r>
              <w:rPr>
                <w:rFonts w:ascii="Arial" w:cs="Arial" w:eastAsia="Arial" w:hAnsi="Arial"/>
                <w:sz w:val="18"/>
                <w:szCs w:val="18"/>
                <w:color w:val="auto"/>
              </w:rPr>
              <w:t>Amortization of actuarial loss</w:t>
            </w:r>
          </w:p>
        </w:tc>
        <w:tc>
          <w:tcPr>
            <w:tcW w:w="6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0.1</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9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Total postretirement benefit cost</w:t>
            </w:r>
          </w:p>
        </w:tc>
        <w:tc>
          <w:tcPr>
            <w:tcW w:w="7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2.4</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w:t>
            </w:r>
          </w:p>
        </w:tc>
        <w:tc>
          <w:tcPr>
            <w:tcW w:w="180" w:type="dxa"/>
            <w:vAlign w:val="bottom"/>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80" w:type="dxa"/>
            <w:vAlign w:val="bottom"/>
            <w:gridSpan w:val="4"/>
            <w:vMerge w:val="restart"/>
          </w:tcPr>
          <w:p>
            <w:pPr>
              <w:ind w:left="700"/>
              <w:spacing w:after="0"/>
              <w:rPr>
                <w:sz w:val="20"/>
                <w:szCs w:val="20"/>
                <w:color w:val="auto"/>
              </w:rPr>
            </w:pPr>
            <w:r>
              <w:rPr>
                <w:rFonts w:ascii="Arial" w:cs="Arial" w:eastAsia="Arial" w:hAnsi="Arial"/>
                <w:sz w:val="18"/>
                <w:szCs w:val="18"/>
                <w:b w:val="1"/>
                <w:bCs w:val="1"/>
                <w:color w:val="auto"/>
              </w:rPr>
              <w:t>Discount rate used in development of net periodic benefit cost</w:t>
            </w: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80" w:type="dxa"/>
            <w:vAlign w:val="bottom"/>
            <w:gridSpan w:val="4"/>
            <w:vMerge w:val="continue"/>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6.22%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8"/>
                <w:szCs w:val="18"/>
                <w:color w:val="auto"/>
                <w:w w:val="97"/>
              </w:rPr>
              <w:t>5.86%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5.51%</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5560" w:type="dxa"/>
            <w:vAlign w:val="bottom"/>
            <w:gridSpan w:val="2"/>
            <w:vMerge w:val="restart"/>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8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5560" w:type="dxa"/>
            <w:vAlign w:val="bottom"/>
            <w:gridSpan w:val="2"/>
            <w:vMerge w:val="continue"/>
          </w:tcPr>
          <w:p>
            <w:pPr>
              <w:spacing w:after="0"/>
              <w:rPr>
                <w:sz w:val="11"/>
                <w:szCs w:val="11"/>
                <w:color w:val="auto"/>
              </w:rPr>
            </w:pPr>
          </w:p>
        </w:tc>
        <w:tc>
          <w:tcPr>
            <w:tcW w:w="300" w:type="dxa"/>
            <w:vAlign w:val="bottom"/>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90</w:t>
            </w:r>
          </w:p>
        </w:tc>
        <w:tc>
          <w:tcPr>
            <w:tcW w:w="1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700" w:type="dxa"/>
            <w:vAlign w:val="bottom"/>
            <w:tcBorders>
              <w:bottom w:val="single" w:sz="8" w:color="808080"/>
            </w:tcBorders>
          </w:tcPr>
          <w:p>
            <w:pPr>
              <w:spacing w:after="0"/>
              <w:rPr>
                <w:sz w:val="17"/>
                <w:szCs w:val="17"/>
                <w:color w:val="auto"/>
              </w:rPr>
            </w:pPr>
          </w:p>
        </w:tc>
        <w:tc>
          <w:tcPr>
            <w:tcW w:w="486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1820" w:type="dxa"/>
            <w:vAlign w:val="bottom"/>
            <w:tcBorders>
              <w:bottom w:val="single" w:sz="8" w:color="808080"/>
            </w:tcBorders>
          </w:tcPr>
          <w:p>
            <w:pPr>
              <w:spacing w:after="0"/>
              <w:rPr>
                <w:sz w:val="17"/>
                <w:szCs w:val="17"/>
                <w:color w:val="auto"/>
              </w:rPr>
            </w:pPr>
          </w:p>
        </w:tc>
        <w:tc>
          <w:tcPr>
            <w:tcW w:w="600" w:type="dxa"/>
            <w:vAlign w:val="bottom"/>
            <w:tcBorders>
              <w:bottom w:val="single" w:sz="8" w:color="808080"/>
            </w:tcBorders>
          </w:tcPr>
          <w:p>
            <w:pPr>
              <w:spacing w:after="0"/>
              <w:rPr>
                <w:sz w:val="17"/>
                <w:szCs w:val="17"/>
                <w:color w:val="auto"/>
              </w:rPr>
            </w:pPr>
          </w:p>
        </w:tc>
        <w:tc>
          <w:tcPr>
            <w:tcW w:w="10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80" w:type="dxa"/>
            <w:vAlign w:val="bottom"/>
            <w:tcBorders>
              <w:bottom w:val="single" w:sz="8" w:color="808080"/>
            </w:tcBorders>
          </w:tcPr>
          <w:p>
            <w:pPr>
              <w:spacing w:after="0"/>
              <w:rPr>
                <w:sz w:val="17"/>
                <w:szCs w:val="17"/>
                <w:color w:val="auto"/>
              </w:rPr>
            </w:pPr>
          </w:p>
        </w:tc>
        <w:tc>
          <w:tcPr>
            <w:tcW w:w="10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10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80" w:type="dxa"/>
            <w:vAlign w:val="bottom"/>
            <w:tcBorders>
              <w:bottom w:val="single" w:sz="8" w:color="808080"/>
            </w:tcBorders>
          </w:tcPr>
          <w:p>
            <w:pPr>
              <w:spacing w:after="0"/>
              <w:rPr>
                <w:sz w:val="17"/>
                <w:szCs w:val="17"/>
                <w:color w:val="auto"/>
              </w:rPr>
            </w:pPr>
          </w:p>
        </w:tc>
        <w:tc>
          <w:tcPr>
            <w:tcW w:w="260" w:type="dxa"/>
            <w:vAlign w:val="bottom"/>
            <w:tcBorders>
              <w:bottom w:val="single" w:sz="8" w:color="808080"/>
            </w:tcBorders>
          </w:tcPr>
          <w:p>
            <w:pPr>
              <w:spacing w:after="0"/>
              <w:rPr>
                <w:sz w:val="17"/>
                <w:szCs w:val="17"/>
                <w:color w:val="auto"/>
              </w:rPr>
            </w:pPr>
          </w:p>
        </w:tc>
        <w:tc>
          <w:tcPr>
            <w:tcW w:w="18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340" w:type="dxa"/>
            <w:vAlign w:val="bottom"/>
            <w:tcBorders>
              <w:bottom w:val="single" w:sz="8" w:color="808080"/>
            </w:tcBorders>
          </w:tcPr>
          <w:p>
            <w:pPr>
              <w:spacing w:after="0"/>
              <w:rPr>
                <w:sz w:val="17"/>
                <w:szCs w:val="17"/>
                <w:color w:val="auto"/>
              </w:rPr>
            </w:pPr>
          </w:p>
        </w:tc>
        <w:tc>
          <w:tcPr>
            <w:tcW w:w="18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92" w:name="page93"/>
    <w:bookmarkEnd w:id="92"/>
    <w:p>
      <w:pPr>
        <w:spacing w:after="0"/>
        <w:rPr>
          <w:rFonts w:ascii="Times New Roman" w:cs="Times New Roman" w:eastAsia="Times New Roman" w:hAnsi="Times New Roman"/>
          <w:sz w:val="18"/>
          <w:szCs w:val="18"/>
          <w:b w:val="1"/>
          <w:bCs w:val="1"/>
          <w:u w:val="single" w:color="auto"/>
          <w:color w:val="0000EE"/>
        </w:rPr>
      </w:pPr>
      <w:hyperlink w:anchor="page64">
        <w:r>
          <w:rPr>
            <w:rFonts w:ascii="Times New Roman" w:cs="Times New Roman" w:eastAsia="Times New Roman" w:hAnsi="Times New Roman"/>
            <w:sz w:val="18"/>
            <w:szCs w:val="18"/>
            <w:b w:val="1"/>
            <w:bCs w:val="1"/>
            <w:u w:val="single" w:color="auto"/>
            <w:color w:val="0000EE"/>
          </w:rPr>
          <w:t>Table of Contents</w:t>
        </w:r>
      </w:hyperlink>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5" w:lineRule="exact"/>
        <w:rPr>
          <w:sz w:val="20"/>
          <w:szCs w:val="20"/>
          <w:color w:val="auto"/>
        </w:rPr>
      </w:pPr>
    </w:p>
    <w:p>
      <w:pPr>
        <w:ind w:left="700" w:right="720" w:firstLine="402"/>
        <w:spacing w:after="0" w:line="243" w:lineRule="auto"/>
        <w:rPr>
          <w:sz w:val="20"/>
          <w:szCs w:val="20"/>
          <w:color w:val="auto"/>
        </w:rPr>
      </w:pPr>
      <w:r>
        <w:rPr>
          <w:rFonts w:ascii="Arial" w:cs="Arial" w:eastAsia="Arial" w:hAnsi="Arial"/>
          <w:sz w:val="18"/>
          <w:szCs w:val="18"/>
          <w:color w:val="auto"/>
        </w:rPr>
        <w:t>On December 8, 2003, the Medicare Prescription Drug, Improvement and Modernization Act (the “Act”) became law. The Act provides for a federal subsidy to sponsors of retiree health care benefit plans that provide a prescription drug benefit that is at least actuarially equivalent to the benefit established by the Act. On May 19, 2004, the FASB issued Staff Position</w:t>
      </w:r>
    </w:p>
    <w:p>
      <w:pPr>
        <w:spacing w:after="0" w:line="1" w:lineRule="exact"/>
        <w:rPr>
          <w:sz w:val="20"/>
          <w:szCs w:val="20"/>
          <w:color w:val="auto"/>
        </w:rPr>
      </w:pPr>
    </w:p>
    <w:p>
      <w:pPr>
        <w:ind w:left="700" w:right="680"/>
        <w:spacing w:after="0" w:line="238" w:lineRule="auto"/>
        <w:rPr>
          <w:sz w:val="20"/>
          <w:szCs w:val="20"/>
          <w:color w:val="auto"/>
        </w:rPr>
      </w:pPr>
      <w:r>
        <w:rPr>
          <w:rFonts w:ascii="Arial" w:cs="Arial" w:eastAsia="Arial" w:hAnsi="Arial"/>
          <w:sz w:val="18"/>
          <w:szCs w:val="18"/>
          <w:color w:val="auto"/>
        </w:rPr>
        <w:t>No. 106-2, “Accounting and Disclosure Requirements Related to the Medicare Prescription Drug, Improvement and Modernization Act of 2003” (the “FSP”). The FSP provides guidance on accounting for the effects of the Act, which the Company adopted at the beginning of its fourth quarter of fiscal 2004. The APBO at September 30, 2008, has been reduced by a deferred actuarial gain in the amount of $ 5.5 million to reflect the effect of the subsidy related to benefits attributed to past service. The amortization of the actuarial gain and reduction of service and interest costs served to reduce net periodic post retirement benefit cost for fiscal years 2008, 2007 and 2006 by $0.5 million, $0.7 million and $0.9 million, respectively.</w:t>
      </w:r>
    </w:p>
    <w:p>
      <w:pPr>
        <w:spacing w:after="0" w:line="83" w:lineRule="exact"/>
        <w:rPr>
          <w:sz w:val="20"/>
          <w:szCs w:val="20"/>
          <w:color w:val="auto"/>
        </w:rPr>
      </w:pPr>
    </w:p>
    <w:p>
      <w:pPr>
        <w:ind w:left="700" w:right="840" w:firstLine="402"/>
        <w:spacing w:after="0" w:line="243" w:lineRule="auto"/>
        <w:rPr>
          <w:sz w:val="20"/>
          <w:szCs w:val="20"/>
          <w:color w:val="auto"/>
        </w:rPr>
      </w:pPr>
      <w:r>
        <w:rPr>
          <w:rFonts w:ascii="Arial" w:cs="Arial" w:eastAsia="Arial" w:hAnsi="Arial"/>
          <w:sz w:val="18"/>
          <w:szCs w:val="18"/>
          <w:color w:val="auto"/>
        </w:rPr>
        <w:t>For measurement as of September 30, 2008, management has assumed that health care costs will increase at an annual rate of 7.0% in fiscal 2009, decreasing 0.50% per year to an ultimate trend of 5.00% in 2013. A 1% increase in health cost trend rate assumptions would increase the APBO as of September 30, 2008 and 2007 by $0.9 million and $0.0 million, respectively. A 1% decrease in health cost trend rate assumptions would decrease the APBO as of September 30, 2008 and 2007 by $0.6 million and $0.1 million, respectively. A 1% increase or decrease in the same rate would not have a material effect on service or interest costs.</w:t>
      </w:r>
    </w:p>
    <w:p>
      <w:pPr>
        <w:spacing w:after="0" w:line="18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Estimated Future Benefit Payments</w:t>
      </w:r>
    </w:p>
    <w:p>
      <w:pPr>
        <w:spacing w:after="0" w:line="119" w:lineRule="exact"/>
        <w:rPr>
          <w:sz w:val="20"/>
          <w:szCs w:val="20"/>
          <w:color w:val="auto"/>
        </w:rPr>
      </w:pPr>
    </w:p>
    <w:p>
      <w:pPr>
        <w:ind w:left="700" w:right="1040" w:firstLine="402"/>
        <w:spacing w:after="0" w:line="276" w:lineRule="auto"/>
        <w:rPr>
          <w:sz w:val="20"/>
          <w:szCs w:val="20"/>
          <w:color w:val="auto"/>
        </w:rPr>
      </w:pPr>
      <w:r>
        <w:rPr>
          <w:rFonts w:ascii="Arial" w:cs="Arial" w:eastAsia="Arial" w:hAnsi="Arial"/>
          <w:sz w:val="18"/>
          <w:szCs w:val="18"/>
          <w:color w:val="auto"/>
        </w:rPr>
        <w:t>The following benefit payments under the plan are expected to be paid by the Company and the retirees for the fiscal years indicated (in millions):</w:t>
      </w:r>
    </w:p>
    <w:p>
      <w:pPr>
        <w:spacing w:after="0" w:line="69" w:lineRule="exact"/>
        <w:rPr>
          <w:sz w:val="20"/>
          <w:szCs w:val="20"/>
          <w:color w:val="auto"/>
        </w:rPr>
      </w:pPr>
    </w:p>
    <w:tbl>
      <w:tblPr>
        <w:tblLayout w:type="fixed"/>
        <w:tblInd w:w="70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3160" w:type="dxa"/>
            <w:vAlign w:val="bottom"/>
          </w:tcPr>
          <w:p>
            <w:pPr>
              <w:jc w:val="center"/>
              <w:ind w:left="1733"/>
              <w:spacing w:after="0"/>
              <w:rPr>
                <w:sz w:val="20"/>
                <w:szCs w:val="20"/>
                <w:color w:val="auto"/>
              </w:rPr>
            </w:pPr>
            <w:r>
              <w:rPr>
                <w:rFonts w:ascii="Arial" w:cs="Arial" w:eastAsia="Arial" w:hAnsi="Arial"/>
                <w:sz w:val="16"/>
                <w:szCs w:val="16"/>
                <w:color w:val="auto"/>
                <w:w w:val="98"/>
              </w:rPr>
              <w:t>Gross</w:t>
            </w:r>
          </w:p>
        </w:tc>
        <w:tc>
          <w:tcPr>
            <w:tcW w:w="156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rPr>
              <w:t>Medicare</w:t>
            </w:r>
          </w:p>
        </w:tc>
        <w:tc>
          <w:tcPr>
            <w:tcW w:w="1100" w:type="dxa"/>
            <w:vAlign w:val="bottom"/>
          </w:tcPr>
          <w:p>
            <w:pPr>
              <w:jc w:val="center"/>
              <w:ind w:left="33"/>
              <w:spacing w:after="0"/>
              <w:rPr>
                <w:sz w:val="20"/>
                <w:szCs w:val="20"/>
                <w:color w:val="auto"/>
              </w:rPr>
            </w:pPr>
            <w:r>
              <w:rPr>
                <w:rFonts w:ascii="Arial" w:cs="Arial" w:eastAsia="Arial" w:hAnsi="Arial"/>
                <w:sz w:val="16"/>
                <w:szCs w:val="16"/>
                <w:color w:val="auto"/>
              </w:rPr>
              <w:t>Net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3160" w:type="dxa"/>
            <w:vAlign w:val="bottom"/>
          </w:tcPr>
          <w:p>
            <w:pPr>
              <w:jc w:val="center"/>
              <w:ind w:left="1733"/>
              <w:spacing w:after="0"/>
              <w:rPr>
                <w:sz w:val="20"/>
                <w:szCs w:val="20"/>
                <w:color w:val="auto"/>
              </w:rPr>
            </w:pPr>
            <w:r>
              <w:rPr>
                <w:rFonts w:ascii="Arial" w:cs="Arial" w:eastAsia="Arial" w:hAnsi="Arial"/>
                <w:sz w:val="16"/>
                <w:szCs w:val="16"/>
                <w:color w:val="auto"/>
              </w:rPr>
              <w:t>Benefit</w:t>
            </w:r>
          </w:p>
        </w:tc>
        <w:tc>
          <w:tcPr>
            <w:tcW w:w="1560" w:type="dxa"/>
            <w:vAlign w:val="bottom"/>
          </w:tcPr>
          <w:p>
            <w:pPr>
              <w:jc w:val="right"/>
              <w:ind w:right="432"/>
              <w:spacing w:after="0"/>
              <w:rPr>
                <w:sz w:val="20"/>
                <w:szCs w:val="20"/>
                <w:color w:val="auto"/>
              </w:rPr>
            </w:pPr>
            <w:r>
              <w:rPr>
                <w:rFonts w:ascii="Arial" w:cs="Arial" w:eastAsia="Arial" w:hAnsi="Arial"/>
                <w:sz w:val="16"/>
                <w:szCs w:val="16"/>
                <w:color w:val="auto"/>
              </w:rPr>
              <w:t>Retiree</w:t>
            </w:r>
          </w:p>
        </w:tc>
        <w:tc>
          <w:tcPr>
            <w:tcW w:w="1220" w:type="dxa"/>
            <w:vAlign w:val="bottom"/>
          </w:tcPr>
          <w:p>
            <w:pPr>
              <w:jc w:val="center"/>
              <w:spacing w:after="0"/>
              <w:rPr>
                <w:sz w:val="20"/>
                <w:szCs w:val="20"/>
                <w:color w:val="auto"/>
              </w:rPr>
            </w:pPr>
            <w:r>
              <w:rPr>
                <w:rFonts w:ascii="Arial" w:cs="Arial" w:eastAsia="Arial" w:hAnsi="Arial"/>
                <w:sz w:val="16"/>
                <w:szCs w:val="16"/>
                <w:color w:val="auto"/>
              </w:rPr>
              <w:t>Part D</w:t>
            </w:r>
          </w:p>
        </w:tc>
        <w:tc>
          <w:tcPr>
            <w:tcW w:w="1100" w:type="dxa"/>
            <w:vAlign w:val="bottom"/>
          </w:tcPr>
          <w:p>
            <w:pPr>
              <w:jc w:val="center"/>
              <w:ind w:left="33"/>
              <w:spacing w:after="0"/>
              <w:rPr>
                <w:sz w:val="20"/>
                <w:szCs w:val="20"/>
                <w:color w:val="auto"/>
              </w:rPr>
            </w:pPr>
            <w:r>
              <w:rPr>
                <w:rFonts w:ascii="Arial" w:cs="Arial" w:eastAsia="Arial" w:hAnsi="Arial"/>
                <w:sz w:val="16"/>
                <w:szCs w:val="16"/>
                <w:color w:val="auto"/>
              </w:rPr>
              <w:t>Company</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980" w:type="dxa"/>
            <w:vAlign w:val="bottom"/>
            <w:tcBorders>
              <w:bottom w:val="single" w:sz="8" w:color="auto"/>
            </w:tcBorders>
          </w:tcPr>
          <w:p>
            <w:pPr>
              <w:spacing w:after="0"/>
              <w:rPr>
                <w:sz w:val="19"/>
                <w:szCs w:val="19"/>
                <w:color w:val="auto"/>
              </w:rPr>
            </w:pPr>
          </w:p>
        </w:tc>
        <w:tc>
          <w:tcPr>
            <w:tcW w:w="3160" w:type="dxa"/>
            <w:vAlign w:val="bottom"/>
            <w:tcBorders>
              <w:bottom w:val="single" w:sz="8" w:color="auto"/>
            </w:tcBorders>
          </w:tcPr>
          <w:p>
            <w:pPr>
              <w:jc w:val="center"/>
              <w:ind w:left="1753"/>
              <w:spacing w:after="0"/>
              <w:rPr>
                <w:sz w:val="20"/>
                <w:szCs w:val="20"/>
                <w:color w:val="auto"/>
              </w:rPr>
            </w:pPr>
            <w:r>
              <w:rPr>
                <w:rFonts w:ascii="Arial" w:cs="Arial" w:eastAsia="Arial" w:hAnsi="Arial"/>
                <w:sz w:val="16"/>
                <w:szCs w:val="16"/>
                <w:color w:val="auto"/>
              </w:rPr>
              <w:t>Payments</w:t>
            </w:r>
          </w:p>
        </w:tc>
        <w:tc>
          <w:tcPr>
            <w:tcW w:w="1560" w:type="dxa"/>
            <w:vAlign w:val="bottom"/>
            <w:tcBorders>
              <w:bottom w:val="single" w:sz="8" w:color="auto"/>
            </w:tcBorders>
          </w:tcPr>
          <w:p>
            <w:pPr>
              <w:jc w:val="right"/>
              <w:ind w:right="212"/>
              <w:spacing w:after="0"/>
              <w:rPr>
                <w:sz w:val="20"/>
                <w:szCs w:val="20"/>
                <w:color w:val="auto"/>
              </w:rPr>
            </w:pPr>
            <w:r>
              <w:rPr>
                <w:rFonts w:ascii="Arial" w:cs="Arial" w:eastAsia="Arial" w:hAnsi="Arial"/>
                <w:sz w:val="16"/>
                <w:szCs w:val="16"/>
                <w:color w:val="auto"/>
              </w:rPr>
              <w:t>Contributions</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Subsidy</w:t>
            </w:r>
          </w:p>
        </w:tc>
        <w:tc>
          <w:tcPr>
            <w:tcW w:w="1100" w:type="dxa"/>
            <w:vAlign w:val="bottom"/>
            <w:tcBorders>
              <w:bottom w:val="single" w:sz="8" w:color="auto"/>
            </w:tcBorders>
          </w:tcPr>
          <w:p>
            <w:pPr>
              <w:jc w:val="center"/>
              <w:ind w:left="13"/>
              <w:spacing w:after="0"/>
              <w:rPr>
                <w:sz w:val="20"/>
                <w:szCs w:val="20"/>
                <w:color w:val="auto"/>
              </w:rPr>
            </w:pPr>
            <w:r>
              <w:rPr>
                <w:rFonts w:ascii="Arial" w:cs="Arial" w:eastAsia="Arial" w:hAnsi="Arial"/>
                <w:sz w:val="16"/>
                <w:szCs w:val="16"/>
                <w:color w:val="auto"/>
              </w:rPr>
              <w:t>Payments</w:t>
            </w:r>
          </w:p>
        </w:tc>
        <w:tc>
          <w:tcPr>
            <w:tcW w:w="0" w:type="dxa"/>
            <w:vAlign w:val="bottom"/>
          </w:tcPr>
          <w:p>
            <w:pPr>
              <w:spacing w:after="0"/>
              <w:rPr>
                <w:sz w:val="1"/>
                <w:szCs w:val="1"/>
                <w:color w:val="auto"/>
              </w:rPr>
            </w:pPr>
          </w:p>
        </w:tc>
      </w:tr>
      <w:tr>
        <w:trPr>
          <w:trHeight w:val="35"/>
        </w:trPr>
        <w:tc>
          <w:tcPr>
            <w:tcW w:w="20" w:type="dxa"/>
            <w:vAlign w:val="bottom"/>
            <w:vMerge w:val="restart"/>
          </w:tcPr>
          <w:p>
            <w:pPr>
              <w:spacing w:after="0"/>
              <w:rPr>
                <w:sz w:val="3"/>
                <w:szCs w:val="3"/>
                <w:color w:val="auto"/>
              </w:rPr>
            </w:pPr>
          </w:p>
        </w:tc>
        <w:tc>
          <w:tcPr>
            <w:tcW w:w="2980" w:type="dxa"/>
            <w:vAlign w:val="bottom"/>
          </w:tcPr>
          <w:p>
            <w:pPr>
              <w:spacing w:after="0"/>
              <w:rPr>
                <w:sz w:val="3"/>
                <w:szCs w:val="3"/>
                <w:color w:val="auto"/>
              </w:rPr>
            </w:pPr>
          </w:p>
        </w:tc>
        <w:tc>
          <w:tcPr>
            <w:tcW w:w="31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2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2009</w:t>
            </w:r>
          </w:p>
        </w:tc>
        <w:tc>
          <w:tcPr>
            <w:tcW w:w="3160" w:type="dxa"/>
            <w:vAlign w:val="bottom"/>
            <w:shd w:val="clear" w:color="auto" w:fill="CCEEFF"/>
          </w:tcPr>
          <w:p>
            <w:pPr>
              <w:jc w:val="right"/>
              <w:ind w:right="413"/>
              <w:spacing w:after="0" w:line="202" w:lineRule="exact"/>
              <w:rPr>
                <w:sz w:val="20"/>
                <w:szCs w:val="20"/>
                <w:color w:val="auto"/>
              </w:rPr>
            </w:pPr>
            <w:r>
              <w:rPr>
                <w:rFonts w:ascii="Arial" w:cs="Arial" w:eastAsia="Arial" w:hAnsi="Arial"/>
                <w:sz w:val="18"/>
                <w:szCs w:val="18"/>
                <w:color w:val="auto"/>
              </w:rPr>
              <w:t>$ 3.6</w:t>
            </w:r>
          </w:p>
        </w:tc>
        <w:tc>
          <w:tcPr>
            <w:tcW w:w="1560" w:type="dxa"/>
            <w:vAlign w:val="bottom"/>
            <w:shd w:val="clear" w:color="auto" w:fill="CCEEFF"/>
          </w:tcPr>
          <w:p>
            <w:pPr>
              <w:jc w:val="right"/>
              <w:ind w:right="432"/>
              <w:spacing w:after="0" w:line="202" w:lineRule="exact"/>
              <w:rPr>
                <w:sz w:val="20"/>
                <w:szCs w:val="20"/>
                <w:color w:val="auto"/>
              </w:rPr>
            </w:pPr>
            <w:r>
              <w:rPr>
                <w:rFonts w:ascii="Arial" w:cs="Arial" w:eastAsia="Arial" w:hAnsi="Arial"/>
                <w:sz w:val="18"/>
                <w:szCs w:val="18"/>
                <w:color w:val="auto"/>
              </w:rPr>
              <w:t>$ (0.9)</w:t>
            </w:r>
          </w:p>
        </w:tc>
        <w:tc>
          <w:tcPr>
            <w:tcW w:w="1220" w:type="dxa"/>
            <w:vAlign w:val="bottom"/>
            <w:shd w:val="clear" w:color="auto" w:fill="CCEEFF"/>
          </w:tcPr>
          <w:p>
            <w:pPr>
              <w:jc w:val="right"/>
              <w:ind w:right="293"/>
              <w:spacing w:after="0" w:line="202" w:lineRule="exact"/>
              <w:rPr>
                <w:sz w:val="20"/>
                <w:szCs w:val="20"/>
                <w:color w:val="auto"/>
              </w:rPr>
            </w:pPr>
            <w:r>
              <w:rPr>
                <w:rFonts w:ascii="Arial" w:cs="Arial" w:eastAsia="Arial" w:hAnsi="Arial"/>
                <w:sz w:val="18"/>
                <w:szCs w:val="18"/>
                <w:color w:val="auto"/>
              </w:rPr>
              <w:t>$ (0.3)</w:t>
            </w:r>
          </w:p>
        </w:tc>
        <w:tc>
          <w:tcPr>
            <w:tcW w:w="1100" w:type="dxa"/>
            <w:vAlign w:val="bottom"/>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$ 2.4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80" w:type="dxa"/>
            <w:vAlign w:val="bottom"/>
          </w:tcPr>
          <w:p>
            <w:pPr>
              <w:spacing w:after="0" w:line="202" w:lineRule="exact"/>
              <w:rPr>
                <w:sz w:val="20"/>
                <w:szCs w:val="20"/>
                <w:color w:val="auto"/>
              </w:rPr>
            </w:pPr>
            <w:r>
              <w:rPr>
                <w:rFonts w:ascii="Arial" w:cs="Arial" w:eastAsia="Arial" w:hAnsi="Arial"/>
                <w:sz w:val="18"/>
                <w:szCs w:val="18"/>
                <w:color w:val="auto"/>
              </w:rPr>
              <w:t>2010</w:t>
            </w:r>
          </w:p>
        </w:tc>
        <w:tc>
          <w:tcPr>
            <w:tcW w:w="3160" w:type="dxa"/>
            <w:vAlign w:val="bottom"/>
          </w:tcPr>
          <w:p>
            <w:pPr>
              <w:jc w:val="right"/>
              <w:ind w:right="413"/>
              <w:spacing w:after="0" w:line="202" w:lineRule="exact"/>
              <w:rPr>
                <w:sz w:val="20"/>
                <w:szCs w:val="20"/>
                <w:color w:val="auto"/>
              </w:rPr>
            </w:pPr>
            <w:r>
              <w:rPr>
                <w:rFonts w:ascii="Arial" w:cs="Arial" w:eastAsia="Arial" w:hAnsi="Arial"/>
                <w:sz w:val="18"/>
                <w:szCs w:val="18"/>
                <w:color w:val="auto"/>
              </w:rPr>
              <w:t>3.8</w:t>
            </w:r>
          </w:p>
        </w:tc>
        <w:tc>
          <w:tcPr>
            <w:tcW w:w="1560" w:type="dxa"/>
            <w:vAlign w:val="bottom"/>
          </w:tcPr>
          <w:p>
            <w:pPr>
              <w:jc w:val="right"/>
              <w:ind w:right="432"/>
              <w:spacing w:after="0" w:line="202" w:lineRule="exact"/>
              <w:rPr>
                <w:sz w:val="20"/>
                <w:szCs w:val="20"/>
                <w:color w:val="auto"/>
              </w:rPr>
            </w:pPr>
            <w:r>
              <w:rPr>
                <w:rFonts w:ascii="Arial" w:cs="Arial" w:eastAsia="Arial" w:hAnsi="Arial"/>
                <w:sz w:val="18"/>
                <w:szCs w:val="18"/>
                <w:color w:val="auto"/>
              </w:rPr>
              <w:t>(1.0)</w:t>
            </w:r>
          </w:p>
        </w:tc>
        <w:tc>
          <w:tcPr>
            <w:tcW w:w="1220" w:type="dxa"/>
            <w:vAlign w:val="bottom"/>
          </w:tcPr>
          <w:p>
            <w:pPr>
              <w:jc w:val="right"/>
              <w:ind w:right="293"/>
              <w:spacing w:after="0" w:line="202" w:lineRule="exact"/>
              <w:rPr>
                <w:sz w:val="20"/>
                <w:szCs w:val="20"/>
                <w:color w:val="auto"/>
              </w:rPr>
            </w:pPr>
            <w:r>
              <w:rPr>
                <w:rFonts w:ascii="Arial" w:cs="Arial" w:eastAsia="Arial" w:hAnsi="Arial"/>
                <w:sz w:val="18"/>
                <w:szCs w:val="18"/>
                <w:color w:val="auto"/>
              </w:rPr>
              <w:t>(0.4)</w:t>
            </w:r>
          </w:p>
        </w:tc>
        <w:tc>
          <w:tcPr>
            <w:tcW w:w="110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2011</w:t>
            </w:r>
          </w:p>
        </w:tc>
        <w:tc>
          <w:tcPr>
            <w:tcW w:w="3160" w:type="dxa"/>
            <w:vAlign w:val="bottom"/>
            <w:shd w:val="clear" w:color="auto" w:fill="CCEEFF"/>
          </w:tcPr>
          <w:p>
            <w:pPr>
              <w:jc w:val="right"/>
              <w:ind w:right="413"/>
              <w:spacing w:after="0" w:line="202" w:lineRule="exact"/>
              <w:rPr>
                <w:sz w:val="20"/>
                <w:szCs w:val="20"/>
                <w:color w:val="auto"/>
              </w:rPr>
            </w:pPr>
            <w:r>
              <w:rPr>
                <w:rFonts w:ascii="Arial" w:cs="Arial" w:eastAsia="Arial" w:hAnsi="Arial"/>
                <w:sz w:val="18"/>
                <w:szCs w:val="18"/>
                <w:color w:val="auto"/>
              </w:rPr>
              <w:t>4.0</w:t>
            </w:r>
          </w:p>
        </w:tc>
        <w:tc>
          <w:tcPr>
            <w:tcW w:w="1560" w:type="dxa"/>
            <w:vAlign w:val="bottom"/>
            <w:shd w:val="clear" w:color="auto" w:fill="CCEEFF"/>
          </w:tcPr>
          <w:p>
            <w:pPr>
              <w:jc w:val="right"/>
              <w:ind w:right="432"/>
              <w:spacing w:after="0" w:line="202" w:lineRule="exact"/>
              <w:rPr>
                <w:sz w:val="20"/>
                <w:szCs w:val="20"/>
                <w:color w:val="auto"/>
              </w:rPr>
            </w:pPr>
            <w:r>
              <w:rPr>
                <w:rFonts w:ascii="Arial" w:cs="Arial" w:eastAsia="Arial" w:hAnsi="Arial"/>
                <w:sz w:val="18"/>
                <w:szCs w:val="18"/>
                <w:color w:val="auto"/>
              </w:rPr>
              <w:t>(1.2)</w:t>
            </w:r>
          </w:p>
        </w:tc>
        <w:tc>
          <w:tcPr>
            <w:tcW w:w="1220" w:type="dxa"/>
            <w:vAlign w:val="bottom"/>
            <w:shd w:val="clear" w:color="auto" w:fill="CCEEFF"/>
          </w:tcPr>
          <w:p>
            <w:pPr>
              <w:jc w:val="right"/>
              <w:ind w:right="293"/>
              <w:spacing w:after="0" w:line="202" w:lineRule="exact"/>
              <w:rPr>
                <w:sz w:val="20"/>
                <w:szCs w:val="20"/>
                <w:color w:val="auto"/>
              </w:rPr>
            </w:pPr>
            <w:r>
              <w:rPr>
                <w:rFonts w:ascii="Arial" w:cs="Arial" w:eastAsia="Arial" w:hAnsi="Arial"/>
                <w:sz w:val="18"/>
                <w:szCs w:val="18"/>
                <w:color w:val="auto"/>
              </w:rPr>
              <w:t>(0.4)</w:t>
            </w:r>
          </w:p>
        </w:tc>
        <w:tc>
          <w:tcPr>
            <w:tcW w:w="1100" w:type="dxa"/>
            <w:vAlign w:val="bottom"/>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80" w:type="dxa"/>
            <w:vAlign w:val="bottom"/>
          </w:tcPr>
          <w:p>
            <w:pPr>
              <w:spacing w:after="0" w:line="202" w:lineRule="exact"/>
              <w:rPr>
                <w:sz w:val="20"/>
                <w:szCs w:val="20"/>
                <w:color w:val="auto"/>
              </w:rPr>
            </w:pPr>
            <w:r>
              <w:rPr>
                <w:rFonts w:ascii="Arial" w:cs="Arial" w:eastAsia="Arial" w:hAnsi="Arial"/>
                <w:sz w:val="18"/>
                <w:szCs w:val="18"/>
                <w:color w:val="auto"/>
              </w:rPr>
              <w:t>2012</w:t>
            </w:r>
          </w:p>
        </w:tc>
        <w:tc>
          <w:tcPr>
            <w:tcW w:w="3160" w:type="dxa"/>
            <w:vAlign w:val="bottom"/>
          </w:tcPr>
          <w:p>
            <w:pPr>
              <w:jc w:val="right"/>
              <w:ind w:right="413"/>
              <w:spacing w:after="0" w:line="202" w:lineRule="exact"/>
              <w:rPr>
                <w:sz w:val="20"/>
                <w:szCs w:val="20"/>
                <w:color w:val="auto"/>
              </w:rPr>
            </w:pPr>
            <w:r>
              <w:rPr>
                <w:rFonts w:ascii="Arial" w:cs="Arial" w:eastAsia="Arial" w:hAnsi="Arial"/>
                <w:sz w:val="18"/>
                <w:szCs w:val="18"/>
                <w:color w:val="auto"/>
              </w:rPr>
              <w:t>4.2</w:t>
            </w:r>
          </w:p>
        </w:tc>
        <w:tc>
          <w:tcPr>
            <w:tcW w:w="1560" w:type="dxa"/>
            <w:vAlign w:val="bottom"/>
          </w:tcPr>
          <w:p>
            <w:pPr>
              <w:jc w:val="right"/>
              <w:ind w:right="432"/>
              <w:spacing w:after="0" w:line="202" w:lineRule="exact"/>
              <w:rPr>
                <w:sz w:val="20"/>
                <w:szCs w:val="20"/>
                <w:color w:val="auto"/>
              </w:rPr>
            </w:pPr>
            <w:r>
              <w:rPr>
                <w:rFonts w:ascii="Arial" w:cs="Arial" w:eastAsia="Arial" w:hAnsi="Arial"/>
                <w:sz w:val="18"/>
                <w:szCs w:val="18"/>
                <w:color w:val="auto"/>
              </w:rPr>
              <w:t>(1.4)</w:t>
            </w:r>
          </w:p>
        </w:tc>
        <w:tc>
          <w:tcPr>
            <w:tcW w:w="1220" w:type="dxa"/>
            <w:vAlign w:val="bottom"/>
          </w:tcPr>
          <w:p>
            <w:pPr>
              <w:jc w:val="right"/>
              <w:ind w:right="293"/>
              <w:spacing w:after="0" w:line="202" w:lineRule="exact"/>
              <w:rPr>
                <w:sz w:val="20"/>
                <w:szCs w:val="20"/>
                <w:color w:val="auto"/>
              </w:rPr>
            </w:pPr>
            <w:r>
              <w:rPr>
                <w:rFonts w:ascii="Arial" w:cs="Arial" w:eastAsia="Arial" w:hAnsi="Arial"/>
                <w:sz w:val="18"/>
                <w:szCs w:val="18"/>
                <w:color w:val="auto"/>
              </w:rPr>
              <w:t>(0.4)</w:t>
            </w:r>
          </w:p>
        </w:tc>
        <w:tc>
          <w:tcPr>
            <w:tcW w:w="110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2013</w:t>
            </w:r>
          </w:p>
        </w:tc>
        <w:tc>
          <w:tcPr>
            <w:tcW w:w="3160" w:type="dxa"/>
            <w:vAlign w:val="bottom"/>
            <w:shd w:val="clear" w:color="auto" w:fill="CCEEFF"/>
          </w:tcPr>
          <w:p>
            <w:pPr>
              <w:jc w:val="right"/>
              <w:ind w:right="413"/>
              <w:spacing w:after="0" w:line="202" w:lineRule="exact"/>
              <w:rPr>
                <w:sz w:val="20"/>
                <w:szCs w:val="20"/>
                <w:color w:val="auto"/>
              </w:rPr>
            </w:pPr>
            <w:r>
              <w:rPr>
                <w:rFonts w:ascii="Arial" w:cs="Arial" w:eastAsia="Arial" w:hAnsi="Arial"/>
                <w:sz w:val="18"/>
                <w:szCs w:val="18"/>
                <w:color w:val="auto"/>
              </w:rPr>
              <w:t>4.5</w:t>
            </w:r>
          </w:p>
        </w:tc>
        <w:tc>
          <w:tcPr>
            <w:tcW w:w="1560" w:type="dxa"/>
            <w:vAlign w:val="bottom"/>
            <w:shd w:val="clear" w:color="auto" w:fill="CCEEFF"/>
          </w:tcPr>
          <w:p>
            <w:pPr>
              <w:jc w:val="right"/>
              <w:ind w:right="432"/>
              <w:spacing w:after="0" w:line="202" w:lineRule="exact"/>
              <w:rPr>
                <w:sz w:val="20"/>
                <w:szCs w:val="20"/>
                <w:color w:val="auto"/>
              </w:rPr>
            </w:pPr>
            <w:r>
              <w:rPr>
                <w:rFonts w:ascii="Arial" w:cs="Arial" w:eastAsia="Arial" w:hAnsi="Arial"/>
                <w:sz w:val="18"/>
                <w:szCs w:val="18"/>
                <w:color w:val="auto"/>
              </w:rPr>
              <w:t>(1.6)</w:t>
            </w:r>
          </w:p>
        </w:tc>
        <w:tc>
          <w:tcPr>
            <w:tcW w:w="1220" w:type="dxa"/>
            <w:vAlign w:val="bottom"/>
            <w:shd w:val="clear" w:color="auto" w:fill="CCEEFF"/>
          </w:tcPr>
          <w:p>
            <w:pPr>
              <w:jc w:val="right"/>
              <w:ind w:right="293"/>
              <w:spacing w:after="0" w:line="202" w:lineRule="exact"/>
              <w:rPr>
                <w:sz w:val="20"/>
                <w:szCs w:val="20"/>
                <w:color w:val="auto"/>
              </w:rPr>
            </w:pPr>
            <w:r>
              <w:rPr>
                <w:rFonts w:ascii="Arial" w:cs="Arial" w:eastAsia="Arial" w:hAnsi="Arial"/>
                <w:sz w:val="18"/>
                <w:szCs w:val="18"/>
                <w:color w:val="auto"/>
              </w:rPr>
              <w:t>(0.5)</w:t>
            </w:r>
          </w:p>
        </w:tc>
        <w:tc>
          <w:tcPr>
            <w:tcW w:w="1100" w:type="dxa"/>
            <w:vAlign w:val="bottom"/>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2014-2018</w:t>
            </w:r>
          </w:p>
        </w:tc>
        <w:tc>
          <w:tcPr>
            <w:tcW w:w="3160" w:type="dxa"/>
            <w:vAlign w:val="bottom"/>
          </w:tcPr>
          <w:p>
            <w:pPr>
              <w:jc w:val="right"/>
              <w:ind w:right="413"/>
              <w:spacing w:after="0"/>
              <w:rPr>
                <w:sz w:val="20"/>
                <w:szCs w:val="20"/>
                <w:color w:val="auto"/>
              </w:rPr>
            </w:pPr>
            <w:r>
              <w:rPr>
                <w:rFonts w:ascii="Arial" w:cs="Arial" w:eastAsia="Arial" w:hAnsi="Arial"/>
                <w:sz w:val="18"/>
                <w:szCs w:val="18"/>
                <w:color w:val="auto"/>
              </w:rPr>
              <w:t>27.0</w:t>
            </w:r>
          </w:p>
        </w:tc>
        <w:tc>
          <w:tcPr>
            <w:tcW w:w="1560" w:type="dxa"/>
            <w:vAlign w:val="bottom"/>
          </w:tcPr>
          <w:p>
            <w:pPr>
              <w:jc w:val="right"/>
              <w:ind w:right="432"/>
              <w:spacing w:after="0"/>
              <w:rPr>
                <w:sz w:val="20"/>
                <w:szCs w:val="20"/>
                <w:color w:val="auto"/>
              </w:rPr>
            </w:pPr>
            <w:r>
              <w:rPr>
                <w:rFonts w:ascii="Arial" w:cs="Arial" w:eastAsia="Arial" w:hAnsi="Arial"/>
                <w:sz w:val="18"/>
                <w:szCs w:val="18"/>
                <w:color w:val="auto"/>
              </w:rPr>
              <w:t>(11.7)</w:t>
            </w:r>
          </w:p>
        </w:tc>
        <w:tc>
          <w:tcPr>
            <w:tcW w:w="1220" w:type="dxa"/>
            <w:vAlign w:val="bottom"/>
          </w:tcPr>
          <w:p>
            <w:pPr>
              <w:jc w:val="right"/>
              <w:ind w:right="293"/>
              <w:spacing w:after="0"/>
              <w:rPr>
                <w:sz w:val="20"/>
                <w:szCs w:val="20"/>
                <w:color w:val="auto"/>
              </w:rPr>
            </w:pPr>
            <w:r>
              <w:rPr>
                <w:rFonts w:ascii="Arial" w:cs="Arial" w:eastAsia="Arial" w:hAnsi="Arial"/>
                <w:sz w:val="18"/>
                <w:szCs w:val="18"/>
                <w:color w:val="auto"/>
              </w:rPr>
              <w:t>(3.0)</w:t>
            </w:r>
          </w:p>
        </w:tc>
        <w:tc>
          <w:tcPr>
            <w:tcW w:w="1100" w:type="dxa"/>
            <w:vAlign w:val="bottom"/>
          </w:tcPr>
          <w:p>
            <w:pPr>
              <w:jc w:val="right"/>
              <w:ind w:right="233"/>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700" w:right="820" w:firstLine="402"/>
        <w:spacing w:after="0" w:line="248" w:lineRule="auto"/>
        <w:rPr>
          <w:sz w:val="20"/>
          <w:szCs w:val="20"/>
          <w:color w:val="auto"/>
        </w:rPr>
      </w:pPr>
      <w:r>
        <w:rPr>
          <w:rFonts w:ascii="Arial" w:cs="Arial" w:eastAsia="Arial" w:hAnsi="Arial"/>
          <w:sz w:val="18"/>
          <w:szCs w:val="18"/>
          <w:color w:val="auto"/>
        </w:rPr>
        <w:t>The Company also provides comprehensive major medical benefits to its associates. The Company is self-insured for certain health benefits up to $0.3 million per occurrence per individual. The cost of such benefits is recognized as expense in the period the claim is incurred. This cost was $24.1 million, $21.4 million and $21.8 million in fiscal 2008, 2007 and 2006, respectively.</w:t>
      </w:r>
    </w:p>
    <w:p>
      <w:pPr>
        <w:spacing w:after="0" w:line="76" w:lineRule="exact"/>
        <w:rPr>
          <w:sz w:val="20"/>
          <w:szCs w:val="20"/>
          <w:color w:val="auto"/>
        </w:rPr>
      </w:pPr>
    </w:p>
    <w:p>
      <w:pPr>
        <w:ind w:left="700" w:right="940" w:firstLine="402"/>
        <w:spacing w:after="0" w:line="276" w:lineRule="auto"/>
        <w:rPr>
          <w:sz w:val="20"/>
          <w:szCs w:val="20"/>
          <w:color w:val="auto"/>
        </w:rPr>
      </w:pPr>
      <w:r>
        <w:rPr>
          <w:rFonts w:ascii="Arial" w:cs="Arial" w:eastAsia="Arial" w:hAnsi="Arial"/>
          <w:sz w:val="18"/>
          <w:szCs w:val="18"/>
          <w:color w:val="auto"/>
        </w:rPr>
        <w:t>The following table reflects the effects of the adoption of SFAS 158 on the Company’s Consolidated Balance Sheet for pension and other post-employment benefits as of September 30, 2007.</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0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40" w:type="dxa"/>
            <w:vAlign w:val="bottom"/>
          </w:tcPr>
          <w:p>
            <w:pPr>
              <w:jc w:val="center"/>
              <w:ind w:left="359"/>
              <w:spacing w:after="0"/>
              <w:rPr>
                <w:sz w:val="20"/>
                <w:szCs w:val="20"/>
                <w:color w:val="auto"/>
              </w:rPr>
            </w:pPr>
            <w:r>
              <w:rPr>
                <w:rFonts w:ascii="Arial" w:cs="Arial" w:eastAsia="Arial" w:hAnsi="Arial"/>
                <w:sz w:val="16"/>
                <w:szCs w:val="16"/>
                <w:color w:val="auto"/>
              </w:rPr>
              <w:t>Prior to</w:t>
            </w:r>
          </w:p>
        </w:tc>
        <w:tc>
          <w:tcPr>
            <w:tcW w:w="1560" w:type="dxa"/>
            <w:vAlign w:val="bottom"/>
          </w:tcPr>
          <w:p>
            <w:pPr>
              <w:jc w:val="center"/>
              <w:ind w:right="174"/>
              <w:spacing w:after="0"/>
              <w:rPr>
                <w:sz w:val="20"/>
                <w:szCs w:val="20"/>
                <w:color w:val="auto"/>
              </w:rPr>
            </w:pPr>
            <w:r>
              <w:rPr>
                <w:rFonts w:ascii="Arial" w:cs="Arial" w:eastAsia="Arial" w:hAnsi="Arial"/>
                <w:sz w:val="16"/>
                <w:szCs w:val="16"/>
                <w:color w:val="auto"/>
                <w:w w:val="98"/>
              </w:rPr>
              <w:t>Effect of</w:t>
            </w:r>
          </w:p>
        </w:tc>
        <w:tc>
          <w:tcPr>
            <w:tcW w:w="1480" w:type="dxa"/>
            <w:vAlign w:val="bottom"/>
          </w:tcPr>
          <w:p>
            <w:pPr>
              <w:jc w:val="center"/>
              <w:ind w:right="13"/>
              <w:spacing w:after="0"/>
              <w:rPr>
                <w:sz w:val="20"/>
                <w:szCs w:val="20"/>
                <w:color w:val="auto"/>
              </w:rPr>
            </w:pPr>
            <w:r>
              <w:rPr>
                <w:rFonts w:ascii="Arial" w:cs="Arial" w:eastAsia="Arial" w:hAnsi="Arial"/>
                <w:sz w:val="16"/>
                <w:szCs w:val="16"/>
                <w:color w:val="auto"/>
              </w:rPr>
              <w:t>As Reported</w:t>
            </w:r>
          </w:p>
        </w:tc>
        <w:tc>
          <w:tcPr>
            <w:tcW w:w="680" w:type="dxa"/>
            <w:vAlign w:val="bottom"/>
          </w:tcPr>
          <w:p>
            <w:pPr>
              <w:spacing w:after="0"/>
              <w:rPr>
                <w:sz w:val="16"/>
                <w:szCs w:val="16"/>
                <w:color w:val="auto"/>
              </w:rPr>
            </w:pPr>
          </w:p>
        </w:tc>
      </w:tr>
      <w:tr>
        <w:trPr>
          <w:trHeight w:val="189"/>
        </w:trPr>
        <w:tc>
          <w:tcPr>
            <w:tcW w:w="70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40" w:type="dxa"/>
            <w:vAlign w:val="bottom"/>
          </w:tcPr>
          <w:p>
            <w:pPr>
              <w:jc w:val="center"/>
              <w:ind w:left="439"/>
              <w:spacing w:after="0"/>
              <w:rPr>
                <w:sz w:val="20"/>
                <w:szCs w:val="20"/>
                <w:color w:val="auto"/>
              </w:rPr>
            </w:pPr>
            <w:r>
              <w:rPr>
                <w:rFonts w:ascii="Arial" w:cs="Arial" w:eastAsia="Arial" w:hAnsi="Arial"/>
                <w:sz w:val="16"/>
                <w:szCs w:val="16"/>
                <w:color w:val="auto"/>
              </w:rPr>
              <w:t>Adopting</w:t>
            </w:r>
          </w:p>
        </w:tc>
        <w:tc>
          <w:tcPr>
            <w:tcW w:w="1560" w:type="dxa"/>
            <w:vAlign w:val="bottom"/>
          </w:tcPr>
          <w:p>
            <w:pPr>
              <w:jc w:val="center"/>
              <w:ind w:right="114"/>
              <w:spacing w:after="0"/>
              <w:rPr>
                <w:sz w:val="20"/>
                <w:szCs w:val="20"/>
                <w:color w:val="auto"/>
              </w:rPr>
            </w:pPr>
            <w:r>
              <w:rPr>
                <w:rFonts w:ascii="Arial" w:cs="Arial" w:eastAsia="Arial" w:hAnsi="Arial"/>
                <w:sz w:val="16"/>
                <w:szCs w:val="16"/>
                <w:color w:val="auto"/>
              </w:rPr>
              <w:t>Adopting</w:t>
            </w:r>
          </w:p>
        </w:tc>
        <w:tc>
          <w:tcPr>
            <w:tcW w:w="1480" w:type="dxa"/>
            <w:vAlign w:val="bottom"/>
          </w:tcPr>
          <w:p>
            <w:pPr>
              <w:jc w:val="center"/>
              <w:ind w:right="33"/>
              <w:spacing w:after="0"/>
              <w:rPr>
                <w:sz w:val="20"/>
                <w:szCs w:val="20"/>
                <w:color w:val="auto"/>
              </w:rPr>
            </w:pPr>
            <w:r>
              <w:rPr>
                <w:rFonts w:ascii="Arial" w:cs="Arial" w:eastAsia="Arial" w:hAnsi="Arial"/>
                <w:sz w:val="16"/>
                <w:szCs w:val="16"/>
                <w:color w:val="auto"/>
                <w:w w:val="97"/>
              </w:rPr>
              <w:t>under</w:t>
            </w:r>
          </w:p>
        </w:tc>
        <w:tc>
          <w:tcPr>
            <w:tcW w:w="680" w:type="dxa"/>
            <w:vAlign w:val="bottom"/>
          </w:tcPr>
          <w:p>
            <w:pPr>
              <w:spacing w:after="0"/>
              <w:rPr>
                <w:sz w:val="16"/>
                <w:szCs w:val="16"/>
                <w:color w:val="auto"/>
              </w:rPr>
            </w:pPr>
          </w:p>
        </w:tc>
      </w:tr>
      <w:tr>
        <w:trPr>
          <w:trHeight w:val="220"/>
        </w:trPr>
        <w:tc>
          <w:tcPr>
            <w:tcW w:w="700" w:type="dxa"/>
            <w:vAlign w:val="bottom"/>
          </w:tcPr>
          <w:p>
            <w:pPr>
              <w:spacing w:after="0"/>
              <w:rPr>
                <w:sz w:val="19"/>
                <w:szCs w:val="19"/>
                <w:color w:val="auto"/>
              </w:rPr>
            </w:pPr>
          </w:p>
        </w:tc>
        <w:tc>
          <w:tcPr>
            <w:tcW w:w="48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center"/>
              <w:ind w:left="419"/>
              <w:spacing w:after="0"/>
              <w:rPr>
                <w:sz w:val="20"/>
                <w:szCs w:val="20"/>
                <w:color w:val="auto"/>
              </w:rPr>
            </w:pPr>
            <w:r>
              <w:rPr>
                <w:rFonts w:ascii="Arial" w:cs="Arial" w:eastAsia="Arial" w:hAnsi="Arial"/>
                <w:sz w:val="16"/>
                <w:szCs w:val="16"/>
                <w:color w:val="auto"/>
              </w:rPr>
              <w:t>SFAS 158</w:t>
            </w:r>
          </w:p>
        </w:tc>
        <w:tc>
          <w:tcPr>
            <w:tcW w:w="1560" w:type="dxa"/>
            <w:vAlign w:val="bottom"/>
            <w:tcBorders>
              <w:bottom w:val="single" w:sz="8" w:color="auto"/>
            </w:tcBorders>
          </w:tcPr>
          <w:p>
            <w:pPr>
              <w:jc w:val="center"/>
              <w:ind w:right="134"/>
              <w:spacing w:after="0"/>
              <w:rPr>
                <w:sz w:val="20"/>
                <w:szCs w:val="20"/>
                <w:color w:val="auto"/>
              </w:rPr>
            </w:pPr>
            <w:r>
              <w:rPr>
                <w:rFonts w:ascii="Arial" w:cs="Arial" w:eastAsia="Arial" w:hAnsi="Arial"/>
                <w:sz w:val="16"/>
                <w:szCs w:val="16"/>
                <w:color w:val="auto"/>
              </w:rPr>
              <w:t>SFAS 158</w:t>
            </w:r>
          </w:p>
        </w:tc>
        <w:tc>
          <w:tcPr>
            <w:tcW w:w="1480" w:type="dxa"/>
            <w:vAlign w:val="bottom"/>
            <w:tcBorders>
              <w:bottom w:val="single" w:sz="8" w:color="auto"/>
            </w:tcBorders>
          </w:tcPr>
          <w:p>
            <w:pPr>
              <w:jc w:val="center"/>
              <w:ind w:right="33"/>
              <w:spacing w:after="0"/>
              <w:rPr>
                <w:sz w:val="20"/>
                <w:szCs w:val="20"/>
                <w:color w:val="auto"/>
              </w:rPr>
            </w:pPr>
            <w:r>
              <w:rPr>
                <w:rFonts w:ascii="Arial" w:cs="Arial" w:eastAsia="Arial" w:hAnsi="Arial"/>
                <w:sz w:val="16"/>
                <w:szCs w:val="16"/>
                <w:color w:val="auto"/>
                <w:w w:val="98"/>
              </w:rPr>
              <w:t>SFAS 158</w:t>
            </w:r>
          </w:p>
        </w:tc>
        <w:tc>
          <w:tcPr>
            <w:tcW w:w="680" w:type="dxa"/>
            <w:vAlign w:val="bottom"/>
          </w:tcPr>
          <w:p>
            <w:pPr>
              <w:spacing w:after="0"/>
              <w:rPr>
                <w:sz w:val="19"/>
                <w:szCs w:val="19"/>
                <w:color w:val="auto"/>
              </w:rPr>
            </w:pPr>
          </w:p>
        </w:tc>
      </w:tr>
      <w:tr>
        <w:trPr>
          <w:trHeight w:val="213"/>
        </w:trPr>
        <w:tc>
          <w:tcPr>
            <w:tcW w:w="70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560" w:type="dxa"/>
            <w:vAlign w:val="bottom"/>
          </w:tcPr>
          <w:p>
            <w:pPr>
              <w:jc w:val="right"/>
              <w:ind w:right="154"/>
              <w:spacing w:after="0"/>
              <w:rPr>
                <w:sz w:val="20"/>
                <w:szCs w:val="20"/>
                <w:color w:val="auto"/>
              </w:rPr>
            </w:pPr>
            <w:r>
              <w:rPr>
                <w:rFonts w:ascii="Arial" w:cs="Arial" w:eastAsia="Arial" w:hAnsi="Arial"/>
                <w:sz w:val="16"/>
                <w:szCs w:val="16"/>
                <w:color w:val="auto"/>
              </w:rPr>
              <w:t>(In millions)</w:t>
            </w:r>
          </w:p>
        </w:tc>
        <w:tc>
          <w:tcPr>
            <w:tcW w:w="14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3"/>
        </w:trPr>
        <w:tc>
          <w:tcPr>
            <w:tcW w:w="70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Prepaid and other assets</w:t>
            </w:r>
          </w:p>
        </w:tc>
        <w:tc>
          <w:tcPr>
            <w:tcW w:w="2140" w:type="dxa"/>
            <w:vAlign w:val="bottom"/>
            <w:gridSpan w:val="2"/>
            <w:shd w:val="clear" w:color="auto" w:fill="CCEEFF"/>
          </w:tcPr>
          <w:p>
            <w:pPr>
              <w:jc w:val="right"/>
              <w:ind w:right="279"/>
              <w:spacing w:after="0"/>
              <w:rPr>
                <w:sz w:val="20"/>
                <w:szCs w:val="20"/>
                <w:color w:val="auto"/>
              </w:rPr>
            </w:pPr>
            <w:r>
              <w:rPr>
                <w:rFonts w:ascii="Arial" w:cs="Arial" w:eastAsia="Arial" w:hAnsi="Arial"/>
                <w:sz w:val="18"/>
                <w:szCs w:val="18"/>
                <w:color w:val="auto"/>
              </w:rPr>
              <w:t>$  136.8</w:t>
            </w:r>
          </w:p>
        </w:tc>
        <w:tc>
          <w:tcPr>
            <w:tcW w:w="1560" w:type="dxa"/>
            <w:vAlign w:val="bottom"/>
            <w:shd w:val="clear" w:color="auto" w:fill="CCEEFF"/>
          </w:tcPr>
          <w:p>
            <w:pPr>
              <w:jc w:val="right"/>
              <w:ind w:right="534"/>
              <w:spacing w:after="0"/>
              <w:rPr>
                <w:sz w:val="20"/>
                <w:szCs w:val="20"/>
                <w:color w:val="auto"/>
              </w:rPr>
            </w:pPr>
            <w:r>
              <w:rPr>
                <w:rFonts w:ascii="Arial" w:cs="Arial" w:eastAsia="Arial" w:hAnsi="Arial"/>
                <w:sz w:val="18"/>
                <w:szCs w:val="18"/>
                <w:color w:val="auto"/>
              </w:rPr>
              <w:t>$ (9.1)</w:t>
            </w:r>
          </w:p>
        </w:tc>
        <w:tc>
          <w:tcPr>
            <w:tcW w:w="148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rPr>
              <w:t>$  127.7</w:t>
            </w:r>
          </w:p>
        </w:tc>
        <w:tc>
          <w:tcPr>
            <w:tcW w:w="680" w:type="dxa"/>
            <w:vAlign w:val="bottom"/>
          </w:tcPr>
          <w:p>
            <w:pPr>
              <w:spacing w:after="0"/>
              <w:rPr>
                <w:sz w:val="18"/>
                <w:szCs w:val="18"/>
                <w:color w:val="auto"/>
              </w:rPr>
            </w:pPr>
          </w:p>
        </w:tc>
      </w:tr>
      <w:tr>
        <w:trPr>
          <w:trHeight w:val="203"/>
        </w:trPr>
        <w:tc>
          <w:tcPr>
            <w:tcW w:w="700" w:type="dxa"/>
            <w:vAlign w:val="bottom"/>
          </w:tcPr>
          <w:p>
            <w:pPr>
              <w:spacing w:after="0"/>
              <w:rPr>
                <w:sz w:val="17"/>
                <w:szCs w:val="17"/>
                <w:color w:val="auto"/>
              </w:rPr>
            </w:pPr>
          </w:p>
        </w:tc>
        <w:tc>
          <w:tcPr>
            <w:tcW w:w="4860" w:type="dxa"/>
            <w:vAlign w:val="bottom"/>
          </w:tcPr>
          <w:p>
            <w:pPr>
              <w:spacing w:after="0" w:line="202" w:lineRule="exact"/>
              <w:rPr>
                <w:sz w:val="20"/>
                <w:szCs w:val="20"/>
                <w:color w:val="auto"/>
              </w:rPr>
            </w:pPr>
            <w:r>
              <w:rPr>
                <w:rFonts w:ascii="Arial" w:cs="Arial" w:eastAsia="Arial" w:hAnsi="Arial"/>
                <w:sz w:val="18"/>
                <w:szCs w:val="18"/>
                <w:color w:val="auto"/>
              </w:rPr>
              <w:t>Accrued liabilities</w:t>
            </w:r>
          </w:p>
        </w:tc>
        <w:tc>
          <w:tcPr>
            <w:tcW w:w="2140" w:type="dxa"/>
            <w:vAlign w:val="bottom"/>
            <w:gridSpan w:val="2"/>
          </w:tcPr>
          <w:p>
            <w:pPr>
              <w:jc w:val="right"/>
              <w:ind w:right="279"/>
              <w:spacing w:after="0" w:line="202" w:lineRule="exact"/>
              <w:rPr>
                <w:sz w:val="20"/>
                <w:szCs w:val="20"/>
                <w:color w:val="auto"/>
              </w:rPr>
            </w:pPr>
            <w:r>
              <w:rPr>
                <w:rFonts w:ascii="Arial" w:cs="Arial" w:eastAsia="Arial" w:hAnsi="Arial"/>
                <w:sz w:val="18"/>
                <w:szCs w:val="18"/>
                <w:color w:val="auto"/>
              </w:rPr>
              <w:t>283.1</w:t>
            </w:r>
          </w:p>
        </w:tc>
        <w:tc>
          <w:tcPr>
            <w:tcW w:w="1560" w:type="dxa"/>
            <w:vAlign w:val="bottom"/>
          </w:tcPr>
          <w:p>
            <w:pPr>
              <w:jc w:val="right"/>
              <w:ind w:right="594"/>
              <w:spacing w:after="0" w:line="202" w:lineRule="exact"/>
              <w:rPr>
                <w:sz w:val="20"/>
                <w:szCs w:val="20"/>
                <w:color w:val="auto"/>
              </w:rPr>
            </w:pPr>
            <w:r>
              <w:rPr>
                <w:rFonts w:ascii="Arial" w:cs="Arial" w:eastAsia="Arial" w:hAnsi="Arial"/>
                <w:sz w:val="18"/>
                <w:szCs w:val="18"/>
                <w:color w:val="auto"/>
              </w:rPr>
              <w:t>3.7</w:t>
            </w:r>
          </w:p>
        </w:tc>
        <w:tc>
          <w:tcPr>
            <w:tcW w:w="1480" w:type="dxa"/>
            <w:vAlign w:val="bottom"/>
          </w:tcPr>
          <w:p>
            <w:pPr>
              <w:jc w:val="right"/>
              <w:ind w:right="413"/>
              <w:spacing w:after="0" w:line="202" w:lineRule="exact"/>
              <w:rPr>
                <w:sz w:val="20"/>
                <w:szCs w:val="20"/>
                <w:color w:val="auto"/>
              </w:rPr>
            </w:pPr>
            <w:r>
              <w:rPr>
                <w:rFonts w:ascii="Arial" w:cs="Arial" w:eastAsia="Arial" w:hAnsi="Arial"/>
                <w:sz w:val="18"/>
                <w:szCs w:val="18"/>
                <w:color w:val="auto"/>
              </w:rPr>
              <w:t>286.8</w:t>
            </w:r>
          </w:p>
        </w:tc>
        <w:tc>
          <w:tcPr>
            <w:tcW w:w="68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4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liabilities</w:t>
            </w:r>
          </w:p>
        </w:tc>
        <w:tc>
          <w:tcPr>
            <w:tcW w:w="2140" w:type="dxa"/>
            <w:vAlign w:val="bottom"/>
            <w:gridSpan w:val="2"/>
            <w:shd w:val="clear" w:color="auto" w:fill="CCEEFF"/>
          </w:tcPr>
          <w:p>
            <w:pPr>
              <w:jc w:val="right"/>
              <w:ind w:right="279"/>
              <w:spacing w:after="0" w:line="202" w:lineRule="exact"/>
              <w:rPr>
                <w:sz w:val="20"/>
                <w:szCs w:val="20"/>
                <w:color w:val="auto"/>
              </w:rPr>
            </w:pPr>
            <w:r>
              <w:rPr>
                <w:rFonts w:ascii="Arial" w:cs="Arial" w:eastAsia="Arial" w:hAnsi="Arial"/>
                <w:sz w:val="18"/>
                <w:szCs w:val="18"/>
                <w:color w:val="auto"/>
              </w:rPr>
              <w:t>179.4</w:t>
            </w:r>
          </w:p>
        </w:tc>
        <w:tc>
          <w:tcPr>
            <w:tcW w:w="1560" w:type="dxa"/>
            <w:vAlign w:val="bottom"/>
            <w:shd w:val="clear" w:color="auto" w:fill="CCEEFF"/>
          </w:tcPr>
          <w:p>
            <w:pPr>
              <w:jc w:val="right"/>
              <w:ind w:right="594"/>
              <w:spacing w:after="0" w:line="202" w:lineRule="exact"/>
              <w:rPr>
                <w:sz w:val="20"/>
                <w:szCs w:val="20"/>
                <w:color w:val="auto"/>
              </w:rPr>
            </w:pPr>
            <w:r>
              <w:rPr>
                <w:rFonts w:ascii="Arial" w:cs="Arial" w:eastAsia="Arial" w:hAnsi="Arial"/>
                <w:sz w:val="18"/>
                <w:szCs w:val="18"/>
                <w:color w:val="auto"/>
              </w:rPr>
              <w:t>0.5</w:t>
            </w:r>
          </w:p>
        </w:tc>
        <w:tc>
          <w:tcPr>
            <w:tcW w:w="1480" w:type="dxa"/>
            <w:vAlign w:val="bottom"/>
            <w:shd w:val="clear" w:color="auto" w:fill="CCEEFF"/>
          </w:tcPr>
          <w:p>
            <w:pPr>
              <w:jc w:val="right"/>
              <w:ind w:right="413"/>
              <w:spacing w:after="0" w:line="202" w:lineRule="exact"/>
              <w:rPr>
                <w:sz w:val="20"/>
                <w:szCs w:val="20"/>
                <w:color w:val="auto"/>
              </w:rPr>
            </w:pPr>
            <w:r>
              <w:rPr>
                <w:rFonts w:ascii="Arial" w:cs="Arial" w:eastAsia="Arial" w:hAnsi="Arial"/>
                <w:sz w:val="18"/>
                <w:szCs w:val="18"/>
                <w:color w:val="auto"/>
              </w:rPr>
              <w:t>179.9</w:t>
            </w:r>
          </w:p>
        </w:tc>
        <w:tc>
          <w:tcPr>
            <w:tcW w:w="68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4860" w:type="dxa"/>
            <w:vAlign w:val="bottom"/>
          </w:tcPr>
          <w:p>
            <w:pPr>
              <w:spacing w:after="0" w:line="202" w:lineRule="exact"/>
              <w:rPr>
                <w:sz w:val="20"/>
                <w:szCs w:val="20"/>
                <w:color w:val="auto"/>
              </w:rPr>
            </w:pPr>
            <w:r>
              <w:rPr>
                <w:rFonts w:ascii="Arial" w:cs="Arial" w:eastAsia="Arial" w:hAnsi="Arial"/>
                <w:sz w:val="18"/>
                <w:szCs w:val="18"/>
                <w:color w:val="auto"/>
              </w:rPr>
              <w:t>Total liabilities</w:t>
            </w:r>
          </w:p>
        </w:tc>
        <w:tc>
          <w:tcPr>
            <w:tcW w:w="2140" w:type="dxa"/>
            <w:vAlign w:val="bottom"/>
            <w:gridSpan w:val="2"/>
          </w:tcPr>
          <w:p>
            <w:pPr>
              <w:jc w:val="right"/>
              <w:ind w:right="279"/>
              <w:spacing w:after="0" w:line="202" w:lineRule="exact"/>
              <w:rPr>
                <w:sz w:val="20"/>
                <w:szCs w:val="20"/>
                <w:color w:val="auto"/>
              </w:rPr>
            </w:pPr>
            <w:r>
              <w:rPr>
                <w:rFonts w:ascii="Arial" w:cs="Arial" w:eastAsia="Arial" w:hAnsi="Arial"/>
                <w:sz w:val="18"/>
                <w:szCs w:val="18"/>
                <w:color w:val="auto"/>
              </w:rPr>
              <w:t>1,793.7</w:t>
            </w:r>
          </w:p>
        </w:tc>
        <w:tc>
          <w:tcPr>
            <w:tcW w:w="1560" w:type="dxa"/>
            <w:vAlign w:val="bottom"/>
          </w:tcPr>
          <w:p>
            <w:pPr>
              <w:jc w:val="right"/>
              <w:ind w:right="594"/>
              <w:spacing w:after="0" w:line="202" w:lineRule="exact"/>
              <w:rPr>
                <w:sz w:val="20"/>
                <w:szCs w:val="20"/>
                <w:color w:val="auto"/>
              </w:rPr>
            </w:pPr>
            <w:r>
              <w:rPr>
                <w:rFonts w:ascii="Arial" w:cs="Arial" w:eastAsia="Arial" w:hAnsi="Arial"/>
                <w:sz w:val="18"/>
                <w:szCs w:val="18"/>
                <w:color w:val="auto"/>
              </w:rPr>
              <w:t>4.2</w:t>
            </w:r>
          </w:p>
        </w:tc>
        <w:tc>
          <w:tcPr>
            <w:tcW w:w="1480" w:type="dxa"/>
            <w:vAlign w:val="bottom"/>
          </w:tcPr>
          <w:p>
            <w:pPr>
              <w:jc w:val="right"/>
              <w:ind w:right="413"/>
              <w:spacing w:after="0" w:line="202" w:lineRule="exact"/>
              <w:rPr>
                <w:sz w:val="20"/>
                <w:szCs w:val="20"/>
                <w:color w:val="auto"/>
              </w:rPr>
            </w:pPr>
            <w:r>
              <w:rPr>
                <w:rFonts w:ascii="Arial" w:cs="Arial" w:eastAsia="Arial" w:hAnsi="Arial"/>
                <w:sz w:val="18"/>
                <w:szCs w:val="18"/>
                <w:color w:val="auto"/>
              </w:rPr>
              <w:t>1,797.9</w:t>
            </w:r>
          </w:p>
        </w:tc>
        <w:tc>
          <w:tcPr>
            <w:tcW w:w="68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4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Accumulated other comprehensive (loss)</w:t>
            </w:r>
          </w:p>
        </w:tc>
        <w:tc>
          <w:tcPr>
            <w:tcW w:w="2140" w:type="dxa"/>
            <w:vAlign w:val="bottom"/>
            <w:gridSpan w:val="2"/>
            <w:shd w:val="clear" w:color="auto" w:fill="CCEEFF"/>
          </w:tcPr>
          <w:p>
            <w:pPr>
              <w:jc w:val="right"/>
              <w:ind w:right="219"/>
              <w:spacing w:after="0" w:line="202" w:lineRule="exact"/>
              <w:rPr>
                <w:sz w:val="20"/>
                <w:szCs w:val="20"/>
                <w:color w:val="auto"/>
              </w:rPr>
            </w:pPr>
            <w:r>
              <w:rPr>
                <w:rFonts w:ascii="Arial" w:cs="Arial" w:eastAsia="Arial" w:hAnsi="Arial"/>
                <w:sz w:val="18"/>
                <w:szCs w:val="18"/>
                <w:color w:val="auto"/>
              </w:rPr>
              <w:t>(28.7)</w:t>
            </w:r>
          </w:p>
        </w:tc>
        <w:tc>
          <w:tcPr>
            <w:tcW w:w="1560" w:type="dxa"/>
            <w:vAlign w:val="bottom"/>
            <w:shd w:val="clear" w:color="auto" w:fill="CCEEFF"/>
          </w:tcPr>
          <w:p>
            <w:pPr>
              <w:jc w:val="right"/>
              <w:ind w:right="534"/>
              <w:spacing w:after="0" w:line="202" w:lineRule="exact"/>
              <w:rPr>
                <w:sz w:val="20"/>
                <w:szCs w:val="20"/>
                <w:color w:val="auto"/>
              </w:rPr>
            </w:pPr>
            <w:r>
              <w:rPr>
                <w:rFonts w:ascii="Arial" w:cs="Arial" w:eastAsia="Arial" w:hAnsi="Arial"/>
                <w:sz w:val="18"/>
                <w:szCs w:val="18"/>
                <w:color w:val="auto"/>
              </w:rPr>
              <w:t>(13.3)</w:t>
            </w:r>
          </w:p>
        </w:tc>
        <w:tc>
          <w:tcPr>
            <w:tcW w:w="1480" w:type="dxa"/>
            <w:vAlign w:val="bottom"/>
            <w:shd w:val="clear" w:color="auto" w:fill="CCEEFF"/>
          </w:tcPr>
          <w:p>
            <w:pPr>
              <w:jc w:val="right"/>
              <w:ind w:right="353"/>
              <w:spacing w:after="0" w:line="202" w:lineRule="exact"/>
              <w:rPr>
                <w:sz w:val="20"/>
                <w:szCs w:val="20"/>
                <w:color w:val="auto"/>
              </w:rPr>
            </w:pPr>
            <w:r>
              <w:rPr>
                <w:rFonts w:ascii="Arial" w:cs="Arial" w:eastAsia="Arial" w:hAnsi="Arial"/>
                <w:sz w:val="18"/>
                <w:szCs w:val="18"/>
                <w:color w:val="auto"/>
              </w:rPr>
              <w:t>(42.0)</w:t>
            </w:r>
          </w:p>
        </w:tc>
        <w:tc>
          <w:tcPr>
            <w:tcW w:w="680" w:type="dxa"/>
            <w:vAlign w:val="bottom"/>
          </w:tcPr>
          <w:p>
            <w:pPr>
              <w:spacing w:after="0"/>
              <w:rPr>
                <w:sz w:val="17"/>
                <w:szCs w:val="17"/>
                <w:color w:val="auto"/>
              </w:rPr>
            </w:pPr>
          </w:p>
        </w:tc>
      </w:tr>
      <w:tr>
        <w:trPr>
          <w:trHeight w:val="135"/>
        </w:trPr>
        <w:tc>
          <w:tcPr>
            <w:tcW w:w="70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8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6"/>
        </w:trPr>
        <w:tc>
          <w:tcPr>
            <w:tcW w:w="70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300" w:type="dxa"/>
            <w:vAlign w:val="bottom"/>
          </w:tcPr>
          <w:p>
            <w:pPr>
              <w:jc w:val="right"/>
              <w:ind w:right="16"/>
              <w:spacing w:after="0"/>
              <w:rPr>
                <w:sz w:val="20"/>
                <w:szCs w:val="20"/>
                <w:color w:val="auto"/>
              </w:rPr>
            </w:pPr>
            <w:r>
              <w:rPr>
                <w:rFonts w:ascii="Times New Roman" w:cs="Times New Roman" w:eastAsia="Times New Roman" w:hAnsi="Times New Roman"/>
                <w:sz w:val="11"/>
                <w:szCs w:val="11"/>
                <w:b w:val="1"/>
                <w:bCs w:val="1"/>
                <w:color w:val="auto"/>
              </w:rPr>
              <w:t>91</w:t>
            </w:r>
          </w:p>
        </w:tc>
        <w:tc>
          <w:tcPr>
            <w:tcW w:w="18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206"/>
        </w:trPr>
        <w:tc>
          <w:tcPr>
            <w:tcW w:w="700" w:type="dxa"/>
            <w:vAlign w:val="bottom"/>
            <w:tcBorders>
              <w:bottom w:val="single" w:sz="8" w:color="808080"/>
            </w:tcBorders>
          </w:tcPr>
          <w:p>
            <w:pPr>
              <w:spacing w:after="0"/>
              <w:rPr>
                <w:sz w:val="17"/>
                <w:szCs w:val="17"/>
                <w:color w:val="auto"/>
              </w:rPr>
            </w:pPr>
          </w:p>
        </w:tc>
        <w:tc>
          <w:tcPr>
            <w:tcW w:w="486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1840" w:type="dxa"/>
            <w:vAlign w:val="bottom"/>
            <w:tcBorders>
              <w:bottom w:val="single" w:sz="8" w:color="808080"/>
            </w:tcBorders>
          </w:tcPr>
          <w:p>
            <w:pPr>
              <w:spacing w:after="0"/>
              <w:rPr>
                <w:sz w:val="17"/>
                <w:szCs w:val="17"/>
                <w:color w:val="auto"/>
              </w:rPr>
            </w:pPr>
          </w:p>
        </w:tc>
        <w:tc>
          <w:tcPr>
            <w:tcW w:w="1560" w:type="dxa"/>
            <w:vAlign w:val="bottom"/>
            <w:tcBorders>
              <w:bottom w:val="single" w:sz="8" w:color="808080"/>
            </w:tcBorders>
          </w:tcPr>
          <w:p>
            <w:pPr>
              <w:spacing w:after="0"/>
              <w:rPr>
                <w:sz w:val="17"/>
                <w:szCs w:val="17"/>
                <w:color w:val="auto"/>
              </w:rPr>
            </w:pPr>
          </w:p>
        </w:tc>
        <w:tc>
          <w:tcPr>
            <w:tcW w:w="148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93" w:name="page94"/>
    <w:bookmarkEnd w:id="93"/>
    <w:p>
      <w:pPr>
        <w:spacing w:after="0"/>
        <w:rPr>
          <w:rFonts w:ascii="Times New Roman" w:cs="Times New Roman" w:eastAsia="Times New Roman" w:hAnsi="Times New Roman"/>
          <w:sz w:val="18"/>
          <w:szCs w:val="18"/>
          <w:b w:val="1"/>
          <w:bCs w:val="1"/>
          <w:u w:val="single" w:color="auto"/>
          <w:color w:val="0000EE"/>
        </w:rPr>
      </w:pPr>
      <w:hyperlink w:anchor="page64">
        <w:r>
          <w:rPr>
            <w:rFonts w:ascii="Times New Roman" w:cs="Times New Roman" w:eastAsia="Times New Roman" w:hAnsi="Times New Roman"/>
            <w:sz w:val="18"/>
            <w:szCs w:val="18"/>
            <w:b w:val="1"/>
            <w:bCs w:val="1"/>
            <w:u w:val="single" w:color="auto"/>
            <w:color w:val="0000EE"/>
          </w:rPr>
          <w:t>Table of Contents</w:t>
        </w:r>
      </w:hyperlink>
    </w:p>
    <w:p>
      <w:pPr>
        <w:spacing w:after="0" w:line="317"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NOTE 11. DEBT</w:t>
      </w:r>
    </w:p>
    <w:p>
      <w:pPr>
        <w:spacing w:after="0" w:line="137"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0" w:type="dxa"/>
            <w:vAlign w:val="bottom"/>
            <w:gridSpan w:val="5"/>
          </w:tcPr>
          <w:p>
            <w:pPr>
              <w:ind w:left="300"/>
              <w:spacing w:after="0"/>
              <w:rPr>
                <w:sz w:val="20"/>
                <w:szCs w:val="20"/>
                <w:color w:val="auto"/>
              </w:rPr>
            </w:pPr>
            <w:r>
              <w:rPr>
                <w:rFonts w:ascii="Arial" w:cs="Arial" w:eastAsia="Arial" w:hAnsi="Arial"/>
                <w:sz w:val="16"/>
                <w:szCs w:val="16"/>
                <w:color w:val="auto"/>
              </w:rPr>
              <w:t>September 30,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6"/>
                <w:szCs w:val="16"/>
                <w:color w:val="auto"/>
              </w:rPr>
              <w:t>2008</w:t>
            </w:r>
          </w:p>
        </w:tc>
        <w:tc>
          <w:tcPr>
            <w:tcW w:w="1120" w:type="dxa"/>
            <w:vAlign w:val="bottom"/>
            <w:tcBorders>
              <w:top w:val="single" w:sz="8" w:color="auto"/>
              <w:bottom w:val="single" w:sz="8" w:color="auto"/>
            </w:tcBorders>
            <w:gridSpan w:val="3"/>
          </w:tcPr>
          <w:p>
            <w:pPr>
              <w:jc w:val="right"/>
              <w:ind w:right="90"/>
              <w:spacing w:after="0"/>
              <w:rPr>
                <w:sz w:val="20"/>
                <w:szCs w:val="20"/>
                <w:color w:val="auto"/>
              </w:rPr>
            </w:pPr>
            <w:r>
              <w:rPr>
                <w:rFonts w:ascii="Arial" w:cs="Arial" w:eastAsia="Arial" w:hAnsi="Arial"/>
                <w:sz w:val="16"/>
                <w:szCs w:val="16"/>
                <w:color w:val="auto"/>
              </w:rPr>
              <w:t>2007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00" w:type="dxa"/>
            <w:vAlign w:val="bottom"/>
            <w:gridSpan w:val="4"/>
          </w:tcPr>
          <w:p>
            <w:pPr>
              <w:jc w:val="right"/>
              <w:ind w:right="350"/>
              <w:spacing w:after="0"/>
              <w:rPr>
                <w:sz w:val="20"/>
                <w:szCs w:val="20"/>
                <w:color w:val="auto"/>
              </w:rPr>
            </w:pPr>
            <w:r>
              <w:rPr>
                <w:rFonts w:ascii="Arial" w:cs="Arial" w:eastAsia="Arial" w:hAnsi="Arial"/>
                <w:sz w:val="16"/>
                <w:szCs w:val="16"/>
                <w:color w:val="auto"/>
              </w:rPr>
              <w:t>(In millions)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Credit Facilities:</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0" w:type="dxa"/>
            <w:vAlign w:val="bottom"/>
          </w:tcPr>
          <w:p>
            <w:pPr>
              <w:ind w:left="160"/>
              <w:spacing w:after="0" w:line="202" w:lineRule="exact"/>
              <w:rPr>
                <w:sz w:val="20"/>
                <w:szCs w:val="20"/>
                <w:color w:val="auto"/>
              </w:rPr>
            </w:pPr>
            <w:r>
              <w:rPr>
                <w:rFonts w:ascii="Arial" w:cs="Arial" w:eastAsia="Arial" w:hAnsi="Arial"/>
                <w:sz w:val="18"/>
                <w:szCs w:val="18"/>
                <w:color w:val="auto"/>
              </w:rPr>
              <w:t>Revolving loans</w:t>
            </w:r>
          </w:p>
        </w:tc>
        <w:tc>
          <w:tcPr>
            <w:tcW w:w="60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6"/>
              </w:rPr>
              <w:t>$ 375.8</w:t>
            </w:r>
          </w:p>
        </w:tc>
        <w:tc>
          <w:tcPr>
            <w:tcW w:w="11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  469.2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Term loans</w:t>
            </w:r>
          </w:p>
        </w:tc>
        <w:tc>
          <w:tcPr>
            <w:tcW w:w="6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540.4</w:t>
            </w:r>
          </w:p>
        </w:tc>
        <w:tc>
          <w:tcPr>
            <w:tcW w:w="11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558.6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0" w:type="dxa"/>
            <w:vAlign w:val="bottom"/>
          </w:tcPr>
          <w:p>
            <w:pPr>
              <w:spacing w:after="0" w:line="202" w:lineRule="exact"/>
              <w:rPr>
                <w:sz w:val="20"/>
                <w:szCs w:val="20"/>
                <w:color w:val="auto"/>
              </w:rPr>
            </w:pPr>
            <w:r>
              <w:rPr>
                <w:rFonts w:ascii="Arial" w:cs="Arial" w:eastAsia="Arial" w:hAnsi="Arial"/>
                <w:sz w:val="18"/>
                <w:szCs w:val="18"/>
                <w:color w:val="auto"/>
              </w:rPr>
              <w:t>Master Accounts Receivable Purchase Agreement</w:t>
            </w:r>
          </w:p>
        </w:tc>
        <w:tc>
          <w:tcPr>
            <w:tcW w:w="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62.1</w:t>
            </w:r>
          </w:p>
        </w:tc>
        <w:tc>
          <w:tcPr>
            <w:tcW w:w="11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64.4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Notes due to sellers</w:t>
            </w:r>
          </w:p>
        </w:tc>
        <w:tc>
          <w:tcPr>
            <w:tcW w:w="6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12.8</w:t>
            </w:r>
          </w:p>
        </w:tc>
        <w:tc>
          <w:tcPr>
            <w:tcW w:w="11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0" w:type="dxa"/>
            <w:vAlign w:val="bottom"/>
          </w:tcPr>
          <w:p>
            <w:pPr>
              <w:spacing w:after="0" w:line="202" w:lineRule="exact"/>
              <w:rPr>
                <w:sz w:val="20"/>
                <w:szCs w:val="20"/>
                <w:color w:val="auto"/>
              </w:rPr>
            </w:pPr>
            <w:r>
              <w:rPr>
                <w:rFonts w:ascii="Arial" w:cs="Arial" w:eastAsia="Arial" w:hAnsi="Arial"/>
                <w:sz w:val="18"/>
                <w:szCs w:val="18"/>
                <w:color w:val="auto"/>
              </w:rPr>
              <w:t>Foreign bank borrowings and term loans</w:t>
            </w:r>
          </w:p>
        </w:tc>
        <w:tc>
          <w:tcPr>
            <w:tcW w:w="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0.7</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6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7.7</w:t>
            </w:r>
          </w:p>
        </w:tc>
        <w:tc>
          <w:tcPr>
            <w:tcW w:w="11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999.5</w:t>
            </w:r>
          </w:p>
        </w:tc>
        <w:tc>
          <w:tcPr>
            <w:tcW w:w="400" w:type="dxa"/>
            <w:vAlign w:val="bottom"/>
          </w:tcPr>
          <w:p>
            <w:pPr>
              <w:spacing w:after="0"/>
              <w:rPr>
                <w:sz w:val="18"/>
                <w:szCs w:val="18"/>
                <w:color w:val="auto"/>
              </w:rPr>
            </w:pPr>
          </w:p>
        </w:tc>
        <w:tc>
          <w:tcPr>
            <w:tcW w:w="7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1,117.8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current portions</w:t>
            </w:r>
          </w:p>
        </w:tc>
        <w:tc>
          <w:tcPr>
            <w:tcW w:w="6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150.0</w:t>
            </w:r>
          </w:p>
        </w:tc>
        <w:tc>
          <w:tcPr>
            <w:tcW w:w="11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86.4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$ 849.5</w:t>
            </w:r>
          </w:p>
        </w:tc>
        <w:tc>
          <w:tcPr>
            <w:tcW w:w="400" w:type="dxa"/>
            <w:vAlign w:val="bottom"/>
          </w:tcPr>
          <w:p>
            <w:pPr>
              <w:spacing w:after="0"/>
              <w:rPr>
                <w:sz w:val="18"/>
                <w:szCs w:val="18"/>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1,031.4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gridSpan w:val="2"/>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8800" w:type="dxa"/>
            <w:vAlign w:val="bottom"/>
            <w:gridSpan w:val="3"/>
          </w:tcPr>
          <w:p>
            <w:pPr>
              <w:jc w:val="right"/>
              <w:ind w:right="95"/>
              <w:spacing w:after="0"/>
              <w:rPr>
                <w:sz w:val="20"/>
                <w:szCs w:val="20"/>
                <w:color w:val="auto"/>
              </w:rPr>
            </w:pPr>
            <w:r>
              <w:rPr>
                <w:rFonts w:ascii="Arial" w:cs="Arial" w:eastAsia="Arial" w:hAnsi="Arial"/>
                <w:sz w:val="18"/>
                <w:szCs w:val="18"/>
                <w:color w:val="auto"/>
              </w:rPr>
              <w:t>The Company’s debt matures as follows for each of the next five fiscal years and thereafter (in millions):</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vMerge w:val="restart"/>
          </w:tcPr>
          <w:p>
            <w:pPr>
              <w:spacing w:after="0"/>
              <w:rPr>
                <w:sz w:val="10"/>
                <w:szCs w:val="10"/>
                <w:color w:val="auto"/>
              </w:rPr>
            </w:pPr>
          </w:p>
        </w:tc>
        <w:tc>
          <w:tcPr>
            <w:tcW w:w="8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00" w:type="dxa"/>
            <w:vAlign w:val="bottom"/>
            <w:gridSpan w:val="2"/>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2009</w:t>
            </w: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$ 150.0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0" w:type="dxa"/>
            <w:vAlign w:val="bottom"/>
          </w:tcPr>
          <w:p>
            <w:pPr>
              <w:spacing w:after="0" w:line="202" w:lineRule="exact"/>
              <w:rPr>
                <w:sz w:val="20"/>
                <w:szCs w:val="20"/>
                <w:color w:val="auto"/>
              </w:rPr>
            </w:pPr>
            <w:r>
              <w:rPr>
                <w:rFonts w:ascii="Arial" w:cs="Arial" w:eastAsia="Arial" w:hAnsi="Arial"/>
                <w:sz w:val="18"/>
                <w:szCs w:val="18"/>
                <w:color w:val="auto"/>
              </w:rPr>
              <w:t>2010</w:t>
            </w: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155.8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2011</w:t>
            </w: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193.6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0" w:type="dxa"/>
            <w:vAlign w:val="bottom"/>
          </w:tcPr>
          <w:p>
            <w:pPr>
              <w:spacing w:after="0" w:line="202" w:lineRule="exact"/>
              <w:rPr>
                <w:sz w:val="20"/>
                <w:szCs w:val="20"/>
                <w:color w:val="auto"/>
              </w:rPr>
            </w:pPr>
            <w:r>
              <w:rPr>
                <w:rFonts w:ascii="Arial" w:cs="Arial" w:eastAsia="Arial" w:hAnsi="Arial"/>
                <w:sz w:val="18"/>
                <w:szCs w:val="18"/>
                <w:color w:val="auto"/>
              </w:rPr>
              <w:t>2012</w:t>
            </w: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496.1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2013</w:t>
            </w: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0" w:type="dxa"/>
            <w:vAlign w:val="bottom"/>
          </w:tcPr>
          <w:p>
            <w:pPr>
              <w:spacing w:after="0" w:line="202" w:lineRule="exact"/>
              <w:rPr>
                <w:sz w:val="20"/>
                <w:szCs w:val="20"/>
                <w:color w:val="auto"/>
              </w:rPr>
            </w:pPr>
            <w:r>
              <w:rPr>
                <w:rFonts w:ascii="Arial" w:cs="Arial" w:eastAsia="Arial" w:hAnsi="Arial"/>
                <w:sz w:val="18"/>
                <w:szCs w:val="18"/>
                <w:color w:val="auto"/>
              </w:rPr>
              <w:t>Thereafter</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gridSpan w:val="2"/>
          </w:tcPr>
          <w:p>
            <w:pPr>
              <w:spacing w:after="0"/>
              <w:rPr>
                <w:sz w:val="18"/>
                <w:szCs w:val="18"/>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$ 999.5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ind w:left="700" w:right="180" w:firstLine="402"/>
        <w:spacing w:after="0" w:line="255" w:lineRule="auto"/>
        <w:rPr>
          <w:sz w:val="20"/>
          <w:szCs w:val="20"/>
          <w:color w:val="auto"/>
        </w:rPr>
      </w:pPr>
      <w:r>
        <w:rPr>
          <w:rFonts w:ascii="Arial" w:cs="Arial" w:eastAsia="Arial" w:hAnsi="Arial"/>
          <w:sz w:val="17"/>
          <w:szCs w:val="17"/>
          <w:color w:val="auto"/>
        </w:rPr>
        <w:t>In connection with the recapitalization transactions discussed in “NOTE 5. RECAPITALIZATION,” in February 2007, the Company entered into the following loan facilities totaling up to $ 2.15 billion in the aggregate: (a) a senior secured five-year term loan in the principal amount of $560 million and (b) a senior secured five-year revolving loan facility in the aggregate principal amount of up to $1.59 billion. Under the terms of the loan facilities, the Company may request an additional</w:t>
      </w:r>
    </w:p>
    <w:p>
      <w:pPr>
        <w:spacing w:after="0" w:line="2" w:lineRule="exact"/>
        <w:rPr>
          <w:sz w:val="20"/>
          <w:szCs w:val="20"/>
          <w:color w:val="auto"/>
        </w:rPr>
      </w:pPr>
    </w:p>
    <w:p>
      <w:pPr>
        <w:ind w:left="700" w:right="460"/>
        <w:spacing w:after="0" w:line="251" w:lineRule="auto"/>
        <w:rPr>
          <w:sz w:val="20"/>
          <w:szCs w:val="20"/>
          <w:color w:val="auto"/>
        </w:rPr>
      </w:pPr>
      <w:r>
        <w:rPr>
          <w:rFonts w:ascii="Arial" w:cs="Arial" w:eastAsia="Arial" w:hAnsi="Arial"/>
          <w:sz w:val="18"/>
          <w:szCs w:val="18"/>
          <w:color w:val="auto"/>
        </w:rPr>
        <w:t>$200 million in revolving credit and/or term credit commitments, subject to approval from the lenders. Borrowings may be made in various currencies including U.S. dollars, Euros, British pounds, Australian dollars and Canadian dollars.</w:t>
      </w:r>
    </w:p>
    <w:p>
      <w:pPr>
        <w:spacing w:after="0" w:line="72" w:lineRule="exact"/>
        <w:rPr>
          <w:sz w:val="20"/>
          <w:szCs w:val="20"/>
          <w:color w:val="auto"/>
        </w:rPr>
      </w:pPr>
    </w:p>
    <w:p>
      <w:pPr>
        <w:ind w:left="700" w:right="80" w:firstLine="402"/>
        <w:spacing w:after="0" w:line="239" w:lineRule="auto"/>
        <w:rPr>
          <w:sz w:val="20"/>
          <w:szCs w:val="20"/>
          <w:color w:val="auto"/>
        </w:rPr>
      </w:pPr>
      <w:r>
        <w:rPr>
          <w:rFonts w:ascii="Arial" w:cs="Arial" w:eastAsia="Arial" w:hAnsi="Arial"/>
          <w:sz w:val="18"/>
          <w:szCs w:val="18"/>
          <w:color w:val="auto"/>
        </w:rPr>
        <w:t>The terms of these senior secured credit facilities provide for customary representations and warranties and affirmative covenants. The senior secured credit facilities also contain customary negative covenants setting forth limitations, subject to negotiated carve-outs, on liens; contingent obligations; fundamental changes; acquisitions, investments, loans and advances; indebtedness; restrictions on subsidiary distributions; transactions with affiliates and officers; sales of assets; sale and leaseback transactions; changing the Company’s fiscal year end; modifications of certain debt instruments; negative pledge clauses; entering into new lines of business; and restricted payments (including restricting dividend payments to $55 million annually based on the current Leverage Ratio (as defined) of the Company). The senior secured credit facilities are secured by collateral that includes the capital stock of specified subsidiaries of Scotts Miracle-Gro, substantially all domestic accounts receivable (exclusive of any “sold” receivables), inventory and equipment. The senior secured credit facilities also require the maintenance of a specified Leverage Ratio and Interest Coverage Ratio (both as defined), and are guaranteed by substantially all of Scotts Miracle-Gro’s domestic subsidiaries.</w:t>
      </w:r>
    </w:p>
    <w:p>
      <w:pPr>
        <w:spacing w:after="0" w:line="83" w:lineRule="exact"/>
        <w:rPr>
          <w:sz w:val="20"/>
          <w:szCs w:val="20"/>
          <w:color w:val="auto"/>
        </w:rPr>
      </w:pPr>
    </w:p>
    <w:p>
      <w:pPr>
        <w:ind w:left="700" w:right="80" w:firstLine="402"/>
        <w:spacing w:after="0" w:line="224" w:lineRule="auto"/>
        <w:rPr>
          <w:sz w:val="20"/>
          <w:szCs w:val="20"/>
          <w:color w:val="auto"/>
        </w:rPr>
      </w:pPr>
      <w:r>
        <w:rPr>
          <w:rFonts w:ascii="Arial" w:cs="Arial" w:eastAsia="Arial" w:hAnsi="Arial"/>
          <w:sz w:val="18"/>
          <w:szCs w:val="18"/>
          <w:color w:val="auto"/>
        </w:rPr>
        <w:t xml:space="preserve">The senior secured credit facilities have several borrowing options, including interest rates that are based on (i) a LIBOR rate plus a margin based on a Leverage Ratio (as defined) or (ii) the greater of the prime rate or the Federal Funds Effective Rate (as defined) plus </w:t>
      </w:r>
      <w:r>
        <w:rPr>
          <w:rFonts w:ascii="Arial" w:cs="Arial" w:eastAsia="Arial" w:hAnsi="Arial"/>
          <w:sz w:val="25"/>
          <w:szCs w:val="25"/>
          <w:color w:val="auto"/>
          <w:vertAlign w:val="superscript"/>
        </w:rPr>
        <w:t>1</w:t>
      </w:r>
      <w:r>
        <w:rPr>
          <w:rFonts w:ascii="Arial" w:cs="Arial" w:eastAsia="Arial" w:hAnsi="Arial"/>
          <w:sz w:val="18"/>
          <w:szCs w:val="18"/>
          <w:color w:val="auto"/>
        </w:rPr>
        <w:t>/</w:t>
      </w:r>
      <w:r>
        <w:rPr>
          <w:rFonts w:ascii="Arial" w:cs="Arial" w:eastAsia="Arial" w:hAnsi="Arial"/>
          <w:sz w:val="12"/>
          <w:szCs w:val="12"/>
          <w:color w:val="auto"/>
        </w:rPr>
        <w:t>2</w:t>
      </w:r>
      <w:r>
        <w:rPr>
          <w:rFonts w:ascii="Arial" w:cs="Arial" w:eastAsia="Arial" w:hAnsi="Arial"/>
          <w:sz w:val="18"/>
          <w:szCs w:val="18"/>
          <w:color w:val="auto"/>
        </w:rPr>
        <w:t xml:space="preserve"> of 1% plus a margin based on a Leverage Ratio (as defined). Commitment fees are paid quarterly and are calculated as an amount equal to the</w:t>
      </w:r>
    </w:p>
    <w:p>
      <w:pPr>
        <w:spacing w:after="0" w:line="11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1"/>
          <w:szCs w:val="11"/>
          <w:b w:val="1"/>
          <w:bCs w:val="1"/>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-78105</wp:posOffset>
            </wp:positionV>
            <wp:extent cx="19748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240" w:top="415" w:right="919" w:bottom="1440" w:gutter="0" w:footer="0" w:header="0"/>
        </w:sectPr>
      </w:pPr>
    </w:p>
    <w:bookmarkStart w:id="94" w:name="page95"/>
    <w:bookmarkEnd w:id="94"/>
    <w:p>
      <w:pPr>
        <w:spacing w:after="0"/>
        <w:rPr>
          <w:rFonts w:ascii="Times New Roman" w:cs="Times New Roman" w:eastAsia="Times New Roman" w:hAnsi="Times New Roman"/>
          <w:sz w:val="18"/>
          <w:szCs w:val="18"/>
          <w:b w:val="1"/>
          <w:bCs w:val="1"/>
          <w:u w:val="single" w:color="auto"/>
          <w:color w:val="0000EE"/>
        </w:rPr>
      </w:pPr>
      <w:hyperlink w:anchor="page64">
        <w:r>
          <w:rPr>
            <w:rFonts w:ascii="Times New Roman" w:cs="Times New Roman" w:eastAsia="Times New Roman" w:hAnsi="Times New Roman"/>
            <w:sz w:val="18"/>
            <w:szCs w:val="18"/>
            <w:b w:val="1"/>
            <w:bCs w:val="1"/>
            <w:u w:val="single" w:color="auto"/>
            <w:color w:val="0000EE"/>
          </w:rPr>
          <w:t>Table of Contents</w:t>
        </w:r>
      </w:hyperlink>
    </w:p>
    <w:p>
      <w:pPr>
        <w:spacing w:after="0" w:line="317"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5" w:lineRule="exact"/>
        <w:rPr>
          <w:sz w:val="20"/>
          <w:szCs w:val="20"/>
          <w:color w:val="auto"/>
        </w:rPr>
      </w:pPr>
    </w:p>
    <w:p>
      <w:pPr>
        <w:ind w:left="700" w:right="20"/>
        <w:spacing w:after="0" w:line="241" w:lineRule="auto"/>
        <w:rPr>
          <w:sz w:val="20"/>
          <w:szCs w:val="20"/>
          <w:color w:val="auto"/>
        </w:rPr>
      </w:pPr>
      <w:r>
        <w:rPr>
          <w:rFonts w:ascii="Arial" w:cs="Arial" w:eastAsia="Arial" w:hAnsi="Arial"/>
          <w:sz w:val="18"/>
          <w:szCs w:val="18"/>
          <w:color w:val="auto"/>
        </w:rPr>
        <w:t>product of a rate based on a Leverage Ratio (as defined) and the average daily unused portion of both the revolving and term credit facilities. Amounts outstanding under the senior secured credit facilities at September 30, 2008 were at interest rates based on LIBOR applicable to the borrowed currencies plus 125 basis points. The weighted average interest rates on average debt under the credit facilities were 6.2% and 6.5% at September 30, 2008 and 2007, respectively. As of September 30, 2008, there was $1.19 billion of availability under the senior secured credit facilities. Under the senior secured credit facilities, the Company has the ability to issue letter of credit commitments up to $65.0 million. At September 30, 2008, the Company had letters of credit in the amount of $28.4 million outstanding.</w:t>
      </w:r>
    </w:p>
    <w:p>
      <w:pPr>
        <w:spacing w:after="0" w:line="85" w:lineRule="exact"/>
        <w:rPr>
          <w:sz w:val="20"/>
          <w:szCs w:val="20"/>
          <w:color w:val="auto"/>
        </w:rPr>
      </w:pPr>
    </w:p>
    <w:p>
      <w:pPr>
        <w:ind w:left="700" w:right="320" w:firstLine="402"/>
        <w:spacing w:after="0" w:line="203" w:lineRule="auto"/>
        <w:rPr>
          <w:sz w:val="20"/>
          <w:szCs w:val="20"/>
          <w:color w:val="auto"/>
        </w:rPr>
      </w:pPr>
      <w:r>
        <w:rPr>
          <w:rFonts w:ascii="Arial" w:cs="Arial" w:eastAsia="Arial" w:hAnsi="Arial"/>
          <w:sz w:val="18"/>
          <w:szCs w:val="18"/>
          <w:color w:val="auto"/>
        </w:rPr>
        <w:t>On January 10, 2007, the Company also launched a cash tender offer for any and all of its outstanding 6</w:t>
      </w:r>
      <w:r>
        <w:rPr>
          <w:rFonts w:ascii="Arial" w:cs="Arial" w:eastAsia="Arial" w:hAnsi="Arial"/>
          <w:sz w:val="25"/>
          <w:szCs w:val="25"/>
          <w:color w:val="auto"/>
          <w:vertAlign w:val="superscript"/>
        </w:rPr>
        <w:t>5</w:t>
      </w:r>
      <w:r>
        <w:rPr>
          <w:rFonts w:ascii="Arial" w:cs="Arial" w:eastAsia="Arial" w:hAnsi="Arial"/>
          <w:sz w:val="18"/>
          <w:szCs w:val="18"/>
          <w:color w:val="auto"/>
        </w:rPr>
        <w:t>/</w:t>
      </w:r>
      <w:r>
        <w:rPr>
          <w:rFonts w:ascii="Arial" w:cs="Arial" w:eastAsia="Arial" w:hAnsi="Arial"/>
          <w:sz w:val="12"/>
          <w:szCs w:val="12"/>
          <w:color w:val="auto"/>
        </w:rPr>
        <w:t>8</w:t>
      </w:r>
      <w:r>
        <w:rPr>
          <w:rFonts w:ascii="Arial" w:cs="Arial" w:eastAsia="Arial" w:hAnsi="Arial"/>
          <w:sz w:val="18"/>
          <w:szCs w:val="18"/>
          <w:color w:val="auto"/>
        </w:rPr>
        <w:t>% senior subordinated notes due 2013 in an aggregate principal amount of $200 million. Substantially all of the 6</w:t>
      </w:r>
      <w:r>
        <w:rPr>
          <w:rFonts w:ascii="Arial" w:cs="Arial" w:eastAsia="Arial" w:hAnsi="Arial"/>
          <w:sz w:val="25"/>
          <w:szCs w:val="25"/>
          <w:color w:val="auto"/>
          <w:vertAlign w:val="superscript"/>
        </w:rPr>
        <w:t>5</w:t>
      </w:r>
      <w:r>
        <w:rPr>
          <w:rFonts w:ascii="Arial" w:cs="Arial" w:eastAsia="Arial" w:hAnsi="Arial"/>
          <w:sz w:val="18"/>
          <w:szCs w:val="18"/>
          <w:color w:val="auto"/>
        </w:rPr>
        <w:t>/</w:t>
      </w:r>
      <w:r>
        <w:rPr>
          <w:rFonts w:ascii="Arial" w:cs="Arial" w:eastAsia="Arial" w:hAnsi="Arial"/>
          <w:sz w:val="12"/>
          <w:szCs w:val="12"/>
          <w:color w:val="auto"/>
        </w:rPr>
        <w:t>8</w:t>
      </w:r>
      <w:r>
        <w:rPr>
          <w:rFonts w:ascii="Arial" w:cs="Arial" w:eastAsia="Arial" w:hAnsi="Arial"/>
          <w:sz w:val="18"/>
          <w:szCs w:val="18"/>
          <w:color w:val="auto"/>
        </w:rPr>
        <w:t>% senior subordinated notes were repurchased under the terms of the tender offer on February 14, 2007. The remaining senior subordinated notes not tendered were subsequently called and repurchased on March 26, 2007. Proceeds from the senior secured credit facilities were used to fund the repurchase of the 6</w:t>
      </w:r>
      <w:r>
        <w:rPr>
          <w:rFonts w:ascii="Arial" w:cs="Arial" w:eastAsia="Arial" w:hAnsi="Arial"/>
          <w:sz w:val="25"/>
          <w:szCs w:val="25"/>
          <w:color w:val="auto"/>
          <w:vertAlign w:val="superscript"/>
        </w:rPr>
        <w:t>5</w:t>
      </w:r>
      <w:r>
        <w:rPr>
          <w:rFonts w:ascii="Arial" w:cs="Arial" w:eastAsia="Arial" w:hAnsi="Arial"/>
          <w:sz w:val="18"/>
          <w:szCs w:val="18"/>
          <w:color w:val="auto"/>
        </w:rPr>
        <w:t>/</w:t>
      </w:r>
      <w:r>
        <w:rPr>
          <w:rFonts w:ascii="Arial" w:cs="Arial" w:eastAsia="Arial" w:hAnsi="Arial"/>
          <w:sz w:val="12"/>
          <w:szCs w:val="12"/>
          <w:color w:val="auto"/>
        </w:rPr>
        <w:t>8</w:t>
      </w:r>
      <w:r>
        <w:rPr>
          <w:rFonts w:ascii="Arial" w:cs="Arial" w:eastAsia="Arial" w:hAnsi="Arial"/>
          <w:sz w:val="18"/>
          <w:szCs w:val="18"/>
          <w:color w:val="auto"/>
        </w:rPr>
        <w:t>% senior subordinated notes, at an aggregate cost of $209.6 million including an early redemption premium.</w:t>
      </w:r>
    </w:p>
    <w:p>
      <w:pPr>
        <w:spacing w:after="0" w:line="82" w:lineRule="exact"/>
        <w:rPr>
          <w:sz w:val="20"/>
          <w:szCs w:val="20"/>
          <w:color w:val="auto"/>
        </w:rPr>
      </w:pPr>
    </w:p>
    <w:p>
      <w:pPr>
        <w:ind w:left="700" w:right="60" w:firstLine="402"/>
        <w:spacing w:after="0" w:line="248" w:lineRule="auto"/>
        <w:rPr>
          <w:sz w:val="20"/>
          <w:szCs w:val="20"/>
          <w:color w:val="auto"/>
        </w:rPr>
      </w:pPr>
      <w:r>
        <w:rPr>
          <w:rFonts w:ascii="Arial" w:cs="Arial" w:eastAsia="Arial" w:hAnsi="Arial"/>
          <w:sz w:val="18"/>
          <w:szCs w:val="18"/>
          <w:color w:val="auto"/>
        </w:rPr>
        <w:t>At September 30, 2008, the Company had outstanding interest rate swaps with major financial institutions that effectively converted a portion of variable-rate debt denominated in the Euros, British pounds and U.S. dollars to a fixed rate. The swap agreements had a total U.S. dollar equivalent notional amount of $711.4 million at September 30, 2008. The term, expiration date and rates of these swaps are as follows:</w:t>
      </w:r>
    </w:p>
    <w:p>
      <w:pPr>
        <w:spacing w:after="0" w:line="95" w:lineRule="exact"/>
        <w:rPr>
          <w:sz w:val="20"/>
          <w:szCs w:val="20"/>
          <w:color w:val="auto"/>
        </w:rPr>
      </w:pPr>
    </w:p>
    <w:tbl>
      <w:tblPr>
        <w:tblLayout w:type="fixed"/>
        <w:tblInd w:w="700" w:type="dxa"/>
        <w:tblCellMar>
          <w:top w:w="0" w:type="dxa"/>
          <w:left w:w="0" w:type="dxa"/>
          <w:bottom w:w="0" w:type="dxa"/>
          <w:right w:w="0" w:type="dxa"/>
        </w:tblCellMar>
      </w:tblPr>
      <w:tr>
        <w:trPr>
          <w:trHeight w:val="189"/>
        </w:trPr>
        <w:tc>
          <w:tcPr>
            <w:tcW w:w="2660" w:type="dxa"/>
            <w:vAlign w:val="bottom"/>
          </w:tcPr>
          <w:p>
            <w:pPr>
              <w:spacing w:after="0"/>
              <w:rPr>
                <w:sz w:val="16"/>
                <w:szCs w:val="16"/>
                <w:color w:val="auto"/>
              </w:rPr>
            </w:pPr>
          </w:p>
        </w:tc>
        <w:tc>
          <w:tcPr>
            <w:tcW w:w="3020" w:type="dxa"/>
            <w:vAlign w:val="bottom"/>
          </w:tcPr>
          <w:p>
            <w:pPr>
              <w:jc w:val="right"/>
              <w:ind w:right="453"/>
              <w:spacing w:after="0"/>
              <w:rPr>
                <w:sz w:val="20"/>
                <w:szCs w:val="20"/>
                <w:color w:val="auto"/>
              </w:rPr>
            </w:pPr>
            <w:r>
              <w:rPr>
                <w:rFonts w:ascii="Arial" w:cs="Arial" w:eastAsia="Arial" w:hAnsi="Arial"/>
                <w:sz w:val="16"/>
                <w:szCs w:val="16"/>
                <w:color w:val="auto"/>
              </w:rPr>
              <w:t>Notional</w:t>
            </w:r>
          </w:p>
        </w:tc>
        <w:tc>
          <w:tcPr>
            <w:tcW w:w="9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20"/>
        </w:trPr>
        <w:tc>
          <w:tcPr>
            <w:tcW w:w="26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Currency</w:t>
            </w:r>
          </w:p>
        </w:tc>
        <w:tc>
          <w:tcPr>
            <w:tcW w:w="3020" w:type="dxa"/>
            <w:vAlign w:val="bottom"/>
            <w:tcBorders>
              <w:bottom w:val="single" w:sz="8" w:color="auto"/>
            </w:tcBorders>
          </w:tcPr>
          <w:p>
            <w:pPr>
              <w:jc w:val="right"/>
              <w:ind w:right="193"/>
              <w:spacing w:after="0"/>
              <w:rPr>
                <w:sz w:val="20"/>
                <w:szCs w:val="20"/>
                <w:color w:val="auto"/>
              </w:rPr>
            </w:pPr>
            <w:r>
              <w:rPr>
                <w:rFonts w:ascii="Arial" w:cs="Arial" w:eastAsia="Arial" w:hAnsi="Arial"/>
                <w:sz w:val="16"/>
                <w:szCs w:val="16"/>
                <w:color w:val="auto"/>
              </w:rPr>
              <w:t>Amount in USD</w:t>
            </w:r>
          </w:p>
        </w:tc>
        <w:tc>
          <w:tcPr>
            <w:tcW w:w="920" w:type="dxa"/>
            <w:vAlign w:val="bottom"/>
            <w:tcBorders>
              <w:bottom w:val="single" w:sz="8" w:color="auto"/>
            </w:tcBorders>
          </w:tcPr>
          <w:p>
            <w:pPr>
              <w:jc w:val="center"/>
              <w:ind w:left="111"/>
              <w:spacing w:after="0"/>
              <w:rPr>
                <w:sz w:val="20"/>
                <w:szCs w:val="20"/>
                <w:color w:val="auto"/>
              </w:rPr>
            </w:pPr>
            <w:r>
              <w:rPr>
                <w:rFonts w:ascii="Arial" w:cs="Arial" w:eastAsia="Arial" w:hAnsi="Arial"/>
                <w:sz w:val="16"/>
                <w:szCs w:val="16"/>
                <w:color w:val="auto"/>
                <w:w w:val="96"/>
              </w:rPr>
              <w:t>Term</w:t>
            </w:r>
          </w:p>
        </w:tc>
        <w:tc>
          <w:tcPr>
            <w:tcW w:w="2160" w:type="dxa"/>
            <w:vAlign w:val="bottom"/>
            <w:tcBorders>
              <w:bottom w:val="single" w:sz="8" w:color="auto"/>
            </w:tcBorders>
          </w:tcPr>
          <w:p>
            <w:pPr>
              <w:jc w:val="right"/>
              <w:ind w:right="273"/>
              <w:spacing w:after="0"/>
              <w:rPr>
                <w:sz w:val="20"/>
                <w:szCs w:val="20"/>
                <w:color w:val="auto"/>
              </w:rPr>
            </w:pPr>
            <w:r>
              <w:rPr>
                <w:rFonts w:ascii="Arial" w:cs="Arial" w:eastAsia="Arial" w:hAnsi="Arial"/>
                <w:sz w:val="16"/>
                <w:szCs w:val="16"/>
                <w:color w:val="auto"/>
              </w:rPr>
              <w:t>Expiration Date</w:t>
            </w:r>
          </w:p>
        </w:tc>
        <w:tc>
          <w:tcPr>
            <w:tcW w:w="1280" w:type="dxa"/>
            <w:vAlign w:val="bottom"/>
            <w:tcBorders>
              <w:bottom w:val="single" w:sz="8" w:color="auto"/>
            </w:tcBorders>
          </w:tcPr>
          <w:p>
            <w:pPr>
              <w:jc w:val="right"/>
              <w:ind w:right="51"/>
              <w:spacing w:after="0"/>
              <w:rPr>
                <w:sz w:val="20"/>
                <w:szCs w:val="20"/>
                <w:color w:val="auto"/>
              </w:rPr>
            </w:pPr>
            <w:r>
              <w:rPr>
                <w:rFonts w:ascii="Arial" w:cs="Arial" w:eastAsia="Arial" w:hAnsi="Arial"/>
                <w:sz w:val="16"/>
                <w:szCs w:val="16"/>
                <w:color w:val="auto"/>
              </w:rPr>
              <w:t>Fixed Rate</w:t>
            </w:r>
          </w:p>
        </w:tc>
      </w:tr>
      <w:tr>
        <w:trPr>
          <w:trHeight w:val="213"/>
        </w:trPr>
        <w:tc>
          <w:tcPr>
            <w:tcW w:w="26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160" w:type="dxa"/>
            <w:vAlign w:val="bottom"/>
          </w:tcPr>
          <w:p>
            <w:pPr>
              <w:jc w:val="right"/>
              <w:ind w:right="1193"/>
              <w:spacing w:after="0"/>
              <w:rPr>
                <w:sz w:val="20"/>
                <w:szCs w:val="20"/>
                <w:color w:val="auto"/>
              </w:rPr>
            </w:pPr>
            <w:r>
              <w:rPr>
                <w:rFonts w:ascii="Arial" w:cs="Arial" w:eastAsia="Arial" w:hAnsi="Arial"/>
                <w:sz w:val="16"/>
                <w:szCs w:val="16"/>
                <w:color w:val="auto"/>
              </w:rPr>
              <w:t>(In millions)</w:t>
            </w:r>
          </w:p>
        </w:tc>
        <w:tc>
          <w:tcPr>
            <w:tcW w:w="1280" w:type="dxa"/>
            <w:vAlign w:val="bottom"/>
          </w:tcPr>
          <w:p>
            <w:pPr>
              <w:spacing w:after="0"/>
              <w:rPr>
                <w:sz w:val="18"/>
                <w:szCs w:val="18"/>
                <w:color w:val="auto"/>
              </w:rPr>
            </w:pPr>
          </w:p>
        </w:tc>
      </w:tr>
      <w:tr>
        <w:trPr>
          <w:trHeight w:val="213"/>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British pound</w:t>
            </w:r>
          </w:p>
        </w:tc>
        <w:tc>
          <w:tcPr>
            <w:tcW w:w="3020" w:type="dxa"/>
            <w:vAlign w:val="bottom"/>
            <w:shd w:val="clear" w:color="auto" w:fill="CCEEFF"/>
          </w:tcPr>
          <w:p>
            <w:pPr>
              <w:jc w:val="right"/>
              <w:ind w:right="513"/>
              <w:spacing w:after="0"/>
              <w:rPr>
                <w:sz w:val="20"/>
                <w:szCs w:val="20"/>
                <w:color w:val="auto"/>
              </w:rPr>
            </w:pPr>
            <w:r>
              <w:rPr>
                <w:rFonts w:ascii="Arial" w:cs="Arial" w:eastAsia="Arial" w:hAnsi="Arial"/>
                <w:sz w:val="18"/>
                <w:szCs w:val="18"/>
                <w:color w:val="auto"/>
              </w:rPr>
              <w:t>$ 51.2</w:t>
            </w:r>
          </w:p>
        </w:tc>
        <w:tc>
          <w:tcPr>
            <w:tcW w:w="920" w:type="dxa"/>
            <w:vAlign w:val="bottom"/>
            <w:shd w:val="clear" w:color="auto" w:fill="CCEEFF"/>
          </w:tcPr>
          <w:p>
            <w:pPr>
              <w:jc w:val="center"/>
              <w:ind w:left="111"/>
              <w:spacing w:after="0"/>
              <w:rPr>
                <w:sz w:val="20"/>
                <w:szCs w:val="20"/>
                <w:color w:val="auto"/>
              </w:rPr>
            </w:pPr>
            <w:r>
              <w:rPr>
                <w:rFonts w:ascii="Arial" w:cs="Arial" w:eastAsia="Arial" w:hAnsi="Arial"/>
                <w:sz w:val="18"/>
                <w:szCs w:val="18"/>
                <w:color w:val="auto"/>
              </w:rPr>
              <w:t>3 years</w:t>
            </w:r>
          </w:p>
        </w:tc>
        <w:tc>
          <w:tcPr>
            <w:tcW w:w="2160" w:type="dxa"/>
            <w:vAlign w:val="bottom"/>
            <w:shd w:val="clear" w:color="auto" w:fill="CCEEFF"/>
          </w:tcPr>
          <w:p>
            <w:pPr>
              <w:jc w:val="right"/>
              <w:ind w:right="393"/>
              <w:spacing w:after="0"/>
              <w:rPr>
                <w:sz w:val="20"/>
                <w:szCs w:val="20"/>
                <w:color w:val="auto"/>
              </w:rPr>
            </w:pPr>
            <w:r>
              <w:rPr>
                <w:rFonts w:ascii="Arial" w:cs="Arial" w:eastAsia="Arial" w:hAnsi="Arial"/>
                <w:sz w:val="18"/>
                <w:szCs w:val="18"/>
                <w:color w:val="auto"/>
              </w:rPr>
              <w:t>11/17/2008</w:t>
            </w:r>
          </w:p>
        </w:tc>
        <w:tc>
          <w:tcPr>
            <w:tcW w:w="1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4.76%</w:t>
            </w:r>
          </w:p>
        </w:tc>
      </w:tr>
      <w:tr>
        <w:trPr>
          <w:trHeight w:val="203"/>
        </w:trPr>
        <w:tc>
          <w:tcPr>
            <w:tcW w:w="2660" w:type="dxa"/>
            <w:vAlign w:val="bottom"/>
          </w:tcPr>
          <w:p>
            <w:pPr>
              <w:spacing w:after="0" w:line="202" w:lineRule="exact"/>
              <w:rPr>
                <w:sz w:val="20"/>
                <w:szCs w:val="20"/>
                <w:color w:val="auto"/>
              </w:rPr>
            </w:pPr>
            <w:r>
              <w:rPr>
                <w:rFonts w:ascii="Arial" w:cs="Arial" w:eastAsia="Arial" w:hAnsi="Arial"/>
                <w:sz w:val="18"/>
                <w:szCs w:val="18"/>
                <w:color w:val="auto"/>
              </w:rPr>
              <w:t>Euro</w:t>
            </w:r>
          </w:p>
        </w:tc>
        <w:tc>
          <w:tcPr>
            <w:tcW w:w="3020" w:type="dxa"/>
            <w:vAlign w:val="bottom"/>
          </w:tcPr>
          <w:p>
            <w:pPr>
              <w:jc w:val="right"/>
              <w:ind w:right="513"/>
              <w:spacing w:after="0" w:line="202" w:lineRule="exact"/>
              <w:rPr>
                <w:sz w:val="20"/>
                <w:szCs w:val="20"/>
                <w:color w:val="auto"/>
              </w:rPr>
            </w:pPr>
            <w:r>
              <w:rPr>
                <w:rFonts w:ascii="Arial" w:cs="Arial" w:eastAsia="Arial" w:hAnsi="Arial"/>
                <w:sz w:val="18"/>
                <w:szCs w:val="18"/>
                <w:color w:val="auto"/>
              </w:rPr>
              <w:t>60.2</w:t>
            </w:r>
          </w:p>
        </w:tc>
        <w:tc>
          <w:tcPr>
            <w:tcW w:w="920" w:type="dxa"/>
            <w:vAlign w:val="bottom"/>
          </w:tcPr>
          <w:p>
            <w:pPr>
              <w:jc w:val="center"/>
              <w:ind w:left="111"/>
              <w:spacing w:after="0" w:line="202" w:lineRule="exact"/>
              <w:rPr>
                <w:sz w:val="20"/>
                <w:szCs w:val="20"/>
                <w:color w:val="auto"/>
              </w:rPr>
            </w:pPr>
            <w:r>
              <w:rPr>
                <w:rFonts w:ascii="Arial" w:cs="Arial" w:eastAsia="Arial" w:hAnsi="Arial"/>
                <w:sz w:val="18"/>
                <w:szCs w:val="18"/>
                <w:color w:val="auto"/>
              </w:rPr>
              <w:t>3 years</w:t>
            </w:r>
          </w:p>
        </w:tc>
        <w:tc>
          <w:tcPr>
            <w:tcW w:w="2160" w:type="dxa"/>
            <w:vAlign w:val="bottom"/>
          </w:tcPr>
          <w:p>
            <w:pPr>
              <w:jc w:val="right"/>
              <w:ind w:right="393"/>
              <w:spacing w:after="0" w:line="202" w:lineRule="exact"/>
              <w:rPr>
                <w:sz w:val="20"/>
                <w:szCs w:val="20"/>
                <w:color w:val="auto"/>
              </w:rPr>
            </w:pPr>
            <w:r>
              <w:rPr>
                <w:rFonts w:ascii="Arial" w:cs="Arial" w:eastAsia="Arial" w:hAnsi="Arial"/>
                <w:sz w:val="18"/>
                <w:szCs w:val="18"/>
                <w:color w:val="auto"/>
              </w:rPr>
              <w:t>11/17/2008</w:t>
            </w:r>
          </w:p>
        </w:tc>
        <w:tc>
          <w:tcPr>
            <w:tcW w:w="1280" w:type="dxa"/>
            <w:vAlign w:val="bottom"/>
          </w:tcPr>
          <w:p>
            <w:pPr>
              <w:jc w:val="right"/>
              <w:ind w:right="91"/>
              <w:spacing w:after="0" w:line="202" w:lineRule="exact"/>
              <w:rPr>
                <w:sz w:val="20"/>
                <w:szCs w:val="20"/>
                <w:color w:val="auto"/>
              </w:rPr>
            </w:pPr>
            <w:r>
              <w:rPr>
                <w:rFonts w:ascii="Arial" w:cs="Arial" w:eastAsia="Arial" w:hAnsi="Arial"/>
                <w:sz w:val="18"/>
                <w:szCs w:val="18"/>
                <w:color w:val="auto"/>
              </w:rPr>
              <w:t>2.98%</w:t>
            </w:r>
          </w:p>
        </w:tc>
      </w:tr>
      <w:tr>
        <w:trPr>
          <w:trHeight w:val="203"/>
        </w:trPr>
        <w:tc>
          <w:tcPr>
            <w:tcW w:w="2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U.S. dollar</w:t>
            </w:r>
          </w:p>
        </w:tc>
        <w:tc>
          <w:tcPr>
            <w:tcW w:w="3020" w:type="dxa"/>
            <w:vAlign w:val="bottom"/>
            <w:shd w:val="clear" w:color="auto" w:fill="CCEEFF"/>
          </w:tcPr>
          <w:p>
            <w:pPr>
              <w:jc w:val="right"/>
              <w:ind w:right="513"/>
              <w:spacing w:after="0" w:line="202" w:lineRule="exact"/>
              <w:rPr>
                <w:sz w:val="20"/>
                <w:szCs w:val="20"/>
                <w:color w:val="auto"/>
              </w:rPr>
            </w:pPr>
            <w:r>
              <w:rPr>
                <w:rFonts w:ascii="Arial" w:cs="Arial" w:eastAsia="Arial" w:hAnsi="Arial"/>
                <w:sz w:val="18"/>
                <w:szCs w:val="18"/>
                <w:color w:val="auto"/>
              </w:rPr>
              <w:t>200.0</w:t>
            </w:r>
          </w:p>
        </w:tc>
        <w:tc>
          <w:tcPr>
            <w:tcW w:w="920" w:type="dxa"/>
            <w:vAlign w:val="bottom"/>
            <w:shd w:val="clear" w:color="auto" w:fill="CCEEFF"/>
          </w:tcPr>
          <w:p>
            <w:pPr>
              <w:jc w:val="center"/>
              <w:ind w:left="111"/>
              <w:spacing w:after="0" w:line="202" w:lineRule="exact"/>
              <w:rPr>
                <w:sz w:val="20"/>
                <w:szCs w:val="20"/>
                <w:color w:val="auto"/>
              </w:rPr>
            </w:pPr>
            <w:r>
              <w:rPr>
                <w:rFonts w:ascii="Arial" w:cs="Arial" w:eastAsia="Arial" w:hAnsi="Arial"/>
                <w:sz w:val="18"/>
                <w:szCs w:val="18"/>
                <w:color w:val="auto"/>
              </w:rPr>
              <w:t>2 years</w:t>
            </w:r>
          </w:p>
        </w:tc>
        <w:tc>
          <w:tcPr>
            <w:tcW w:w="2160" w:type="dxa"/>
            <w:vAlign w:val="bottom"/>
            <w:shd w:val="clear" w:color="auto" w:fill="CCEEFF"/>
          </w:tcPr>
          <w:p>
            <w:pPr>
              <w:jc w:val="right"/>
              <w:ind w:right="393"/>
              <w:spacing w:after="0" w:line="202" w:lineRule="exact"/>
              <w:rPr>
                <w:sz w:val="20"/>
                <w:szCs w:val="20"/>
                <w:color w:val="auto"/>
              </w:rPr>
            </w:pPr>
            <w:r>
              <w:rPr>
                <w:rFonts w:ascii="Arial" w:cs="Arial" w:eastAsia="Arial" w:hAnsi="Arial"/>
                <w:sz w:val="18"/>
                <w:szCs w:val="18"/>
                <w:color w:val="auto"/>
              </w:rPr>
              <w:t>3/31/2009</w:t>
            </w:r>
          </w:p>
        </w:tc>
        <w:tc>
          <w:tcPr>
            <w:tcW w:w="128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4.90%</w:t>
            </w:r>
          </w:p>
        </w:tc>
      </w:tr>
      <w:tr>
        <w:trPr>
          <w:trHeight w:val="203"/>
        </w:trPr>
        <w:tc>
          <w:tcPr>
            <w:tcW w:w="2660" w:type="dxa"/>
            <w:vAlign w:val="bottom"/>
          </w:tcPr>
          <w:p>
            <w:pPr>
              <w:spacing w:after="0" w:line="202" w:lineRule="exact"/>
              <w:rPr>
                <w:sz w:val="20"/>
                <w:szCs w:val="20"/>
                <w:color w:val="auto"/>
              </w:rPr>
            </w:pPr>
            <w:r>
              <w:rPr>
                <w:rFonts w:ascii="Arial" w:cs="Arial" w:eastAsia="Arial" w:hAnsi="Arial"/>
                <w:sz w:val="18"/>
                <w:szCs w:val="18"/>
                <w:color w:val="auto"/>
              </w:rPr>
              <w:t>U.S. dollar</w:t>
            </w:r>
          </w:p>
        </w:tc>
        <w:tc>
          <w:tcPr>
            <w:tcW w:w="3020" w:type="dxa"/>
            <w:vAlign w:val="bottom"/>
          </w:tcPr>
          <w:p>
            <w:pPr>
              <w:jc w:val="right"/>
              <w:ind w:right="513"/>
              <w:spacing w:after="0" w:line="202" w:lineRule="exact"/>
              <w:rPr>
                <w:sz w:val="20"/>
                <w:szCs w:val="20"/>
                <w:color w:val="auto"/>
              </w:rPr>
            </w:pPr>
            <w:r>
              <w:rPr>
                <w:rFonts w:ascii="Arial" w:cs="Arial" w:eastAsia="Arial" w:hAnsi="Arial"/>
                <w:sz w:val="18"/>
                <w:szCs w:val="18"/>
                <w:color w:val="auto"/>
              </w:rPr>
              <w:t>200.0</w:t>
            </w:r>
          </w:p>
        </w:tc>
        <w:tc>
          <w:tcPr>
            <w:tcW w:w="920" w:type="dxa"/>
            <w:vAlign w:val="bottom"/>
          </w:tcPr>
          <w:p>
            <w:pPr>
              <w:jc w:val="center"/>
              <w:ind w:left="111"/>
              <w:spacing w:after="0" w:line="202" w:lineRule="exact"/>
              <w:rPr>
                <w:sz w:val="20"/>
                <w:szCs w:val="20"/>
                <w:color w:val="auto"/>
              </w:rPr>
            </w:pPr>
            <w:r>
              <w:rPr>
                <w:rFonts w:ascii="Arial" w:cs="Arial" w:eastAsia="Arial" w:hAnsi="Arial"/>
                <w:sz w:val="18"/>
                <w:szCs w:val="18"/>
                <w:color w:val="auto"/>
              </w:rPr>
              <w:t>3 years</w:t>
            </w:r>
          </w:p>
        </w:tc>
        <w:tc>
          <w:tcPr>
            <w:tcW w:w="2160" w:type="dxa"/>
            <w:vAlign w:val="bottom"/>
          </w:tcPr>
          <w:p>
            <w:pPr>
              <w:jc w:val="right"/>
              <w:ind w:right="393"/>
              <w:spacing w:after="0" w:line="202" w:lineRule="exact"/>
              <w:rPr>
                <w:sz w:val="20"/>
                <w:szCs w:val="20"/>
                <w:color w:val="auto"/>
              </w:rPr>
            </w:pPr>
            <w:r>
              <w:rPr>
                <w:rFonts w:ascii="Arial" w:cs="Arial" w:eastAsia="Arial" w:hAnsi="Arial"/>
                <w:sz w:val="18"/>
                <w:szCs w:val="18"/>
                <w:color w:val="auto"/>
              </w:rPr>
              <w:t>3/30/2010</w:t>
            </w:r>
          </w:p>
        </w:tc>
        <w:tc>
          <w:tcPr>
            <w:tcW w:w="1280" w:type="dxa"/>
            <w:vAlign w:val="bottom"/>
          </w:tcPr>
          <w:p>
            <w:pPr>
              <w:jc w:val="right"/>
              <w:ind w:right="91"/>
              <w:spacing w:after="0" w:line="202" w:lineRule="exact"/>
              <w:rPr>
                <w:sz w:val="20"/>
                <w:szCs w:val="20"/>
                <w:color w:val="auto"/>
              </w:rPr>
            </w:pPr>
            <w:r>
              <w:rPr>
                <w:rFonts w:ascii="Arial" w:cs="Arial" w:eastAsia="Arial" w:hAnsi="Arial"/>
                <w:sz w:val="18"/>
                <w:szCs w:val="18"/>
                <w:color w:val="auto"/>
              </w:rPr>
              <w:t>4.87%</w:t>
            </w:r>
          </w:p>
        </w:tc>
      </w:tr>
      <w:tr>
        <w:trPr>
          <w:trHeight w:val="203"/>
        </w:trPr>
        <w:tc>
          <w:tcPr>
            <w:tcW w:w="2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U.S. dollar</w:t>
            </w:r>
          </w:p>
        </w:tc>
        <w:tc>
          <w:tcPr>
            <w:tcW w:w="3020" w:type="dxa"/>
            <w:vAlign w:val="bottom"/>
            <w:shd w:val="clear" w:color="auto" w:fill="CCEEFF"/>
          </w:tcPr>
          <w:p>
            <w:pPr>
              <w:jc w:val="right"/>
              <w:ind w:right="513"/>
              <w:spacing w:after="0" w:line="202" w:lineRule="exact"/>
              <w:rPr>
                <w:sz w:val="20"/>
                <w:szCs w:val="20"/>
                <w:color w:val="auto"/>
              </w:rPr>
            </w:pPr>
            <w:r>
              <w:rPr>
                <w:rFonts w:ascii="Arial" w:cs="Arial" w:eastAsia="Arial" w:hAnsi="Arial"/>
                <w:sz w:val="18"/>
                <w:szCs w:val="18"/>
                <w:color w:val="auto"/>
              </w:rPr>
              <w:t>200.0</w:t>
            </w:r>
          </w:p>
        </w:tc>
        <w:tc>
          <w:tcPr>
            <w:tcW w:w="920" w:type="dxa"/>
            <w:vAlign w:val="bottom"/>
            <w:shd w:val="clear" w:color="auto" w:fill="CCEEFF"/>
          </w:tcPr>
          <w:p>
            <w:pPr>
              <w:jc w:val="center"/>
              <w:ind w:left="111"/>
              <w:spacing w:after="0" w:line="202" w:lineRule="exact"/>
              <w:rPr>
                <w:sz w:val="20"/>
                <w:szCs w:val="20"/>
                <w:color w:val="auto"/>
              </w:rPr>
            </w:pPr>
            <w:r>
              <w:rPr>
                <w:rFonts w:ascii="Arial" w:cs="Arial" w:eastAsia="Arial" w:hAnsi="Arial"/>
                <w:sz w:val="18"/>
                <w:szCs w:val="18"/>
                <w:color w:val="auto"/>
              </w:rPr>
              <w:t>5 years</w:t>
            </w:r>
          </w:p>
        </w:tc>
        <w:tc>
          <w:tcPr>
            <w:tcW w:w="2160" w:type="dxa"/>
            <w:vAlign w:val="bottom"/>
            <w:shd w:val="clear" w:color="auto" w:fill="CCEEFF"/>
          </w:tcPr>
          <w:p>
            <w:pPr>
              <w:jc w:val="right"/>
              <w:ind w:right="393"/>
              <w:spacing w:after="0" w:line="202" w:lineRule="exact"/>
              <w:rPr>
                <w:sz w:val="20"/>
                <w:szCs w:val="20"/>
                <w:color w:val="auto"/>
              </w:rPr>
            </w:pPr>
            <w:r>
              <w:rPr>
                <w:rFonts w:ascii="Arial" w:cs="Arial" w:eastAsia="Arial" w:hAnsi="Arial"/>
                <w:sz w:val="18"/>
                <w:szCs w:val="18"/>
                <w:color w:val="auto"/>
              </w:rPr>
              <w:t>2/14/2012</w:t>
            </w:r>
          </w:p>
        </w:tc>
        <w:tc>
          <w:tcPr>
            <w:tcW w:w="128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5.20%</w:t>
            </w:r>
          </w:p>
        </w:tc>
      </w:tr>
    </w:tbl>
    <w:p>
      <w:pPr>
        <w:spacing w:after="0" w:line="99" w:lineRule="exact"/>
        <w:rPr>
          <w:sz w:val="20"/>
          <w:szCs w:val="20"/>
          <w:color w:val="auto"/>
        </w:rPr>
      </w:pPr>
    </w:p>
    <w:p>
      <w:pPr>
        <w:ind w:left="700" w:right="200" w:firstLine="402"/>
        <w:spacing w:after="0" w:line="262" w:lineRule="auto"/>
        <w:rPr>
          <w:sz w:val="20"/>
          <w:szCs w:val="20"/>
          <w:color w:val="auto"/>
        </w:rPr>
      </w:pPr>
      <w:r>
        <w:rPr>
          <w:rFonts w:ascii="Arial" w:cs="Arial" w:eastAsia="Arial" w:hAnsi="Arial"/>
          <w:sz w:val="18"/>
          <w:szCs w:val="18"/>
          <w:color w:val="auto"/>
        </w:rPr>
        <w:t>The Company recorded a charge of $18.3 million (including approximately $8.0 million of non-cash charges associated with the write-off of deferred financing costs) during fiscal 2007 relating to the refinancing of the $1.05 billion senior credit facility and the repurchase of the 6</w:t>
      </w:r>
      <w:r>
        <w:rPr>
          <w:rFonts w:ascii="Arial" w:cs="Arial" w:eastAsia="Arial" w:hAnsi="Arial"/>
          <w:sz w:val="25"/>
          <w:szCs w:val="25"/>
          <w:color w:val="auto"/>
          <w:vertAlign w:val="superscript"/>
        </w:rPr>
        <w:t>5</w:t>
      </w:r>
      <w:r>
        <w:rPr>
          <w:rFonts w:ascii="Arial" w:cs="Arial" w:eastAsia="Arial" w:hAnsi="Arial"/>
          <w:sz w:val="18"/>
          <w:szCs w:val="18"/>
          <w:color w:val="auto"/>
        </w:rPr>
        <w:t>/</w:t>
      </w:r>
      <w:r>
        <w:rPr>
          <w:rFonts w:ascii="Arial" w:cs="Arial" w:eastAsia="Arial" w:hAnsi="Arial"/>
          <w:sz w:val="12"/>
          <w:szCs w:val="12"/>
          <w:color w:val="auto"/>
        </w:rPr>
        <w:t>8</w:t>
      </w:r>
      <w:r>
        <w:rPr>
          <w:rFonts w:ascii="Arial" w:cs="Arial" w:eastAsia="Arial" w:hAnsi="Arial"/>
          <w:sz w:val="18"/>
          <w:szCs w:val="18"/>
          <w:color w:val="auto"/>
        </w:rPr>
        <w:t>% senior subordinated notes.</w:t>
      </w:r>
    </w:p>
    <w:p>
      <w:pPr>
        <w:spacing w:after="0" w:line="7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Master Accounts Receivable Purchase Agreement</w:t>
      </w:r>
    </w:p>
    <w:p>
      <w:pPr>
        <w:spacing w:after="0" w:line="119" w:lineRule="exact"/>
        <w:rPr>
          <w:sz w:val="20"/>
          <w:szCs w:val="20"/>
          <w:color w:val="auto"/>
        </w:rPr>
      </w:pPr>
    </w:p>
    <w:p>
      <w:pPr>
        <w:ind w:left="700" w:right="20" w:firstLine="402"/>
        <w:spacing w:after="0" w:line="257" w:lineRule="auto"/>
        <w:rPr>
          <w:sz w:val="20"/>
          <w:szCs w:val="20"/>
          <w:color w:val="auto"/>
        </w:rPr>
      </w:pPr>
      <w:r>
        <w:rPr>
          <w:rFonts w:ascii="Arial" w:cs="Arial" w:eastAsia="Arial" w:hAnsi="Arial"/>
          <w:sz w:val="17"/>
          <w:szCs w:val="17"/>
          <w:color w:val="auto"/>
        </w:rPr>
        <w:t>On April 11, 2007, the Company entered into a one-year Master Accounts Receivable Purchase Agreement (the “Original MARP Agreement”). On April 9, 2008, the Company terminated the Original MARP Agreement and entered into a new Master Accounts Receivable Purchase Agreement (the “New MARP Agreement”) with a termination date of April 8, 2009, or such later date as may be extended by mutual agreement of the Company and its lenders. The terms of the New MARP Agreement are substantially the same as the Original MARP Agreement. The New MARP Agreement provides for the discounted sale, on a revolving basis, of accounts receivable generated by specified account debtors, with seasonally adjusted monthly aggregate limits ranging from $10 million to $300 million. The New MARP Agreement also provides for specified account debtor sublimit amounts, which provide limits on the amount of receivables owed by individual account debtors that can be sold to the banks.</w:t>
      </w:r>
    </w:p>
    <w:p>
      <w:pPr>
        <w:spacing w:after="0" w:line="68" w:lineRule="exact"/>
        <w:rPr>
          <w:sz w:val="20"/>
          <w:szCs w:val="20"/>
          <w:color w:val="auto"/>
        </w:rPr>
      </w:pPr>
    </w:p>
    <w:p>
      <w:pPr>
        <w:ind w:left="700" w:right="80" w:firstLine="402"/>
        <w:spacing w:after="0" w:line="260" w:lineRule="auto"/>
        <w:rPr>
          <w:sz w:val="20"/>
          <w:szCs w:val="20"/>
          <w:color w:val="auto"/>
        </w:rPr>
      </w:pPr>
      <w:r>
        <w:rPr>
          <w:rFonts w:ascii="Arial" w:cs="Arial" w:eastAsia="Arial" w:hAnsi="Arial"/>
          <w:sz w:val="17"/>
          <w:szCs w:val="17"/>
          <w:color w:val="auto"/>
        </w:rPr>
        <w:t>The New MARP Agreement provides that although the specified receivables are sold, the purchaser has the right to require the Company to repurchase uncollected receivables if certain events occur, including the breach of certain covenants, warranties or representations made by the Company with respect to such receivables. However, the purchaser does not have the right to require the Company to repurchase any uncollected receivables if nonpayment is due to the account debtor’s financial inability to pay. Under certain specified conditions, the Company has the right to repurchase receivables which have been sold pursuant to the New MARP Agreement. The purchase price paid by the purchaser reflects a discount on the</w:t>
      </w:r>
    </w:p>
    <w:p>
      <w:pPr>
        <w:spacing w:after="0" w:line="10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1"/>
          <w:szCs w:val="11"/>
          <w:b w:val="1"/>
          <w:bCs w:val="1"/>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-78105</wp:posOffset>
            </wp:positionV>
            <wp:extent cx="19748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240" w:top="415" w:right="919" w:bottom="1440" w:gutter="0" w:footer="0" w:header="0"/>
        </w:sectPr>
      </w:pPr>
    </w:p>
    <w:bookmarkStart w:id="95" w:name="page96"/>
    <w:bookmarkEnd w:id="95"/>
    <w:p>
      <w:pPr>
        <w:spacing w:after="0"/>
        <w:rPr>
          <w:rFonts w:ascii="Times New Roman" w:cs="Times New Roman" w:eastAsia="Times New Roman" w:hAnsi="Times New Roman"/>
          <w:sz w:val="18"/>
          <w:szCs w:val="18"/>
          <w:b w:val="1"/>
          <w:bCs w:val="1"/>
          <w:u w:val="single" w:color="auto"/>
          <w:color w:val="0000EE"/>
        </w:rPr>
      </w:pPr>
      <w:hyperlink w:anchor="page64">
        <w:r>
          <w:rPr>
            <w:rFonts w:ascii="Times New Roman" w:cs="Times New Roman" w:eastAsia="Times New Roman" w:hAnsi="Times New Roman"/>
            <w:sz w:val="18"/>
            <w:szCs w:val="18"/>
            <w:b w:val="1"/>
            <w:bCs w:val="1"/>
            <w:u w:val="single" w:color="auto"/>
            <w:color w:val="0000EE"/>
          </w:rPr>
          <w:t>Table of Contents</w:t>
        </w:r>
      </w:hyperlink>
    </w:p>
    <w:p>
      <w:pPr>
        <w:spacing w:after="0" w:line="317"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5" w:lineRule="exact"/>
        <w:rPr>
          <w:sz w:val="20"/>
          <w:szCs w:val="20"/>
          <w:color w:val="auto"/>
        </w:rPr>
      </w:pPr>
    </w:p>
    <w:p>
      <w:pPr>
        <w:ind w:left="700" w:right="200"/>
        <w:spacing w:after="0" w:line="255" w:lineRule="auto"/>
        <w:rPr>
          <w:sz w:val="20"/>
          <w:szCs w:val="20"/>
          <w:color w:val="auto"/>
        </w:rPr>
      </w:pPr>
      <w:r>
        <w:rPr>
          <w:rFonts w:ascii="Arial" w:cs="Arial" w:eastAsia="Arial" w:hAnsi="Arial"/>
          <w:sz w:val="18"/>
          <w:szCs w:val="18"/>
          <w:color w:val="auto"/>
        </w:rPr>
        <w:t>adjusted amount (primarily reflecting historical dilution and potential trade credits) of the receivables purchased, which effectively is equal to the 7-day LIBOR rate plus a margin of .85% per annum. The Company continues to be responsible for the servicing and administration of the receivables purchased.</w:t>
      </w:r>
    </w:p>
    <w:p>
      <w:pPr>
        <w:spacing w:after="0" w:line="70" w:lineRule="exact"/>
        <w:rPr>
          <w:sz w:val="20"/>
          <w:szCs w:val="20"/>
          <w:color w:val="auto"/>
        </w:rPr>
      </w:pPr>
    </w:p>
    <w:p>
      <w:pPr>
        <w:ind w:left="700" w:right="40" w:firstLine="402"/>
        <w:spacing w:after="0" w:line="241" w:lineRule="auto"/>
        <w:rPr>
          <w:sz w:val="20"/>
          <w:szCs w:val="20"/>
          <w:color w:val="auto"/>
        </w:rPr>
      </w:pPr>
      <w:r>
        <w:rPr>
          <w:rFonts w:ascii="Arial" w:cs="Arial" w:eastAsia="Arial" w:hAnsi="Arial"/>
          <w:sz w:val="18"/>
          <w:szCs w:val="18"/>
          <w:color w:val="auto"/>
        </w:rPr>
        <w:t>The Company accounts for the sale of receivables under the New MARP Agreement as short-term debt and continues to carry the receivables on its consolidated balance sheet, in accordance with SFAS 140, “Accounting for Transfers and Servicing of Financial Assets and Extinguishments of Liabilities,” primarily as a result of the Company’s right to repurchase receivables sold. The caption “Accounts receivable pledged” on the accompanying Consolidated Balance Sheets in the amounts of $146.6 million and $149.5 million as of September 30, 2008 and 2007, respectively, represents the pool of receivables that have been designated as “sold” and serve as collateral for short-term debt in the amount of $62.1 million and $64.4 million as of those dates, respectively.</w:t>
      </w:r>
    </w:p>
    <w:p>
      <w:pPr>
        <w:spacing w:after="0" w:line="85" w:lineRule="exact"/>
        <w:rPr>
          <w:sz w:val="20"/>
          <w:szCs w:val="20"/>
          <w:color w:val="auto"/>
        </w:rPr>
      </w:pPr>
    </w:p>
    <w:p>
      <w:pPr>
        <w:ind w:left="700" w:right="60" w:firstLine="402"/>
        <w:spacing w:after="0"/>
        <w:rPr>
          <w:sz w:val="20"/>
          <w:szCs w:val="20"/>
          <w:color w:val="auto"/>
        </w:rPr>
      </w:pPr>
      <w:r>
        <w:rPr>
          <w:rFonts w:ascii="Arial" w:cs="Arial" w:eastAsia="Arial" w:hAnsi="Arial"/>
          <w:sz w:val="18"/>
          <w:szCs w:val="18"/>
          <w:color w:val="auto"/>
        </w:rPr>
        <w:t>The Company was in compliance with the terms of all borrowing agreements at September 30, 2008. Management continues to monitor the Company’s compliance with the leverage ratio and other covenants contained in the credit facilities and, based upon the Company’s current operating assumptions, the Company expects to remain in compliance with the permissible leverage ratio throughout fiscal 2009. However, an unanticipated charge to earnings or an increase in debt could materially affect our ability to remain in compliance with the financial covenants of our credit facilities, potentially causing us to have to seek an amendment or waiver from our lending group. While the Company believes it has good relationships with its banking group, given the adverse conditions currently present in the global credit markets, the Company can provide no assurance that such a request would be likely to result in a modified or replacement credit facility on reasonable terms, if at all.</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NOTE 12. SHAREHOLDERS’ EQUITY</w:t>
      </w:r>
    </w:p>
    <w:p>
      <w:pPr>
        <w:spacing w:after="0" w:line="137" w:lineRule="exact"/>
        <w:rPr>
          <w:sz w:val="20"/>
          <w:szCs w:val="20"/>
          <w:color w:val="auto"/>
        </w:rPr>
      </w:pPr>
    </w:p>
    <w:tbl>
      <w:tblPr>
        <w:tblLayout w:type="fixed"/>
        <w:tblInd w:w="700" w:type="dxa"/>
        <w:tblCellMar>
          <w:top w:w="0" w:type="dxa"/>
          <w:left w:w="0" w:type="dxa"/>
          <w:bottom w:w="0" w:type="dxa"/>
          <w:right w:w="0" w:type="dxa"/>
        </w:tblCellMar>
      </w:tblPr>
      <w:tr>
        <w:trPr>
          <w:trHeight w:val="219"/>
        </w:trPr>
        <w:tc>
          <w:tcPr>
            <w:tcW w:w="6020" w:type="dxa"/>
            <w:vAlign w:val="bottom"/>
          </w:tcPr>
          <w:p>
            <w:pPr>
              <w:spacing w:after="0"/>
              <w:rPr>
                <w:sz w:val="19"/>
                <w:szCs w:val="19"/>
                <w:color w:val="auto"/>
              </w:rPr>
            </w:pPr>
          </w:p>
        </w:tc>
        <w:tc>
          <w:tcPr>
            <w:tcW w:w="2620" w:type="dxa"/>
            <w:vAlign w:val="bottom"/>
          </w:tcPr>
          <w:p>
            <w:pPr>
              <w:jc w:val="right"/>
              <w:ind w:right="553"/>
              <w:spacing w:after="0"/>
              <w:rPr>
                <w:sz w:val="20"/>
                <w:szCs w:val="20"/>
                <w:color w:val="auto"/>
              </w:rPr>
            </w:pPr>
            <w:r>
              <w:rPr>
                <w:rFonts w:ascii="Arial" w:cs="Arial" w:eastAsia="Arial" w:hAnsi="Arial"/>
                <w:sz w:val="16"/>
                <w:szCs w:val="16"/>
                <w:color w:val="auto"/>
              </w:rPr>
              <w:t>2008</w:t>
            </w:r>
          </w:p>
        </w:tc>
        <w:tc>
          <w:tcPr>
            <w:tcW w:w="1300" w:type="dxa"/>
            <w:vAlign w:val="bottom"/>
          </w:tcPr>
          <w:p>
            <w:pPr>
              <w:jc w:val="right"/>
              <w:ind w:right="312"/>
              <w:spacing w:after="0"/>
              <w:rPr>
                <w:sz w:val="20"/>
                <w:szCs w:val="20"/>
                <w:color w:val="auto"/>
              </w:rPr>
            </w:pPr>
            <w:r>
              <w:rPr>
                <w:rFonts w:ascii="Arial" w:cs="Arial" w:eastAsia="Arial" w:hAnsi="Arial"/>
                <w:sz w:val="16"/>
                <w:szCs w:val="16"/>
                <w:color w:val="auto"/>
              </w:rPr>
              <w:t>2007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602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gridSpan w:val="2"/>
          </w:tcPr>
          <w:p>
            <w:pPr>
              <w:spacing w:after="0"/>
              <w:rPr>
                <w:sz w:val="2"/>
                <w:szCs w:val="2"/>
                <w:color w:val="auto"/>
              </w:rPr>
            </w:pPr>
          </w:p>
        </w:tc>
        <w:tc>
          <w:tcPr>
            <w:tcW w:w="10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6020" w:type="dxa"/>
            <w:vAlign w:val="bottom"/>
          </w:tcPr>
          <w:p>
            <w:pPr>
              <w:spacing w:after="0"/>
              <w:rPr>
                <w:sz w:val="18"/>
                <w:szCs w:val="18"/>
                <w:color w:val="auto"/>
              </w:rPr>
            </w:pPr>
          </w:p>
        </w:tc>
        <w:tc>
          <w:tcPr>
            <w:tcW w:w="3920" w:type="dxa"/>
            <w:vAlign w:val="bottom"/>
            <w:gridSpan w:val="2"/>
          </w:tcPr>
          <w:p>
            <w:pPr>
              <w:jc w:val="right"/>
              <w:ind w:right="852"/>
              <w:spacing w:after="0"/>
              <w:rPr>
                <w:sz w:val="20"/>
                <w:szCs w:val="20"/>
                <w:color w:val="auto"/>
              </w:rPr>
            </w:pPr>
            <w:r>
              <w:rPr>
                <w:rFonts w:ascii="Arial" w:cs="Arial" w:eastAsia="Arial" w:hAnsi="Arial"/>
                <w:sz w:val="16"/>
                <w:szCs w:val="16"/>
                <w:color w:val="auto"/>
              </w:rPr>
              <w:t>(In millions)</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Preferred shares, no par value:</w:t>
            </w:r>
          </w:p>
        </w:tc>
        <w:tc>
          <w:tcPr>
            <w:tcW w:w="26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020" w:type="dxa"/>
            <w:vAlign w:val="bottom"/>
          </w:tcPr>
          <w:p>
            <w:pPr>
              <w:ind w:left="180"/>
              <w:spacing w:after="0" w:line="202" w:lineRule="exact"/>
              <w:rPr>
                <w:sz w:val="20"/>
                <w:szCs w:val="20"/>
                <w:color w:val="auto"/>
              </w:rPr>
            </w:pPr>
            <w:r>
              <w:rPr>
                <w:rFonts w:ascii="Arial" w:cs="Arial" w:eastAsia="Arial" w:hAnsi="Arial"/>
                <w:sz w:val="18"/>
                <w:szCs w:val="18"/>
                <w:color w:val="auto"/>
              </w:rPr>
              <w:t>Authorized</w:t>
            </w:r>
          </w:p>
        </w:tc>
        <w:tc>
          <w:tcPr>
            <w:tcW w:w="262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0.2 shares</w:t>
            </w:r>
          </w:p>
        </w:tc>
        <w:tc>
          <w:tcPr>
            <w:tcW w:w="14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0.2 shares</w:t>
            </w:r>
          </w:p>
        </w:tc>
        <w:tc>
          <w:tcPr>
            <w:tcW w:w="0" w:type="dxa"/>
            <w:vAlign w:val="bottom"/>
          </w:tcPr>
          <w:p>
            <w:pPr>
              <w:spacing w:after="0"/>
              <w:rPr>
                <w:sz w:val="1"/>
                <w:szCs w:val="1"/>
                <w:color w:val="auto"/>
              </w:rPr>
            </w:pPr>
          </w:p>
        </w:tc>
      </w:tr>
      <w:tr>
        <w:trPr>
          <w:trHeight w:val="203"/>
        </w:trPr>
        <w:tc>
          <w:tcPr>
            <w:tcW w:w="60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Issued</w:t>
            </w:r>
          </w:p>
        </w:tc>
        <w:tc>
          <w:tcPr>
            <w:tcW w:w="2620" w:type="dxa"/>
            <w:vAlign w:val="bottom"/>
            <w:shd w:val="clear" w:color="auto" w:fill="CCEEFF"/>
          </w:tcPr>
          <w:p>
            <w:pPr>
              <w:jc w:val="right"/>
              <w:ind w:right="153"/>
              <w:spacing w:after="0" w:line="202" w:lineRule="exact"/>
              <w:rPr>
                <w:sz w:val="20"/>
                <w:szCs w:val="20"/>
                <w:color w:val="auto"/>
              </w:rPr>
            </w:pPr>
            <w:r>
              <w:rPr>
                <w:rFonts w:ascii="Arial" w:cs="Arial" w:eastAsia="Arial" w:hAnsi="Arial"/>
                <w:sz w:val="18"/>
                <w:szCs w:val="18"/>
                <w:color w:val="auto"/>
              </w:rPr>
              <w:t>0.0 shares</w:t>
            </w:r>
          </w:p>
        </w:tc>
        <w:tc>
          <w:tcPr>
            <w:tcW w:w="14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0.0 shares</w:t>
            </w:r>
          </w:p>
        </w:tc>
        <w:tc>
          <w:tcPr>
            <w:tcW w:w="0" w:type="dxa"/>
            <w:vAlign w:val="bottom"/>
          </w:tcPr>
          <w:p>
            <w:pPr>
              <w:spacing w:after="0"/>
              <w:rPr>
                <w:sz w:val="1"/>
                <w:szCs w:val="1"/>
                <w:color w:val="auto"/>
              </w:rPr>
            </w:pPr>
          </w:p>
        </w:tc>
      </w:tr>
      <w:tr>
        <w:trPr>
          <w:trHeight w:val="203"/>
        </w:trPr>
        <w:tc>
          <w:tcPr>
            <w:tcW w:w="6020" w:type="dxa"/>
            <w:vAlign w:val="bottom"/>
          </w:tcPr>
          <w:p>
            <w:pPr>
              <w:spacing w:after="0" w:line="202" w:lineRule="exact"/>
              <w:rPr>
                <w:sz w:val="20"/>
                <w:szCs w:val="20"/>
                <w:color w:val="auto"/>
              </w:rPr>
            </w:pPr>
            <w:r>
              <w:rPr>
                <w:rFonts w:ascii="Arial" w:cs="Arial" w:eastAsia="Arial" w:hAnsi="Arial"/>
                <w:sz w:val="18"/>
                <w:szCs w:val="18"/>
                <w:color w:val="auto"/>
              </w:rPr>
              <w:t>Common shares, no par value, $.01 stated value per share</w:t>
            </w:r>
          </w:p>
        </w:tc>
        <w:tc>
          <w:tcPr>
            <w:tcW w:w="26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Authorized</w:t>
            </w:r>
          </w:p>
        </w:tc>
        <w:tc>
          <w:tcPr>
            <w:tcW w:w="2620" w:type="dxa"/>
            <w:vAlign w:val="bottom"/>
            <w:shd w:val="clear" w:color="auto" w:fill="CCEEFF"/>
          </w:tcPr>
          <w:p>
            <w:pPr>
              <w:jc w:val="right"/>
              <w:ind w:right="153"/>
              <w:spacing w:after="0" w:line="202" w:lineRule="exact"/>
              <w:rPr>
                <w:sz w:val="20"/>
                <w:szCs w:val="20"/>
                <w:color w:val="auto"/>
              </w:rPr>
            </w:pPr>
            <w:r>
              <w:rPr>
                <w:rFonts w:ascii="Arial" w:cs="Arial" w:eastAsia="Arial" w:hAnsi="Arial"/>
                <w:sz w:val="18"/>
                <w:szCs w:val="18"/>
                <w:color w:val="auto"/>
              </w:rPr>
              <w:t>100.0 shares</w:t>
            </w:r>
          </w:p>
        </w:tc>
        <w:tc>
          <w:tcPr>
            <w:tcW w:w="14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100.0 shares</w:t>
            </w:r>
          </w:p>
        </w:tc>
        <w:tc>
          <w:tcPr>
            <w:tcW w:w="0" w:type="dxa"/>
            <w:vAlign w:val="bottom"/>
          </w:tcPr>
          <w:p>
            <w:pPr>
              <w:spacing w:after="0"/>
              <w:rPr>
                <w:sz w:val="1"/>
                <w:szCs w:val="1"/>
                <w:color w:val="auto"/>
              </w:rPr>
            </w:pPr>
          </w:p>
        </w:tc>
      </w:tr>
      <w:tr>
        <w:trPr>
          <w:trHeight w:val="243"/>
        </w:trPr>
        <w:tc>
          <w:tcPr>
            <w:tcW w:w="6020" w:type="dxa"/>
            <w:vAlign w:val="bottom"/>
          </w:tcPr>
          <w:p>
            <w:pPr>
              <w:ind w:left="180"/>
              <w:spacing w:after="0"/>
              <w:rPr>
                <w:sz w:val="20"/>
                <w:szCs w:val="20"/>
                <w:color w:val="auto"/>
              </w:rPr>
            </w:pPr>
            <w:r>
              <w:rPr>
                <w:rFonts w:ascii="Arial" w:cs="Arial" w:eastAsia="Arial" w:hAnsi="Arial"/>
                <w:sz w:val="18"/>
                <w:szCs w:val="18"/>
                <w:color w:val="auto"/>
              </w:rPr>
              <w:t>Issued</w:t>
            </w:r>
          </w:p>
        </w:tc>
        <w:tc>
          <w:tcPr>
            <w:tcW w:w="2620" w:type="dxa"/>
            <w:vAlign w:val="bottom"/>
          </w:tcPr>
          <w:p>
            <w:pPr>
              <w:jc w:val="right"/>
              <w:ind w:right="153"/>
              <w:spacing w:after="0"/>
              <w:rPr>
                <w:sz w:val="20"/>
                <w:szCs w:val="20"/>
                <w:color w:val="auto"/>
              </w:rPr>
            </w:pPr>
            <w:r>
              <w:rPr>
                <w:rFonts w:ascii="Arial" w:cs="Arial" w:eastAsia="Arial" w:hAnsi="Arial"/>
                <w:sz w:val="18"/>
                <w:szCs w:val="18"/>
                <w:color w:val="auto"/>
              </w:rPr>
              <w:t>68.1 shares</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68.1 shares</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700" w:right="300" w:firstLine="402"/>
        <w:spacing w:after="0" w:line="248" w:lineRule="auto"/>
        <w:rPr>
          <w:sz w:val="20"/>
          <w:szCs w:val="20"/>
          <w:color w:val="auto"/>
        </w:rPr>
      </w:pPr>
      <w:r>
        <w:rPr>
          <w:rFonts w:ascii="Arial" w:cs="Arial" w:eastAsia="Arial" w:hAnsi="Arial"/>
          <w:sz w:val="18"/>
          <w:szCs w:val="18"/>
          <w:color w:val="auto"/>
        </w:rPr>
        <w:t>In fiscal 1995, The Scotts Company merged with Stern’s Miracle-Gro Products, Inc. (“Miracle-Gro”). At September 30, 2008, the former shareholders of Miracle-Gro, including Hagedorn Partnership L.P., owned approximately 32% of Scotts Miracle-Gro’s outstanding common shares and, thus, have the ability to significantly influence the election of directors and approval of other actions requiring the approval of Scotts Miracle-Gro’s shareholders.</w:t>
      </w:r>
    </w:p>
    <w:p>
      <w:pPr>
        <w:spacing w:after="0" w:line="76" w:lineRule="exact"/>
        <w:rPr>
          <w:sz w:val="20"/>
          <w:szCs w:val="20"/>
          <w:color w:val="auto"/>
        </w:rPr>
      </w:pPr>
    </w:p>
    <w:p>
      <w:pPr>
        <w:ind w:left="700" w:firstLine="402"/>
        <w:spacing w:after="0" w:line="241" w:lineRule="auto"/>
        <w:rPr>
          <w:sz w:val="20"/>
          <w:szCs w:val="20"/>
          <w:color w:val="auto"/>
        </w:rPr>
      </w:pPr>
      <w:r>
        <w:rPr>
          <w:rFonts w:ascii="Arial" w:cs="Arial" w:eastAsia="Arial" w:hAnsi="Arial"/>
          <w:sz w:val="18"/>
          <w:szCs w:val="18"/>
          <w:color w:val="auto"/>
        </w:rPr>
        <w:t>Under the terms of the merger agreement with Miracle -Gro, the former shareholders of Miracle-Gro may not collectively acquire, directly or indirectly, beneficial ownership of Voting Stock (as that term is defined in the Miracle-Gro merger agreement) representing more than 49% of the total voting power of the outstanding Voting Stock, except pursuant to a tender offer for 100% of that total voting power, which tender offer is made at a price per share which is not less than the market price per share on the last trading day before the announcement of the tender offer and is conditioned upon the receipt of at least 50% of the Voting Stock beneficially owned by shareholders of Scotts Miracle-Gro other than the former shareholders of Miracle-Gro and their affiliates and associates.</w:t>
      </w:r>
    </w:p>
    <w:p>
      <w:pPr>
        <w:spacing w:after="0" w:line="85" w:lineRule="exact"/>
        <w:rPr>
          <w:sz w:val="20"/>
          <w:szCs w:val="20"/>
          <w:color w:val="auto"/>
        </w:rPr>
      </w:pPr>
    </w:p>
    <w:p>
      <w:pPr>
        <w:ind w:left="700" w:right="80" w:firstLine="402"/>
        <w:spacing w:after="0" w:line="268" w:lineRule="auto"/>
        <w:rPr>
          <w:sz w:val="20"/>
          <w:szCs w:val="20"/>
          <w:color w:val="auto"/>
        </w:rPr>
      </w:pPr>
      <w:r>
        <w:rPr>
          <w:rFonts w:ascii="Arial" w:cs="Arial" w:eastAsia="Arial" w:hAnsi="Arial"/>
          <w:sz w:val="17"/>
          <w:szCs w:val="17"/>
          <w:color w:val="auto"/>
        </w:rPr>
        <w:t>Scotts Miracle-Gro reacquired no common shares in fiscal 2008 and 4.5 million common shares during fiscal 2007, to be held in treasury. Common shares held in treasury totaling 0.6 million and 2.0 million were reissued in support of share-based compensation awards and employee purchases under the employee stock purchase plan during fiscal 2008 and fiscal 2007, respectively. See “NOTE 5. RECAPITALIZATION” for a discussion of the Company’s fiscal 2007 recapitalization transactions.</w:t>
      </w:r>
    </w:p>
    <w:p>
      <w:pPr>
        <w:spacing w:after="0" w:line="9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1"/>
          <w:szCs w:val="11"/>
          <w:b w:val="1"/>
          <w:bCs w:val="1"/>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-78105</wp:posOffset>
            </wp:positionV>
            <wp:extent cx="19748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240" w:top="415" w:right="919" w:bottom="1440" w:gutter="0" w:footer="0" w:header="0"/>
        </w:sectPr>
      </w:pPr>
    </w:p>
    <w:bookmarkStart w:id="96" w:name="page97"/>
    <w:bookmarkEnd w:id="96"/>
    <w:p>
      <w:pPr>
        <w:spacing w:after="0"/>
        <w:rPr>
          <w:rFonts w:ascii="Times New Roman" w:cs="Times New Roman" w:eastAsia="Times New Roman" w:hAnsi="Times New Roman"/>
          <w:sz w:val="18"/>
          <w:szCs w:val="18"/>
          <w:b w:val="1"/>
          <w:bCs w:val="1"/>
          <w:u w:val="single" w:color="auto"/>
          <w:color w:val="0000EE"/>
        </w:rPr>
      </w:pPr>
      <w:hyperlink w:anchor="page64">
        <w:r>
          <w:rPr>
            <w:rFonts w:ascii="Times New Roman" w:cs="Times New Roman" w:eastAsia="Times New Roman" w:hAnsi="Times New Roman"/>
            <w:sz w:val="18"/>
            <w:szCs w:val="18"/>
            <w:b w:val="1"/>
            <w:bCs w:val="1"/>
            <w:u w:val="single" w:color="auto"/>
            <w:color w:val="0000EE"/>
          </w:rPr>
          <w:t>Table of Contents</w:t>
        </w:r>
      </w:hyperlink>
    </w:p>
    <w:p>
      <w:pPr>
        <w:spacing w:after="0" w:line="317"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8"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Share-Based Awards</w:t>
      </w:r>
    </w:p>
    <w:p>
      <w:pPr>
        <w:spacing w:after="0" w:line="124" w:lineRule="exact"/>
        <w:rPr>
          <w:sz w:val="20"/>
          <w:szCs w:val="20"/>
          <w:color w:val="auto"/>
        </w:rPr>
      </w:pPr>
    </w:p>
    <w:p>
      <w:pPr>
        <w:ind w:left="700" w:firstLine="402"/>
        <w:spacing w:after="0" w:line="238" w:lineRule="auto"/>
        <w:rPr>
          <w:sz w:val="20"/>
          <w:szCs w:val="20"/>
          <w:color w:val="auto"/>
        </w:rPr>
      </w:pPr>
      <w:r>
        <w:rPr>
          <w:rFonts w:ascii="Arial" w:cs="Arial" w:eastAsia="Arial" w:hAnsi="Arial"/>
          <w:sz w:val="18"/>
          <w:szCs w:val="18"/>
          <w:color w:val="auto"/>
        </w:rPr>
        <w:t>Scotts Miracle-Gro grants share-based awards annually to officers and other key employees of the Company and non-employee directors of Scotts Miracle-Gro. The Company’s share-based awards typically consist of stock options and restricted stock, although performance share awards have been made. Stock appreciation rights (“SARs”) also have been granted, though not in recent years. SARs result in less dilution than stock options as the SAR holder receives a net share settlement upon exercise. All of these share-based awards have been made under plans approved by the shareholders. Generally, employee share-based awards provide for three-year cliff vesting. Vesting for non-employee director awards varies based on the length of service and age of each director at the time of the award. Share-based awards are forfeited if a holder terminates employment or service with the Company prior to the vesting date. The Company estimates that 10% of its share-based awards will be forfeited based on an analysis of historical trends. This assumption is re-evaluated on an annual basis by grant and adjusted as appropriate. Stock options and SAR awards have exercise prices equal to the market price of the underlying common shares on the date of grant with a term of 10 years. If available, the Company will typically use treasury shares, or if not available, newly issued common shares, in satisfaction of its share-based awards.</w:t>
      </w:r>
    </w:p>
    <w:p>
      <w:pPr>
        <w:spacing w:after="0" w:line="89" w:lineRule="exact"/>
        <w:rPr>
          <w:sz w:val="20"/>
          <w:szCs w:val="20"/>
          <w:color w:val="auto"/>
        </w:rPr>
      </w:pPr>
    </w:p>
    <w:p>
      <w:pPr>
        <w:ind w:left="700" w:right="180" w:firstLine="402"/>
        <w:spacing w:after="0" w:line="248" w:lineRule="auto"/>
        <w:rPr>
          <w:sz w:val="20"/>
          <w:szCs w:val="20"/>
          <w:color w:val="auto"/>
        </w:rPr>
      </w:pPr>
      <w:r>
        <w:rPr>
          <w:rFonts w:ascii="Arial" w:cs="Arial" w:eastAsia="Arial" w:hAnsi="Arial"/>
          <w:sz w:val="18"/>
          <w:szCs w:val="18"/>
          <w:color w:val="auto"/>
        </w:rPr>
        <w:t>A maximum of 18 million common shares are available for issuance under share-based award plans. At September 30, 2008, approximately 2.5 million common shares were not subject to outstanding awards and were available to underlie the grant of new share-based awards. Subsequent to September 30, 2008, awards covering 1.1 million common shares were granted to key employees with an estimated fair value of $14.3 million on the date of grant.</w:t>
      </w:r>
    </w:p>
    <w:p>
      <w:pPr>
        <w:spacing w:after="0" w:line="7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following is a recap of the share-based awards granted over the periods indicated:</w:t>
      </w:r>
    </w:p>
    <w:p>
      <w:pPr>
        <w:spacing w:after="0" w:line="135"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20" w:type="dxa"/>
            <w:vAlign w:val="bottom"/>
            <w:gridSpan w:val="8"/>
          </w:tcPr>
          <w:p>
            <w:pPr>
              <w:ind w:left="680"/>
              <w:spacing w:after="0"/>
              <w:rPr>
                <w:sz w:val="20"/>
                <w:szCs w:val="20"/>
                <w:color w:val="auto"/>
              </w:rPr>
            </w:pPr>
            <w:r>
              <w:rPr>
                <w:rFonts w:ascii="Arial" w:cs="Arial" w:eastAsia="Arial" w:hAnsi="Arial"/>
                <w:sz w:val="16"/>
                <w:szCs w:val="16"/>
                <w:color w:val="auto"/>
              </w:rPr>
              <w:t>Year Ended September 30,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6"/>
                <w:szCs w:val="16"/>
                <w:color w:val="auto"/>
              </w:rPr>
              <w:t>2008</w:t>
            </w:r>
          </w:p>
        </w:tc>
        <w:tc>
          <w:tcPr>
            <w:tcW w:w="3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6"/>
                <w:szCs w:val="16"/>
                <w:color w:val="auto"/>
              </w:rPr>
              <w:t>2007</w:t>
            </w:r>
          </w:p>
        </w:tc>
        <w:tc>
          <w:tcPr>
            <w:tcW w:w="4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6"/>
                <w:szCs w:val="16"/>
                <w:color w:val="auto"/>
              </w:rPr>
              <w:t>2006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6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Key employees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Pr>
          <w:p>
            <w:pPr>
              <w:ind w:left="160"/>
              <w:spacing w:after="0" w:line="202" w:lineRule="exact"/>
              <w:rPr>
                <w:sz w:val="20"/>
                <w:szCs w:val="20"/>
                <w:color w:val="auto"/>
              </w:rPr>
            </w:pPr>
            <w:r>
              <w:rPr>
                <w:rFonts w:ascii="Arial" w:cs="Arial" w:eastAsia="Arial" w:hAnsi="Arial"/>
                <w:sz w:val="18"/>
                <w:szCs w:val="18"/>
                <w:color w:val="auto"/>
              </w:rPr>
              <w:t>Options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889,700</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821,200</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835,640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Options and SARs due to recapitalization</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872,147</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Pr>
          <w:p>
            <w:pPr>
              <w:ind w:left="160"/>
              <w:spacing w:after="0" w:line="202" w:lineRule="exact"/>
              <w:rPr>
                <w:sz w:val="20"/>
                <w:szCs w:val="20"/>
                <w:color w:val="auto"/>
              </w:rPr>
            </w:pPr>
            <w:r>
              <w:rPr>
                <w:rFonts w:ascii="Arial" w:cs="Arial" w:eastAsia="Arial" w:hAnsi="Arial"/>
                <w:sz w:val="18"/>
                <w:szCs w:val="18"/>
                <w:color w:val="auto"/>
              </w:rPr>
              <w:t>Restricted stock</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154,900</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193,550</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184,595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Performance shares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40,000</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Pr>
          <w:p>
            <w:pPr>
              <w:spacing w:after="0" w:line="202" w:lineRule="exact"/>
              <w:rPr>
                <w:sz w:val="20"/>
                <w:szCs w:val="20"/>
                <w:color w:val="auto"/>
              </w:rPr>
            </w:pPr>
            <w:r>
              <w:rPr>
                <w:rFonts w:ascii="Arial" w:cs="Arial" w:eastAsia="Arial" w:hAnsi="Arial"/>
                <w:sz w:val="18"/>
                <w:szCs w:val="18"/>
                <w:color w:val="auto"/>
              </w:rPr>
              <w:t>Board of Directors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Deferred stock units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30,271</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Pr>
          <w:p>
            <w:pPr>
              <w:ind w:left="160"/>
              <w:spacing w:after="0" w:line="202" w:lineRule="exact"/>
              <w:rPr>
                <w:sz w:val="20"/>
                <w:szCs w:val="20"/>
                <w:color w:val="auto"/>
              </w:rPr>
            </w:pPr>
            <w:r>
              <w:rPr>
                <w:rFonts w:ascii="Arial" w:cs="Arial" w:eastAsia="Arial" w:hAnsi="Arial"/>
                <w:sz w:val="18"/>
                <w:szCs w:val="18"/>
                <w:color w:val="auto"/>
              </w:rPr>
              <w:t>Options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127,000</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126,000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Options due to recapitalization</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202,649</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220" w:type="dxa"/>
            <w:vAlign w:val="bottom"/>
            <w:gridSpan w:val="2"/>
          </w:tcPr>
          <w:p>
            <w:pPr>
              <w:spacing w:after="0"/>
              <w:rPr>
                <w:sz w:val="20"/>
                <w:szCs w:val="20"/>
                <w:color w:val="auto"/>
              </w:rPr>
            </w:pPr>
            <w:r>
              <w:rPr>
                <w:rFonts w:ascii="Arial" w:cs="Arial" w:eastAsia="Arial" w:hAnsi="Arial"/>
                <w:sz w:val="18"/>
                <w:szCs w:val="18"/>
                <w:color w:val="auto"/>
              </w:rPr>
              <w:t>Total share-based awards</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1,114,871</w:t>
            </w:r>
          </w:p>
        </w:tc>
        <w:tc>
          <w:tcPr>
            <w:tcW w:w="3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2,216,546</w:t>
            </w:r>
          </w:p>
        </w:tc>
        <w:tc>
          <w:tcPr>
            <w:tcW w:w="4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1,176,235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6200" w:type="dxa"/>
            <w:vAlign w:val="bottom"/>
            <w:shd w:val="clear" w:color="auto" w:fill="CCEEFF"/>
          </w:tcPr>
          <w:p>
            <w:pPr>
              <w:spacing w:after="0" w:line="174" w:lineRule="exact"/>
              <w:rPr>
                <w:sz w:val="20"/>
                <w:szCs w:val="20"/>
                <w:color w:val="auto"/>
              </w:rPr>
            </w:pPr>
            <w:r>
              <w:rPr>
                <w:rFonts w:ascii="Arial" w:cs="Arial" w:eastAsia="Arial" w:hAnsi="Arial"/>
                <w:sz w:val="18"/>
                <w:szCs w:val="18"/>
                <w:color w:val="auto"/>
              </w:rPr>
              <w:t>Aggregate fair value at grant dates (in millions), excluding additional options</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and SARs issued due to the</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recapitalization</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700" w:right="120" w:firstLine="402"/>
        <w:spacing w:after="0" w:line="239" w:lineRule="auto"/>
        <w:rPr>
          <w:sz w:val="20"/>
          <w:szCs w:val="20"/>
          <w:color w:val="auto"/>
        </w:rPr>
      </w:pPr>
      <w:r>
        <w:rPr>
          <w:rFonts w:ascii="Arial" w:cs="Arial" w:eastAsia="Arial" w:hAnsi="Arial"/>
          <w:sz w:val="18"/>
          <w:szCs w:val="18"/>
          <w:color w:val="auto"/>
        </w:rPr>
        <w:t>As discussed in “NOTE 5. RECAPITALIZATION,” the Company consummated a series of transactions as part of a recapitalization plan in the quarter ended March 31, 2007. The payment of a special dividend is a recapitalization or adjustment event under the Company’s share-based award programs. As such, it was necessary to adjust the number of common shares subject to stock options and SARs outstanding at the time of the dividend, as well as the price at which such awards may be exercised. The adjustments to the outstanding awards resulted in an increase in the number of common shares subject to outstanding stock options and SAR awards in an aggregate amount of 1.1 million common shares. The methodology used to adjust the awards was consistent with Internal Revenue Code (“IRC”) Section 409A and the then proposed regulations promulgated thereunder and IRC Section 424 and the regulations promulgated thereunder, compliance with which was necessary to avoid adverse tax consequences for the holder of an award. Such methodology also resulted in a fair value for the adjusted awards post-dividend equal to that of the</w:t>
      </w:r>
    </w:p>
    <w:p>
      <w:pPr>
        <w:spacing w:after="0" w:line="12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1"/>
          <w:szCs w:val="11"/>
          <w:b w:val="1"/>
          <w:bCs w:val="1"/>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-78105</wp:posOffset>
            </wp:positionV>
            <wp:extent cx="19748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240" w:top="415" w:right="919" w:bottom="1440" w:gutter="0" w:footer="0" w:header="0"/>
        </w:sectPr>
      </w:pPr>
    </w:p>
    <w:bookmarkStart w:id="97" w:name="page98"/>
    <w:bookmarkEnd w:id="97"/>
    <w:p>
      <w:pPr>
        <w:spacing w:after="0"/>
        <w:rPr>
          <w:rFonts w:ascii="Times New Roman" w:cs="Times New Roman" w:eastAsia="Times New Roman" w:hAnsi="Times New Roman"/>
          <w:sz w:val="18"/>
          <w:szCs w:val="18"/>
          <w:b w:val="1"/>
          <w:bCs w:val="1"/>
          <w:u w:val="single" w:color="auto"/>
          <w:color w:val="0000EE"/>
        </w:rPr>
      </w:pPr>
      <w:hyperlink w:anchor="page64">
        <w:r>
          <w:rPr>
            <w:rFonts w:ascii="Times New Roman" w:cs="Times New Roman" w:eastAsia="Times New Roman" w:hAnsi="Times New Roman"/>
            <w:sz w:val="18"/>
            <w:szCs w:val="18"/>
            <w:b w:val="1"/>
            <w:bCs w:val="1"/>
            <w:u w:val="single" w:color="auto"/>
            <w:color w:val="0000EE"/>
          </w:rPr>
          <w:t>Table of Contents</w:t>
        </w:r>
      </w:hyperlink>
    </w:p>
    <w:p>
      <w:pPr>
        <w:spacing w:after="0" w:line="317"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5" w:lineRule="exact"/>
        <w:rPr>
          <w:sz w:val="20"/>
          <w:szCs w:val="20"/>
          <w:color w:val="auto"/>
        </w:rPr>
      </w:pPr>
    </w:p>
    <w:p>
      <w:pPr>
        <w:ind w:left="700" w:right="300"/>
        <w:spacing w:after="0" w:line="276" w:lineRule="auto"/>
        <w:rPr>
          <w:sz w:val="20"/>
          <w:szCs w:val="20"/>
          <w:color w:val="auto"/>
        </w:rPr>
      </w:pPr>
      <w:r>
        <w:rPr>
          <w:rFonts w:ascii="Arial" w:cs="Arial" w:eastAsia="Arial" w:hAnsi="Arial"/>
          <w:sz w:val="18"/>
          <w:szCs w:val="18"/>
          <w:color w:val="auto"/>
        </w:rPr>
        <w:t>unadjusted awards pre-dividend, with the result that there was no additional compensation expense in accordance with the accounting for modifications to awards under SFAS 123(R).</w:t>
      </w:r>
    </w:p>
    <w:p>
      <w:pPr>
        <w:spacing w:after="0" w:line="51" w:lineRule="exact"/>
        <w:rPr>
          <w:sz w:val="20"/>
          <w:szCs w:val="20"/>
          <w:color w:val="auto"/>
        </w:rPr>
      </w:pPr>
    </w:p>
    <w:p>
      <w:pPr>
        <w:ind w:left="700" w:right="360" w:firstLine="402"/>
        <w:spacing w:after="0" w:line="276" w:lineRule="auto"/>
        <w:rPr>
          <w:sz w:val="20"/>
          <w:szCs w:val="20"/>
          <w:color w:val="auto"/>
        </w:rPr>
      </w:pPr>
      <w:r>
        <w:rPr>
          <w:rFonts w:ascii="Arial" w:cs="Arial" w:eastAsia="Arial" w:hAnsi="Arial"/>
          <w:sz w:val="18"/>
          <w:szCs w:val="18"/>
          <w:color w:val="auto"/>
        </w:rPr>
        <w:t>Total share-based compensation and the deferred tax benefit recognized were as follows for the periods indicated (in millions):</w:t>
      </w:r>
    </w:p>
    <w:p>
      <w:pPr>
        <w:spacing w:after="0" w:line="69" w:lineRule="exact"/>
        <w:rPr>
          <w:sz w:val="20"/>
          <w:szCs w:val="20"/>
          <w:color w:val="auto"/>
        </w:rPr>
      </w:pPr>
    </w:p>
    <w:p>
      <w:pPr>
        <w:jc w:val="center"/>
        <w:ind w:left="7660"/>
        <w:spacing w:after="0"/>
        <w:rPr>
          <w:sz w:val="20"/>
          <w:szCs w:val="20"/>
          <w:color w:val="auto"/>
        </w:rPr>
      </w:pPr>
      <w:r>
        <w:rPr>
          <w:rFonts w:ascii="Arial" w:cs="Arial" w:eastAsia="Arial" w:hAnsi="Arial"/>
          <w:sz w:val="16"/>
          <w:szCs w:val="16"/>
          <w:color w:val="auto"/>
        </w:rPr>
        <w:t>Year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14605</wp:posOffset>
            </wp:positionV>
            <wp:extent cx="151765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 w:lineRule="exact"/>
        <w:rPr>
          <w:sz w:val="20"/>
          <w:szCs w:val="20"/>
          <w:color w:val="auto"/>
        </w:rPr>
      </w:pPr>
    </w:p>
    <w:p>
      <w:pPr>
        <w:ind w:left="8440"/>
        <w:spacing w:after="0"/>
        <w:tabs>
          <w:tab w:leader="none" w:pos="9340" w:val="left"/>
          <w:tab w:leader="none" w:pos="10260" w:val="left"/>
        </w:tabs>
        <w:rPr>
          <w:sz w:val="20"/>
          <w:szCs w:val="20"/>
          <w:color w:val="auto"/>
        </w:rPr>
      </w:pPr>
      <w:r>
        <w:rPr>
          <w:rFonts w:ascii="Arial" w:cs="Arial" w:eastAsia="Arial" w:hAnsi="Arial"/>
          <w:sz w:val="16"/>
          <w:szCs w:val="16"/>
          <w:color w:val="auto"/>
        </w:rPr>
        <w:t>2008</w:t>
      </w:r>
      <w:r>
        <w:rPr>
          <w:sz w:val="20"/>
          <w:szCs w:val="20"/>
          <w:color w:val="auto"/>
        </w:rPr>
        <w:tab/>
      </w:r>
      <w:r>
        <w:rPr>
          <w:rFonts w:ascii="Arial" w:cs="Arial" w:eastAsia="Arial" w:hAnsi="Arial"/>
          <w:sz w:val="16"/>
          <w:szCs w:val="16"/>
          <w:color w:val="auto"/>
        </w:rPr>
        <w:t>2007</w:t>
      </w:r>
      <w:r>
        <w:rPr>
          <w:sz w:val="20"/>
          <w:szCs w:val="20"/>
          <w:color w:val="auto"/>
        </w:rPr>
        <w:tab/>
      </w:r>
      <w:r>
        <w:rPr>
          <w:rFonts w:ascii="Arial" w:cs="Arial" w:eastAsia="Arial" w:hAnsi="Arial"/>
          <w:sz w:val="16"/>
          <w:szCs w:val="16"/>
          <w:color w:val="auto"/>
        </w:rPr>
        <w:t>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13335</wp:posOffset>
            </wp:positionV>
            <wp:extent cx="637159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371590" cy="8890"/>
                    </a:xfrm>
                    <a:prstGeom prst="rect">
                      <a:avLst/>
                    </a:prstGeom>
                    <a:noFill/>
                  </pic:spPr>
                </pic:pic>
              </a:graphicData>
            </a:graphic>
          </wp:anchor>
        </w:drawing>
      </w:r>
    </w:p>
    <w:p>
      <w:pPr>
        <w:spacing w:after="0" w:line="27"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492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3420" w:type="dxa"/>
            <w:vAlign w:val="bottom"/>
          </w:tcPr>
          <w:p>
            <w:pPr>
              <w:jc w:val="right"/>
              <w:ind w:right="150"/>
              <w:spacing w:after="0"/>
              <w:rPr>
                <w:sz w:val="20"/>
                <w:szCs w:val="20"/>
                <w:color w:val="auto"/>
              </w:rPr>
            </w:pPr>
            <w:r>
              <w:rPr>
                <w:rFonts w:ascii="Arial" w:cs="Arial" w:eastAsia="Arial" w:hAnsi="Arial"/>
                <w:sz w:val="18"/>
                <w:szCs w:val="18"/>
                <w:color w:val="auto"/>
              </w:rPr>
              <w:t>$12.5</w:t>
            </w: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$15.5</w:t>
            </w:r>
          </w:p>
        </w:tc>
        <w:tc>
          <w:tcPr>
            <w:tcW w:w="68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43"/>
        </w:trPr>
        <w:tc>
          <w:tcPr>
            <w:tcW w:w="4920" w:type="dxa"/>
            <w:vAlign w:val="bottom"/>
          </w:tcPr>
          <w:p>
            <w:pPr>
              <w:spacing w:after="0"/>
              <w:rPr>
                <w:sz w:val="20"/>
                <w:szCs w:val="20"/>
                <w:color w:val="auto"/>
              </w:rPr>
            </w:pPr>
            <w:r>
              <w:rPr>
                <w:rFonts w:ascii="Arial" w:cs="Arial" w:eastAsia="Arial" w:hAnsi="Arial"/>
                <w:sz w:val="18"/>
                <w:szCs w:val="18"/>
                <w:color w:val="auto"/>
              </w:rPr>
              <w:t>Tax benefit recognized</w:t>
            </w:r>
          </w:p>
        </w:tc>
        <w:tc>
          <w:tcPr>
            <w:tcW w:w="3420" w:type="dxa"/>
            <w:vAlign w:val="bottom"/>
          </w:tcPr>
          <w:p>
            <w:pPr>
              <w:jc w:val="right"/>
              <w:ind w:right="150"/>
              <w:spacing w:after="0"/>
              <w:rPr>
                <w:sz w:val="20"/>
                <w:szCs w:val="20"/>
                <w:color w:val="auto"/>
              </w:rPr>
            </w:pPr>
            <w:r>
              <w:rPr>
                <w:rFonts w:ascii="Arial" w:cs="Arial" w:eastAsia="Arial" w:hAnsi="Arial"/>
                <w:sz w:val="18"/>
                <w:szCs w:val="18"/>
                <w:color w:val="auto"/>
              </w:rPr>
              <w:t>4.8</w:t>
            </w: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6.2</w:t>
            </w:r>
          </w:p>
        </w:tc>
        <w:tc>
          <w:tcPr>
            <w:tcW w:w="680" w:type="dxa"/>
            <w:vAlign w:val="bottom"/>
          </w:tcPr>
          <w:p>
            <w:pPr>
              <w:jc w:val="right"/>
              <w:spacing w:after="0"/>
              <w:rPr>
                <w:sz w:val="20"/>
                <w:szCs w:val="20"/>
                <w:color w:val="auto"/>
              </w:rPr>
            </w:pPr>
            <w:r>
              <w:rPr>
                <w:rFonts w:ascii="Arial" w:cs="Arial" w:eastAsia="Arial" w:hAnsi="Arial"/>
                <w:sz w:val="18"/>
                <w:szCs w:val="18"/>
                <w:color w:val="auto"/>
              </w:rPr>
              <w:t>5.9</w:t>
            </w:r>
          </w:p>
        </w:tc>
      </w:tr>
    </w:tbl>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Stock Options/SARs</w:t>
      </w:r>
    </w:p>
    <w:p>
      <w:pPr>
        <w:spacing w:after="0" w:line="119" w:lineRule="exact"/>
        <w:rPr>
          <w:sz w:val="20"/>
          <w:szCs w:val="20"/>
          <w:color w:val="auto"/>
        </w:rPr>
      </w:pPr>
    </w:p>
    <w:p>
      <w:pPr>
        <w:ind w:left="700" w:right="1100" w:firstLine="402"/>
        <w:spacing w:after="0" w:line="276" w:lineRule="auto"/>
        <w:rPr>
          <w:sz w:val="20"/>
          <w:szCs w:val="20"/>
          <w:color w:val="auto"/>
        </w:rPr>
      </w:pPr>
      <w:r>
        <w:rPr>
          <w:rFonts w:ascii="Arial" w:cs="Arial" w:eastAsia="Arial" w:hAnsi="Arial"/>
          <w:sz w:val="18"/>
          <w:szCs w:val="18"/>
          <w:color w:val="auto"/>
        </w:rPr>
        <w:t>Aggregate stock option and SARs activity consisted of the following for the year ended September 30, 2008 (options/SARs in millions):</w:t>
      </w:r>
    </w:p>
    <w:p>
      <w:pPr>
        <w:spacing w:after="0" w:line="69" w:lineRule="exact"/>
        <w:rPr>
          <w:sz w:val="20"/>
          <w:szCs w:val="20"/>
          <w:color w:val="auto"/>
        </w:rPr>
      </w:pPr>
    </w:p>
    <w:tbl>
      <w:tblPr>
        <w:tblLayout w:type="fixed"/>
        <w:tblInd w:w="70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00" w:type="dxa"/>
            <w:vAlign w:val="bottom"/>
          </w:tcPr>
          <w:p>
            <w:pPr>
              <w:jc w:val="center"/>
              <w:ind w:left="54"/>
              <w:spacing w:after="0"/>
              <w:rPr>
                <w:sz w:val="20"/>
                <w:szCs w:val="20"/>
                <w:color w:val="auto"/>
              </w:rPr>
            </w:pPr>
            <w:r>
              <w:rPr>
                <w:rFonts w:ascii="Arial" w:cs="Arial" w:eastAsia="Arial" w:hAnsi="Arial"/>
                <w:sz w:val="16"/>
                <w:szCs w:val="16"/>
                <w:color w:val="auto"/>
                <w:w w:val="97"/>
              </w:rPr>
              <w:t>WTD.</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00" w:type="dxa"/>
            <w:vAlign w:val="bottom"/>
          </w:tcPr>
          <w:p>
            <w:pPr>
              <w:jc w:val="center"/>
              <w:ind w:left="54"/>
              <w:spacing w:after="0"/>
              <w:rPr>
                <w:sz w:val="20"/>
                <w:szCs w:val="20"/>
                <w:color w:val="auto"/>
              </w:rPr>
            </w:pPr>
            <w:r>
              <w:rPr>
                <w:rFonts w:ascii="Arial" w:cs="Arial" w:eastAsia="Arial" w:hAnsi="Arial"/>
                <w:sz w:val="16"/>
                <w:szCs w:val="16"/>
                <w:color w:val="auto"/>
                <w:w w:val="99"/>
              </w:rPr>
              <w:t>Avg.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4380" w:type="dxa"/>
            <w:vAlign w:val="bottom"/>
            <w:gridSpan w:val="3"/>
          </w:tcPr>
          <w:p>
            <w:pPr>
              <w:jc w:val="right"/>
              <w:ind w:right="580"/>
              <w:spacing w:after="0"/>
              <w:rPr>
                <w:sz w:val="20"/>
                <w:szCs w:val="20"/>
                <w:color w:val="auto"/>
              </w:rPr>
            </w:pPr>
            <w:r>
              <w:rPr>
                <w:rFonts w:ascii="Arial" w:cs="Arial" w:eastAsia="Arial" w:hAnsi="Arial"/>
                <w:sz w:val="16"/>
                <w:szCs w:val="16"/>
                <w:color w:val="auto"/>
              </w:rPr>
              <w:t>No. of</w:t>
            </w:r>
          </w:p>
        </w:tc>
        <w:tc>
          <w:tcPr>
            <w:tcW w:w="1100" w:type="dxa"/>
            <w:vAlign w:val="bottom"/>
          </w:tcPr>
          <w:p>
            <w:pPr>
              <w:ind w:left="300"/>
              <w:spacing w:after="0"/>
              <w:rPr>
                <w:sz w:val="20"/>
                <w:szCs w:val="20"/>
                <w:color w:val="auto"/>
              </w:rPr>
            </w:pPr>
            <w:r>
              <w:rPr>
                <w:rFonts w:ascii="Arial" w:cs="Arial" w:eastAsia="Arial" w:hAnsi="Arial"/>
                <w:sz w:val="16"/>
                <w:szCs w:val="16"/>
                <w:color w:val="auto"/>
              </w:rPr>
              <w:t>Exercise</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540" w:type="dxa"/>
            <w:vAlign w:val="bottom"/>
            <w:tcBorders>
              <w:bottom w:val="single" w:sz="8" w:color="auto"/>
            </w:tcBorders>
          </w:tcPr>
          <w:p>
            <w:pPr>
              <w:spacing w:after="0"/>
              <w:rPr>
                <w:sz w:val="19"/>
                <w:szCs w:val="19"/>
                <w:color w:val="auto"/>
              </w:rPr>
            </w:pPr>
          </w:p>
        </w:tc>
        <w:tc>
          <w:tcPr>
            <w:tcW w:w="438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6"/>
                <w:szCs w:val="16"/>
                <w:color w:val="auto"/>
              </w:rPr>
              <w:t>Options/SARs</w:t>
            </w:r>
          </w:p>
        </w:tc>
        <w:tc>
          <w:tcPr>
            <w:tcW w:w="1100" w:type="dxa"/>
            <w:vAlign w:val="bottom"/>
            <w:tcBorders>
              <w:bottom w:val="single" w:sz="8" w:color="auto"/>
            </w:tcBorders>
          </w:tcPr>
          <w:p>
            <w:pPr>
              <w:jc w:val="center"/>
              <w:ind w:left="54"/>
              <w:spacing w:after="0"/>
              <w:rPr>
                <w:sz w:val="20"/>
                <w:szCs w:val="20"/>
                <w:color w:val="auto"/>
              </w:rPr>
            </w:pPr>
            <w:r>
              <w:rPr>
                <w:rFonts w:ascii="Arial" w:cs="Arial" w:eastAsia="Arial" w:hAnsi="Arial"/>
                <w:sz w:val="16"/>
                <w:szCs w:val="16"/>
                <w:color w:val="auto"/>
                <w:w w:val="98"/>
              </w:rPr>
              <w:t>Price</w:t>
            </w:r>
          </w:p>
        </w:tc>
        <w:tc>
          <w:tcPr>
            <w:tcW w:w="0" w:type="dxa"/>
            <w:vAlign w:val="bottom"/>
          </w:tcPr>
          <w:p>
            <w:pPr>
              <w:spacing w:after="0"/>
              <w:rPr>
                <w:sz w:val="1"/>
                <w:szCs w:val="1"/>
                <w:color w:val="auto"/>
              </w:rPr>
            </w:pPr>
          </w:p>
        </w:tc>
      </w:tr>
      <w:tr>
        <w:trPr>
          <w:trHeight w:val="35"/>
        </w:trPr>
        <w:tc>
          <w:tcPr>
            <w:tcW w:w="20" w:type="dxa"/>
            <w:vAlign w:val="bottom"/>
            <w:vMerge w:val="restart"/>
          </w:tcPr>
          <w:p>
            <w:pPr>
              <w:spacing w:after="0"/>
              <w:rPr>
                <w:sz w:val="3"/>
                <w:szCs w:val="3"/>
                <w:color w:val="auto"/>
              </w:rPr>
            </w:pPr>
          </w:p>
        </w:tc>
        <w:tc>
          <w:tcPr>
            <w:tcW w:w="4540" w:type="dxa"/>
            <w:vAlign w:val="bottom"/>
          </w:tcPr>
          <w:p>
            <w:pPr>
              <w:spacing w:after="0"/>
              <w:rPr>
                <w:sz w:val="3"/>
                <w:szCs w:val="3"/>
                <w:color w:val="auto"/>
              </w:rPr>
            </w:pPr>
          </w:p>
        </w:tc>
        <w:tc>
          <w:tcPr>
            <w:tcW w:w="3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Beginning balance</w:t>
            </w:r>
          </w:p>
        </w:tc>
        <w:tc>
          <w:tcPr>
            <w:tcW w:w="3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5.8</w:t>
            </w:r>
          </w:p>
        </w:tc>
        <w:tc>
          <w:tcPr>
            <w:tcW w:w="640" w:type="dxa"/>
            <w:vAlign w:val="bottom"/>
            <w:shd w:val="clear" w:color="auto" w:fill="CCEEFF"/>
          </w:tcPr>
          <w:p>
            <w:pPr>
              <w:spacing w:after="0"/>
              <w:rPr>
                <w:sz w:val="17"/>
                <w:szCs w:val="17"/>
                <w:color w:val="auto"/>
              </w:rPr>
            </w:pPr>
          </w:p>
        </w:tc>
        <w:tc>
          <w:tcPr>
            <w:tcW w:w="110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$26.63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3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0.9</w:t>
            </w:r>
          </w:p>
        </w:tc>
        <w:tc>
          <w:tcPr>
            <w:tcW w:w="640" w:type="dxa"/>
            <w:vAlign w:val="bottom"/>
          </w:tcPr>
          <w:p>
            <w:pPr>
              <w:spacing w:after="0"/>
              <w:rPr>
                <w:sz w:val="17"/>
                <w:szCs w:val="17"/>
                <w:color w:val="auto"/>
              </w:rPr>
            </w:pPr>
          </w:p>
        </w:tc>
        <w:tc>
          <w:tcPr>
            <w:tcW w:w="1100" w:type="dxa"/>
            <w:vAlign w:val="bottom"/>
          </w:tcPr>
          <w:p>
            <w:pPr>
              <w:ind w:left="280"/>
              <w:spacing w:after="0" w:line="202" w:lineRule="exact"/>
              <w:rPr>
                <w:sz w:val="20"/>
                <w:szCs w:val="20"/>
                <w:color w:val="auto"/>
              </w:rPr>
            </w:pPr>
            <w:r>
              <w:rPr>
                <w:rFonts w:ascii="Arial" w:cs="Arial" w:eastAsia="Arial" w:hAnsi="Arial"/>
                <w:sz w:val="18"/>
                <w:szCs w:val="18"/>
                <w:color w:val="auto"/>
              </w:rPr>
              <w:t>$38.63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Exercised</w:t>
            </w:r>
          </w:p>
        </w:tc>
        <w:tc>
          <w:tcPr>
            <w:tcW w:w="4380" w:type="dxa"/>
            <w:vAlign w:val="bottom"/>
            <w:gridSpan w:val="3"/>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(0.6)</w:t>
            </w:r>
          </w:p>
        </w:tc>
        <w:tc>
          <w:tcPr>
            <w:tcW w:w="110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$17.24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Pr>
          <w:p>
            <w:pPr>
              <w:spacing w:after="0" w:line="202" w:lineRule="exact"/>
              <w:rPr>
                <w:sz w:val="20"/>
                <w:szCs w:val="20"/>
                <w:color w:val="auto"/>
              </w:rPr>
            </w:pPr>
            <w:r>
              <w:rPr>
                <w:rFonts w:ascii="Arial" w:cs="Arial" w:eastAsia="Arial" w:hAnsi="Arial"/>
                <w:sz w:val="18"/>
                <w:szCs w:val="18"/>
                <w:color w:val="auto"/>
              </w:rPr>
              <w:t>Forfeited</w:t>
            </w:r>
          </w:p>
        </w:tc>
        <w:tc>
          <w:tcPr>
            <w:tcW w:w="4380" w:type="dxa"/>
            <w:vAlign w:val="bottom"/>
            <w:gridSpan w:val="3"/>
          </w:tcPr>
          <w:p>
            <w:pPr>
              <w:jc w:val="right"/>
              <w:ind w:right="580"/>
              <w:spacing w:after="0" w:line="202" w:lineRule="exact"/>
              <w:rPr>
                <w:sz w:val="20"/>
                <w:szCs w:val="20"/>
                <w:color w:val="auto"/>
              </w:rPr>
            </w:pPr>
            <w:r>
              <w:rPr>
                <w:rFonts w:ascii="Arial" w:cs="Arial" w:eastAsia="Arial" w:hAnsi="Arial"/>
                <w:sz w:val="18"/>
                <w:szCs w:val="18"/>
                <w:color w:val="auto"/>
              </w:rPr>
              <w:t>(0.3)</w:t>
            </w:r>
          </w:p>
        </w:tc>
        <w:tc>
          <w:tcPr>
            <w:tcW w:w="1100" w:type="dxa"/>
            <w:vAlign w:val="bottom"/>
          </w:tcPr>
          <w:p>
            <w:pPr>
              <w:ind w:left="280"/>
              <w:spacing w:after="0" w:line="202" w:lineRule="exact"/>
              <w:rPr>
                <w:sz w:val="20"/>
                <w:szCs w:val="20"/>
                <w:color w:val="auto"/>
              </w:rPr>
            </w:pPr>
            <w:r>
              <w:rPr>
                <w:rFonts w:ascii="Arial" w:cs="Arial" w:eastAsia="Arial" w:hAnsi="Arial"/>
                <w:sz w:val="18"/>
                <w:szCs w:val="18"/>
                <w:color w:val="auto"/>
              </w:rPr>
              <w:t>$37.32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Ending balance</w:t>
            </w:r>
          </w:p>
        </w:tc>
        <w:tc>
          <w:tcPr>
            <w:tcW w:w="3440" w:type="dxa"/>
            <w:vAlign w:val="bottom"/>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5.8</w:t>
            </w:r>
          </w:p>
        </w:tc>
        <w:tc>
          <w:tcPr>
            <w:tcW w:w="640" w:type="dxa"/>
            <w:vAlign w:val="bottom"/>
            <w:shd w:val="clear" w:color="auto" w:fill="CCEEFF"/>
          </w:tcPr>
          <w:p>
            <w:pPr>
              <w:spacing w:after="0"/>
              <w:rPr>
                <w:sz w:val="17"/>
                <w:szCs w:val="17"/>
                <w:color w:val="auto"/>
              </w:rPr>
            </w:pPr>
          </w:p>
        </w:tc>
        <w:tc>
          <w:tcPr>
            <w:tcW w:w="110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$29.01</w:t>
            </w:r>
          </w:p>
        </w:tc>
        <w:tc>
          <w:tcPr>
            <w:tcW w:w="0" w:type="dxa"/>
            <w:vAlign w:val="bottom"/>
          </w:tcPr>
          <w:p>
            <w:pPr>
              <w:spacing w:after="0"/>
              <w:rPr>
                <w:sz w:val="1"/>
                <w:szCs w:val="1"/>
                <w:color w:val="auto"/>
              </w:rPr>
            </w:pPr>
          </w:p>
        </w:tc>
      </w:tr>
      <w:tr>
        <w:trPr>
          <w:trHeight w:val="20"/>
        </w:trPr>
        <w:tc>
          <w:tcPr>
            <w:tcW w:w="4560" w:type="dxa"/>
            <w:vAlign w:val="bottom"/>
            <w:gridSpan w:val="2"/>
            <w:vMerge w:val="restart"/>
          </w:tcPr>
          <w:p>
            <w:pPr>
              <w:spacing w:after="0"/>
              <w:rPr>
                <w:sz w:val="20"/>
                <w:szCs w:val="20"/>
                <w:color w:val="auto"/>
              </w:rPr>
            </w:pPr>
            <w:r>
              <w:rPr>
                <w:rFonts w:ascii="Arial" w:cs="Arial" w:eastAsia="Arial" w:hAnsi="Arial"/>
                <w:sz w:val="18"/>
                <w:szCs w:val="18"/>
                <w:color w:val="auto"/>
              </w:rPr>
              <w:t>Exercisable</w:t>
            </w:r>
          </w:p>
        </w:tc>
        <w:tc>
          <w:tcPr>
            <w:tcW w:w="37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00" w:type="dxa"/>
            <w:vAlign w:val="bottom"/>
            <w:vMerge w:val="restart"/>
          </w:tcPr>
          <w:p>
            <w:pPr>
              <w:ind w:left="280"/>
              <w:spacing w:after="0"/>
              <w:rPr>
                <w:sz w:val="20"/>
                <w:szCs w:val="20"/>
                <w:color w:val="auto"/>
              </w:rPr>
            </w:pPr>
            <w:r>
              <w:rPr>
                <w:rFonts w:ascii="Arial" w:cs="Arial" w:eastAsia="Arial" w:hAnsi="Arial"/>
                <w:sz w:val="18"/>
                <w:szCs w:val="18"/>
                <w:color w:val="auto"/>
              </w:rPr>
              <w:t>$23.41</w:t>
            </w:r>
          </w:p>
        </w:tc>
        <w:tc>
          <w:tcPr>
            <w:tcW w:w="0" w:type="dxa"/>
            <w:vAlign w:val="bottom"/>
          </w:tcPr>
          <w:p>
            <w:pPr>
              <w:spacing w:after="0" w:line="20" w:lineRule="exact"/>
              <w:rPr>
                <w:sz w:val="1"/>
                <w:szCs w:val="1"/>
                <w:color w:val="auto"/>
              </w:rPr>
            </w:pPr>
          </w:p>
        </w:tc>
      </w:tr>
      <w:tr>
        <w:trPr>
          <w:trHeight w:val="223"/>
        </w:trPr>
        <w:tc>
          <w:tcPr>
            <w:tcW w:w="4560" w:type="dxa"/>
            <w:vAlign w:val="bottom"/>
            <w:gridSpan w:val="2"/>
            <w:vMerge w:val="continue"/>
          </w:tcPr>
          <w:p>
            <w:pPr>
              <w:spacing w:after="0"/>
              <w:rPr>
                <w:sz w:val="19"/>
                <w:szCs w:val="19"/>
                <w:color w:val="auto"/>
              </w:rPr>
            </w:pPr>
          </w:p>
        </w:tc>
        <w:tc>
          <w:tcPr>
            <w:tcW w:w="3440" w:type="dxa"/>
            <w:vAlign w:val="bottom"/>
          </w:tcPr>
          <w:p>
            <w:pPr>
              <w:spacing w:after="0"/>
              <w:rPr>
                <w:sz w:val="19"/>
                <w:szCs w:val="19"/>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6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following summarizes certain information pertaining to stock option and SAR awards outstanding and exercisable at</w:t>
      </w:r>
    </w:p>
    <w:p>
      <w:pPr>
        <w:spacing w:after="0" w:line="1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September 30, 2008 (options/SARs in millions):</w:t>
      </w:r>
    </w:p>
    <w:p>
      <w:pPr>
        <w:spacing w:after="0" w:line="113"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5"/>
          </w:tcPr>
          <w:p>
            <w:pPr>
              <w:jc w:val="right"/>
              <w:ind w:right="14"/>
              <w:spacing w:after="0"/>
              <w:rPr>
                <w:sz w:val="20"/>
                <w:szCs w:val="20"/>
                <w:color w:val="auto"/>
              </w:rPr>
            </w:pPr>
            <w:r>
              <w:rPr>
                <w:rFonts w:ascii="Arial" w:cs="Arial" w:eastAsia="Arial" w:hAnsi="Arial"/>
                <w:sz w:val="16"/>
                <w:szCs w:val="16"/>
                <w:color w:val="auto"/>
              </w:rPr>
              <w:t>Awards Outstanding</w:t>
            </w:r>
          </w:p>
        </w:tc>
        <w:tc>
          <w:tcPr>
            <w:tcW w:w="6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4"/>
          </w:tcPr>
          <w:p>
            <w:pPr>
              <w:ind w:left="140"/>
              <w:spacing w:after="0"/>
              <w:rPr>
                <w:sz w:val="20"/>
                <w:szCs w:val="20"/>
                <w:color w:val="auto"/>
              </w:rPr>
            </w:pPr>
            <w:r>
              <w:rPr>
                <w:rFonts w:ascii="Arial" w:cs="Arial" w:eastAsia="Arial" w:hAnsi="Arial"/>
                <w:sz w:val="16"/>
                <w:szCs w:val="16"/>
                <w:color w:val="auto"/>
              </w:rPr>
              <w:t>Awards Exercisable</w:t>
            </w:r>
          </w:p>
        </w:tc>
        <w:tc>
          <w:tcPr>
            <w:tcW w:w="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gridSpan w:val="3"/>
          </w:tcPr>
          <w:p>
            <w:pPr>
              <w:jc w:val="center"/>
              <w:ind w:right="80"/>
              <w:spacing w:after="0" w:line="165" w:lineRule="exact"/>
              <w:rPr>
                <w:sz w:val="20"/>
                <w:szCs w:val="20"/>
                <w:color w:val="auto"/>
              </w:rPr>
            </w:pPr>
            <w:r>
              <w:rPr>
                <w:rFonts w:ascii="Arial" w:cs="Arial" w:eastAsia="Arial" w:hAnsi="Arial"/>
                <w:sz w:val="16"/>
                <w:szCs w:val="16"/>
                <w:color w:val="auto"/>
                <w:w w:val="98"/>
              </w:rPr>
              <w:t>No. of</w:t>
            </w:r>
          </w:p>
        </w:tc>
        <w:tc>
          <w:tcPr>
            <w:tcW w:w="1280" w:type="dxa"/>
            <w:vAlign w:val="bottom"/>
            <w:gridSpan w:val="3"/>
          </w:tcPr>
          <w:p>
            <w:pPr>
              <w:jc w:val="right"/>
              <w:ind w:right="200"/>
              <w:spacing w:after="0" w:line="165" w:lineRule="exact"/>
              <w:rPr>
                <w:sz w:val="20"/>
                <w:szCs w:val="20"/>
                <w:color w:val="auto"/>
              </w:rPr>
            </w:pPr>
            <w:r>
              <w:rPr>
                <w:rFonts w:ascii="Arial" w:cs="Arial" w:eastAsia="Arial" w:hAnsi="Arial"/>
                <w:sz w:val="16"/>
                <w:szCs w:val="16"/>
                <w:color w:val="auto"/>
              </w:rPr>
              <w:t>WTD. Avg.</w:t>
            </w:r>
          </w:p>
        </w:tc>
        <w:tc>
          <w:tcPr>
            <w:tcW w:w="960" w:type="dxa"/>
            <w:vAlign w:val="bottom"/>
            <w:gridSpan w:val="3"/>
          </w:tcPr>
          <w:p>
            <w:pPr>
              <w:jc w:val="right"/>
              <w:spacing w:after="0" w:line="165" w:lineRule="exact"/>
              <w:rPr>
                <w:sz w:val="20"/>
                <w:szCs w:val="20"/>
                <w:color w:val="auto"/>
              </w:rPr>
            </w:pPr>
            <w:r>
              <w:rPr>
                <w:rFonts w:ascii="Arial" w:cs="Arial" w:eastAsia="Arial" w:hAnsi="Arial"/>
                <w:sz w:val="16"/>
                <w:szCs w:val="16"/>
                <w:color w:val="auto"/>
              </w:rPr>
              <w:t>WTD. Avg.</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tcPr>
          <w:p>
            <w:pPr>
              <w:jc w:val="right"/>
              <w:ind w:right="240"/>
              <w:spacing w:after="0" w:line="165" w:lineRule="exact"/>
              <w:rPr>
                <w:sz w:val="20"/>
                <w:szCs w:val="20"/>
                <w:color w:val="auto"/>
              </w:rPr>
            </w:pPr>
            <w:r>
              <w:rPr>
                <w:rFonts w:ascii="Arial" w:cs="Arial" w:eastAsia="Arial" w:hAnsi="Arial"/>
                <w:sz w:val="16"/>
                <w:szCs w:val="16"/>
                <w:color w:val="auto"/>
              </w:rPr>
              <w:t>No. of</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gridSpan w:val="2"/>
          </w:tcPr>
          <w:p>
            <w:pPr>
              <w:jc w:val="center"/>
              <w:spacing w:after="0" w:line="165" w:lineRule="exact"/>
              <w:rPr>
                <w:sz w:val="20"/>
                <w:szCs w:val="20"/>
                <w:color w:val="auto"/>
              </w:rPr>
            </w:pPr>
            <w:r>
              <w:rPr>
                <w:rFonts w:ascii="Arial" w:cs="Arial" w:eastAsia="Arial" w:hAnsi="Arial"/>
                <w:sz w:val="16"/>
                <w:szCs w:val="16"/>
                <w:color w:val="auto"/>
              </w:rPr>
              <w:t>WTD. Avg.</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420" w:type="dxa"/>
            <w:vAlign w:val="bottom"/>
            <w:gridSpan w:val="2"/>
          </w:tcPr>
          <w:p>
            <w:pPr>
              <w:spacing w:after="0"/>
              <w:rPr>
                <w:sz w:val="20"/>
                <w:szCs w:val="20"/>
                <w:color w:val="auto"/>
              </w:rPr>
            </w:pPr>
            <w:r>
              <w:rPr>
                <w:rFonts w:ascii="Arial" w:cs="Arial" w:eastAsia="Arial" w:hAnsi="Arial"/>
                <w:sz w:val="16"/>
                <w:szCs w:val="16"/>
                <w:color w:val="auto"/>
              </w:rPr>
              <w:t>Range of</w:t>
            </w:r>
          </w:p>
        </w:tc>
        <w:tc>
          <w:tcPr>
            <w:tcW w:w="1700" w:type="dxa"/>
            <w:vAlign w:val="bottom"/>
            <w:gridSpan w:val="4"/>
          </w:tcPr>
          <w:p>
            <w:pPr>
              <w:jc w:val="center"/>
              <w:ind w:left="891"/>
              <w:spacing w:after="0"/>
              <w:rPr>
                <w:sz w:val="20"/>
                <w:szCs w:val="20"/>
                <w:color w:val="auto"/>
              </w:rPr>
            </w:pPr>
            <w:r>
              <w:rPr>
                <w:rFonts w:ascii="Arial" w:cs="Arial" w:eastAsia="Arial" w:hAnsi="Arial"/>
                <w:sz w:val="16"/>
                <w:szCs w:val="16"/>
                <w:color w:val="auto"/>
              </w:rPr>
              <w:t>Options/</w:t>
            </w:r>
          </w:p>
        </w:tc>
        <w:tc>
          <w:tcPr>
            <w:tcW w:w="1280" w:type="dxa"/>
            <w:vAlign w:val="bottom"/>
            <w:gridSpan w:val="3"/>
          </w:tcPr>
          <w:p>
            <w:pPr>
              <w:jc w:val="right"/>
              <w:ind w:right="200"/>
              <w:spacing w:after="0"/>
              <w:rPr>
                <w:sz w:val="20"/>
                <w:szCs w:val="20"/>
                <w:color w:val="auto"/>
              </w:rPr>
            </w:pPr>
            <w:r>
              <w:rPr>
                <w:rFonts w:ascii="Arial" w:cs="Arial" w:eastAsia="Arial" w:hAnsi="Arial"/>
                <w:sz w:val="16"/>
                <w:szCs w:val="16"/>
                <w:color w:val="auto"/>
              </w:rPr>
              <w:t>Remaining</w:t>
            </w:r>
          </w:p>
        </w:tc>
        <w:tc>
          <w:tcPr>
            <w:tcW w:w="180" w:type="dxa"/>
            <w:vAlign w:val="bottom"/>
          </w:tcPr>
          <w:p>
            <w:pPr>
              <w:spacing w:after="0"/>
              <w:rPr>
                <w:sz w:val="16"/>
                <w:szCs w:val="16"/>
                <w:color w:val="auto"/>
              </w:rPr>
            </w:pPr>
          </w:p>
        </w:tc>
        <w:tc>
          <w:tcPr>
            <w:tcW w:w="980" w:type="dxa"/>
            <w:vAlign w:val="bottom"/>
            <w:gridSpan w:val="3"/>
          </w:tcPr>
          <w:p>
            <w:pPr>
              <w:jc w:val="center"/>
              <w:ind w:right="200"/>
              <w:spacing w:after="0"/>
              <w:rPr>
                <w:sz w:val="20"/>
                <w:szCs w:val="20"/>
                <w:color w:val="auto"/>
              </w:rPr>
            </w:pPr>
            <w:r>
              <w:rPr>
                <w:rFonts w:ascii="Arial" w:cs="Arial" w:eastAsia="Arial" w:hAnsi="Arial"/>
                <w:sz w:val="16"/>
                <w:szCs w:val="16"/>
                <w:color w:val="auto"/>
              </w:rPr>
              <w:t>Exercise</w:t>
            </w:r>
          </w:p>
        </w:tc>
        <w:tc>
          <w:tcPr>
            <w:tcW w:w="940" w:type="dxa"/>
            <w:vAlign w:val="bottom"/>
            <w:gridSpan w:val="3"/>
          </w:tcPr>
          <w:p>
            <w:pPr>
              <w:jc w:val="right"/>
              <w:ind w:right="140"/>
              <w:spacing w:after="0"/>
              <w:rPr>
                <w:sz w:val="20"/>
                <w:szCs w:val="20"/>
                <w:color w:val="auto"/>
              </w:rPr>
            </w:pPr>
            <w:r>
              <w:rPr>
                <w:rFonts w:ascii="Arial" w:cs="Arial" w:eastAsia="Arial" w:hAnsi="Arial"/>
                <w:sz w:val="16"/>
                <w:szCs w:val="16"/>
                <w:color w:val="auto"/>
              </w:rPr>
              <w:t>Options/</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gridSpan w:val="3"/>
          </w:tcPr>
          <w:p>
            <w:pPr>
              <w:jc w:val="center"/>
              <w:ind w:right="40"/>
              <w:spacing w:after="0"/>
              <w:rPr>
                <w:sz w:val="20"/>
                <w:szCs w:val="20"/>
                <w:color w:val="auto"/>
              </w:rPr>
            </w:pPr>
            <w:r>
              <w:rPr>
                <w:rFonts w:ascii="Arial" w:cs="Arial" w:eastAsia="Arial" w:hAnsi="Arial"/>
                <w:sz w:val="16"/>
                <w:szCs w:val="16"/>
                <w:color w:val="auto"/>
              </w:rPr>
              <w:t>Remaining</w:t>
            </w:r>
          </w:p>
        </w:tc>
        <w:tc>
          <w:tcPr>
            <w:tcW w:w="0" w:type="dxa"/>
            <w:vAlign w:val="bottom"/>
          </w:tcPr>
          <w:p>
            <w:pPr>
              <w:spacing w:after="0"/>
              <w:rPr>
                <w:sz w:val="1"/>
                <w:szCs w:val="1"/>
                <w:color w:val="auto"/>
              </w:rPr>
            </w:pPr>
          </w:p>
        </w:tc>
      </w:tr>
      <w:tr>
        <w:trPr>
          <w:trHeight w:val="219"/>
        </w:trPr>
        <w:tc>
          <w:tcPr>
            <w:tcW w:w="2420" w:type="dxa"/>
            <w:vAlign w:val="bottom"/>
            <w:gridSpan w:val="2"/>
          </w:tcPr>
          <w:p>
            <w:pPr>
              <w:spacing w:after="0"/>
              <w:rPr>
                <w:sz w:val="20"/>
                <w:szCs w:val="20"/>
                <w:color w:val="auto"/>
              </w:rPr>
            </w:pPr>
            <w:r>
              <w:rPr>
                <w:rFonts w:ascii="Arial" w:cs="Arial" w:eastAsia="Arial" w:hAnsi="Arial"/>
                <w:sz w:val="16"/>
                <w:szCs w:val="16"/>
                <w:color w:val="auto"/>
              </w:rPr>
              <w:t>Exercise Price</w:t>
            </w:r>
          </w:p>
        </w:tc>
        <w:tc>
          <w:tcPr>
            <w:tcW w:w="1040" w:type="dxa"/>
            <w:vAlign w:val="bottom"/>
          </w:tcPr>
          <w:p>
            <w:pPr>
              <w:spacing w:after="0"/>
              <w:rPr>
                <w:sz w:val="19"/>
                <w:szCs w:val="19"/>
                <w:color w:val="auto"/>
              </w:rPr>
            </w:pPr>
          </w:p>
        </w:tc>
        <w:tc>
          <w:tcPr>
            <w:tcW w:w="660" w:type="dxa"/>
            <w:vAlign w:val="bottom"/>
            <w:gridSpan w:val="3"/>
          </w:tcPr>
          <w:p>
            <w:pPr>
              <w:jc w:val="center"/>
              <w:ind w:right="80"/>
              <w:spacing w:after="0"/>
              <w:rPr>
                <w:sz w:val="20"/>
                <w:szCs w:val="20"/>
                <w:color w:val="auto"/>
              </w:rPr>
            </w:pPr>
            <w:r>
              <w:rPr>
                <w:rFonts w:ascii="Arial" w:cs="Arial" w:eastAsia="Arial" w:hAnsi="Arial"/>
                <w:sz w:val="16"/>
                <w:szCs w:val="16"/>
                <w:color w:val="auto"/>
              </w:rPr>
              <w:t>SARs</w:t>
            </w:r>
          </w:p>
        </w:tc>
        <w:tc>
          <w:tcPr>
            <w:tcW w:w="300" w:type="dxa"/>
            <w:vAlign w:val="bottom"/>
          </w:tcPr>
          <w:p>
            <w:pPr>
              <w:spacing w:after="0"/>
              <w:rPr>
                <w:sz w:val="19"/>
                <w:szCs w:val="19"/>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6"/>
                <w:szCs w:val="16"/>
                <w:color w:val="auto"/>
              </w:rPr>
              <w:t>Life</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center"/>
              <w:ind w:right="360"/>
              <w:spacing w:after="0"/>
              <w:rPr>
                <w:sz w:val="20"/>
                <w:szCs w:val="20"/>
                <w:color w:val="auto"/>
              </w:rPr>
            </w:pPr>
            <w:r>
              <w:rPr>
                <w:rFonts w:ascii="Arial" w:cs="Arial" w:eastAsia="Arial" w:hAnsi="Arial"/>
                <w:sz w:val="16"/>
                <w:szCs w:val="16"/>
                <w:color w:val="auto"/>
              </w:rPr>
              <w:t>Price</w:t>
            </w:r>
          </w:p>
        </w:tc>
        <w:tc>
          <w:tcPr>
            <w:tcW w:w="180" w:type="dxa"/>
            <w:vAlign w:val="bottom"/>
          </w:tcPr>
          <w:p>
            <w:pPr>
              <w:spacing w:after="0"/>
              <w:rPr>
                <w:sz w:val="19"/>
                <w:szCs w:val="19"/>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SARS</w:t>
            </w:r>
          </w:p>
        </w:tc>
        <w:tc>
          <w:tcPr>
            <w:tcW w:w="240" w:type="dxa"/>
            <w:vAlign w:val="bottom"/>
          </w:tcPr>
          <w:p>
            <w:pPr>
              <w:spacing w:after="0"/>
              <w:rPr>
                <w:sz w:val="19"/>
                <w:szCs w:val="19"/>
                <w:color w:val="auto"/>
              </w:rPr>
            </w:pPr>
          </w:p>
        </w:tc>
        <w:tc>
          <w:tcPr>
            <w:tcW w:w="1360" w:type="dxa"/>
            <w:vAlign w:val="bottom"/>
            <w:gridSpan w:val="3"/>
          </w:tcPr>
          <w:p>
            <w:pPr>
              <w:spacing w:after="0"/>
              <w:rPr>
                <w:sz w:val="20"/>
                <w:szCs w:val="20"/>
                <w:color w:val="auto"/>
              </w:rPr>
            </w:pPr>
            <w:r>
              <w:rPr>
                <w:rFonts w:ascii="Arial" w:cs="Arial" w:eastAsia="Arial" w:hAnsi="Arial"/>
                <w:sz w:val="16"/>
                <w:szCs w:val="16"/>
                <w:color w:val="auto"/>
              </w:rPr>
              <w:t>Exercise Price</w:t>
            </w:r>
          </w:p>
        </w:tc>
        <w:tc>
          <w:tcPr>
            <w:tcW w:w="60" w:type="dxa"/>
            <w:vAlign w:val="bottom"/>
          </w:tcPr>
          <w:p>
            <w:pPr>
              <w:spacing w:after="0"/>
              <w:rPr>
                <w:sz w:val="19"/>
                <w:szCs w:val="19"/>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6"/>
                <w:szCs w:val="16"/>
                <w:color w:val="auto"/>
              </w:rPr>
              <w:t>Life</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2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2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$11.14 — $14.95</w:t>
            </w:r>
          </w:p>
        </w:tc>
        <w:tc>
          <w:tcPr>
            <w:tcW w:w="164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0.4</w:t>
            </w:r>
          </w:p>
        </w:tc>
        <w:tc>
          <w:tcPr>
            <w:tcW w:w="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1.41</w:t>
            </w:r>
          </w:p>
        </w:tc>
        <w:tc>
          <w:tcPr>
            <w:tcW w:w="2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13.69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0.4</w:t>
            </w:r>
          </w:p>
        </w:tc>
        <w:tc>
          <w:tcPr>
            <w:tcW w:w="1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13.69</w:t>
            </w:r>
          </w:p>
        </w:tc>
        <w:tc>
          <w:tcPr>
            <w:tcW w:w="3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0" w:type="dxa"/>
            <w:vAlign w:val="bottom"/>
          </w:tcPr>
          <w:p>
            <w:pPr>
              <w:spacing w:after="0" w:line="202" w:lineRule="exact"/>
              <w:rPr>
                <w:sz w:val="20"/>
                <w:szCs w:val="20"/>
                <w:color w:val="auto"/>
              </w:rPr>
            </w:pPr>
            <w:r>
              <w:rPr>
                <w:rFonts w:ascii="Arial" w:cs="Arial" w:eastAsia="Arial" w:hAnsi="Arial"/>
                <w:sz w:val="18"/>
                <w:szCs w:val="18"/>
                <w:color w:val="auto"/>
              </w:rPr>
              <w:t>$15.03 — $19.82</w:t>
            </w:r>
          </w:p>
        </w:tc>
        <w:tc>
          <w:tcPr>
            <w:tcW w:w="164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0.8</w:t>
            </w:r>
          </w:p>
        </w:tc>
        <w:tc>
          <w:tcPr>
            <w:tcW w:w="60" w:type="dxa"/>
            <w:vAlign w:val="bottom"/>
          </w:tcPr>
          <w:p>
            <w:pPr>
              <w:spacing w:after="0"/>
              <w:rPr>
                <w:sz w:val="17"/>
                <w:szCs w:val="17"/>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2.57</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16.79</w:t>
            </w:r>
          </w:p>
        </w:tc>
        <w:tc>
          <w:tcPr>
            <w:tcW w:w="200" w:type="dxa"/>
            <w:vAlign w:val="bottom"/>
          </w:tcPr>
          <w:p>
            <w:pPr>
              <w:spacing w:after="0"/>
              <w:rPr>
                <w:sz w:val="17"/>
                <w:szCs w:val="17"/>
                <w:color w:val="auto"/>
              </w:rPr>
            </w:pP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0.8</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16.79</w:t>
            </w:r>
          </w:p>
        </w:tc>
        <w:tc>
          <w:tcPr>
            <w:tcW w:w="320" w:type="dxa"/>
            <w:vAlign w:val="bottom"/>
          </w:tcPr>
          <w:p>
            <w:pPr>
              <w:spacing w:after="0"/>
              <w:rPr>
                <w:sz w:val="17"/>
                <w:szCs w:val="17"/>
                <w:color w:val="auto"/>
              </w:rPr>
            </w:pP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$20.12 — $28.97</w:t>
            </w:r>
          </w:p>
        </w:tc>
        <w:tc>
          <w:tcPr>
            <w:tcW w:w="164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4.91</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23.63</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23.63</w:t>
            </w:r>
          </w:p>
        </w:tc>
        <w:tc>
          <w:tcPr>
            <w:tcW w:w="3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4.91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0" w:type="dxa"/>
            <w:vAlign w:val="bottom"/>
          </w:tcPr>
          <w:p>
            <w:pPr>
              <w:spacing w:after="0" w:line="202" w:lineRule="exact"/>
              <w:rPr>
                <w:sz w:val="20"/>
                <w:szCs w:val="20"/>
                <w:color w:val="auto"/>
              </w:rPr>
            </w:pPr>
            <w:r>
              <w:rPr>
                <w:rFonts w:ascii="Arial" w:cs="Arial" w:eastAsia="Arial" w:hAnsi="Arial"/>
                <w:sz w:val="18"/>
                <w:szCs w:val="18"/>
                <w:color w:val="auto"/>
              </w:rPr>
              <w:t>$29.01 — $31.62</w:t>
            </w:r>
          </w:p>
        </w:tc>
        <w:tc>
          <w:tcPr>
            <w:tcW w:w="164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0.6</w:t>
            </w:r>
          </w:p>
        </w:tc>
        <w:tc>
          <w:tcPr>
            <w:tcW w:w="60" w:type="dxa"/>
            <w:vAlign w:val="bottom"/>
          </w:tcPr>
          <w:p>
            <w:pPr>
              <w:spacing w:after="0"/>
              <w:rPr>
                <w:sz w:val="17"/>
                <w:szCs w:val="17"/>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6.20</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29.08</w:t>
            </w:r>
          </w:p>
        </w:tc>
        <w:tc>
          <w:tcPr>
            <w:tcW w:w="200" w:type="dxa"/>
            <w:vAlign w:val="bottom"/>
          </w:tcPr>
          <w:p>
            <w:pPr>
              <w:spacing w:after="0"/>
              <w:rPr>
                <w:sz w:val="17"/>
                <w:szCs w:val="17"/>
                <w:color w:val="auto"/>
              </w:rPr>
            </w:pP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0.6</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29.03</w:t>
            </w:r>
          </w:p>
        </w:tc>
        <w:tc>
          <w:tcPr>
            <w:tcW w:w="320" w:type="dxa"/>
            <w:vAlign w:val="bottom"/>
          </w:tcPr>
          <w:p>
            <w:pPr>
              <w:spacing w:after="0"/>
              <w:rPr>
                <w:sz w:val="17"/>
                <w:szCs w:val="17"/>
                <w:color w:val="auto"/>
              </w:rPr>
            </w:pP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6.17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$33.25 — $37.48</w:t>
            </w:r>
          </w:p>
        </w:tc>
        <w:tc>
          <w:tcPr>
            <w:tcW w:w="164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0.6</w:t>
            </w:r>
          </w:p>
        </w:tc>
        <w:tc>
          <w:tcPr>
            <w:tcW w:w="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7.14</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35.71</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0" w:type="dxa"/>
            <w:vAlign w:val="bottom"/>
          </w:tcPr>
          <w:p>
            <w:pPr>
              <w:spacing w:after="0" w:line="202" w:lineRule="exact"/>
              <w:rPr>
                <w:sz w:val="20"/>
                <w:szCs w:val="20"/>
                <w:color w:val="auto"/>
              </w:rPr>
            </w:pPr>
            <w:r>
              <w:rPr>
                <w:rFonts w:ascii="Arial" w:cs="Arial" w:eastAsia="Arial" w:hAnsi="Arial"/>
                <w:sz w:val="18"/>
                <w:szCs w:val="18"/>
                <w:color w:val="auto"/>
              </w:rPr>
              <w:t>$37.89 — $39.95</w:t>
            </w:r>
          </w:p>
        </w:tc>
        <w:tc>
          <w:tcPr>
            <w:tcW w:w="164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1.6</w:t>
            </w:r>
          </w:p>
        </w:tc>
        <w:tc>
          <w:tcPr>
            <w:tcW w:w="60" w:type="dxa"/>
            <w:vAlign w:val="bottom"/>
          </w:tcPr>
          <w:p>
            <w:pPr>
              <w:spacing w:after="0"/>
              <w:rPr>
                <w:sz w:val="17"/>
                <w:szCs w:val="17"/>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8.57</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38.63</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$40.53 — $46.70</w:t>
            </w:r>
          </w:p>
        </w:tc>
        <w:tc>
          <w:tcPr>
            <w:tcW w:w="164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0.3</w:t>
            </w:r>
          </w:p>
        </w:tc>
        <w:tc>
          <w:tcPr>
            <w:tcW w:w="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7.90</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43.31</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43.26</w:t>
            </w:r>
          </w:p>
        </w:tc>
        <w:tc>
          <w:tcPr>
            <w:tcW w:w="3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7.85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23.41</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jc w:val="both"/>
        <w:ind w:left="700" w:right="40" w:firstLine="402"/>
        <w:spacing w:after="0" w:line="276" w:lineRule="auto"/>
        <w:rPr>
          <w:sz w:val="20"/>
          <w:szCs w:val="20"/>
          <w:color w:val="auto"/>
        </w:rPr>
      </w:pPr>
      <w:r>
        <w:rPr>
          <w:rFonts w:ascii="Arial" w:cs="Arial" w:eastAsia="Arial" w:hAnsi="Arial"/>
          <w:sz w:val="18"/>
          <w:szCs w:val="18"/>
          <w:color w:val="auto"/>
        </w:rPr>
        <w:t>The intrinsic value of the stock option and SAR awards outstanding and exercisable at September 30, were as follows (in millions):</w:t>
      </w:r>
    </w:p>
    <w:p>
      <w:pPr>
        <w:spacing w:after="0" w:line="69"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9580" w:type="dxa"/>
            <w:vAlign w:val="bottom"/>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2008</w:t>
            </w:r>
          </w:p>
        </w:tc>
      </w:tr>
      <w:tr>
        <w:trPr>
          <w:trHeight w:val="227"/>
        </w:trPr>
        <w:tc>
          <w:tcPr>
            <w:tcW w:w="9580" w:type="dxa"/>
            <w:vAlign w:val="bottom"/>
          </w:tcPr>
          <w:p>
            <w:pPr>
              <w:spacing w:after="0"/>
              <w:rPr>
                <w:sz w:val="20"/>
                <w:szCs w:val="20"/>
                <w:color w:val="auto"/>
              </w:rPr>
            </w:pPr>
            <w:r>
              <w:rPr>
                <w:rFonts w:ascii="Arial" w:cs="Arial" w:eastAsia="Arial" w:hAnsi="Arial"/>
                <w:sz w:val="18"/>
                <w:szCs w:val="18"/>
                <w:color w:val="auto"/>
              </w:rPr>
              <w:t>Outstanding</w:t>
            </w:r>
          </w:p>
        </w:tc>
        <w:tc>
          <w:tcPr>
            <w:tcW w:w="460" w:type="dxa"/>
            <w:vAlign w:val="bottom"/>
          </w:tcPr>
          <w:p>
            <w:pPr>
              <w:jc w:val="right"/>
              <w:ind w:right="13"/>
              <w:spacing w:after="0"/>
              <w:rPr>
                <w:sz w:val="20"/>
                <w:szCs w:val="20"/>
                <w:color w:val="auto"/>
              </w:rPr>
            </w:pPr>
            <w:r>
              <w:rPr>
                <w:rFonts w:ascii="Arial" w:cs="Arial" w:eastAsia="Arial" w:hAnsi="Arial"/>
                <w:sz w:val="18"/>
                <w:szCs w:val="18"/>
                <w:color w:val="auto"/>
                <w:w w:val="96"/>
              </w:rPr>
              <w:t>$9.7</w:t>
            </w:r>
          </w:p>
        </w:tc>
      </w:tr>
      <w:tr>
        <w:trPr>
          <w:trHeight w:val="243"/>
        </w:trPr>
        <w:tc>
          <w:tcPr>
            <w:tcW w:w="9580" w:type="dxa"/>
            <w:vAlign w:val="bottom"/>
          </w:tcPr>
          <w:p>
            <w:pPr>
              <w:spacing w:after="0"/>
              <w:rPr>
                <w:sz w:val="20"/>
                <w:szCs w:val="20"/>
                <w:color w:val="auto"/>
              </w:rPr>
            </w:pPr>
            <w:r>
              <w:rPr>
                <w:rFonts w:ascii="Arial" w:cs="Arial" w:eastAsia="Arial" w:hAnsi="Arial"/>
                <w:sz w:val="18"/>
                <w:szCs w:val="18"/>
                <w:color w:val="auto"/>
              </w:rPr>
              <w:t>Exercisable</w:t>
            </w:r>
          </w:p>
        </w:tc>
        <w:tc>
          <w:tcPr>
            <w:tcW w:w="460" w:type="dxa"/>
            <w:vAlign w:val="bottom"/>
          </w:tcPr>
          <w:p>
            <w:pPr>
              <w:jc w:val="right"/>
              <w:ind w:right="13"/>
              <w:spacing w:after="0"/>
              <w:rPr>
                <w:sz w:val="20"/>
                <w:szCs w:val="20"/>
                <w:color w:val="auto"/>
              </w:rPr>
            </w:pPr>
            <w:r>
              <w:rPr>
                <w:rFonts w:ascii="Arial" w:cs="Arial" w:eastAsia="Arial" w:hAnsi="Arial"/>
                <w:sz w:val="18"/>
                <w:szCs w:val="18"/>
                <w:color w:val="auto"/>
              </w:rPr>
              <w:t>9.7</w:t>
            </w:r>
          </w:p>
        </w:tc>
      </w:tr>
    </w:tbl>
    <w:p>
      <w:pPr>
        <w:spacing w:after="0" w:line="81" w:lineRule="exact"/>
        <w:rPr>
          <w:sz w:val="20"/>
          <w:szCs w:val="20"/>
          <w:color w:val="auto"/>
        </w:rPr>
      </w:pPr>
    </w:p>
    <w:p>
      <w:pPr>
        <w:ind w:left="700" w:right="380" w:firstLine="402"/>
        <w:spacing w:after="0" w:line="245" w:lineRule="auto"/>
        <w:rPr>
          <w:sz w:val="20"/>
          <w:szCs w:val="20"/>
          <w:color w:val="auto"/>
        </w:rPr>
      </w:pPr>
      <w:r>
        <w:rPr>
          <w:rFonts w:ascii="Arial" w:cs="Arial" w:eastAsia="Arial" w:hAnsi="Arial"/>
          <w:sz w:val="18"/>
          <w:szCs w:val="18"/>
          <w:color w:val="auto"/>
        </w:rPr>
        <w:t>The grant date fair value of stock option awards are estimated using a binomial model and the assumptions in the following table. Expected market price volatility is based on implied volatilities from traded options on Scotts Miracle-Gro’s common shares and historical volatility specific to the common shares. Historical data, including demographic factors impacting historical exercise behavior, is used to estimate option exercise and employee termination within the valuation model. The risk-free rate for</w:t>
      </w:r>
    </w:p>
    <w:p>
      <w:pPr>
        <w:spacing w:after="0" w:line="11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1"/>
          <w:szCs w:val="11"/>
          <w:b w:val="1"/>
          <w:bCs w:val="1"/>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-78105</wp:posOffset>
            </wp:positionV>
            <wp:extent cx="19748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240" w:top="415" w:right="919" w:bottom="1440" w:gutter="0" w:footer="0" w:header="0"/>
        </w:sectPr>
      </w:pPr>
    </w:p>
    <w:bookmarkStart w:id="98" w:name="page99"/>
    <w:bookmarkEnd w:id="98"/>
    <w:p>
      <w:pPr>
        <w:spacing w:after="0"/>
        <w:rPr>
          <w:rFonts w:ascii="Times New Roman" w:cs="Times New Roman" w:eastAsia="Times New Roman" w:hAnsi="Times New Roman"/>
          <w:sz w:val="18"/>
          <w:szCs w:val="18"/>
          <w:b w:val="1"/>
          <w:bCs w:val="1"/>
          <w:u w:val="single" w:color="auto"/>
          <w:color w:val="0000EE"/>
        </w:rPr>
      </w:pPr>
      <w:hyperlink w:anchor="page64">
        <w:r>
          <w:rPr>
            <w:rFonts w:ascii="Times New Roman" w:cs="Times New Roman" w:eastAsia="Times New Roman" w:hAnsi="Times New Roman"/>
            <w:sz w:val="18"/>
            <w:szCs w:val="18"/>
            <w:b w:val="1"/>
            <w:bCs w:val="1"/>
            <w:u w:val="single" w:color="auto"/>
            <w:color w:val="0000EE"/>
          </w:rPr>
          <w:t>Table of Contents</w:t>
        </w:r>
      </w:hyperlink>
    </w:p>
    <w:p>
      <w:pPr>
        <w:spacing w:after="0" w:line="317"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5" w:lineRule="exact"/>
        <w:rPr>
          <w:sz w:val="20"/>
          <w:szCs w:val="20"/>
          <w:color w:val="auto"/>
        </w:rPr>
      </w:pPr>
    </w:p>
    <w:p>
      <w:pPr>
        <w:ind w:left="700" w:right="240"/>
        <w:spacing w:after="0" w:line="255" w:lineRule="auto"/>
        <w:rPr>
          <w:sz w:val="20"/>
          <w:szCs w:val="20"/>
          <w:color w:val="auto"/>
        </w:rPr>
      </w:pPr>
      <w:r>
        <w:rPr>
          <w:rFonts w:ascii="Arial" w:cs="Arial" w:eastAsia="Arial" w:hAnsi="Arial"/>
          <w:sz w:val="18"/>
          <w:szCs w:val="18"/>
          <w:color w:val="auto"/>
        </w:rPr>
        <w:t>periods within the contractual life (normally ten years) of the option is based on the U.S. Treasury yield curve in effect at the time of grant. The expected life of stock options is based on historical experience and expectations for grants outstanding. The weighted average assumptions for awards granted are as follows for the periods indicated:</w:t>
      </w:r>
    </w:p>
    <w:p>
      <w:pPr>
        <w:spacing w:after="0" w:line="88"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3040" w:type="dxa"/>
            <w:vAlign w:val="bottom"/>
            <w:tcBorders>
              <w:bottom w:val="single" w:sz="8" w:color="auto"/>
            </w:tcBorders>
            <w:gridSpan w:val="7"/>
          </w:tcPr>
          <w:p>
            <w:pPr>
              <w:jc w:val="right"/>
              <w:ind w:right="560"/>
              <w:spacing w:after="0"/>
              <w:rPr>
                <w:sz w:val="20"/>
                <w:szCs w:val="20"/>
                <w:color w:val="auto"/>
              </w:rPr>
            </w:pPr>
            <w:r>
              <w:rPr>
                <w:rFonts w:ascii="Arial" w:cs="Arial" w:eastAsia="Arial" w:hAnsi="Arial"/>
                <w:sz w:val="16"/>
                <w:szCs w:val="16"/>
                <w:color w:val="auto"/>
              </w:rPr>
              <w:t>Year Ended September 30,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13"/>
              <w:spacing w:after="0"/>
              <w:rPr>
                <w:sz w:val="20"/>
                <w:szCs w:val="20"/>
                <w:color w:val="auto"/>
              </w:rPr>
            </w:pPr>
            <w:r>
              <w:rPr>
                <w:rFonts w:ascii="Arial" w:cs="Arial" w:eastAsia="Arial" w:hAnsi="Arial"/>
                <w:sz w:val="16"/>
                <w:szCs w:val="16"/>
                <w:color w:val="auto"/>
              </w:rPr>
              <w:t>2008</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2007</w:t>
            </w:r>
          </w:p>
        </w:tc>
        <w:tc>
          <w:tcPr>
            <w:tcW w:w="2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2006</w:t>
            </w: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6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market price volatility</w:t>
            </w:r>
          </w:p>
        </w:tc>
        <w:tc>
          <w:tcPr>
            <w:tcW w:w="1000" w:type="dxa"/>
            <w:vAlign w:val="bottom"/>
            <w:shd w:val="clear" w:color="auto" w:fill="CCEEFF"/>
          </w:tcPr>
          <w:p>
            <w:pPr>
              <w:jc w:val="right"/>
              <w:ind w:right="113"/>
              <w:spacing w:after="0" w:line="202" w:lineRule="exact"/>
              <w:rPr>
                <w:sz w:val="20"/>
                <w:szCs w:val="20"/>
                <w:color w:val="auto"/>
              </w:rPr>
            </w:pPr>
            <w:r>
              <w:rPr>
                <w:rFonts w:ascii="Arial" w:cs="Arial" w:eastAsia="Arial" w:hAnsi="Arial"/>
                <w:sz w:val="18"/>
                <w:szCs w:val="18"/>
                <w:color w:val="auto"/>
              </w:rPr>
              <w:t>30.2%</w:t>
            </w:r>
          </w:p>
        </w:tc>
        <w:tc>
          <w:tcPr>
            <w:tcW w:w="10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26.3%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tcPr>
          <w:p>
            <w:pPr>
              <w:spacing w:after="0" w:line="202" w:lineRule="exact"/>
              <w:rPr>
                <w:sz w:val="20"/>
                <w:szCs w:val="20"/>
                <w:color w:val="auto"/>
              </w:rPr>
            </w:pPr>
            <w:r>
              <w:rPr>
                <w:rFonts w:ascii="Arial" w:cs="Arial" w:eastAsia="Arial" w:hAnsi="Arial"/>
                <w:sz w:val="18"/>
                <w:szCs w:val="18"/>
                <w:color w:val="auto"/>
              </w:rPr>
              <w:t>Risk-free interest rates</w:t>
            </w:r>
          </w:p>
        </w:tc>
        <w:tc>
          <w:tcPr>
            <w:tcW w:w="100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4.0%</w:t>
            </w:r>
          </w:p>
        </w:tc>
        <w:tc>
          <w:tcPr>
            <w:tcW w:w="10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dividend yield</w:t>
            </w:r>
          </w:p>
        </w:tc>
        <w:tc>
          <w:tcPr>
            <w:tcW w:w="1000" w:type="dxa"/>
            <w:vAlign w:val="bottom"/>
            <w:shd w:val="clear" w:color="auto" w:fill="CCEEFF"/>
          </w:tcPr>
          <w:p>
            <w:pPr>
              <w:jc w:val="right"/>
              <w:ind w:right="113"/>
              <w:spacing w:after="0" w:line="202" w:lineRule="exact"/>
              <w:rPr>
                <w:sz w:val="20"/>
                <w:szCs w:val="20"/>
                <w:color w:val="auto"/>
              </w:rPr>
            </w:pPr>
            <w:r>
              <w:rPr>
                <w:rFonts w:ascii="Arial" w:cs="Arial" w:eastAsia="Arial" w:hAnsi="Arial"/>
                <w:sz w:val="18"/>
                <w:szCs w:val="18"/>
                <w:color w:val="auto"/>
              </w:rPr>
              <w:t>1.3%</w:t>
            </w:r>
          </w:p>
        </w:tc>
        <w:tc>
          <w:tcPr>
            <w:tcW w:w="10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tcPr>
          <w:p>
            <w:pPr>
              <w:spacing w:after="0" w:line="202" w:lineRule="exact"/>
              <w:rPr>
                <w:sz w:val="20"/>
                <w:szCs w:val="20"/>
                <w:color w:val="auto"/>
              </w:rPr>
            </w:pPr>
            <w:r>
              <w:rPr>
                <w:rFonts w:ascii="Arial" w:cs="Arial" w:eastAsia="Arial" w:hAnsi="Arial"/>
                <w:sz w:val="18"/>
                <w:szCs w:val="18"/>
                <w:color w:val="auto"/>
              </w:rPr>
              <w:t>Expected life of stock options in years</w:t>
            </w:r>
          </w:p>
        </w:tc>
        <w:tc>
          <w:tcPr>
            <w:tcW w:w="1000" w:type="dxa"/>
            <w:vAlign w:val="bottom"/>
          </w:tcPr>
          <w:p>
            <w:pPr>
              <w:jc w:val="right"/>
              <w:ind w:right="273"/>
              <w:spacing w:after="0" w:line="202" w:lineRule="exact"/>
              <w:rPr>
                <w:sz w:val="20"/>
                <w:szCs w:val="20"/>
                <w:color w:val="auto"/>
              </w:rPr>
            </w:pPr>
            <w:r>
              <w:rPr>
                <w:rFonts w:ascii="Arial" w:cs="Arial" w:eastAsia="Arial" w:hAnsi="Arial"/>
                <w:sz w:val="18"/>
                <w:szCs w:val="18"/>
                <w:color w:val="auto"/>
              </w:rPr>
              <w:t>6.19</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5.83</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ind w:left="240"/>
              <w:spacing w:after="0" w:line="202" w:lineRule="exact"/>
              <w:rPr>
                <w:sz w:val="20"/>
                <w:szCs w:val="20"/>
                <w:color w:val="auto"/>
              </w:rPr>
            </w:pPr>
            <w:r>
              <w:rPr>
                <w:rFonts w:ascii="Arial" w:cs="Arial" w:eastAsia="Arial" w:hAnsi="Arial"/>
                <w:sz w:val="18"/>
                <w:szCs w:val="18"/>
                <w:color w:val="auto"/>
              </w:rPr>
              <w:t>6.19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Estimated weighted-average fair value per stock option</w:t>
            </w:r>
          </w:p>
        </w:tc>
        <w:tc>
          <w:tcPr>
            <w:tcW w:w="1000" w:type="dxa"/>
            <w:vAlign w:val="bottom"/>
            <w:shd w:val="clear" w:color="auto" w:fill="CCEEFF"/>
          </w:tcPr>
          <w:p>
            <w:pPr>
              <w:jc w:val="right"/>
              <w:ind w:right="273"/>
              <w:spacing w:after="0" w:line="202" w:lineRule="exact"/>
              <w:rPr>
                <w:sz w:val="20"/>
                <w:szCs w:val="20"/>
                <w:color w:val="auto"/>
              </w:rPr>
            </w:pPr>
            <w:r>
              <w:rPr>
                <w:rFonts w:ascii="Arial" w:cs="Arial" w:eastAsia="Arial" w:hAnsi="Arial"/>
                <w:sz w:val="18"/>
                <w:szCs w:val="18"/>
                <w:color w:val="auto"/>
              </w:rPr>
              <w:t>$12.34</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$11.42</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$12.04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58"/>
        </w:trPr>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Restricted Stock</w:t>
            </w:r>
          </w:p>
        </w:tc>
        <w:tc>
          <w:tcPr>
            <w:tcW w:w="10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980" w:type="dxa"/>
            <w:vAlign w:val="bottom"/>
          </w:tcPr>
          <w:p>
            <w:pPr>
              <w:ind w:left="380"/>
              <w:spacing w:after="0"/>
              <w:rPr>
                <w:sz w:val="20"/>
                <w:szCs w:val="20"/>
                <w:color w:val="auto"/>
              </w:rPr>
            </w:pPr>
            <w:r>
              <w:rPr>
                <w:rFonts w:ascii="Arial" w:cs="Arial" w:eastAsia="Arial" w:hAnsi="Arial"/>
                <w:sz w:val="18"/>
                <w:szCs w:val="18"/>
                <w:color w:val="auto"/>
              </w:rPr>
              <w:t>Restricted stock award activity was as follows:</w:t>
            </w:r>
          </w:p>
        </w:tc>
        <w:tc>
          <w:tcPr>
            <w:tcW w:w="10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3"/>
          </w:tcPr>
          <w:p>
            <w:pPr>
              <w:spacing w:after="0"/>
              <w:rPr>
                <w:sz w:val="20"/>
                <w:szCs w:val="20"/>
                <w:color w:val="auto"/>
              </w:rPr>
            </w:pPr>
            <w:r>
              <w:rPr>
                <w:rFonts w:ascii="Arial" w:cs="Arial" w:eastAsia="Arial" w:hAnsi="Arial"/>
                <w:sz w:val="16"/>
                <w:szCs w:val="16"/>
                <w:color w:val="auto"/>
              </w:rPr>
              <w:t>WTD. Avg.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9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4"/>
          </w:tcPr>
          <w:p>
            <w:pPr>
              <w:ind w:left="140"/>
              <w:spacing w:after="0"/>
              <w:rPr>
                <w:sz w:val="20"/>
                <w:szCs w:val="20"/>
                <w:color w:val="auto"/>
              </w:rPr>
            </w:pPr>
            <w:r>
              <w:rPr>
                <w:rFonts w:ascii="Arial" w:cs="Arial" w:eastAsia="Arial" w:hAnsi="Arial"/>
                <w:sz w:val="16"/>
                <w:szCs w:val="16"/>
                <w:color w:val="auto"/>
              </w:rPr>
              <w:t>Grant Date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9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6"/>
                <w:szCs w:val="16"/>
                <w:color w:val="auto"/>
              </w:rPr>
              <w:t>No. of</w:t>
            </w:r>
          </w:p>
        </w:tc>
        <w:tc>
          <w:tcPr>
            <w:tcW w:w="140" w:type="dxa"/>
            <w:vAlign w:val="bottom"/>
          </w:tcPr>
          <w:p>
            <w:pPr>
              <w:spacing w:after="0"/>
              <w:rPr>
                <w:sz w:val="16"/>
                <w:szCs w:val="16"/>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6"/>
                <w:szCs w:val="16"/>
                <w:color w:val="auto"/>
                <w:w w:val="98"/>
              </w:rPr>
              <w:t>Fair Value</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9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6"/>
                <w:szCs w:val="16"/>
                <w:color w:val="auto"/>
              </w:rPr>
              <w:t>Shares</w:t>
            </w:r>
          </w:p>
        </w:tc>
        <w:tc>
          <w:tcPr>
            <w:tcW w:w="140" w:type="dxa"/>
            <w:vAlign w:val="bottom"/>
          </w:tcPr>
          <w:p>
            <w:pPr>
              <w:spacing w:after="0"/>
              <w:rPr>
                <w:sz w:val="19"/>
                <w:szCs w:val="19"/>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6"/>
                <w:szCs w:val="16"/>
                <w:color w:val="auto"/>
              </w:rPr>
              <w:t>per Share</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69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6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Awards outstanding at September 30, 2007</w:t>
            </w:r>
          </w:p>
        </w:tc>
        <w:tc>
          <w:tcPr>
            <w:tcW w:w="10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277,080</w:t>
            </w:r>
          </w:p>
        </w:tc>
        <w:tc>
          <w:tcPr>
            <w:tcW w:w="260" w:type="dxa"/>
            <w:vAlign w:val="bottom"/>
            <w:shd w:val="clear" w:color="auto" w:fill="CCEEFF"/>
          </w:tcPr>
          <w:p>
            <w:pPr>
              <w:spacing w:after="0"/>
              <w:rPr>
                <w:sz w:val="17"/>
                <w:szCs w:val="17"/>
                <w:color w:val="auto"/>
              </w:rPr>
            </w:pPr>
          </w:p>
        </w:tc>
        <w:tc>
          <w:tcPr>
            <w:tcW w:w="24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w w:val="97"/>
              </w:rPr>
              <w:t>43.74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10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187,000</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ind w:left="220"/>
              <w:spacing w:after="0" w:line="202" w:lineRule="exact"/>
              <w:rPr>
                <w:sz w:val="20"/>
                <w:szCs w:val="20"/>
                <w:color w:val="auto"/>
              </w:rPr>
            </w:pPr>
            <w:r>
              <w:rPr>
                <w:rFonts w:ascii="Arial" w:cs="Arial" w:eastAsia="Arial" w:hAnsi="Arial"/>
                <w:sz w:val="18"/>
                <w:szCs w:val="18"/>
                <w:color w:val="auto"/>
                <w:w w:val="97"/>
              </w:rPr>
              <w:t>39.99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Vested</w:t>
            </w:r>
          </w:p>
        </w:tc>
        <w:tc>
          <w:tcPr>
            <w:tcW w:w="10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(29,215)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w w:val="97"/>
              </w:rPr>
              <w:t>34.91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tcPr>
          <w:p>
            <w:pPr>
              <w:spacing w:after="0" w:line="202" w:lineRule="exact"/>
              <w:rPr>
                <w:sz w:val="20"/>
                <w:szCs w:val="20"/>
                <w:color w:val="auto"/>
              </w:rPr>
            </w:pPr>
            <w:r>
              <w:rPr>
                <w:rFonts w:ascii="Arial" w:cs="Arial" w:eastAsia="Arial" w:hAnsi="Arial"/>
                <w:sz w:val="18"/>
                <w:szCs w:val="18"/>
                <w:color w:val="auto"/>
              </w:rPr>
              <w:t>Forfeited</w:t>
            </w:r>
          </w:p>
        </w:tc>
        <w:tc>
          <w:tcPr>
            <w:tcW w:w="1000" w:type="dxa"/>
            <w:vAlign w:val="bottom"/>
          </w:tcPr>
          <w:p>
            <w:pPr>
              <w:spacing w:after="0"/>
              <w:rPr>
                <w:sz w:val="17"/>
                <w:szCs w:val="17"/>
                <w:color w:val="auto"/>
              </w:rPr>
            </w:pPr>
          </w:p>
        </w:tc>
        <w:tc>
          <w:tcPr>
            <w:tcW w:w="10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(53,300)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ind w:left="220"/>
              <w:spacing w:after="0" w:line="202" w:lineRule="exact"/>
              <w:rPr>
                <w:sz w:val="20"/>
                <w:szCs w:val="20"/>
                <w:color w:val="auto"/>
              </w:rPr>
            </w:pPr>
            <w:r>
              <w:rPr>
                <w:rFonts w:ascii="Arial" w:cs="Arial" w:eastAsia="Arial" w:hAnsi="Arial"/>
                <w:sz w:val="18"/>
                <w:szCs w:val="18"/>
                <w:color w:val="auto"/>
                <w:w w:val="97"/>
              </w:rPr>
              <w:t>43.23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Awards outstanding at September 30, 2008</w:t>
            </w:r>
          </w:p>
        </w:tc>
        <w:tc>
          <w:tcPr>
            <w:tcW w:w="10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381,565</w:t>
            </w:r>
          </w:p>
        </w:tc>
        <w:tc>
          <w:tcPr>
            <w:tcW w:w="260" w:type="dxa"/>
            <w:vAlign w:val="bottom"/>
            <w:shd w:val="clear" w:color="auto" w:fill="CCEEFF"/>
          </w:tcPr>
          <w:p>
            <w:pPr>
              <w:spacing w:after="0"/>
              <w:rPr>
                <w:sz w:val="17"/>
                <w:szCs w:val="17"/>
                <w:color w:val="auto"/>
              </w:rPr>
            </w:pPr>
          </w:p>
        </w:tc>
        <w:tc>
          <w:tcPr>
            <w:tcW w:w="24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w w:val="97"/>
              </w:rPr>
              <w:t>42.65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700" w:right="40" w:firstLine="402"/>
        <w:spacing w:after="0" w:line="248" w:lineRule="auto"/>
        <w:rPr>
          <w:sz w:val="20"/>
          <w:szCs w:val="20"/>
          <w:color w:val="auto"/>
        </w:rPr>
      </w:pPr>
      <w:r>
        <w:rPr>
          <w:rFonts w:ascii="Arial" w:cs="Arial" w:eastAsia="Arial" w:hAnsi="Arial"/>
          <w:sz w:val="18"/>
          <w:szCs w:val="18"/>
          <w:color w:val="auto"/>
        </w:rPr>
        <w:t>As of September 30, 2008, total unrecognized compensation cost related to non-vested share-based awards amounted to $17.0 million. This cost is expected to be recognized over a weighted-average period of 1.9 years. Unearned compensation cost is amortized by grant on the straight-line method over the vesting period, with the amortization expense classified as a component of “Selling, general and administrative” expense within the Consolidated Statements of Operations.</w:t>
      </w:r>
    </w:p>
    <w:p>
      <w:pPr>
        <w:spacing w:after="0" w:line="76" w:lineRule="exact"/>
        <w:rPr>
          <w:sz w:val="20"/>
          <w:szCs w:val="20"/>
          <w:color w:val="auto"/>
        </w:rPr>
      </w:pPr>
    </w:p>
    <w:p>
      <w:pPr>
        <w:ind w:left="700" w:right="240" w:firstLine="402"/>
        <w:spacing w:after="0" w:line="255" w:lineRule="auto"/>
        <w:rPr>
          <w:sz w:val="20"/>
          <w:szCs w:val="20"/>
          <w:color w:val="auto"/>
        </w:rPr>
      </w:pPr>
      <w:r>
        <w:rPr>
          <w:rFonts w:ascii="Arial" w:cs="Arial" w:eastAsia="Arial" w:hAnsi="Arial"/>
          <w:sz w:val="18"/>
          <w:szCs w:val="18"/>
          <w:color w:val="auto"/>
        </w:rPr>
        <w:t>The total intrinsic value of stock options exercised was $11.4 million, $65.5 million and $23.2 million during fiscal 2008, 2007 and 2006, respectively. The total fair value of restricted stock vested was $1.1 million, $5.5 million and $0.4 million during fiscal 2008, 2007 and 2006, respectively.</w:t>
      </w:r>
    </w:p>
    <w:p>
      <w:pPr>
        <w:spacing w:after="0" w:line="70" w:lineRule="exact"/>
        <w:rPr>
          <w:sz w:val="20"/>
          <w:szCs w:val="20"/>
          <w:color w:val="auto"/>
        </w:rPr>
      </w:pPr>
    </w:p>
    <w:p>
      <w:pPr>
        <w:ind w:left="700" w:right="300" w:firstLine="402"/>
        <w:spacing w:after="0" w:line="255" w:lineRule="auto"/>
        <w:rPr>
          <w:sz w:val="20"/>
          <w:szCs w:val="20"/>
          <w:color w:val="auto"/>
        </w:rPr>
      </w:pPr>
      <w:r>
        <w:rPr>
          <w:rFonts w:ascii="Arial" w:cs="Arial" w:eastAsia="Arial" w:hAnsi="Arial"/>
          <w:sz w:val="18"/>
          <w:szCs w:val="18"/>
          <w:color w:val="auto"/>
        </w:rPr>
        <w:t>Cash received from the exercise of stock options for fiscal 2008 was $9.2 million. The tax benefit realized from the tax deductions associated with the exercise of share-based awards and the vesting of restricted stock totaled $4.4 million for fiscal 2008.</w:t>
      </w:r>
    </w:p>
    <w:p>
      <w:pPr>
        <w:spacing w:after="0" w:line="10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1"/>
          <w:szCs w:val="11"/>
          <w:b w:val="1"/>
          <w:bCs w:val="1"/>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-78105</wp:posOffset>
            </wp:positionV>
            <wp:extent cx="19748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240" w:top="415" w:right="919" w:bottom="1440" w:gutter="0" w:footer="0" w:header="0"/>
        </w:sectPr>
      </w:pPr>
    </w:p>
    <w:bookmarkStart w:id="99" w:name="page100"/>
    <w:bookmarkEnd w:id="99"/>
    <w:p>
      <w:pPr>
        <w:spacing w:after="0"/>
        <w:rPr>
          <w:rFonts w:ascii="Times New Roman" w:cs="Times New Roman" w:eastAsia="Times New Roman" w:hAnsi="Times New Roman"/>
          <w:sz w:val="18"/>
          <w:szCs w:val="18"/>
          <w:b w:val="1"/>
          <w:bCs w:val="1"/>
          <w:u w:val="single" w:color="auto"/>
          <w:color w:val="0000EE"/>
        </w:rPr>
      </w:pPr>
      <w:hyperlink w:anchor="page64">
        <w:r>
          <w:rPr>
            <w:rFonts w:ascii="Times New Roman" w:cs="Times New Roman" w:eastAsia="Times New Roman" w:hAnsi="Times New Roman"/>
            <w:sz w:val="18"/>
            <w:szCs w:val="18"/>
            <w:b w:val="1"/>
            <w:bCs w:val="1"/>
            <w:u w:val="single" w:color="auto"/>
            <w:color w:val="0000EE"/>
          </w:rPr>
          <w:t>Table of Contents</w:t>
        </w:r>
      </w:hyperlink>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NOTE 13. EARNINGS (LOSS) PER COMMON SHARE</w:t>
      </w:r>
    </w:p>
    <w:p>
      <w:pPr>
        <w:spacing w:after="0" w:line="119" w:lineRule="exact"/>
        <w:rPr>
          <w:sz w:val="20"/>
          <w:szCs w:val="20"/>
          <w:color w:val="auto"/>
        </w:rPr>
      </w:pPr>
    </w:p>
    <w:p>
      <w:pPr>
        <w:ind w:left="700" w:right="700" w:firstLine="402"/>
        <w:spacing w:after="0" w:line="256" w:lineRule="auto"/>
        <w:rPr>
          <w:sz w:val="20"/>
          <w:szCs w:val="20"/>
          <w:color w:val="auto"/>
        </w:rPr>
      </w:pPr>
      <w:r>
        <w:rPr>
          <w:rFonts w:ascii="Arial" w:cs="Arial" w:eastAsia="Arial" w:hAnsi="Arial"/>
          <w:sz w:val="17"/>
          <w:szCs w:val="17"/>
          <w:color w:val="auto"/>
        </w:rPr>
        <w:t>The following table (in millions, except per share data) presents information necessary to calculate basic and diluted earnings per common share. Basic earnings (loss) per common share are computed by dividing net income (loss) by the weighted average number of common shares outstanding. Diluted earnings (loss) per common share are computed by dividing net income (loss) by the weighted average number of common shares outstanding plus all potentially dilutive securities. Stock options with exercise prices greater than the average market price of the underlying common shares are excluded from the computation of diluted net income (loss) per share because they are out-of-the-money. The number of common shares covered by out-of-the-money stock options was 4.0 million, 0.17 million and 0.15 million common shares for the years ended September 30, 2008, 2007 and 2006, respectively. Because of the net loss in fiscal 2008, 0.9 million potential common shares were not included in the calculation of diluted loss per share because to do so would have been anti-dilutive.</w:t>
      </w:r>
    </w:p>
    <w:p>
      <w:pPr>
        <w:spacing w:after="0" w:line="82" w:lineRule="exact"/>
        <w:rPr>
          <w:sz w:val="20"/>
          <w:szCs w:val="20"/>
          <w:color w:val="auto"/>
        </w:rPr>
      </w:pPr>
    </w:p>
    <w:tbl>
      <w:tblPr>
        <w:tblLayout w:type="fixed"/>
        <w:tblInd w:w="70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4"/>
          </w:tcPr>
          <w:p>
            <w:pPr>
              <w:ind w:left="140"/>
              <w:spacing w:after="0"/>
              <w:rPr>
                <w:sz w:val="20"/>
                <w:szCs w:val="20"/>
                <w:color w:val="auto"/>
              </w:rPr>
            </w:pPr>
            <w:r>
              <w:rPr>
                <w:rFonts w:ascii="Arial" w:cs="Arial" w:eastAsia="Arial" w:hAnsi="Arial"/>
                <w:sz w:val="18"/>
                <w:szCs w:val="18"/>
                <w:color w:val="auto"/>
              </w:rPr>
              <w:t>Year Ended September 30,</w:t>
            </w: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3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2008</w:t>
            </w: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2007</w:t>
            </w:r>
          </w:p>
        </w:tc>
        <w:tc>
          <w:tcPr>
            <w:tcW w:w="9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5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(loss)</w:t>
            </w:r>
          </w:p>
        </w:tc>
        <w:tc>
          <w:tcPr>
            <w:tcW w:w="134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(10.9)</w:t>
            </w: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3"/>
              </w:rPr>
              <w:t>113.4</w:t>
            </w:r>
          </w:p>
        </w:tc>
        <w:tc>
          <w:tcPr>
            <w:tcW w:w="98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132.7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0" w:type="dxa"/>
            <w:vAlign w:val="bottom"/>
            <w:gridSpan w:val="2"/>
            <w:vMerge w:val="restart"/>
          </w:tcPr>
          <w:p>
            <w:pPr>
              <w:spacing w:after="0"/>
              <w:rPr>
                <w:sz w:val="20"/>
                <w:szCs w:val="20"/>
                <w:color w:val="auto"/>
              </w:rPr>
            </w:pPr>
            <w:r>
              <w:rPr>
                <w:rFonts w:ascii="Arial" w:cs="Arial" w:eastAsia="Arial" w:hAnsi="Arial"/>
                <w:sz w:val="18"/>
                <w:szCs w:val="18"/>
                <w:color w:val="auto"/>
              </w:rPr>
              <w:t>BASIC EARNINGS (LOSS) PER COMMON SHARE:</w:t>
            </w:r>
          </w:p>
        </w:tc>
        <w:tc>
          <w:tcPr>
            <w:tcW w:w="6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00" w:type="dxa"/>
            <w:vAlign w:val="bottom"/>
            <w:gridSpan w:val="2"/>
            <w:vMerge w:val="continue"/>
          </w:tcPr>
          <w:p>
            <w:pPr>
              <w:spacing w:after="0"/>
              <w:rPr>
                <w:sz w:val="17"/>
                <w:szCs w:val="17"/>
                <w:color w:val="auto"/>
              </w:rPr>
            </w:pPr>
          </w:p>
        </w:tc>
        <w:tc>
          <w:tcPr>
            <w:tcW w:w="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380" w:type="dxa"/>
            <w:vAlign w:val="bottom"/>
            <w:shd w:val="clear" w:color="auto" w:fill="CCEEFF"/>
          </w:tcPr>
          <w:p>
            <w:pPr>
              <w:ind w:left="160"/>
              <w:spacing w:after="0" w:line="180" w:lineRule="exact"/>
              <w:rPr>
                <w:sz w:val="20"/>
                <w:szCs w:val="20"/>
                <w:color w:val="auto"/>
              </w:rPr>
            </w:pPr>
            <w:r>
              <w:rPr>
                <w:rFonts w:ascii="Arial" w:cs="Arial" w:eastAsia="Arial" w:hAnsi="Arial"/>
                <w:sz w:val="18"/>
                <w:szCs w:val="18"/>
                <w:color w:val="auto"/>
              </w:rPr>
              <w:t>Weighted-average common shares outstanding during the</w:t>
            </w:r>
          </w:p>
        </w:tc>
        <w:tc>
          <w:tcPr>
            <w:tcW w:w="6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period</w:t>
            </w:r>
          </w:p>
        </w:tc>
        <w:tc>
          <w:tcPr>
            <w:tcW w:w="6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vMerge w:val="restart"/>
          </w:tcPr>
          <w:p>
            <w:pPr>
              <w:ind w:left="160"/>
              <w:spacing w:after="0"/>
              <w:rPr>
                <w:sz w:val="20"/>
                <w:szCs w:val="20"/>
                <w:color w:val="auto"/>
              </w:rPr>
            </w:pPr>
            <w:r>
              <w:rPr>
                <w:rFonts w:ascii="Arial" w:cs="Arial" w:eastAsia="Arial" w:hAnsi="Arial"/>
                <w:sz w:val="18"/>
                <w:szCs w:val="18"/>
                <w:color w:val="auto"/>
              </w:rPr>
              <w:t>Net income (loss)</w:t>
            </w:r>
          </w:p>
        </w:tc>
        <w:tc>
          <w:tcPr>
            <w:tcW w:w="1340" w:type="dxa"/>
            <w:vAlign w:val="bottom"/>
            <w:gridSpan w:val="3"/>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380" w:type="dxa"/>
            <w:vAlign w:val="bottom"/>
            <w:vMerge w:val="continue"/>
          </w:tcPr>
          <w:p>
            <w:pPr>
              <w:spacing w:after="0"/>
              <w:rPr>
                <w:sz w:val="17"/>
                <w:szCs w:val="17"/>
                <w:color w:val="auto"/>
              </w:rPr>
            </w:pPr>
          </w:p>
        </w:tc>
        <w:tc>
          <w:tcPr>
            <w:tcW w:w="600" w:type="dxa"/>
            <w:vAlign w:val="bottom"/>
          </w:tcPr>
          <w:p>
            <w:pPr>
              <w:spacing w:after="0"/>
              <w:rPr>
                <w:sz w:val="17"/>
                <w:szCs w:val="17"/>
                <w:color w:val="auto"/>
              </w:rPr>
            </w:pPr>
          </w:p>
        </w:tc>
        <w:tc>
          <w:tcPr>
            <w:tcW w:w="5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(0.17</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9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1.74</w:t>
            </w: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DILUTED EARNINGS (LOSS) PER COMMON SHARE:</w:t>
            </w:r>
          </w:p>
        </w:tc>
        <w:tc>
          <w:tcPr>
            <w:tcW w:w="6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380" w:type="dxa"/>
            <w:vAlign w:val="bottom"/>
          </w:tcPr>
          <w:p>
            <w:pPr>
              <w:ind w:left="160"/>
              <w:spacing w:after="0" w:line="180" w:lineRule="exact"/>
              <w:rPr>
                <w:sz w:val="20"/>
                <w:szCs w:val="20"/>
                <w:color w:val="auto"/>
              </w:rPr>
            </w:pPr>
            <w:r>
              <w:rPr>
                <w:rFonts w:ascii="Arial" w:cs="Arial" w:eastAsia="Arial" w:hAnsi="Arial"/>
                <w:sz w:val="18"/>
                <w:szCs w:val="18"/>
                <w:color w:val="auto"/>
              </w:rPr>
              <w:t>Weighted-average common shares outstanding during the</w:t>
            </w: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380" w:type="dxa"/>
            <w:vAlign w:val="bottom"/>
          </w:tcPr>
          <w:p>
            <w:pPr>
              <w:ind w:left="340"/>
              <w:spacing w:after="0"/>
              <w:rPr>
                <w:sz w:val="20"/>
                <w:szCs w:val="20"/>
                <w:color w:val="auto"/>
              </w:rPr>
            </w:pPr>
            <w:r>
              <w:rPr>
                <w:rFonts w:ascii="Arial" w:cs="Arial" w:eastAsia="Arial" w:hAnsi="Arial"/>
                <w:sz w:val="18"/>
                <w:szCs w:val="18"/>
                <w:color w:val="auto"/>
              </w:rPr>
              <w:t>period</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64.5</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65.2</w:t>
            </w: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Potential common shares</w:t>
            </w:r>
          </w:p>
        </w:tc>
        <w:tc>
          <w:tcPr>
            <w:tcW w:w="6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w:t>
            </w: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380" w:type="dxa"/>
            <w:vAlign w:val="bottom"/>
          </w:tcPr>
          <w:p>
            <w:pPr>
              <w:ind w:left="160"/>
              <w:spacing w:after="0" w:line="187" w:lineRule="exact"/>
              <w:rPr>
                <w:sz w:val="20"/>
                <w:szCs w:val="20"/>
                <w:color w:val="auto"/>
              </w:rPr>
            </w:pPr>
            <w:r>
              <w:rPr>
                <w:rFonts w:ascii="Arial" w:cs="Arial" w:eastAsia="Arial" w:hAnsi="Arial"/>
                <w:sz w:val="18"/>
                <w:szCs w:val="18"/>
                <w:color w:val="auto"/>
              </w:rPr>
              <w:t>Weighted-average number of common shares outstanding</w:t>
            </w:r>
          </w:p>
        </w:tc>
        <w:tc>
          <w:tcPr>
            <w:tcW w:w="600" w:type="dxa"/>
            <w:vAlign w:val="bottom"/>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380" w:type="dxa"/>
            <w:vAlign w:val="bottom"/>
          </w:tcPr>
          <w:p>
            <w:pPr>
              <w:ind w:left="340"/>
              <w:spacing w:after="0"/>
              <w:rPr>
                <w:sz w:val="20"/>
                <w:szCs w:val="20"/>
                <w:color w:val="auto"/>
              </w:rPr>
            </w:pPr>
            <w:r>
              <w:rPr>
                <w:rFonts w:ascii="Arial" w:cs="Arial" w:eastAsia="Arial" w:hAnsi="Arial"/>
                <w:sz w:val="18"/>
                <w:szCs w:val="18"/>
                <w:color w:val="auto"/>
              </w:rPr>
              <w:t>and dilutive potential common shares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64.5</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67.0</w:t>
            </w: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38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color w:val="auto"/>
              </w:rPr>
              <w:t>Net income (loss)</w:t>
            </w:r>
          </w:p>
        </w:tc>
        <w:tc>
          <w:tcPr>
            <w:tcW w:w="1340" w:type="dxa"/>
            <w:vAlign w:val="bottom"/>
            <w:gridSpan w:val="3"/>
            <w:shd w:val="clear" w:color="auto" w:fill="CCEEFF"/>
          </w:tcPr>
          <w:p>
            <w:pPr>
              <w:jc w:val="right"/>
              <w:ind w:right="80"/>
              <w:spacing w:after="0" w:line="196"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(0.17)</w:t>
            </w:r>
          </w:p>
        </w:tc>
        <w:tc>
          <w:tcPr>
            <w:tcW w:w="10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1.69</w:t>
            </w:r>
          </w:p>
        </w:tc>
        <w:tc>
          <w:tcPr>
            <w:tcW w:w="98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NOTE 14. INCOME TAXES</w:t>
      </w:r>
    </w:p>
    <w:p>
      <w:pPr>
        <w:spacing w:after="0" w:line="11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provision (benefit) for income taxes consisted of the following (in millions):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0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3"/>
          </w:tcPr>
          <w:p>
            <w:pPr>
              <w:jc w:val="right"/>
              <w:ind w:right="180"/>
              <w:spacing w:after="0"/>
              <w:rPr>
                <w:sz w:val="20"/>
                <w:szCs w:val="20"/>
                <w:color w:val="auto"/>
              </w:rPr>
            </w:pPr>
            <w:r>
              <w:rPr>
                <w:rFonts w:ascii="Arial" w:cs="Arial" w:eastAsia="Arial" w:hAnsi="Arial"/>
                <w:sz w:val="16"/>
                <w:szCs w:val="16"/>
                <w:color w:val="auto"/>
              </w:rPr>
              <w:t>Year Ended</w:t>
            </w: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0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6"/>
                <w:szCs w:val="16"/>
                <w:color w:val="auto"/>
              </w:rPr>
              <w:t>September 30,</w:t>
            </w:r>
          </w:p>
        </w:tc>
        <w:tc>
          <w:tcPr>
            <w:tcW w:w="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00" w:type="dxa"/>
            <w:vAlign w:val="bottom"/>
          </w:tcPr>
          <w:p>
            <w:pPr>
              <w:spacing w:after="0"/>
              <w:rPr>
                <w:sz w:val="18"/>
                <w:szCs w:val="18"/>
                <w:color w:val="auto"/>
              </w:rPr>
            </w:pPr>
          </w:p>
        </w:tc>
        <w:tc>
          <w:tcPr>
            <w:tcW w:w="48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2008</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2007</w:t>
            </w:r>
          </w:p>
        </w:tc>
        <w:tc>
          <w:tcPr>
            <w:tcW w:w="3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2006</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
        </w:trPr>
        <w:tc>
          <w:tcPr>
            <w:tcW w:w="700" w:type="dxa"/>
            <w:vAlign w:val="bottom"/>
            <w:vMerge w:val="restart"/>
          </w:tcPr>
          <w:p>
            <w:pPr>
              <w:spacing w:after="0"/>
              <w:rPr>
                <w:sz w:val="3"/>
                <w:szCs w:val="3"/>
                <w:color w:val="auto"/>
              </w:rPr>
            </w:pPr>
          </w:p>
        </w:tc>
        <w:tc>
          <w:tcPr>
            <w:tcW w:w="48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700" w:type="dxa"/>
            <w:vAlign w:val="bottom"/>
            <w:vMerge w:val="continue"/>
          </w:tcPr>
          <w:p>
            <w:pPr>
              <w:spacing w:after="0"/>
              <w:rPr>
                <w:sz w:val="17"/>
                <w:szCs w:val="17"/>
                <w:color w:val="auto"/>
              </w:rPr>
            </w:pPr>
          </w:p>
        </w:tc>
        <w:tc>
          <w:tcPr>
            <w:tcW w:w="4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w:t>
            </w:r>
          </w:p>
        </w:tc>
        <w:tc>
          <w:tcPr>
            <w:tcW w:w="300" w:type="dxa"/>
            <w:vAlign w:val="bottom"/>
            <w:shd w:val="clear" w:color="auto" w:fill="CCEEFF"/>
          </w:tcPr>
          <w:p>
            <w:pPr>
              <w:spacing w:after="0"/>
              <w:rPr>
                <w:sz w:val="17"/>
                <w:szCs w:val="17"/>
                <w:color w:val="auto"/>
              </w:rPr>
            </w:pPr>
          </w:p>
        </w:tc>
        <w:tc>
          <w:tcPr>
            <w:tcW w:w="25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60" w:type="dxa"/>
            <w:vAlign w:val="bottom"/>
          </w:tcPr>
          <w:p>
            <w:pPr>
              <w:ind w:left="180"/>
              <w:spacing w:after="0" w:line="202" w:lineRule="exact"/>
              <w:rPr>
                <w:sz w:val="20"/>
                <w:szCs w:val="20"/>
                <w:color w:val="auto"/>
              </w:rPr>
            </w:pPr>
            <w:r>
              <w:rPr>
                <w:rFonts w:ascii="Arial" w:cs="Arial" w:eastAsia="Arial" w:hAnsi="Arial"/>
                <w:sz w:val="18"/>
                <w:szCs w:val="18"/>
                <w:color w:val="auto"/>
              </w:rPr>
              <w:t>Federal</w:t>
            </w:r>
          </w:p>
        </w:tc>
        <w:tc>
          <w:tcPr>
            <w:tcW w:w="33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$ 27.9</w:t>
            </w:r>
          </w:p>
        </w:tc>
        <w:tc>
          <w:tcPr>
            <w:tcW w:w="100" w:type="dxa"/>
            <w:vAlign w:val="bottom"/>
          </w:tcPr>
          <w:p>
            <w:pPr>
              <w:spacing w:after="0"/>
              <w:rPr>
                <w:sz w:val="17"/>
                <w:szCs w:val="17"/>
                <w:color w:val="auto"/>
              </w:rPr>
            </w:pP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$54.5</w:t>
            </w:r>
          </w:p>
        </w:tc>
        <w:tc>
          <w:tcPr>
            <w:tcW w:w="340" w:type="dxa"/>
            <w:vAlign w:val="bottom"/>
          </w:tcPr>
          <w:p>
            <w:pPr>
              <w:spacing w:after="0"/>
              <w:rPr>
                <w:sz w:val="17"/>
                <w:szCs w:val="17"/>
                <w:color w:val="auto"/>
              </w:rPr>
            </w:pPr>
          </w:p>
        </w:tc>
        <w:tc>
          <w:tcPr>
            <w:tcW w:w="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$68.3</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State</w:t>
            </w:r>
          </w:p>
        </w:tc>
        <w:tc>
          <w:tcPr>
            <w:tcW w:w="3480" w:type="dxa"/>
            <w:vAlign w:val="bottom"/>
            <w:gridSpan w:val="4"/>
            <w:shd w:val="clear" w:color="auto" w:fill="CCEEFF"/>
          </w:tcPr>
          <w:p>
            <w:pPr>
              <w:jc w:val="right"/>
              <w:ind w:right="19"/>
              <w:spacing w:after="0" w:line="202" w:lineRule="exact"/>
              <w:rPr>
                <w:sz w:val="20"/>
                <w:szCs w:val="20"/>
                <w:color w:val="auto"/>
              </w:rPr>
            </w:pPr>
            <w:r>
              <w:rPr>
                <w:rFonts w:ascii="Arial" w:cs="Arial" w:eastAsia="Arial" w:hAnsi="Arial"/>
                <w:sz w:val="18"/>
                <w:szCs w:val="18"/>
                <w:color w:val="auto"/>
              </w:rPr>
              <w:t>2.8</w:t>
            </w: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5.4</w:t>
            </w:r>
          </w:p>
        </w:tc>
        <w:tc>
          <w:tcPr>
            <w:tcW w:w="34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4860" w:type="dxa"/>
            <w:vAlign w:val="bottom"/>
          </w:tcPr>
          <w:p>
            <w:pPr>
              <w:ind w:left="180"/>
              <w:spacing w:after="0" w:line="202" w:lineRule="exact"/>
              <w:rPr>
                <w:sz w:val="20"/>
                <w:szCs w:val="20"/>
                <w:color w:val="auto"/>
              </w:rPr>
            </w:pPr>
            <w:r>
              <w:rPr>
                <w:rFonts w:ascii="Arial" w:cs="Arial" w:eastAsia="Arial" w:hAnsi="Arial"/>
                <w:sz w:val="18"/>
                <w:szCs w:val="18"/>
                <w:color w:val="auto"/>
              </w:rPr>
              <w:t>Foreign</w:t>
            </w:r>
          </w:p>
        </w:tc>
        <w:tc>
          <w:tcPr>
            <w:tcW w:w="2840" w:type="dxa"/>
            <w:vAlign w:val="bottom"/>
            <w:gridSpan w:val="2"/>
          </w:tcPr>
          <w:p>
            <w:pPr>
              <w:spacing w:after="0"/>
              <w:rPr>
                <w:sz w:val="18"/>
                <w:szCs w:val="18"/>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8.5</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Current</w:t>
            </w:r>
          </w:p>
        </w:tc>
        <w:tc>
          <w:tcPr>
            <w:tcW w:w="33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43.2</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68.4</w:t>
            </w:r>
          </w:p>
        </w:tc>
        <w:tc>
          <w:tcPr>
            <w:tcW w:w="34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80.6</w:t>
            </w:r>
          </w:p>
        </w:tc>
        <w:tc>
          <w:tcPr>
            <w:tcW w:w="100" w:type="dxa"/>
            <w:vAlign w:val="bottom"/>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60" w:type="dxa"/>
            <w:vAlign w:val="bottom"/>
          </w:tcPr>
          <w:p>
            <w:pPr>
              <w:spacing w:after="0" w:line="202" w:lineRule="exact"/>
              <w:rPr>
                <w:sz w:val="20"/>
                <w:szCs w:val="20"/>
                <w:color w:val="auto"/>
              </w:rPr>
            </w:pPr>
            <w:r>
              <w:rPr>
                <w:rFonts w:ascii="Arial" w:cs="Arial" w:eastAsia="Arial" w:hAnsi="Arial"/>
                <w:sz w:val="18"/>
                <w:szCs w:val="18"/>
                <w:color w:val="auto"/>
              </w:rPr>
              <w:t>Deferred:</w:t>
            </w:r>
          </w:p>
        </w:tc>
        <w:tc>
          <w:tcPr>
            <w:tcW w:w="30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Federal</w:t>
            </w:r>
          </w:p>
        </w:tc>
        <w:tc>
          <w:tcPr>
            <w:tcW w:w="348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(13.6)</w:t>
            </w: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6.5</w:t>
            </w:r>
          </w:p>
        </w:tc>
        <w:tc>
          <w:tcPr>
            <w:tcW w:w="34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(0.5)</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60" w:type="dxa"/>
            <w:vAlign w:val="bottom"/>
          </w:tcPr>
          <w:p>
            <w:pPr>
              <w:ind w:left="180"/>
              <w:spacing w:after="0" w:line="202" w:lineRule="exact"/>
              <w:rPr>
                <w:sz w:val="20"/>
                <w:szCs w:val="20"/>
                <w:color w:val="auto"/>
              </w:rPr>
            </w:pPr>
            <w:r>
              <w:rPr>
                <w:rFonts w:ascii="Arial" w:cs="Arial" w:eastAsia="Arial" w:hAnsi="Arial"/>
                <w:sz w:val="18"/>
                <w:szCs w:val="18"/>
                <w:color w:val="auto"/>
              </w:rPr>
              <w:t>State</w:t>
            </w:r>
          </w:p>
        </w:tc>
        <w:tc>
          <w:tcPr>
            <w:tcW w:w="348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(1.9)</w:t>
            </w:r>
          </w:p>
        </w:tc>
        <w:tc>
          <w:tcPr>
            <w:tcW w:w="108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(0.6)</w:t>
            </w:r>
          </w:p>
        </w:tc>
        <w:tc>
          <w:tcPr>
            <w:tcW w:w="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Foreign</w:t>
            </w:r>
          </w:p>
        </w:tc>
        <w:tc>
          <w:tcPr>
            <w:tcW w:w="348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(1.0)</w:t>
            </w: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0.4</w:t>
            </w:r>
          </w:p>
        </w:tc>
        <w:tc>
          <w:tcPr>
            <w:tcW w:w="34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(1.5)</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00" w:type="dxa"/>
            <w:vAlign w:val="bottom"/>
          </w:tcPr>
          <w:p>
            <w:pPr>
              <w:spacing w:after="0"/>
              <w:rPr>
                <w:sz w:val="18"/>
                <w:szCs w:val="18"/>
                <w:color w:val="auto"/>
              </w:rPr>
            </w:pPr>
          </w:p>
        </w:tc>
        <w:tc>
          <w:tcPr>
            <w:tcW w:w="4860" w:type="dxa"/>
            <w:vAlign w:val="bottom"/>
          </w:tcPr>
          <w:p>
            <w:pPr>
              <w:ind w:left="360"/>
              <w:spacing w:after="0"/>
              <w:rPr>
                <w:sz w:val="20"/>
                <w:szCs w:val="20"/>
                <w:color w:val="auto"/>
              </w:rPr>
            </w:pPr>
            <w:r>
              <w:rPr>
                <w:rFonts w:ascii="Arial" w:cs="Arial" w:eastAsia="Arial" w:hAnsi="Arial"/>
                <w:sz w:val="18"/>
                <w:szCs w:val="18"/>
                <w:color w:val="auto"/>
              </w:rPr>
              <w:t>Total Deferred</w:t>
            </w:r>
          </w:p>
        </w:tc>
        <w:tc>
          <w:tcPr>
            <w:tcW w:w="3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Provision for income taxes</w:t>
            </w:r>
          </w:p>
        </w:tc>
        <w:tc>
          <w:tcPr>
            <w:tcW w:w="33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$ 26.7</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74.7</w:t>
            </w:r>
          </w:p>
        </w:tc>
        <w:tc>
          <w:tcPr>
            <w:tcW w:w="34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80.2</w:t>
            </w:r>
          </w:p>
        </w:tc>
        <w:tc>
          <w:tcPr>
            <w:tcW w:w="100" w:type="dxa"/>
            <w:vAlign w:val="bottom"/>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0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70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300" w:type="dxa"/>
            <w:vAlign w:val="bottom"/>
          </w:tcPr>
          <w:p>
            <w:pPr>
              <w:jc w:val="right"/>
              <w:ind w:right="14"/>
              <w:spacing w:after="0"/>
              <w:rPr>
                <w:sz w:val="20"/>
                <w:szCs w:val="20"/>
                <w:color w:val="auto"/>
              </w:rPr>
            </w:pPr>
            <w:r>
              <w:rPr>
                <w:rFonts w:ascii="Times New Roman" w:cs="Times New Roman" w:eastAsia="Times New Roman" w:hAnsi="Times New Roman"/>
                <w:sz w:val="11"/>
                <w:szCs w:val="11"/>
                <w:b w:val="1"/>
                <w:bCs w:val="1"/>
                <w:color w:val="auto"/>
              </w:rPr>
              <w:t>98</w:t>
            </w:r>
          </w:p>
        </w:tc>
        <w:tc>
          <w:tcPr>
            <w:tcW w:w="2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700" w:type="dxa"/>
            <w:vAlign w:val="bottom"/>
            <w:tcBorders>
              <w:bottom w:val="single" w:sz="8" w:color="808080"/>
            </w:tcBorders>
          </w:tcPr>
          <w:p>
            <w:pPr>
              <w:spacing w:after="0"/>
              <w:rPr>
                <w:sz w:val="17"/>
                <w:szCs w:val="17"/>
                <w:color w:val="auto"/>
              </w:rPr>
            </w:pPr>
          </w:p>
        </w:tc>
        <w:tc>
          <w:tcPr>
            <w:tcW w:w="486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2540" w:type="dxa"/>
            <w:vAlign w:val="bottom"/>
            <w:tcBorders>
              <w:bottom w:val="single" w:sz="8" w:color="808080"/>
            </w:tcBorders>
          </w:tcPr>
          <w:p>
            <w:pPr>
              <w:spacing w:after="0"/>
              <w:rPr>
                <w:sz w:val="17"/>
                <w:szCs w:val="17"/>
                <w:color w:val="auto"/>
              </w:rPr>
            </w:pPr>
          </w:p>
        </w:tc>
        <w:tc>
          <w:tcPr>
            <w:tcW w:w="540" w:type="dxa"/>
            <w:vAlign w:val="bottom"/>
            <w:tcBorders>
              <w:bottom w:val="single" w:sz="8" w:color="808080"/>
            </w:tcBorders>
          </w:tcPr>
          <w:p>
            <w:pPr>
              <w:spacing w:after="0"/>
              <w:rPr>
                <w:sz w:val="17"/>
                <w:szCs w:val="17"/>
                <w:color w:val="auto"/>
              </w:rPr>
            </w:pPr>
          </w:p>
        </w:tc>
        <w:tc>
          <w:tcPr>
            <w:tcW w:w="10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460" w:type="dxa"/>
            <w:vAlign w:val="bottom"/>
            <w:tcBorders>
              <w:bottom w:val="single" w:sz="8" w:color="808080"/>
            </w:tcBorders>
          </w:tcPr>
          <w:p>
            <w:pPr>
              <w:spacing w:after="0"/>
              <w:rPr>
                <w:sz w:val="17"/>
                <w:szCs w:val="17"/>
                <w:color w:val="auto"/>
              </w:rPr>
            </w:pPr>
          </w:p>
        </w:tc>
        <w:tc>
          <w:tcPr>
            <w:tcW w:w="34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460" w:type="dxa"/>
            <w:vAlign w:val="bottom"/>
            <w:tcBorders>
              <w:bottom w:val="single" w:sz="8" w:color="808080"/>
            </w:tcBorders>
          </w:tcPr>
          <w:p>
            <w:pPr>
              <w:spacing w:after="0"/>
              <w:rPr>
                <w:sz w:val="17"/>
                <w:szCs w:val="17"/>
                <w:color w:val="auto"/>
              </w:rPr>
            </w:pPr>
          </w:p>
        </w:tc>
        <w:tc>
          <w:tcPr>
            <w:tcW w:w="10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00" w:name="page101"/>
    <w:bookmarkEnd w:id="100"/>
    <w:p>
      <w:pPr>
        <w:spacing w:after="0"/>
        <w:rPr>
          <w:rFonts w:ascii="Times New Roman" w:cs="Times New Roman" w:eastAsia="Times New Roman" w:hAnsi="Times New Roman"/>
          <w:sz w:val="18"/>
          <w:szCs w:val="18"/>
          <w:b w:val="1"/>
          <w:bCs w:val="1"/>
          <w:u w:val="single" w:color="auto"/>
          <w:color w:val="0000EE"/>
        </w:rPr>
      </w:pPr>
      <w:hyperlink w:anchor="page64">
        <w:r>
          <w:rPr>
            <w:rFonts w:ascii="Times New Roman" w:cs="Times New Roman" w:eastAsia="Times New Roman" w:hAnsi="Times New Roman"/>
            <w:sz w:val="18"/>
            <w:szCs w:val="18"/>
            <w:b w:val="1"/>
            <w:bCs w:val="1"/>
            <w:u w:val="single" w:color="auto"/>
            <w:color w:val="0000EE"/>
          </w:rPr>
          <w:t>Table of Contents</w:t>
        </w:r>
      </w:hyperlink>
    </w:p>
    <w:p>
      <w:pPr>
        <w:spacing w:after="0" w:line="317"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domestic and foreign components of income before taxes were as follows (in millions):</w:t>
      </w:r>
    </w:p>
    <w:p>
      <w:pPr>
        <w:spacing w:after="0" w:line="135" w:lineRule="exact"/>
        <w:rPr>
          <w:sz w:val="20"/>
          <w:szCs w:val="20"/>
          <w:color w:val="auto"/>
        </w:rPr>
      </w:pPr>
    </w:p>
    <w:tbl>
      <w:tblPr>
        <w:tblLayout w:type="fixed"/>
        <w:tblInd w:w="70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3"/>
          </w:tcPr>
          <w:p>
            <w:pPr>
              <w:jc w:val="center"/>
              <w:spacing w:after="0"/>
              <w:rPr>
                <w:sz w:val="20"/>
                <w:szCs w:val="20"/>
                <w:color w:val="auto"/>
              </w:rPr>
            </w:pPr>
            <w:r>
              <w:rPr>
                <w:rFonts w:ascii="Arial" w:cs="Arial" w:eastAsia="Arial" w:hAnsi="Arial"/>
                <w:sz w:val="16"/>
                <w:szCs w:val="16"/>
                <w:color w:val="auto"/>
                <w:w w:val="99"/>
              </w:rPr>
              <w:t>Year Ended</w:t>
            </w: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6"/>
                <w:szCs w:val="16"/>
                <w:color w:val="auto"/>
              </w:rPr>
              <w:t>September 30,</w:t>
            </w:r>
          </w:p>
        </w:tc>
        <w:tc>
          <w:tcPr>
            <w:tcW w:w="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4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2008</w:t>
            </w: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center"/>
              <w:ind w:left="194"/>
              <w:spacing w:after="0"/>
              <w:rPr>
                <w:sz w:val="20"/>
                <w:szCs w:val="20"/>
                <w:color w:val="auto"/>
              </w:rPr>
            </w:pPr>
            <w:r>
              <w:rPr>
                <w:rFonts w:ascii="Arial" w:cs="Arial" w:eastAsia="Arial" w:hAnsi="Arial"/>
                <w:sz w:val="16"/>
                <w:szCs w:val="16"/>
                <w:color w:val="auto"/>
              </w:rPr>
              <w:t>2007</w:t>
            </w:r>
          </w:p>
        </w:tc>
        <w:tc>
          <w:tcPr>
            <w:tcW w:w="3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2006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4540" w:type="dxa"/>
            <w:vAlign w:val="bottom"/>
          </w:tcPr>
          <w:p>
            <w:pPr>
              <w:spacing w:after="0"/>
              <w:rPr>
                <w:sz w:val="3"/>
                <w:szCs w:val="3"/>
                <w:color w:val="auto"/>
              </w:rPr>
            </w:pPr>
          </w:p>
        </w:tc>
        <w:tc>
          <w:tcPr>
            <w:tcW w:w="29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Domestic</w:t>
            </w:r>
          </w:p>
        </w:tc>
        <w:tc>
          <w:tcPr>
            <w:tcW w:w="3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$ 75.0</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$175.3</w:t>
            </w:r>
          </w:p>
        </w:tc>
        <w:tc>
          <w:tcPr>
            <w:tcW w:w="3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$253.6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tcPr>
          <w:p>
            <w:pPr>
              <w:spacing w:after="0" w:line="202" w:lineRule="exact"/>
              <w:rPr>
                <w:sz w:val="20"/>
                <w:szCs w:val="20"/>
                <w:color w:val="auto"/>
              </w:rPr>
            </w:pPr>
            <w:r>
              <w:rPr>
                <w:rFonts w:ascii="Arial" w:cs="Arial" w:eastAsia="Arial" w:hAnsi="Arial"/>
                <w:sz w:val="18"/>
                <w:szCs w:val="18"/>
                <w:color w:val="auto"/>
              </w:rPr>
              <w:t>Foreign</w:t>
            </w:r>
          </w:p>
        </w:tc>
        <w:tc>
          <w:tcPr>
            <w:tcW w:w="2940" w:type="dxa"/>
            <w:vAlign w:val="bottom"/>
          </w:tcPr>
          <w:p>
            <w:pPr>
              <w:spacing w:after="0"/>
              <w:rPr>
                <w:sz w:val="17"/>
                <w:szCs w:val="17"/>
                <w:color w:val="auto"/>
              </w:rPr>
            </w:pPr>
          </w:p>
        </w:tc>
        <w:tc>
          <w:tcPr>
            <w:tcW w:w="6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(59.2)</w:t>
            </w: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12.8</w:t>
            </w:r>
          </w:p>
        </w:tc>
        <w:tc>
          <w:tcPr>
            <w:tcW w:w="320" w:type="dxa"/>
            <w:vAlign w:val="bottom"/>
          </w:tcPr>
          <w:p>
            <w:pPr>
              <w:spacing w:after="0"/>
              <w:rPr>
                <w:sz w:val="17"/>
                <w:szCs w:val="17"/>
                <w:color w:val="auto"/>
              </w:rPr>
            </w:pPr>
          </w:p>
        </w:tc>
        <w:tc>
          <w:tcPr>
            <w:tcW w:w="74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40" w:type="dxa"/>
            <w:vAlign w:val="bottom"/>
          </w:tcPr>
          <w:p>
            <w:pPr>
              <w:spacing w:after="0"/>
              <w:rPr>
                <w:sz w:val="2"/>
                <w:szCs w:val="2"/>
                <w:color w:val="auto"/>
              </w:rPr>
            </w:pPr>
          </w:p>
        </w:tc>
        <w:tc>
          <w:tcPr>
            <w:tcW w:w="29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before taxes</w:t>
            </w:r>
          </w:p>
        </w:tc>
        <w:tc>
          <w:tcPr>
            <w:tcW w:w="3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$ 15.8</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188.1</w:t>
            </w:r>
          </w:p>
        </w:tc>
        <w:tc>
          <w:tcPr>
            <w:tcW w:w="3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212.9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ind w:left="700" w:right="260" w:firstLine="402"/>
        <w:spacing w:after="0" w:line="276" w:lineRule="auto"/>
        <w:rPr>
          <w:sz w:val="20"/>
          <w:szCs w:val="20"/>
          <w:color w:val="auto"/>
        </w:rPr>
      </w:pPr>
      <w:r>
        <w:rPr>
          <w:rFonts w:ascii="Arial" w:cs="Arial" w:eastAsia="Arial" w:hAnsi="Arial"/>
          <w:sz w:val="18"/>
          <w:szCs w:val="18"/>
          <w:color w:val="auto"/>
        </w:rPr>
        <w:t>A reconciliation of the federal corporate income tax rate and the effective tax rate on income before income taxes from continuing operations is summarized below (in millions):</w:t>
      </w:r>
    </w:p>
    <w:p>
      <w:pPr>
        <w:spacing w:after="0" w:line="69"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2500" w:type="dxa"/>
            <w:vAlign w:val="bottom"/>
            <w:gridSpan w:val="6"/>
          </w:tcPr>
          <w:p>
            <w:pPr>
              <w:jc w:val="right"/>
              <w:ind w:right="360"/>
              <w:spacing w:after="0"/>
              <w:rPr>
                <w:sz w:val="20"/>
                <w:szCs w:val="20"/>
                <w:color w:val="auto"/>
              </w:rPr>
            </w:pPr>
            <w:r>
              <w:rPr>
                <w:rFonts w:ascii="Arial" w:cs="Arial" w:eastAsia="Arial" w:hAnsi="Arial"/>
                <w:sz w:val="16"/>
                <w:szCs w:val="16"/>
                <w:color w:val="auto"/>
              </w:rPr>
              <w:t>Year Ended September 30,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20" w:type="dxa"/>
            <w:vAlign w:val="bottom"/>
            <w:tcBorders>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6"/>
                <w:szCs w:val="16"/>
                <w:color w:val="auto"/>
              </w:rPr>
              <w:t>2008</w:t>
            </w:r>
          </w:p>
        </w:tc>
        <w:tc>
          <w:tcPr>
            <w:tcW w:w="46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2007</w:t>
            </w:r>
          </w:p>
        </w:tc>
        <w:tc>
          <w:tcPr>
            <w:tcW w:w="44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2006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7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Statutory income tax rate</w:t>
            </w:r>
          </w:p>
        </w:tc>
        <w:tc>
          <w:tcPr>
            <w:tcW w:w="10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35.0%</w:t>
            </w:r>
          </w:p>
        </w:tc>
        <w:tc>
          <w:tcPr>
            <w:tcW w:w="8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35.0%</w:t>
            </w:r>
          </w:p>
        </w:tc>
        <w:tc>
          <w:tcPr>
            <w:tcW w:w="6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Effect of foreign operations</w:t>
            </w:r>
          </w:p>
        </w:tc>
        <w:tc>
          <w:tcPr>
            <w:tcW w:w="100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(4.5)</w:t>
            </w:r>
          </w:p>
        </w:tc>
        <w:tc>
          <w:tcPr>
            <w:tcW w:w="88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(0.5)</w:t>
            </w:r>
          </w:p>
        </w:tc>
        <w:tc>
          <w:tcPr>
            <w:tcW w:w="6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State taxes, net of federal benefit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0.6</w:t>
            </w:r>
          </w:p>
        </w:tc>
        <w:tc>
          <w:tcPr>
            <w:tcW w:w="4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1.6</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Change in state NOL and credit carryforwards</w:t>
            </w:r>
          </w:p>
        </w:tc>
        <w:tc>
          <w:tcPr>
            <w:tcW w:w="100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(1.3)</w:t>
            </w:r>
          </w:p>
        </w:tc>
        <w:tc>
          <w:tcPr>
            <w:tcW w:w="88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(0.2)</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0.1</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&amp; Development tax credit</w:t>
            </w:r>
          </w:p>
        </w:tc>
        <w:tc>
          <w:tcPr>
            <w:tcW w:w="100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(4.7)</w:t>
            </w:r>
          </w:p>
        </w:tc>
        <w:tc>
          <w:tcPr>
            <w:tcW w:w="88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(0.5)</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Change in valuation allowances</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106.9</w:t>
            </w:r>
          </w:p>
        </w:tc>
        <w:tc>
          <w:tcPr>
            <w:tcW w:w="460" w:type="dxa"/>
            <w:vAlign w:val="bottom"/>
          </w:tcPr>
          <w:p>
            <w:pPr>
              <w:spacing w:after="0"/>
              <w:rPr>
                <w:sz w:val="17"/>
                <w:szCs w:val="17"/>
                <w:color w:val="auto"/>
              </w:rPr>
            </w:pPr>
          </w:p>
        </w:tc>
        <w:tc>
          <w:tcPr>
            <w:tcW w:w="88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1.0</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0.4</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Effect of goodwill impairment and other permanent differences</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42.3</w:t>
            </w:r>
          </w:p>
        </w:tc>
        <w:tc>
          <w:tcPr>
            <w:tcW w:w="4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4.8</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00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(5.7)</w:t>
            </w:r>
          </w:p>
        </w:tc>
        <w:tc>
          <w:tcPr>
            <w:tcW w:w="88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(1.5)</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0.4</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Effective income tax rate</w:t>
            </w:r>
          </w:p>
        </w:tc>
        <w:tc>
          <w:tcPr>
            <w:tcW w:w="10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168.6%</w:t>
            </w:r>
          </w:p>
        </w:tc>
        <w:tc>
          <w:tcPr>
            <w:tcW w:w="8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39.7%</w:t>
            </w:r>
          </w:p>
        </w:tc>
        <w:tc>
          <w:tcPr>
            <w:tcW w:w="6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ind w:left="700" w:right="300" w:firstLine="402"/>
        <w:spacing w:after="0" w:line="276" w:lineRule="auto"/>
        <w:rPr>
          <w:sz w:val="20"/>
          <w:szCs w:val="20"/>
          <w:color w:val="auto"/>
        </w:rPr>
      </w:pPr>
      <w:r>
        <w:rPr>
          <w:rFonts w:ascii="Arial" w:cs="Arial" w:eastAsia="Arial" w:hAnsi="Arial"/>
          <w:sz w:val="18"/>
          <w:szCs w:val="18"/>
          <w:color w:val="auto"/>
        </w:rPr>
        <w:t>Deferred income taxes arise from temporary differences between financial reporting and tax reporting bases of assets and liabilities, and operating loss and tax credit carryforwards for tax purposes. The</w:t>
      </w:r>
    </w:p>
    <w:p>
      <w:pPr>
        <w:spacing w:after="0" w:line="8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1"/>
          <w:szCs w:val="11"/>
          <w:b w:val="1"/>
          <w:bCs w:val="1"/>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-78105</wp:posOffset>
            </wp:positionV>
            <wp:extent cx="19748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240" w:top="415" w:right="919" w:bottom="1440" w:gutter="0" w:footer="0" w:header="0"/>
        </w:sectPr>
      </w:pPr>
    </w:p>
    <w:bookmarkStart w:id="101" w:name="page102"/>
    <w:bookmarkEnd w:id="101"/>
    <w:p>
      <w:pPr>
        <w:spacing w:after="0"/>
        <w:rPr>
          <w:rFonts w:ascii="Times New Roman" w:cs="Times New Roman" w:eastAsia="Times New Roman" w:hAnsi="Times New Roman"/>
          <w:sz w:val="18"/>
          <w:szCs w:val="18"/>
          <w:b w:val="1"/>
          <w:bCs w:val="1"/>
          <w:u w:val="single" w:color="auto"/>
          <w:color w:val="0000EE"/>
        </w:rPr>
      </w:pPr>
      <w:hyperlink w:anchor="page64">
        <w:r>
          <w:rPr>
            <w:rFonts w:ascii="Times New Roman" w:cs="Times New Roman" w:eastAsia="Times New Roman" w:hAnsi="Times New Roman"/>
            <w:sz w:val="18"/>
            <w:szCs w:val="18"/>
            <w:b w:val="1"/>
            <w:bCs w:val="1"/>
            <w:u w:val="single" w:color="auto"/>
            <w:color w:val="0000EE"/>
          </w:rPr>
          <w:t>Table of Contents</w:t>
        </w:r>
      </w:hyperlink>
    </w:p>
    <w:p>
      <w:pPr>
        <w:spacing w:after="0" w:line="317"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components of the deferred income tax assets and liabilities as of September 30, 2008 and 2007 were as follows (in millions):</w:t>
      </w:r>
    </w:p>
    <w:p>
      <w:pPr>
        <w:spacing w:after="0" w:line="135"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6"/>
          </w:tcPr>
          <w:p>
            <w:pPr>
              <w:jc w:val="right"/>
              <w:ind w:right="360"/>
              <w:spacing w:after="0"/>
              <w:rPr>
                <w:sz w:val="20"/>
                <w:szCs w:val="20"/>
                <w:color w:val="auto"/>
              </w:rPr>
            </w:pPr>
            <w:r>
              <w:rPr>
                <w:rFonts w:ascii="Arial" w:cs="Arial" w:eastAsia="Arial" w:hAnsi="Arial"/>
                <w:sz w:val="16"/>
                <w:szCs w:val="16"/>
                <w:color w:val="auto"/>
              </w:rPr>
              <w:t>September 30,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6"/>
                <w:szCs w:val="16"/>
                <w:color w:val="auto"/>
                <w:w w:val="95"/>
              </w:rPr>
              <w:t>2008</w:t>
            </w:r>
          </w:p>
        </w:tc>
        <w:tc>
          <w:tcPr>
            <w:tcW w:w="2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6"/>
                <w:szCs w:val="16"/>
                <w:color w:val="auto"/>
              </w:rPr>
              <w:t>2007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83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8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 ASSETS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40" w:type="dxa"/>
            <w:vAlign w:val="bottom"/>
          </w:tcPr>
          <w:p>
            <w:pPr>
              <w:ind w:left="160"/>
              <w:spacing w:after="0" w:line="202" w:lineRule="exact"/>
              <w:rPr>
                <w:sz w:val="20"/>
                <w:szCs w:val="20"/>
                <w:color w:val="auto"/>
              </w:rPr>
            </w:pPr>
            <w:r>
              <w:rPr>
                <w:rFonts w:ascii="Arial" w:cs="Arial" w:eastAsia="Arial" w:hAnsi="Arial"/>
                <w:sz w:val="18"/>
                <w:szCs w:val="18"/>
                <w:color w:val="auto"/>
              </w:rPr>
              <w:t>Inventories</w:t>
            </w:r>
          </w:p>
        </w:tc>
        <w:tc>
          <w:tcPr>
            <w:tcW w:w="12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18.5</w:t>
            </w:r>
          </w:p>
        </w:tc>
        <w:tc>
          <w:tcPr>
            <w:tcW w:w="220" w:type="dxa"/>
            <w:vAlign w:val="bottom"/>
          </w:tcPr>
          <w:p>
            <w:pPr>
              <w:spacing w:after="0"/>
              <w:rPr>
                <w:sz w:val="17"/>
                <w:szCs w:val="17"/>
                <w:color w:val="auto"/>
              </w:rPr>
            </w:pP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12.0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Accrued liabilities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64.0</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40" w:type="dxa"/>
            <w:vAlign w:val="bottom"/>
          </w:tcPr>
          <w:p>
            <w:pPr>
              <w:ind w:left="160"/>
              <w:spacing w:after="0" w:line="202" w:lineRule="exact"/>
              <w:rPr>
                <w:sz w:val="20"/>
                <w:szCs w:val="20"/>
                <w:color w:val="auto"/>
              </w:rPr>
            </w:pPr>
            <w:r>
              <w:rPr>
                <w:rFonts w:ascii="Arial" w:cs="Arial" w:eastAsia="Arial" w:hAnsi="Arial"/>
                <w:sz w:val="18"/>
                <w:szCs w:val="18"/>
                <w:color w:val="auto"/>
              </w:rPr>
              <w:t>Postretirement benefits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40.0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26.5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Accounts receivable</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8.4</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40" w:type="dxa"/>
            <w:vAlign w:val="bottom"/>
          </w:tcPr>
          <w:p>
            <w:pPr>
              <w:ind w:left="160"/>
              <w:spacing w:after="0" w:line="202" w:lineRule="exact"/>
              <w:rPr>
                <w:sz w:val="20"/>
                <w:szCs w:val="20"/>
                <w:color w:val="auto"/>
              </w:rPr>
            </w:pPr>
            <w:r>
              <w:rPr>
                <w:rFonts w:ascii="Arial" w:cs="Arial" w:eastAsia="Arial" w:hAnsi="Arial"/>
                <w:sz w:val="18"/>
                <w:szCs w:val="18"/>
                <w:color w:val="auto"/>
              </w:rPr>
              <w:t>Federal NOL carryovers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0.1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State NOL carryovers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40" w:type="dxa"/>
            <w:vAlign w:val="bottom"/>
          </w:tcPr>
          <w:p>
            <w:pPr>
              <w:ind w:left="160"/>
              <w:spacing w:after="0" w:line="202" w:lineRule="exact"/>
              <w:rPr>
                <w:sz w:val="20"/>
                <w:szCs w:val="20"/>
                <w:color w:val="auto"/>
              </w:rPr>
            </w:pPr>
            <w:r>
              <w:rPr>
                <w:rFonts w:ascii="Arial" w:cs="Arial" w:eastAsia="Arial" w:hAnsi="Arial"/>
                <w:sz w:val="18"/>
                <w:szCs w:val="18"/>
                <w:color w:val="auto"/>
              </w:rPr>
              <w:t>Foreign NOL carryovers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45.9</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38.6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12.7</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Gross deferred tax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194.1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Valuation allowance</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(65.8)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Total deferred tax assets</w:t>
            </w: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128.3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 LIABILITIES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40" w:type="dxa"/>
            <w:vAlign w:val="bottom"/>
          </w:tcPr>
          <w:p>
            <w:pPr>
              <w:ind w:left="160"/>
              <w:spacing w:after="0" w:line="202" w:lineRule="exact"/>
              <w:rPr>
                <w:sz w:val="20"/>
                <w:szCs w:val="20"/>
                <w:color w:val="auto"/>
              </w:rPr>
            </w:pPr>
            <w:r>
              <w:rPr>
                <w:rFonts w:ascii="Arial" w:cs="Arial" w:eastAsia="Arial" w:hAnsi="Arial"/>
                <w:sz w:val="18"/>
                <w:szCs w:val="18"/>
                <w:color w:val="auto"/>
              </w:rPr>
              <w:t>Property, plant and equipment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(34.3)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Intangible assets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(52.9)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40" w:type="dxa"/>
            <w:vAlign w:val="bottom"/>
          </w:tcPr>
          <w:p>
            <w:pPr>
              <w:ind w:left="160"/>
              <w:spacing w:after="0" w:line="202" w:lineRule="exact"/>
              <w:rPr>
                <w:sz w:val="20"/>
                <w:szCs w:val="20"/>
                <w:color w:val="auto"/>
              </w:rPr>
            </w:pPr>
            <w:r>
              <w:rPr>
                <w:rFonts w:ascii="Arial" w:cs="Arial" w:eastAsia="Arial" w:hAnsi="Arial"/>
                <w:sz w:val="18"/>
                <w:szCs w:val="18"/>
                <w:color w:val="auto"/>
              </w:rPr>
              <w:t>Other</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3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Total deferred tax liabilities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(92.8)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w w:val="94"/>
              </w:rPr>
              <w:t>(118.4)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Net deferred tax asset</w:t>
            </w: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ind w:left="700" w:right="220" w:firstLine="402"/>
        <w:spacing w:after="0" w:line="276" w:lineRule="auto"/>
        <w:rPr>
          <w:sz w:val="20"/>
          <w:szCs w:val="20"/>
          <w:color w:val="auto"/>
        </w:rPr>
      </w:pPr>
      <w:r>
        <w:rPr>
          <w:rFonts w:ascii="Arial" w:cs="Arial" w:eastAsia="Arial" w:hAnsi="Arial"/>
          <w:sz w:val="18"/>
          <w:szCs w:val="18"/>
          <w:color w:val="auto"/>
        </w:rPr>
        <w:t>The net current and non-current components of deferred income taxes recognized in the Consolidated Balance Sheets were (in millions):</w:t>
      </w:r>
    </w:p>
    <w:p>
      <w:pPr>
        <w:spacing w:after="0" w:line="69"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40" w:type="dxa"/>
            <w:vAlign w:val="bottom"/>
            <w:gridSpan w:val="6"/>
          </w:tcPr>
          <w:p>
            <w:pPr>
              <w:jc w:val="right"/>
              <w:ind w:right="300"/>
              <w:spacing w:after="0"/>
              <w:rPr>
                <w:sz w:val="20"/>
                <w:szCs w:val="20"/>
                <w:color w:val="auto"/>
              </w:rPr>
            </w:pPr>
            <w:r>
              <w:rPr>
                <w:rFonts w:ascii="Arial" w:cs="Arial" w:eastAsia="Arial" w:hAnsi="Arial"/>
                <w:sz w:val="16"/>
                <w:szCs w:val="16"/>
                <w:color w:val="auto"/>
              </w:rPr>
              <w:t>September 30,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2008</w:t>
            </w:r>
          </w:p>
        </w:tc>
        <w:tc>
          <w:tcPr>
            <w:tcW w:w="2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color w:val="auto"/>
              </w:rPr>
              <w:t>2007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70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current deferred tax asset (classified with prepaid and other assets)</w:t>
            </w:r>
          </w:p>
        </w:tc>
        <w:tc>
          <w:tcPr>
            <w:tcW w:w="19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$ 78.1</w:t>
            </w:r>
          </w:p>
        </w:tc>
        <w:tc>
          <w:tcPr>
            <w:tcW w:w="22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tcPr>
          <w:p>
            <w:pPr>
              <w:spacing w:after="0" w:line="202" w:lineRule="exact"/>
              <w:rPr>
                <w:sz w:val="20"/>
                <w:szCs w:val="20"/>
                <w:color w:val="auto"/>
              </w:rPr>
            </w:pPr>
            <w:r>
              <w:rPr>
                <w:rFonts w:ascii="Arial" w:cs="Arial" w:eastAsia="Arial" w:hAnsi="Arial"/>
                <w:sz w:val="18"/>
                <w:szCs w:val="18"/>
                <w:color w:val="auto"/>
              </w:rPr>
              <w:t>Net non-current deferred tax liability (classified with other liabilities)</w:t>
            </w:r>
          </w:p>
        </w:tc>
        <w:tc>
          <w:tcPr>
            <w:tcW w:w="1400" w:type="dxa"/>
            <w:vAlign w:val="bottom"/>
          </w:tcPr>
          <w:p>
            <w:pPr>
              <w:spacing w:after="0"/>
              <w:rPr>
                <w:sz w:val="17"/>
                <w:szCs w:val="17"/>
                <w:color w:val="auto"/>
              </w:rPr>
            </w:pPr>
          </w:p>
        </w:tc>
        <w:tc>
          <w:tcPr>
            <w:tcW w:w="7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(42.6)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w w:val="97"/>
              </w:rPr>
              <w:t>(67.9)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deferred tax asset</w:t>
            </w:r>
          </w:p>
        </w:tc>
        <w:tc>
          <w:tcPr>
            <w:tcW w:w="19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$ 35.5</w:t>
            </w:r>
          </w:p>
        </w:tc>
        <w:tc>
          <w:tcPr>
            <w:tcW w:w="22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ind w:left="700" w:right="20" w:firstLine="402"/>
        <w:spacing w:after="0" w:line="241" w:lineRule="auto"/>
        <w:rPr>
          <w:sz w:val="20"/>
          <w:szCs w:val="20"/>
          <w:color w:val="auto"/>
        </w:rPr>
      </w:pPr>
      <w:r>
        <w:rPr>
          <w:rFonts w:ascii="Arial" w:cs="Arial" w:eastAsia="Arial" w:hAnsi="Arial"/>
          <w:sz w:val="18"/>
          <w:szCs w:val="18"/>
          <w:color w:val="auto"/>
        </w:rPr>
        <w:t>Tax benefits relating to state net operating loss carryforwards were $4.6 million and $5.4 million at September 30, 2008 and 2007, respectively. State net operating loss carryforward periods range from 5 to 20 years. Any losses not utilized within a specific state’s carryforward period will expire. State net operating loss carryforwards include $1.4 million of tax benefits relating to Smith &amp; Hawken</w:t>
      </w:r>
      <w:r>
        <w:rPr>
          <w:rFonts w:ascii="Arial" w:cs="Arial" w:eastAsia="Arial" w:hAnsi="Arial"/>
          <w:sz w:val="15"/>
          <w:szCs w:val="15"/>
          <w:color w:val="auto"/>
        </w:rPr>
        <w:t>®</w:t>
      </w:r>
      <w:r>
        <w:rPr>
          <w:rFonts w:ascii="Arial" w:cs="Arial" w:eastAsia="Arial" w:hAnsi="Arial"/>
          <w:sz w:val="18"/>
          <w:szCs w:val="18"/>
          <w:color w:val="auto"/>
        </w:rPr>
        <w:t>. As these losses may only be used against income of Smith &amp; Hawken</w:t>
      </w:r>
      <w:r>
        <w:rPr>
          <w:rFonts w:ascii="Arial" w:cs="Arial" w:eastAsia="Arial" w:hAnsi="Arial"/>
          <w:sz w:val="15"/>
          <w:szCs w:val="15"/>
          <w:color w:val="auto"/>
        </w:rPr>
        <w:t>®</w:t>
      </w:r>
      <w:r>
        <w:rPr>
          <w:rFonts w:ascii="Arial" w:cs="Arial" w:eastAsia="Arial" w:hAnsi="Arial"/>
          <w:sz w:val="18"/>
          <w:szCs w:val="18"/>
          <w:color w:val="auto"/>
        </w:rPr>
        <w:t>, and cannot be used to offset income of the consolidated group, a full valuation allowance has been recorded against this tax asset. Tax benefits associated with state tax credits will expire if not utilized and amounted to $0.3 million and $0.1 million at September 30, 2008 and 2007, respectively.</w:t>
      </w:r>
    </w:p>
    <w:p>
      <w:pPr>
        <w:spacing w:after="0" w:line="85" w:lineRule="exact"/>
        <w:rPr>
          <w:sz w:val="20"/>
          <w:szCs w:val="20"/>
          <w:color w:val="auto"/>
        </w:rPr>
      </w:pPr>
    </w:p>
    <w:p>
      <w:pPr>
        <w:ind w:left="700" w:right="20" w:firstLine="402"/>
        <w:spacing w:after="0" w:line="255" w:lineRule="auto"/>
        <w:rPr>
          <w:sz w:val="20"/>
          <w:szCs w:val="20"/>
          <w:color w:val="auto"/>
        </w:rPr>
      </w:pPr>
      <w:r>
        <w:rPr>
          <w:rFonts w:ascii="Arial" w:cs="Arial" w:eastAsia="Arial" w:hAnsi="Arial"/>
          <w:sz w:val="18"/>
          <w:szCs w:val="18"/>
          <w:color w:val="auto"/>
        </w:rPr>
        <w:t>Fiscal 2008 income tax expense and valuation allowances also include $16.9 million recorded to fully reserve deferred tax assets that originated from impairment charges recorded for the Smith &amp; Hawken</w:t>
      </w:r>
      <w:r>
        <w:rPr>
          <w:rFonts w:ascii="Arial" w:cs="Arial" w:eastAsia="Arial" w:hAnsi="Arial"/>
          <w:sz w:val="15"/>
          <w:szCs w:val="15"/>
          <w:color w:val="auto"/>
        </w:rPr>
        <w:t>®</w:t>
      </w:r>
      <w:r>
        <w:rPr>
          <w:rFonts w:ascii="Arial" w:cs="Arial" w:eastAsia="Arial" w:hAnsi="Arial"/>
          <w:sz w:val="18"/>
          <w:szCs w:val="18"/>
          <w:color w:val="auto"/>
        </w:rPr>
        <w:t xml:space="preserve"> business in fiscal 2007 and fiscal 2008. The Company has concluded it is probable that it will not receive any future tax benefit from these deferred tax assets.</w:t>
      </w:r>
    </w:p>
    <w:p>
      <w:pPr>
        <w:spacing w:after="0" w:line="70" w:lineRule="exact"/>
        <w:rPr>
          <w:sz w:val="20"/>
          <w:szCs w:val="20"/>
          <w:color w:val="auto"/>
        </w:rPr>
      </w:pPr>
    </w:p>
    <w:p>
      <w:pPr>
        <w:ind w:left="700" w:right="80" w:firstLine="402"/>
        <w:spacing w:after="0" w:line="255" w:lineRule="auto"/>
        <w:rPr>
          <w:sz w:val="20"/>
          <w:szCs w:val="20"/>
          <w:color w:val="auto"/>
        </w:rPr>
      </w:pPr>
      <w:r>
        <w:rPr>
          <w:rFonts w:ascii="Arial" w:cs="Arial" w:eastAsia="Arial" w:hAnsi="Arial"/>
          <w:sz w:val="18"/>
          <w:szCs w:val="18"/>
          <w:color w:val="auto"/>
        </w:rPr>
        <w:t>In accordance with APB 23, deferred taxes have not been provided on unremitted earnings approximating $105.8 million of certain foreign subsidiaries and foreign corporate joint ventures as such earnings have been permanently reinvested. The Company has also elected to treat certain foreign entities as disregarded</w:t>
      </w:r>
    </w:p>
    <w:p>
      <w:pPr>
        <w:spacing w:after="0" w:line="10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1"/>
          <w:szCs w:val="11"/>
          <w:b w:val="1"/>
          <w:bCs w:val="1"/>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-78105</wp:posOffset>
            </wp:positionV>
            <wp:extent cx="19748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240" w:top="415" w:right="919" w:bottom="1440" w:gutter="0" w:footer="0" w:header="0"/>
        </w:sectPr>
      </w:pPr>
    </w:p>
    <w:bookmarkStart w:id="102" w:name="page103"/>
    <w:bookmarkEnd w:id="102"/>
    <w:p>
      <w:pPr>
        <w:spacing w:after="0"/>
        <w:rPr>
          <w:rFonts w:ascii="Times New Roman" w:cs="Times New Roman" w:eastAsia="Times New Roman" w:hAnsi="Times New Roman"/>
          <w:sz w:val="18"/>
          <w:szCs w:val="18"/>
          <w:b w:val="1"/>
          <w:bCs w:val="1"/>
          <w:u w:val="single" w:color="auto"/>
          <w:color w:val="0000EE"/>
        </w:rPr>
      </w:pPr>
      <w:hyperlink w:anchor="page64">
        <w:r>
          <w:rPr>
            <w:rFonts w:ascii="Times New Roman" w:cs="Times New Roman" w:eastAsia="Times New Roman" w:hAnsi="Times New Roman"/>
            <w:sz w:val="18"/>
            <w:szCs w:val="18"/>
            <w:b w:val="1"/>
            <w:bCs w:val="1"/>
            <w:u w:val="single" w:color="auto"/>
            <w:color w:val="0000EE"/>
          </w:rPr>
          <w:t>Table of Contents</w:t>
        </w:r>
      </w:hyperlink>
    </w:p>
    <w:p>
      <w:pPr>
        <w:spacing w:after="0" w:line="317"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5" w:lineRule="exact"/>
        <w:rPr>
          <w:sz w:val="20"/>
          <w:szCs w:val="20"/>
          <w:color w:val="auto"/>
        </w:rPr>
      </w:pPr>
    </w:p>
    <w:p>
      <w:pPr>
        <w:ind w:left="700" w:right="120"/>
        <w:spacing w:after="0" w:line="243" w:lineRule="auto"/>
        <w:rPr>
          <w:sz w:val="20"/>
          <w:szCs w:val="20"/>
          <w:color w:val="auto"/>
        </w:rPr>
      </w:pPr>
      <w:r>
        <w:rPr>
          <w:rFonts w:ascii="Arial" w:cs="Arial" w:eastAsia="Arial" w:hAnsi="Arial"/>
          <w:sz w:val="18"/>
          <w:szCs w:val="18"/>
          <w:color w:val="auto"/>
        </w:rPr>
        <w:t>entities for U.S. tax purposes, which results in their net income or loss being recognized currently in the Company’s U.S. tax return. As such, the tax benefit of net operating losses available for foreign statutory tax purposes has already been recognized for U.S. purposes. Accordingly, a full valuation allowance is required on the tax benefit of these net operating losses on global consolidation. The statutory tax benefit of these net operating loss carryovers amounted to $45.9 million and $38.6 million for the fiscal years ended September 30, 2008 and 2007, respectively. A full valuation allowance has been placed on these assets for worldwide tax purposes.</w:t>
      </w:r>
    </w:p>
    <w:p>
      <w:pPr>
        <w:spacing w:after="0" w:line="80" w:lineRule="exact"/>
        <w:rPr>
          <w:sz w:val="20"/>
          <w:szCs w:val="20"/>
          <w:color w:val="auto"/>
        </w:rPr>
      </w:pPr>
    </w:p>
    <w:p>
      <w:pPr>
        <w:jc w:val="both"/>
        <w:ind w:left="700" w:right="460" w:firstLine="402"/>
        <w:spacing w:after="0" w:line="243" w:lineRule="auto"/>
        <w:rPr>
          <w:sz w:val="20"/>
          <w:szCs w:val="20"/>
          <w:color w:val="auto"/>
        </w:rPr>
      </w:pPr>
      <w:r>
        <w:rPr>
          <w:rFonts w:ascii="Arial" w:cs="Arial" w:eastAsia="Arial" w:hAnsi="Arial"/>
          <w:sz w:val="18"/>
          <w:szCs w:val="18"/>
          <w:color w:val="auto"/>
        </w:rPr>
        <w:t>The Company adopted the provisions of FASB Interpretation 48, “Accounting for Uncertainty in Income Taxes — an interpretation of FASB Statement No. 109” (“FIN 48”), as of October 1, 2007, the beginning of its 2008 fiscal year. FIN 48 clarifies the accounting for uncertainty in income taxes recognized in the financial statements in accordance with</w:t>
      </w:r>
    </w:p>
    <w:p>
      <w:pPr>
        <w:spacing w:after="0" w:line="1" w:lineRule="exact"/>
        <w:rPr>
          <w:sz w:val="20"/>
          <w:szCs w:val="20"/>
          <w:color w:val="auto"/>
        </w:rPr>
      </w:pPr>
    </w:p>
    <w:p>
      <w:pPr>
        <w:ind w:left="700" w:right="20"/>
        <w:spacing w:after="0" w:line="239" w:lineRule="auto"/>
        <w:rPr>
          <w:sz w:val="20"/>
          <w:szCs w:val="20"/>
          <w:color w:val="auto"/>
        </w:rPr>
      </w:pPr>
      <w:r>
        <w:rPr>
          <w:rFonts w:ascii="Arial" w:cs="Arial" w:eastAsia="Arial" w:hAnsi="Arial"/>
          <w:sz w:val="18"/>
          <w:szCs w:val="18"/>
          <w:color w:val="auto"/>
        </w:rPr>
        <w:t>SFAS No. 109, “Accounting for Income Taxes.” This standard provides that a tax benefit from an uncertain tax position may be recognized when it is more likely than not that the position will be sustained upon examination, including resolutions of any related appeals or litigation processes, based on the technical merits of the position. The amount recognized is measured as the largest amount of tax benefit that is greater than 50% likely of being realized upon settlement. The cumulative effect of adoption of this interpretation was a $0.4 million decrease to retained earnings.</w:t>
      </w:r>
    </w:p>
    <w:p>
      <w:pPr>
        <w:spacing w:after="0" w:line="82" w:lineRule="exact"/>
        <w:rPr>
          <w:sz w:val="20"/>
          <w:szCs w:val="20"/>
          <w:color w:val="auto"/>
        </w:rPr>
      </w:pPr>
    </w:p>
    <w:p>
      <w:pPr>
        <w:ind w:left="700" w:right="140" w:firstLine="402"/>
        <w:spacing w:after="0" w:line="245" w:lineRule="auto"/>
        <w:rPr>
          <w:sz w:val="20"/>
          <w:szCs w:val="20"/>
          <w:color w:val="auto"/>
        </w:rPr>
      </w:pPr>
      <w:r>
        <w:rPr>
          <w:rFonts w:ascii="Arial" w:cs="Arial" w:eastAsia="Arial" w:hAnsi="Arial"/>
          <w:sz w:val="18"/>
          <w:szCs w:val="18"/>
          <w:color w:val="auto"/>
        </w:rPr>
        <w:t>The Company had $7.2 million and $10.0 million of gross unrecognized tax benefits related to uncertain tax positions at September 30, 2008 and October 1, 2007, respectively. Included in the September 30, 2008 and October 1, 2007 balances were $6.5 million and $9.5 million, respectively, of unrecognized tax benefits that, if recognized, would have an impact on the effective tax rate. A reconciliation of these unrecognized tax benefits from October 1, 2007 to September 30, 2008 is as follows (in millions):</w:t>
      </w:r>
    </w:p>
    <w:p>
      <w:pPr>
        <w:spacing w:after="0" w:line="110"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Balance at October 1, 2007</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10.0</w:t>
            </w:r>
          </w:p>
        </w:tc>
        <w:tc>
          <w:tcPr>
            <w:tcW w:w="100" w:type="dxa"/>
            <w:vAlign w:val="bottom"/>
            <w:shd w:val="clear" w:color="auto" w:fill="CCEEFF"/>
          </w:tcPr>
          <w:p>
            <w:pPr>
              <w:spacing w:after="0"/>
              <w:rPr>
                <w:sz w:val="17"/>
                <w:szCs w:val="17"/>
                <w:color w:val="auto"/>
              </w:rPr>
            </w:pPr>
          </w:p>
        </w:tc>
      </w:tr>
      <w:tr>
        <w:trPr>
          <w:trHeight w:val="203"/>
        </w:trPr>
        <w:tc>
          <w:tcPr>
            <w:tcW w:w="9480" w:type="dxa"/>
            <w:vAlign w:val="bottom"/>
          </w:tcPr>
          <w:p>
            <w:pPr>
              <w:spacing w:after="0" w:line="202" w:lineRule="exact"/>
              <w:rPr>
                <w:sz w:val="20"/>
                <w:szCs w:val="20"/>
                <w:color w:val="auto"/>
              </w:rPr>
            </w:pPr>
            <w:r>
              <w:rPr>
                <w:rFonts w:ascii="Arial" w:cs="Arial" w:eastAsia="Arial" w:hAnsi="Arial"/>
                <w:sz w:val="18"/>
                <w:szCs w:val="18"/>
                <w:color w:val="auto"/>
              </w:rPr>
              <w:t>Additions for tax positions of the current year</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2.2</w:t>
            </w:r>
          </w:p>
        </w:tc>
        <w:tc>
          <w:tcPr>
            <w:tcW w:w="100" w:type="dxa"/>
            <w:vAlign w:val="bottom"/>
          </w:tcPr>
          <w:p>
            <w:pPr>
              <w:spacing w:after="0"/>
              <w:rPr>
                <w:sz w:val="17"/>
                <w:szCs w:val="17"/>
                <w:color w:val="auto"/>
              </w:rPr>
            </w:pPr>
          </w:p>
        </w:tc>
      </w:tr>
      <w:tr>
        <w:trPr>
          <w:trHeight w:val="203"/>
        </w:trPr>
        <w:tc>
          <w:tcPr>
            <w:tcW w:w="9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Additions for tax positions of prior years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7"/>
                <w:szCs w:val="17"/>
                <w:color w:val="auto"/>
              </w:rPr>
            </w:pPr>
          </w:p>
        </w:tc>
      </w:tr>
      <w:tr>
        <w:trPr>
          <w:trHeight w:val="203"/>
        </w:trPr>
        <w:tc>
          <w:tcPr>
            <w:tcW w:w="9480" w:type="dxa"/>
            <w:vAlign w:val="bottom"/>
          </w:tcPr>
          <w:p>
            <w:pPr>
              <w:spacing w:after="0" w:line="202" w:lineRule="exact"/>
              <w:rPr>
                <w:sz w:val="20"/>
                <w:szCs w:val="20"/>
                <w:color w:val="auto"/>
              </w:rPr>
            </w:pPr>
            <w:r>
              <w:rPr>
                <w:rFonts w:ascii="Arial" w:cs="Arial" w:eastAsia="Arial" w:hAnsi="Arial"/>
                <w:sz w:val="18"/>
                <w:szCs w:val="18"/>
                <w:color w:val="auto"/>
              </w:rPr>
              <w:t>Reductions for tax positions of the current year</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(0.1)</w:t>
            </w:r>
          </w:p>
        </w:tc>
      </w:tr>
      <w:tr>
        <w:trPr>
          <w:trHeight w:val="203"/>
        </w:trPr>
        <w:tc>
          <w:tcPr>
            <w:tcW w:w="9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Reductions for tax positions of prior years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(1.8)</w:t>
            </w:r>
          </w:p>
        </w:tc>
      </w:tr>
      <w:tr>
        <w:trPr>
          <w:trHeight w:val="203"/>
        </w:trPr>
        <w:tc>
          <w:tcPr>
            <w:tcW w:w="9480" w:type="dxa"/>
            <w:vAlign w:val="bottom"/>
          </w:tcPr>
          <w:p>
            <w:pPr>
              <w:spacing w:after="0" w:line="202" w:lineRule="exact"/>
              <w:rPr>
                <w:sz w:val="20"/>
                <w:szCs w:val="20"/>
                <w:color w:val="auto"/>
              </w:rPr>
            </w:pPr>
            <w:r>
              <w:rPr>
                <w:rFonts w:ascii="Arial" w:cs="Arial" w:eastAsia="Arial" w:hAnsi="Arial"/>
                <w:sz w:val="18"/>
                <w:szCs w:val="18"/>
                <w:color w:val="auto"/>
              </w:rPr>
              <w:t>Settlements with tax authorities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(1.8)</w:t>
            </w:r>
          </w:p>
        </w:tc>
      </w:tr>
      <w:tr>
        <w:trPr>
          <w:trHeight w:val="203"/>
        </w:trPr>
        <w:tc>
          <w:tcPr>
            <w:tcW w:w="9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Expiration of the statute of limitations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(1.9)</w:t>
            </w:r>
          </w:p>
        </w:tc>
      </w:tr>
      <w:tr>
        <w:trPr>
          <w:trHeight w:val="210"/>
        </w:trPr>
        <w:tc>
          <w:tcPr>
            <w:tcW w:w="9480" w:type="dxa"/>
            <w:vAlign w:val="bottom"/>
          </w:tcPr>
          <w:p>
            <w:pPr>
              <w:spacing w:after="0"/>
              <w:rPr>
                <w:sz w:val="20"/>
                <w:szCs w:val="20"/>
                <w:color w:val="auto"/>
              </w:rPr>
            </w:pPr>
            <w:r>
              <w:rPr>
                <w:rFonts w:ascii="Arial" w:cs="Arial" w:eastAsia="Arial" w:hAnsi="Arial"/>
                <w:sz w:val="18"/>
                <w:szCs w:val="18"/>
                <w:color w:val="auto"/>
              </w:rPr>
              <w:t>Balance at September 30, 2008</w:t>
            </w: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8"/>
                <w:szCs w:val="18"/>
                <w:color w:val="auto"/>
              </w:rPr>
            </w:pPr>
          </w:p>
        </w:tc>
      </w:tr>
      <w:tr>
        <w:trPr>
          <w:trHeight w:val="20"/>
        </w:trPr>
        <w:tc>
          <w:tcPr>
            <w:tcW w:w="9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2" w:lineRule="exact"/>
        <w:rPr>
          <w:sz w:val="20"/>
          <w:szCs w:val="20"/>
          <w:color w:val="auto"/>
        </w:rPr>
      </w:pPr>
    </w:p>
    <w:p>
      <w:pPr>
        <w:ind w:left="700" w:right="60" w:firstLine="402"/>
        <w:spacing w:after="0" w:line="243" w:lineRule="auto"/>
        <w:rPr>
          <w:sz w:val="20"/>
          <w:szCs w:val="20"/>
          <w:color w:val="auto"/>
        </w:rPr>
      </w:pPr>
      <w:r>
        <w:rPr>
          <w:rFonts w:ascii="Arial" w:cs="Arial" w:eastAsia="Arial" w:hAnsi="Arial"/>
          <w:sz w:val="18"/>
          <w:szCs w:val="18"/>
          <w:color w:val="auto"/>
        </w:rPr>
        <w:t>The Company continues to recognize accrued interest and penalties related to unrecognized tax benefits as a component of the provision for income taxes. As of September 30, 2008 and October 1, 2007, the Company had $1.2 million and $1.4 million, respectively, accrued for the payment of interest that, if recognized, would impact the effective tax rate. As of September 30, 2008 and October 1, 2007, the Company had $0.6 million and $0.8 million, respectively, accrued for the payment of penalties that, if recognized, would impact the effective tax rate. For the year ended September 30, 2008, the Company recognized $0.1 million of tax interest and tax penalties in its statement of operations.</w:t>
      </w:r>
    </w:p>
    <w:p>
      <w:pPr>
        <w:spacing w:after="0" w:line="80" w:lineRule="exact"/>
        <w:rPr>
          <w:sz w:val="20"/>
          <w:szCs w:val="20"/>
          <w:color w:val="auto"/>
        </w:rPr>
      </w:pPr>
    </w:p>
    <w:p>
      <w:pPr>
        <w:ind w:left="700" w:right="60" w:firstLine="402"/>
        <w:spacing w:after="0" w:line="257" w:lineRule="auto"/>
        <w:rPr>
          <w:sz w:val="20"/>
          <w:szCs w:val="20"/>
          <w:color w:val="auto"/>
        </w:rPr>
      </w:pPr>
      <w:r>
        <w:rPr>
          <w:rFonts w:ascii="Arial" w:cs="Arial" w:eastAsia="Arial" w:hAnsi="Arial"/>
          <w:sz w:val="17"/>
          <w:szCs w:val="17"/>
          <w:color w:val="auto"/>
        </w:rPr>
        <w:t>Scotts Miracle-Gro or one of its subsidiaries files income tax returns in the U.S. federal jurisdiction and various state, local and foreign jurisdictions. With few exceptions, the Company is no longer subject to examinations by these tax authorities for fiscal year 2004 and prior. The Company is currently under examination by certain foreign and U.S. state and local tax authorities. In regard to the foreign audits, the tax periods under investigation are limited to fiscal years 2005 through 2007. In the Company’s third quarter of fiscal 2008, the Canada Revenue Agency completed an examination of income tax returns for fiscal years 2002 and 2003 resulting in no material modifications or adjustments to unrecognized tax benefits. In regards to the U.S. state and local audits, the tax periods under investigation are limited to fiscal years 2002 through 2006. In addition to the aforementioned audits, certain other tax deficiency issues and refund claims for previous years remain unresolved.</w:t>
      </w:r>
    </w:p>
    <w:p>
      <w:pPr>
        <w:spacing w:after="0" w:line="68" w:lineRule="exact"/>
        <w:rPr>
          <w:sz w:val="20"/>
          <w:szCs w:val="20"/>
          <w:color w:val="auto"/>
        </w:rPr>
      </w:pPr>
    </w:p>
    <w:p>
      <w:pPr>
        <w:ind w:left="700" w:right="440" w:firstLine="402"/>
        <w:spacing w:after="0" w:line="276" w:lineRule="auto"/>
        <w:rPr>
          <w:sz w:val="20"/>
          <w:szCs w:val="20"/>
          <w:color w:val="auto"/>
        </w:rPr>
      </w:pPr>
      <w:r>
        <w:rPr>
          <w:rFonts w:ascii="Arial" w:cs="Arial" w:eastAsia="Arial" w:hAnsi="Arial"/>
          <w:sz w:val="18"/>
          <w:szCs w:val="18"/>
          <w:color w:val="auto"/>
        </w:rPr>
        <w:t>The Company currently anticipates that few of its open and active audits will be resolved in the next 12 months. The Company is unable to make a reasonably reliable estimate as to when or if cash</w:t>
      </w:r>
    </w:p>
    <w:p>
      <w:pPr>
        <w:spacing w:after="0" w:line="8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1"/>
          <w:szCs w:val="11"/>
          <w:b w:val="1"/>
          <w:bCs w:val="1"/>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-78105</wp:posOffset>
            </wp:positionV>
            <wp:extent cx="19748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240" w:top="415" w:right="919" w:bottom="1440" w:gutter="0" w:footer="0" w:header="0"/>
        </w:sectPr>
      </w:pPr>
    </w:p>
    <w:bookmarkStart w:id="103" w:name="page104"/>
    <w:bookmarkEnd w:id="103"/>
    <w:p>
      <w:pPr>
        <w:spacing w:after="0"/>
        <w:rPr>
          <w:rFonts w:ascii="Times New Roman" w:cs="Times New Roman" w:eastAsia="Times New Roman" w:hAnsi="Times New Roman"/>
          <w:sz w:val="18"/>
          <w:szCs w:val="18"/>
          <w:b w:val="1"/>
          <w:bCs w:val="1"/>
          <w:u w:val="single" w:color="auto"/>
          <w:color w:val="0000EE"/>
        </w:rPr>
      </w:pPr>
      <w:hyperlink w:anchor="page64">
        <w:r>
          <w:rPr>
            <w:rFonts w:ascii="Times New Roman" w:cs="Times New Roman" w:eastAsia="Times New Roman" w:hAnsi="Times New Roman"/>
            <w:sz w:val="18"/>
            <w:szCs w:val="18"/>
            <w:b w:val="1"/>
            <w:bCs w:val="1"/>
            <w:u w:val="single" w:color="auto"/>
            <w:color w:val="0000EE"/>
          </w:rPr>
          <w:t>Table of Contents</w:t>
        </w:r>
      </w:hyperlink>
    </w:p>
    <w:p>
      <w:pPr>
        <w:spacing w:after="0" w:line="317"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5" w:lineRule="exact"/>
        <w:rPr>
          <w:sz w:val="20"/>
          <w:szCs w:val="20"/>
          <w:color w:val="auto"/>
        </w:rPr>
      </w:pPr>
    </w:p>
    <w:p>
      <w:pPr>
        <w:ind w:left="700" w:right="120"/>
        <w:spacing w:after="0" w:line="255" w:lineRule="auto"/>
        <w:rPr>
          <w:sz w:val="20"/>
          <w:szCs w:val="20"/>
          <w:color w:val="auto"/>
        </w:rPr>
      </w:pPr>
      <w:r>
        <w:rPr>
          <w:rFonts w:ascii="Arial" w:cs="Arial" w:eastAsia="Arial" w:hAnsi="Arial"/>
          <w:sz w:val="18"/>
          <w:szCs w:val="18"/>
          <w:color w:val="auto"/>
        </w:rPr>
        <w:t>settlements with taxing authorities may occur. Although audit outcomes and the timing of audit payments are subject to significant uncertainty, the Company does not anticipate that the resolution of these tax matters or any events related thereto will result in a material change to its consolidated financial position or results of operations.</w:t>
      </w:r>
    </w:p>
    <w:p>
      <w:pPr>
        <w:spacing w:after="0" w:line="70" w:lineRule="exact"/>
        <w:rPr>
          <w:sz w:val="20"/>
          <w:szCs w:val="20"/>
          <w:color w:val="auto"/>
        </w:rPr>
      </w:pPr>
    </w:p>
    <w:p>
      <w:pPr>
        <w:ind w:left="700" w:right="100" w:firstLine="402"/>
        <w:spacing w:after="0"/>
        <w:rPr>
          <w:sz w:val="20"/>
          <w:szCs w:val="20"/>
          <w:color w:val="auto"/>
        </w:rPr>
      </w:pPr>
      <w:r>
        <w:rPr>
          <w:rFonts w:ascii="Arial" w:cs="Arial" w:eastAsia="Arial" w:hAnsi="Arial"/>
          <w:sz w:val="18"/>
          <w:szCs w:val="18"/>
          <w:color w:val="auto"/>
        </w:rPr>
        <w:t>Management judgment is required in determining tax provisions and evaluating tax positions. Management believes its tax positions and related provisions reflected in the consolidated financial statements are fully supportable and appropriate. The Company established reserves for additional income taxes that may become due if the tax positions are challenged and not sustained. The Company’s tax provision includes the impact of recording reserves and changes thereto. The reserves for additional income taxes are based on management’s best estimate of the ultimate resolution of the tax matter. Based on currently available information, the Company believes that the ultimate outcome of any challenges to its tax positions will not have a material adverse effect on its financial position, results of operations or cash flows. The Company’s tax provision includes the impact of recording reserves and adjusting existing reserves.</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NOTE 15. FINANCIAL INSTRUMENTS</w:t>
      </w:r>
    </w:p>
    <w:p>
      <w:pPr>
        <w:spacing w:after="0" w:line="119" w:lineRule="exact"/>
        <w:rPr>
          <w:sz w:val="20"/>
          <w:szCs w:val="20"/>
          <w:color w:val="auto"/>
        </w:rPr>
      </w:pPr>
    </w:p>
    <w:p>
      <w:pPr>
        <w:ind w:left="700" w:firstLine="402"/>
        <w:spacing w:after="0" w:line="276" w:lineRule="auto"/>
        <w:rPr>
          <w:sz w:val="20"/>
          <w:szCs w:val="20"/>
          <w:color w:val="auto"/>
        </w:rPr>
      </w:pPr>
      <w:r>
        <w:rPr>
          <w:rFonts w:ascii="Arial" w:cs="Arial" w:eastAsia="Arial" w:hAnsi="Arial"/>
          <w:sz w:val="18"/>
          <w:szCs w:val="18"/>
          <w:color w:val="auto"/>
        </w:rPr>
        <w:t>A description of the Company’s financial instruments and the methods and assumptions used to estimate their fair values is as follows:</w:t>
      </w:r>
    </w:p>
    <w:p>
      <w:pPr>
        <w:spacing w:after="0" w:line="161" w:lineRule="exact"/>
        <w:rPr>
          <w:sz w:val="20"/>
          <w:szCs w:val="20"/>
          <w:color w:val="auto"/>
        </w:rPr>
      </w:pPr>
    </w:p>
    <w:p>
      <w:pPr>
        <w:ind w:left="700"/>
        <w:spacing w:after="0"/>
        <w:rPr>
          <w:sz w:val="20"/>
          <w:szCs w:val="20"/>
          <w:color w:val="auto"/>
        </w:rPr>
      </w:pPr>
      <w:r>
        <w:rPr>
          <w:rFonts w:ascii="Arial" w:cs="Arial" w:eastAsia="Arial" w:hAnsi="Arial"/>
          <w:sz w:val="16"/>
          <w:szCs w:val="16"/>
          <w:b w:val="1"/>
          <w:bCs w:val="1"/>
          <w:u w:val="single" w:color="auto"/>
          <w:color w:val="auto"/>
        </w:rPr>
        <w:t>Long-Term Debt</w:t>
      </w:r>
    </w:p>
    <w:p>
      <w:pPr>
        <w:spacing w:after="0" w:line="124" w:lineRule="exact"/>
        <w:rPr>
          <w:sz w:val="20"/>
          <w:szCs w:val="20"/>
          <w:color w:val="auto"/>
        </w:rPr>
      </w:pPr>
    </w:p>
    <w:p>
      <w:pPr>
        <w:ind w:left="700" w:right="420" w:firstLine="402"/>
        <w:spacing w:after="0" w:line="276" w:lineRule="auto"/>
        <w:rPr>
          <w:sz w:val="20"/>
          <w:szCs w:val="20"/>
          <w:color w:val="auto"/>
        </w:rPr>
      </w:pPr>
      <w:r>
        <w:rPr>
          <w:rFonts w:ascii="Arial" w:cs="Arial" w:eastAsia="Arial" w:hAnsi="Arial"/>
          <w:sz w:val="18"/>
          <w:szCs w:val="18"/>
          <w:color w:val="auto"/>
        </w:rPr>
        <w:t>The interest rate currently available to the Company fluctuates with the applicable LIBOR rate, prime rate or Federal Funds Effective Rate, and thus the carrying value is a reasonable estimate of fair value.</w:t>
      </w:r>
    </w:p>
    <w:p>
      <w:pPr>
        <w:spacing w:after="0" w:line="161" w:lineRule="exact"/>
        <w:rPr>
          <w:sz w:val="20"/>
          <w:szCs w:val="20"/>
          <w:color w:val="auto"/>
        </w:rPr>
      </w:pPr>
    </w:p>
    <w:p>
      <w:pPr>
        <w:ind w:left="700"/>
        <w:spacing w:after="0"/>
        <w:rPr>
          <w:sz w:val="20"/>
          <w:szCs w:val="20"/>
          <w:color w:val="auto"/>
        </w:rPr>
      </w:pPr>
      <w:r>
        <w:rPr>
          <w:rFonts w:ascii="Arial" w:cs="Arial" w:eastAsia="Arial" w:hAnsi="Arial"/>
          <w:sz w:val="16"/>
          <w:szCs w:val="16"/>
          <w:b w:val="1"/>
          <w:bCs w:val="1"/>
          <w:u w:val="single" w:color="auto"/>
          <w:color w:val="auto"/>
        </w:rPr>
        <w:t>Accounts Receivable Pledged</w:t>
      </w:r>
    </w:p>
    <w:p>
      <w:pPr>
        <w:spacing w:after="0" w:line="124" w:lineRule="exact"/>
        <w:rPr>
          <w:sz w:val="20"/>
          <w:szCs w:val="20"/>
          <w:color w:val="auto"/>
        </w:rPr>
      </w:pPr>
    </w:p>
    <w:p>
      <w:pPr>
        <w:ind w:left="700" w:right="180" w:firstLine="402"/>
        <w:spacing w:after="0" w:line="276" w:lineRule="auto"/>
        <w:rPr>
          <w:sz w:val="20"/>
          <w:szCs w:val="20"/>
          <w:color w:val="auto"/>
        </w:rPr>
      </w:pPr>
      <w:r>
        <w:rPr>
          <w:rFonts w:ascii="Arial" w:cs="Arial" w:eastAsia="Arial" w:hAnsi="Arial"/>
          <w:sz w:val="18"/>
          <w:szCs w:val="18"/>
          <w:color w:val="auto"/>
        </w:rPr>
        <w:t>The interest rate on the short-term debt associated with accounts receivable pledged under the New MARP agreement fluctuates with the one-week LIBOR rate, and thus the carrying value is a reasonable estimate of fair value.</w:t>
      </w:r>
    </w:p>
    <w:p>
      <w:pPr>
        <w:spacing w:after="0" w:line="161" w:lineRule="exact"/>
        <w:rPr>
          <w:sz w:val="20"/>
          <w:szCs w:val="20"/>
          <w:color w:val="auto"/>
        </w:rPr>
      </w:pPr>
    </w:p>
    <w:p>
      <w:pPr>
        <w:ind w:left="700"/>
        <w:spacing w:after="0"/>
        <w:rPr>
          <w:sz w:val="20"/>
          <w:szCs w:val="20"/>
          <w:color w:val="auto"/>
        </w:rPr>
      </w:pPr>
      <w:r>
        <w:rPr>
          <w:rFonts w:ascii="Arial" w:cs="Arial" w:eastAsia="Arial" w:hAnsi="Arial"/>
          <w:sz w:val="16"/>
          <w:szCs w:val="16"/>
          <w:b w:val="1"/>
          <w:bCs w:val="1"/>
          <w:u w:val="single" w:color="auto"/>
          <w:color w:val="auto"/>
        </w:rPr>
        <w:t>Derivatives and Hedging</w:t>
      </w:r>
    </w:p>
    <w:p>
      <w:pPr>
        <w:spacing w:after="0" w:line="124" w:lineRule="exact"/>
        <w:rPr>
          <w:sz w:val="20"/>
          <w:szCs w:val="20"/>
          <w:color w:val="auto"/>
        </w:rPr>
      </w:pPr>
    </w:p>
    <w:p>
      <w:pPr>
        <w:ind w:left="700" w:right="100" w:firstLine="402"/>
        <w:spacing w:after="0" w:line="243" w:lineRule="auto"/>
        <w:rPr>
          <w:sz w:val="20"/>
          <w:szCs w:val="20"/>
          <w:color w:val="auto"/>
        </w:rPr>
      </w:pPr>
      <w:r>
        <w:rPr>
          <w:rFonts w:ascii="Arial" w:cs="Arial" w:eastAsia="Arial" w:hAnsi="Arial"/>
          <w:sz w:val="18"/>
          <w:szCs w:val="18"/>
          <w:color w:val="auto"/>
        </w:rPr>
        <w:t>The Company is exposed to market risks, such as changes in interest rates, currency exchange rates and commodity prices. To manage the volatility related to these exposures, the Company enters into various financial transactions, which are accounted for under SFAS 133, “Accounting for Derivative Instruments and Hedging Activities,” as amended and interpreted. The utilization of these financial transactions is governed by policies covering acceptable counterpart exposure, instrument types and other hedging practices. The Company does not hold or issue derivative financial instruments for speculative trading purposes.</w:t>
      </w:r>
    </w:p>
    <w:p>
      <w:pPr>
        <w:spacing w:after="0" w:line="80" w:lineRule="exact"/>
        <w:rPr>
          <w:sz w:val="20"/>
          <w:szCs w:val="20"/>
          <w:color w:val="auto"/>
        </w:rPr>
      </w:pPr>
    </w:p>
    <w:p>
      <w:pPr>
        <w:ind w:left="700" w:right="40" w:firstLine="402"/>
        <w:spacing w:after="0" w:line="257" w:lineRule="auto"/>
        <w:rPr>
          <w:sz w:val="20"/>
          <w:szCs w:val="20"/>
          <w:color w:val="auto"/>
        </w:rPr>
      </w:pPr>
      <w:r>
        <w:rPr>
          <w:rFonts w:ascii="Arial" w:cs="Arial" w:eastAsia="Arial" w:hAnsi="Arial"/>
          <w:sz w:val="17"/>
          <w:szCs w:val="17"/>
          <w:color w:val="auto"/>
        </w:rPr>
        <w:t>The Company formally designates and documents qualifying instruments as hedges of underlying exposures at inception. The Company formally assesses, both at inception and at least quarterly on an ongoing basis, whether the financial instruments used in hedging transactions are effective at offsetting changes in either the fair value or cash flows of the related underlying exposure. Fluctuations in the value of these instruments generally are offset by changes in the fair value or cash flows of the underlying exposures being hedged. This offset is driven by the high degree of effectiveness between the exposure being hedged and the hedging instrument. Any ineffective portion of a change in the fair value of a qualifying instrument is immediately recognized in earnings. There were no amounts excluded from the assessment of effectiveness for derivatives designated as either fair value or cash flow hedges for the fiscal years ended September 30, 2008 and 2007.</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6"/>
          <w:szCs w:val="16"/>
          <w:b w:val="1"/>
          <w:bCs w:val="1"/>
          <w:u w:val="single" w:color="auto"/>
          <w:color w:val="auto"/>
        </w:rPr>
        <w:t>Foreign Currency Swap Agreements</w:t>
      </w:r>
    </w:p>
    <w:p>
      <w:pPr>
        <w:spacing w:after="0" w:line="124" w:lineRule="exact"/>
        <w:rPr>
          <w:sz w:val="20"/>
          <w:szCs w:val="20"/>
          <w:color w:val="auto"/>
        </w:rPr>
      </w:pPr>
    </w:p>
    <w:p>
      <w:pPr>
        <w:ind w:left="700" w:right="340" w:firstLine="402"/>
        <w:spacing w:after="0" w:line="255" w:lineRule="auto"/>
        <w:rPr>
          <w:sz w:val="20"/>
          <w:szCs w:val="20"/>
          <w:color w:val="auto"/>
        </w:rPr>
      </w:pPr>
      <w:r>
        <w:rPr>
          <w:rFonts w:ascii="Arial" w:cs="Arial" w:eastAsia="Arial" w:hAnsi="Arial"/>
          <w:sz w:val="18"/>
          <w:szCs w:val="18"/>
          <w:color w:val="auto"/>
        </w:rPr>
        <w:t>The Company uses foreign currency swap contracts to manage the exchange rate risk associated with intercompany loans with foreign subsidiaries that are denominated in U.S. dollars. At September 30, 2008, the notional amount of outstanding contracts was $86.4 million, with a fair value of $(0.4) million. The</w:t>
      </w:r>
    </w:p>
    <w:p>
      <w:pPr>
        <w:spacing w:after="0" w:line="10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1"/>
          <w:szCs w:val="11"/>
          <w:b w:val="1"/>
          <w:bCs w:val="1"/>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-78105</wp:posOffset>
            </wp:positionV>
            <wp:extent cx="19748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20"/>
          </w:cols>
          <w:pgMar w:left="240" w:top="415" w:right="939" w:bottom="1440" w:gutter="0" w:footer="0" w:header="0"/>
        </w:sectPr>
      </w:pPr>
    </w:p>
    <w:bookmarkStart w:id="104" w:name="page105"/>
    <w:bookmarkEnd w:id="104"/>
    <w:p>
      <w:pPr>
        <w:spacing w:after="0"/>
        <w:rPr>
          <w:rFonts w:ascii="Times New Roman" w:cs="Times New Roman" w:eastAsia="Times New Roman" w:hAnsi="Times New Roman"/>
          <w:sz w:val="18"/>
          <w:szCs w:val="18"/>
          <w:b w:val="1"/>
          <w:bCs w:val="1"/>
          <w:u w:val="single" w:color="auto"/>
          <w:color w:val="0000EE"/>
        </w:rPr>
      </w:pPr>
      <w:hyperlink w:anchor="page64">
        <w:r>
          <w:rPr>
            <w:rFonts w:ascii="Times New Roman" w:cs="Times New Roman" w:eastAsia="Times New Roman" w:hAnsi="Times New Roman"/>
            <w:sz w:val="18"/>
            <w:szCs w:val="18"/>
            <w:b w:val="1"/>
            <w:bCs w:val="1"/>
            <w:u w:val="single" w:color="auto"/>
            <w:color w:val="0000EE"/>
          </w:rPr>
          <w:t>Table of Contents</w:t>
        </w:r>
      </w:hyperlink>
    </w:p>
    <w:p>
      <w:pPr>
        <w:spacing w:after="0" w:line="317"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5" w:lineRule="exact"/>
        <w:rPr>
          <w:sz w:val="20"/>
          <w:szCs w:val="20"/>
          <w:color w:val="auto"/>
        </w:rPr>
      </w:pPr>
    </w:p>
    <w:p>
      <w:pPr>
        <w:ind w:left="700" w:right="240"/>
        <w:spacing w:after="0" w:line="276" w:lineRule="auto"/>
        <w:rPr>
          <w:sz w:val="20"/>
          <w:szCs w:val="20"/>
          <w:color w:val="auto"/>
        </w:rPr>
      </w:pPr>
      <w:r>
        <w:rPr>
          <w:rFonts w:ascii="Arial" w:cs="Arial" w:eastAsia="Arial" w:hAnsi="Arial"/>
          <w:sz w:val="18"/>
          <w:szCs w:val="18"/>
          <w:color w:val="auto"/>
        </w:rPr>
        <w:t>unrealized loss on the contracts approximates the unrealized gain on the intercompany loans recognized by the Company’s foreign subsidiaries.</w:t>
      </w:r>
    </w:p>
    <w:p>
      <w:pPr>
        <w:spacing w:after="0" w:line="161" w:lineRule="exact"/>
        <w:rPr>
          <w:sz w:val="20"/>
          <w:szCs w:val="20"/>
          <w:color w:val="auto"/>
        </w:rPr>
      </w:pPr>
    </w:p>
    <w:p>
      <w:pPr>
        <w:ind w:left="700"/>
        <w:spacing w:after="0"/>
        <w:rPr>
          <w:sz w:val="20"/>
          <w:szCs w:val="20"/>
          <w:color w:val="auto"/>
        </w:rPr>
      </w:pPr>
      <w:r>
        <w:rPr>
          <w:rFonts w:ascii="Arial" w:cs="Arial" w:eastAsia="Arial" w:hAnsi="Arial"/>
          <w:sz w:val="16"/>
          <w:szCs w:val="16"/>
          <w:b w:val="1"/>
          <w:bCs w:val="1"/>
          <w:u w:val="single" w:color="auto"/>
          <w:color w:val="auto"/>
        </w:rPr>
        <w:t>Interest Rate Swap Agreements</w:t>
      </w:r>
    </w:p>
    <w:p>
      <w:pPr>
        <w:spacing w:after="0" w:line="124" w:lineRule="exact"/>
        <w:rPr>
          <w:sz w:val="20"/>
          <w:szCs w:val="20"/>
          <w:color w:val="auto"/>
        </w:rPr>
      </w:pPr>
    </w:p>
    <w:p>
      <w:pPr>
        <w:ind w:left="700" w:right="40" w:firstLine="402"/>
        <w:spacing w:after="0"/>
        <w:rPr>
          <w:sz w:val="20"/>
          <w:szCs w:val="20"/>
          <w:color w:val="auto"/>
        </w:rPr>
      </w:pPr>
      <w:r>
        <w:rPr>
          <w:rFonts w:ascii="Arial" w:cs="Arial" w:eastAsia="Arial" w:hAnsi="Arial"/>
          <w:sz w:val="18"/>
          <w:szCs w:val="18"/>
          <w:color w:val="auto"/>
        </w:rPr>
        <w:t>At September 30, 2008 and 2007, the Company had outstanding interest rate swaps with major financial institutions that effectively convert a portion of the Company’s variable-rate debt to a fixed rate. The swap agreements had a total U.S. dollar equivalent notional amount of $711.4 million and $720.0 million at September 30, 2008 and 2007, respectively. Please refer to “NOTE 11. DEBT” for the terms, expiration dates and rates of the swaps outstanding at September 30, 2008. The change in notional amounts for the Euro and British pounds denominated swaps is due to foreign exchange movement. During fiscal 2008, 2007 and 2006, $4.5 million of pretax derivative losses, and $3.3 million and $0.8 million of pretax derivative gains, respectively, from such hedges were recorded in interest expense. During the next 12 months, $4.3 million of the September 30, 2008 other comprehensive income balance will be reclassified to earnings consistent with the timing of the underlying hedged transactions.</w:t>
      </w:r>
    </w:p>
    <w:p>
      <w:pPr>
        <w:spacing w:after="0" w:line="82" w:lineRule="exact"/>
        <w:rPr>
          <w:sz w:val="20"/>
          <w:szCs w:val="20"/>
          <w:color w:val="auto"/>
        </w:rPr>
      </w:pPr>
    </w:p>
    <w:p>
      <w:pPr>
        <w:ind w:left="700" w:right="20" w:firstLine="402"/>
        <w:spacing w:after="0" w:line="241" w:lineRule="auto"/>
        <w:rPr>
          <w:sz w:val="20"/>
          <w:szCs w:val="20"/>
          <w:color w:val="auto"/>
        </w:rPr>
      </w:pPr>
      <w:r>
        <w:rPr>
          <w:rFonts w:ascii="Arial" w:cs="Arial" w:eastAsia="Arial" w:hAnsi="Arial"/>
          <w:sz w:val="18"/>
          <w:szCs w:val="18"/>
          <w:color w:val="auto"/>
        </w:rPr>
        <w:t>The Company enters into interest rate swap agreements as a means to hedge its variable interest rate exposure on debt instruments. Since the interest rate swaps have been designated as hedging instruments, their fair values are reflected in the Company’s Consolidated Balance Sheets. Net amounts to be received or paid under the swap agreements are reflected as adjustments to interest expense. Unrealized gains or losses resulting from adjusting these swaps to fair value are recorded as elements of accumulated other comprehensive income or loss within the Consolidated Balance Sheets. The fair value of the swap agreements was determined based on the present value of the estimated future net cash flows using implied rates in the applicable yield curve as of the valuation date.</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16"/>
          <w:szCs w:val="16"/>
          <w:b w:val="1"/>
          <w:bCs w:val="1"/>
          <w:u w:val="single" w:color="auto"/>
          <w:color w:val="auto"/>
        </w:rPr>
        <w:t>Commodity Hedges</w:t>
      </w:r>
    </w:p>
    <w:p>
      <w:pPr>
        <w:spacing w:after="0" w:line="124" w:lineRule="exact"/>
        <w:rPr>
          <w:sz w:val="20"/>
          <w:szCs w:val="20"/>
          <w:color w:val="auto"/>
        </w:rPr>
      </w:pPr>
    </w:p>
    <w:p>
      <w:pPr>
        <w:ind w:left="700" w:right="20" w:firstLine="402"/>
        <w:spacing w:after="0" w:line="243" w:lineRule="auto"/>
        <w:rPr>
          <w:sz w:val="20"/>
          <w:szCs w:val="20"/>
          <w:color w:val="auto"/>
        </w:rPr>
      </w:pPr>
      <w:r>
        <w:rPr>
          <w:rFonts w:ascii="Arial" w:cs="Arial" w:eastAsia="Arial" w:hAnsi="Arial"/>
          <w:sz w:val="18"/>
          <w:szCs w:val="18"/>
          <w:color w:val="auto"/>
        </w:rPr>
        <w:t>Throughout the fiscal year, the Company uses diesel fuel derivatives to partially mitigate the effect of fluctuating fuel costs on operating results. The Company has no outstanding fuel derivatives at September 30, 2008. Fuel derivatives used by the Company do not qualify for hedge accounting treatment under SFAS 133 and are marked-to-market, with unrealized gains and losses on open contracts and realized gains or losses on settled contracts recorded as an element of cost of sales. Amounts included in cost of sales relating to these fuel derivatives for the years ended September 30, 2008 and 2007 were not significant.</w:t>
      </w:r>
    </w:p>
    <w:p>
      <w:pPr>
        <w:spacing w:after="0" w:line="80" w:lineRule="exact"/>
        <w:rPr>
          <w:sz w:val="20"/>
          <w:szCs w:val="20"/>
          <w:color w:val="auto"/>
        </w:rPr>
      </w:pPr>
    </w:p>
    <w:p>
      <w:pPr>
        <w:ind w:left="700" w:firstLine="402"/>
        <w:spacing w:after="0" w:line="239" w:lineRule="auto"/>
        <w:rPr>
          <w:sz w:val="20"/>
          <w:szCs w:val="20"/>
          <w:color w:val="auto"/>
        </w:rPr>
      </w:pPr>
      <w:r>
        <w:rPr>
          <w:rFonts w:ascii="Arial" w:cs="Arial" w:eastAsia="Arial" w:hAnsi="Arial"/>
          <w:sz w:val="18"/>
          <w:szCs w:val="18"/>
          <w:color w:val="auto"/>
        </w:rPr>
        <w:t>The Company also has hedging arrangements designed to fix the price of a portion of its urea needs through April 30, 2009. The contracts are designated as hedges of the Company’s exposure to future cash flows associated with the cost of urea. The objective of the hedge is to eliminate the variability of cash flows attributable to the risk of change. Unrealized gains or losses in the fair value of these contracts are recorded to the accumulated other comprehensive loss component of shareholders’ equity. Gains or losses upon realization remain as a component of accumulated other comprehensive loss until the related inventory is sold. Upon sale of the underlying inventory, the gain or loss is reclassified to cost of sales. During fiscal 2008, 2007 and 2006, $3.3 million, $2.6 million and $0.0 million of pretax derivative gains, respectively, from such hedges were recorded in cost of sales. The fair value of the 48,500 aggregate tons hedged at September 30, 2008 was ($ 8.5) million. During the next 12 months, ($8.5) million of the September 30, 2008 other comprehensive income balance will be reclassified to earnings consistent with the timing of the underlying hedged transactions.</w:t>
      </w:r>
    </w:p>
    <w:p>
      <w:pPr>
        <w:spacing w:after="0" w:line="1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1"/>
          <w:szCs w:val="11"/>
          <w:b w:val="1"/>
          <w:bCs w:val="1"/>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-78105</wp:posOffset>
            </wp:positionV>
            <wp:extent cx="19748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240" w:top="415" w:right="919" w:bottom="1440" w:gutter="0" w:footer="0" w:header="0"/>
        </w:sectPr>
      </w:pPr>
    </w:p>
    <w:bookmarkStart w:id="105" w:name="page106"/>
    <w:bookmarkEnd w:id="105"/>
    <w:p>
      <w:pPr>
        <w:spacing w:after="0"/>
        <w:rPr>
          <w:rFonts w:ascii="Times New Roman" w:cs="Times New Roman" w:eastAsia="Times New Roman" w:hAnsi="Times New Roman"/>
          <w:sz w:val="18"/>
          <w:szCs w:val="18"/>
          <w:b w:val="1"/>
          <w:bCs w:val="1"/>
          <w:u w:val="single" w:color="auto"/>
          <w:color w:val="0000EE"/>
        </w:rPr>
      </w:pPr>
      <w:hyperlink w:anchor="page64">
        <w:r>
          <w:rPr>
            <w:rFonts w:ascii="Times New Roman" w:cs="Times New Roman" w:eastAsia="Times New Roman" w:hAnsi="Times New Roman"/>
            <w:sz w:val="18"/>
            <w:szCs w:val="18"/>
            <w:b w:val="1"/>
            <w:bCs w:val="1"/>
            <w:u w:val="single" w:color="auto"/>
            <w:color w:val="0000EE"/>
          </w:rPr>
          <w:t>Table of Contents</w:t>
        </w:r>
      </w:hyperlink>
    </w:p>
    <w:p>
      <w:pPr>
        <w:spacing w:after="0" w:line="317"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8" w:lineRule="exact"/>
        <w:rPr>
          <w:sz w:val="20"/>
          <w:szCs w:val="20"/>
          <w:color w:val="auto"/>
        </w:rPr>
      </w:pPr>
    </w:p>
    <w:p>
      <w:pPr>
        <w:ind w:left="700"/>
        <w:spacing w:after="0"/>
        <w:rPr>
          <w:sz w:val="20"/>
          <w:szCs w:val="20"/>
          <w:color w:val="auto"/>
        </w:rPr>
      </w:pPr>
      <w:r>
        <w:rPr>
          <w:rFonts w:ascii="Arial" w:cs="Arial" w:eastAsia="Arial" w:hAnsi="Arial"/>
          <w:sz w:val="16"/>
          <w:szCs w:val="16"/>
          <w:b w:val="1"/>
          <w:bCs w:val="1"/>
          <w:u w:val="single" w:color="auto"/>
          <w:color w:val="auto"/>
        </w:rPr>
        <w:t>Estimated Fair Values</w:t>
      </w:r>
    </w:p>
    <w:p>
      <w:pPr>
        <w:spacing w:after="0" w:line="124" w:lineRule="exact"/>
        <w:rPr>
          <w:sz w:val="20"/>
          <w:szCs w:val="20"/>
          <w:color w:val="auto"/>
        </w:rPr>
      </w:pPr>
    </w:p>
    <w:p>
      <w:pPr>
        <w:ind w:left="700" w:right="100" w:firstLine="402"/>
        <w:spacing w:after="0" w:line="276" w:lineRule="auto"/>
        <w:rPr>
          <w:sz w:val="20"/>
          <w:szCs w:val="20"/>
          <w:color w:val="auto"/>
        </w:rPr>
      </w:pPr>
      <w:r>
        <w:rPr>
          <w:rFonts w:ascii="Arial" w:cs="Arial" w:eastAsia="Arial" w:hAnsi="Arial"/>
          <w:sz w:val="18"/>
          <w:szCs w:val="18"/>
          <w:color w:val="auto"/>
        </w:rPr>
        <w:t>The estimated fair values of the Company’s financial instruments are as follows for the fiscal years ended September 30 (in millions):</w:t>
      </w:r>
    </w:p>
    <w:p>
      <w:pPr>
        <w:spacing w:after="0" w:line="64" w:lineRule="exact"/>
        <w:rPr>
          <w:sz w:val="20"/>
          <w:szCs w:val="20"/>
          <w:color w:val="auto"/>
        </w:rPr>
      </w:pPr>
    </w:p>
    <w:tbl>
      <w:tblPr>
        <w:tblLayout w:type="fixed"/>
        <w:tblInd w:w="70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2008</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2007</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40" w:type="dxa"/>
            <w:vAlign w:val="bottom"/>
            <w:tcBorders>
              <w:top w:val="single" w:sz="8" w:color="auto"/>
            </w:tcBorders>
          </w:tcPr>
          <w:p>
            <w:pPr>
              <w:jc w:val="right"/>
              <w:ind w:right="270"/>
              <w:spacing w:after="0" w:line="173" w:lineRule="exact"/>
              <w:rPr>
                <w:sz w:val="20"/>
                <w:szCs w:val="20"/>
                <w:color w:val="auto"/>
              </w:rPr>
            </w:pPr>
            <w:r>
              <w:rPr>
                <w:rFonts w:ascii="Arial" w:cs="Arial" w:eastAsia="Arial" w:hAnsi="Arial"/>
                <w:sz w:val="18"/>
                <w:szCs w:val="18"/>
                <w:color w:val="auto"/>
                <w:w w:val="96"/>
              </w:rPr>
              <w:t>Carrying</w:t>
            </w:r>
          </w:p>
        </w:tc>
        <w:tc>
          <w:tcPr>
            <w:tcW w:w="600" w:type="dxa"/>
            <w:vAlign w:val="bottom"/>
            <w:tcBorders>
              <w:top w:val="single" w:sz="8" w:color="auto"/>
            </w:tcBorders>
          </w:tcPr>
          <w:p>
            <w:pPr>
              <w:jc w:val="right"/>
              <w:ind w:right="50"/>
              <w:spacing w:after="0" w:line="173" w:lineRule="exact"/>
              <w:rPr>
                <w:sz w:val="20"/>
                <w:szCs w:val="20"/>
                <w:color w:val="auto"/>
              </w:rPr>
            </w:pPr>
            <w:r>
              <w:rPr>
                <w:rFonts w:ascii="Arial" w:cs="Arial" w:eastAsia="Arial" w:hAnsi="Arial"/>
                <w:sz w:val="18"/>
                <w:szCs w:val="18"/>
                <w:color w:val="auto"/>
              </w:rPr>
              <w:t>Fair</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Borders>
              <w:top w:val="single" w:sz="8" w:color="auto"/>
            </w:tcBorders>
          </w:tcPr>
          <w:p>
            <w:pPr>
              <w:jc w:val="right"/>
              <w:ind w:right="270"/>
              <w:spacing w:after="0" w:line="173" w:lineRule="exact"/>
              <w:rPr>
                <w:sz w:val="20"/>
                <w:szCs w:val="20"/>
                <w:color w:val="auto"/>
              </w:rPr>
            </w:pPr>
            <w:r>
              <w:rPr>
                <w:rFonts w:ascii="Arial" w:cs="Arial" w:eastAsia="Arial" w:hAnsi="Arial"/>
                <w:sz w:val="18"/>
                <w:szCs w:val="18"/>
                <w:color w:val="auto"/>
                <w:w w:val="96"/>
              </w:rPr>
              <w:t>Carrying</w:t>
            </w:r>
          </w:p>
        </w:tc>
        <w:tc>
          <w:tcPr>
            <w:tcW w:w="600" w:type="dxa"/>
            <w:vAlign w:val="bottom"/>
            <w:tcBorders>
              <w:top w:val="single" w:sz="8" w:color="auto"/>
            </w:tcBorders>
          </w:tcPr>
          <w:p>
            <w:pPr>
              <w:jc w:val="right"/>
              <w:ind w:right="50"/>
              <w:spacing w:after="0" w:line="173" w:lineRule="exact"/>
              <w:rPr>
                <w:sz w:val="20"/>
                <w:szCs w:val="20"/>
                <w:color w:val="auto"/>
              </w:rPr>
            </w:pPr>
            <w:r>
              <w:rPr>
                <w:rFonts w:ascii="Arial" w:cs="Arial" w:eastAsia="Arial" w:hAnsi="Arial"/>
                <w:sz w:val="18"/>
                <w:szCs w:val="18"/>
                <w:color w:val="auto"/>
              </w:rPr>
              <w:t>Fair</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color w:val="auto"/>
                <w:w w:val="99"/>
              </w:rPr>
              <w:t>Amount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Value</w:t>
            </w:r>
          </w:p>
        </w:tc>
        <w:tc>
          <w:tcPr>
            <w:tcW w:w="160" w:type="dxa"/>
            <w:vAlign w:val="bottom"/>
          </w:tcPr>
          <w:p>
            <w:pPr>
              <w:spacing w:after="0"/>
              <w:rPr>
                <w:sz w:val="21"/>
                <w:szCs w:val="21"/>
                <w:color w:val="auto"/>
              </w:rPr>
            </w:pPr>
          </w:p>
        </w:tc>
        <w:tc>
          <w:tcPr>
            <w:tcW w:w="1040" w:type="dxa"/>
            <w:vAlign w:val="bottom"/>
          </w:tcPr>
          <w:p>
            <w:pPr>
              <w:jc w:val="right"/>
              <w:ind w:right="290"/>
              <w:spacing w:after="0"/>
              <w:rPr>
                <w:sz w:val="20"/>
                <w:szCs w:val="20"/>
                <w:color w:val="auto"/>
              </w:rPr>
            </w:pPr>
            <w:r>
              <w:rPr>
                <w:rFonts w:ascii="Arial" w:cs="Arial" w:eastAsia="Arial" w:hAnsi="Arial"/>
                <w:sz w:val="18"/>
                <w:szCs w:val="18"/>
                <w:color w:val="auto"/>
              </w:rPr>
              <w:t>Amount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Value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5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5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Revolving loans</w:t>
            </w:r>
          </w:p>
        </w:tc>
        <w:tc>
          <w:tcPr>
            <w:tcW w:w="1900" w:type="dxa"/>
            <w:vAlign w:val="bottom"/>
            <w:gridSpan w:val="2"/>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  375.8</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$375.8</w:t>
            </w: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  469.2</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$469.2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00" w:type="dxa"/>
            <w:vAlign w:val="bottom"/>
          </w:tcPr>
          <w:p>
            <w:pPr>
              <w:spacing w:after="0" w:line="202" w:lineRule="exact"/>
              <w:rPr>
                <w:sz w:val="20"/>
                <w:szCs w:val="20"/>
                <w:color w:val="auto"/>
              </w:rPr>
            </w:pPr>
            <w:r>
              <w:rPr>
                <w:rFonts w:ascii="Arial" w:cs="Arial" w:eastAsia="Arial" w:hAnsi="Arial"/>
                <w:sz w:val="18"/>
                <w:szCs w:val="18"/>
                <w:color w:val="auto"/>
              </w:rPr>
              <w:t>Foreign bank borrowings and term loans</w:t>
            </w:r>
          </w:p>
        </w:tc>
        <w:tc>
          <w:tcPr>
            <w:tcW w:w="1900" w:type="dxa"/>
            <w:vAlign w:val="bottom"/>
            <w:gridSpan w:val="2"/>
          </w:tcPr>
          <w:p>
            <w:pPr>
              <w:jc w:val="right"/>
              <w:ind w:right="270"/>
              <w:spacing w:after="0" w:line="202" w:lineRule="exact"/>
              <w:rPr>
                <w:sz w:val="20"/>
                <w:szCs w:val="20"/>
                <w:color w:val="auto"/>
              </w:rPr>
            </w:pPr>
            <w:r>
              <w:rPr>
                <w:rFonts w:ascii="Arial" w:cs="Arial" w:eastAsia="Arial" w:hAnsi="Arial"/>
                <w:sz w:val="18"/>
                <w:szCs w:val="18"/>
                <w:color w:val="auto"/>
              </w:rPr>
              <w:t>0.7</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0.7</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Term loans</w:t>
            </w:r>
          </w:p>
        </w:tc>
        <w:tc>
          <w:tcPr>
            <w:tcW w:w="1900" w:type="dxa"/>
            <w:vAlign w:val="bottom"/>
            <w:gridSpan w:val="2"/>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540.4</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540.4</w:t>
            </w: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558.6</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558.6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00" w:type="dxa"/>
            <w:vAlign w:val="bottom"/>
          </w:tcPr>
          <w:p>
            <w:pPr>
              <w:spacing w:after="0" w:line="202" w:lineRule="exact"/>
              <w:rPr>
                <w:sz w:val="20"/>
                <w:szCs w:val="20"/>
                <w:color w:val="auto"/>
              </w:rPr>
            </w:pPr>
            <w:r>
              <w:rPr>
                <w:rFonts w:ascii="Arial" w:cs="Arial" w:eastAsia="Arial" w:hAnsi="Arial"/>
                <w:sz w:val="18"/>
                <w:szCs w:val="18"/>
                <w:color w:val="auto"/>
              </w:rPr>
              <w:t>Master Accounts Receivable Purchase Agreement</w:t>
            </w:r>
          </w:p>
        </w:tc>
        <w:tc>
          <w:tcPr>
            <w:tcW w:w="1900" w:type="dxa"/>
            <w:vAlign w:val="bottom"/>
            <w:gridSpan w:val="2"/>
          </w:tcPr>
          <w:p>
            <w:pPr>
              <w:jc w:val="right"/>
              <w:ind w:right="270"/>
              <w:spacing w:after="0" w:line="202" w:lineRule="exact"/>
              <w:rPr>
                <w:sz w:val="20"/>
                <w:szCs w:val="20"/>
                <w:color w:val="auto"/>
              </w:rPr>
            </w:pPr>
            <w:r>
              <w:rPr>
                <w:rFonts w:ascii="Arial" w:cs="Arial" w:eastAsia="Arial" w:hAnsi="Arial"/>
                <w:sz w:val="18"/>
                <w:szCs w:val="18"/>
                <w:color w:val="auto"/>
              </w:rPr>
              <w:t>62.1</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62.1</w:t>
            </w:r>
          </w:p>
        </w:tc>
        <w:tc>
          <w:tcPr>
            <w:tcW w:w="220" w:type="dxa"/>
            <w:vAlign w:val="bottom"/>
          </w:tcPr>
          <w:p>
            <w:pPr>
              <w:spacing w:after="0"/>
              <w:rPr>
                <w:sz w:val="17"/>
                <w:szCs w:val="17"/>
                <w:color w:val="auto"/>
              </w:rPr>
            </w:pPr>
          </w:p>
        </w:tc>
        <w:tc>
          <w:tcPr>
            <w:tcW w:w="1200" w:type="dxa"/>
            <w:vAlign w:val="bottom"/>
            <w:gridSpan w:val="2"/>
          </w:tcPr>
          <w:p>
            <w:pPr>
              <w:jc w:val="right"/>
              <w:ind w:right="270"/>
              <w:spacing w:after="0" w:line="202" w:lineRule="exact"/>
              <w:rPr>
                <w:sz w:val="20"/>
                <w:szCs w:val="20"/>
                <w:color w:val="auto"/>
              </w:rPr>
            </w:pPr>
            <w:r>
              <w:rPr>
                <w:rFonts w:ascii="Arial" w:cs="Arial" w:eastAsia="Arial" w:hAnsi="Arial"/>
                <w:sz w:val="18"/>
                <w:szCs w:val="18"/>
                <w:color w:val="auto"/>
              </w:rPr>
              <w:t>64.4</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64.4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Unrealized (loss) on foreign currency swap agreements</w:t>
            </w:r>
          </w:p>
        </w:tc>
        <w:tc>
          <w:tcPr>
            <w:tcW w:w="1900" w:type="dxa"/>
            <w:vAlign w:val="bottom"/>
            <w:gridSpan w:val="2"/>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(0.4)</w:t>
            </w:r>
          </w:p>
        </w:tc>
        <w:tc>
          <w:tcPr>
            <w:tcW w:w="8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(0.4)</w:t>
            </w:r>
          </w:p>
        </w:tc>
        <w:tc>
          <w:tcPr>
            <w:tcW w:w="1200" w:type="dxa"/>
            <w:vAlign w:val="bottom"/>
            <w:gridSpan w:val="2"/>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(1.3)</w:t>
            </w:r>
          </w:p>
        </w:tc>
        <w:tc>
          <w:tcPr>
            <w:tcW w:w="7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00" w:type="dxa"/>
            <w:vAlign w:val="bottom"/>
          </w:tcPr>
          <w:p>
            <w:pPr>
              <w:spacing w:after="0" w:line="202" w:lineRule="exact"/>
              <w:rPr>
                <w:sz w:val="20"/>
                <w:szCs w:val="20"/>
                <w:color w:val="auto"/>
              </w:rPr>
            </w:pPr>
            <w:r>
              <w:rPr>
                <w:rFonts w:ascii="Arial" w:cs="Arial" w:eastAsia="Arial" w:hAnsi="Arial"/>
                <w:sz w:val="18"/>
                <w:szCs w:val="18"/>
                <w:color w:val="auto"/>
              </w:rPr>
              <w:t>Unrealized (loss) on interest rate swap agreements</w:t>
            </w:r>
          </w:p>
        </w:tc>
        <w:tc>
          <w:tcPr>
            <w:tcW w:w="1900" w:type="dxa"/>
            <w:vAlign w:val="bottom"/>
            <w:gridSpan w:val="2"/>
          </w:tcPr>
          <w:p>
            <w:pPr>
              <w:jc w:val="right"/>
              <w:ind w:right="210"/>
              <w:spacing w:after="0" w:line="202" w:lineRule="exact"/>
              <w:rPr>
                <w:sz w:val="20"/>
                <w:szCs w:val="20"/>
                <w:color w:val="auto"/>
              </w:rPr>
            </w:pPr>
            <w:r>
              <w:rPr>
                <w:rFonts w:ascii="Arial" w:cs="Arial" w:eastAsia="Arial" w:hAnsi="Arial"/>
                <w:sz w:val="18"/>
                <w:szCs w:val="18"/>
                <w:color w:val="auto"/>
              </w:rPr>
              <w:t>(15.0)</w:t>
            </w:r>
          </w:p>
        </w:tc>
        <w:tc>
          <w:tcPr>
            <w:tcW w:w="8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(15.0)</w:t>
            </w:r>
          </w:p>
        </w:tc>
        <w:tc>
          <w:tcPr>
            <w:tcW w:w="1200" w:type="dxa"/>
            <w:vAlign w:val="bottom"/>
            <w:gridSpan w:val="2"/>
          </w:tcPr>
          <w:p>
            <w:pPr>
              <w:jc w:val="right"/>
              <w:ind w:right="210"/>
              <w:spacing w:after="0" w:line="202" w:lineRule="exact"/>
              <w:rPr>
                <w:sz w:val="20"/>
                <w:szCs w:val="20"/>
                <w:color w:val="auto"/>
              </w:rPr>
            </w:pPr>
            <w:r>
              <w:rPr>
                <w:rFonts w:ascii="Arial" w:cs="Arial" w:eastAsia="Arial" w:hAnsi="Arial"/>
                <w:sz w:val="18"/>
                <w:szCs w:val="18"/>
                <w:color w:val="auto"/>
              </w:rPr>
              <w:t>(4.1)</w:t>
            </w:r>
          </w:p>
        </w:tc>
        <w:tc>
          <w:tcPr>
            <w:tcW w:w="7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Unrealized gain (loss) on commodity hedging instruments</w:t>
            </w:r>
          </w:p>
        </w:tc>
        <w:tc>
          <w:tcPr>
            <w:tcW w:w="1900" w:type="dxa"/>
            <w:vAlign w:val="bottom"/>
            <w:gridSpan w:val="2"/>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(8.5)</w:t>
            </w:r>
          </w:p>
        </w:tc>
        <w:tc>
          <w:tcPr>
            <w:tcW w:w="8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(8.5)</w:t>
            </w:r>
          </w:p>
        </w:tc>
        <w:tc>
          <w:tcPr>
            <w:tcW w:w="1200" w:type="dxa"/>
            <w:vAlign w:val="bottom"/>
            <w:gridSpan w:val="2"/>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1.0</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700" w:right="80" w:firstLine="402"/>
        <w:spacing w:after="0" w:line="255" w:lineRule="auto"/>
        <w:rPr>
          <w:sz w:val="20"/>
          <w:szCs w:val="20"/>
          <w:color w:val="auto"/>
        </w:rPr>
      </w:pPr>
      <w:r>
        <w:rPr>
          <w:rFonts w:ascii="Arial" w:cs="Arial" w:eastAsia="Arial" w:hAnsi="Arial"/>
          <w:sz w:val="18"/>
          <w:szCs w:val="18"/>
          <w:color w:val="auto"/>
        </w:rPr>
        <w:t>Certain miscellaneous instruments included in the Company’s total debt balances for which fair value determinations are not ascertainable have been excluded from the fair value table above. The excluded items at September 30, 2008 and 2007 (in millions) are as follows:</w:t>
      </w:r>
    </w:p>
    <w:p>
      <w:pPr>
        <w:spacing w:after="0" w:line="83" w:lineRule="exact"/>
        <w:rPr>
          <w:sz w:val="20"/>
          <w:szCs w:val="20"/>
          <w:color w:val="auto"/>
        </w:rPr>
      </w:pPr>
    </w:p>
    <w:tbl>
      <w:tblPr>
        <w:tblLayout w:type="fixed"/>
        <w:tblInd w:w="700" w:type="dxa"/>
        <w:tblCellMar>
          <w:top w:w="0" w:type="dxa"/>
          <w:left w:w="0" w:type="dxa"/>
          <w:bottom w:w="0" w:type="dxa"/>
          <w:right w:w="0" w:type="dxa"/>
        </w:tblCellMar>
      </w:tblPr>
      <w:tr>
        <w:trPr>
          <w:trHeight w:val="243"/>
        </w:trPr>
        <w:tc>
          <w:tcPr>
            <w:tcW w:w="5100" w:type="dxa"/>
            <w:vAlign w:val="bottom"/>
          </w:tcPr>
          <w:p>
            <w:pPr>
              <w:spacing w:after="0"/>
              <w:rPr>
                <w:sz w:val="21"/>
                <w:szCs w:val="21"/>
                <w:color w:val="auto"/>
              </w:rPr>
            </w:pPr>
          </w:p>
        </w:tc>
        <w:tc>
          <w:tcPr>
            <w:tcW w:w="4180" w:type="dxa"/>
            <w:vAlign w:val="bottom"/>
          </w:tcPr>
          <w:p>
            <w:pPr>
              <w:jc w:val="right"/>
              <w:ind w:right="130"/>
              <w:spacing w:after="0"/>
              <w:rPr>
                <w:sz w:val="20"/>
                <w:szCs w:val="20"/>
                <w:color w:val="auto"/>
              </w:rPr>
            </w:pPr>
            <w:r>
              <w:rPr>
                <w:rFonts w:ascii="Arial" w:cs="Arial" w:eastAsia="Arial" w:hAnsi="Arial"/>
                <w:sz w:val="18"/>
                <w:szCs w:val="18"/>
                <w:color w:val="auto"/>
              </w:rPr>
              <w:t>2008</w:t>
            </w:r>
          </w:p>
        </w:tc>
        <w:tc>
          <w:tcPr>
            <w:tcW w:w="660" w:type="dxa"/>
            <w:vAlign w:val="bottom"/>
          </w:tcPr>
          <w:p>
            <w:pPr>
              <w:jc w:val="right"/>
              <w:spacing w:after="0"/>
              <w:rPr>
                <w:sz w:val="20"/>
                <w:szCs w:val="20"/>
                <w:color w:val="auto"/>
              </w:rPr>
            </w:pPr>
            <w:r>
              <w:rPr>
                <w:rFonts w:ascii="Arial" w:cs="Arial" w:eastAsia="Arial" w:hAnsi="Arial"/>
                <w:sz w:val="18"/>
                <w:szCs w:val="18"/>
                <w:color w:val="auto"/>
              </w:rPr>
              <w:t>2007</w:t>
            </w:r>
          </w:p>
        </w:tc>
      </w:tr>
      <w:tr>
        <w:trPr>
          <w:trHeight w:val="23"/>
        </w:trPr>
        <w:tc>
          <w:tcPr>
            <w:tcW w:w="5100" w:type="dxa"/>
            <w:vAlign w:val="bottom"/>
            <w:tcBorders>
              <w:bottom w:val="single" w:sz="8" w:color="auto"/>
            </w:tcBorders>
          </w:tcPr>
          <w:p>
            <w:pPr>
              <w:spacing w:after="0"/>
              <w:rPr>
                <w:sz w:val="2"/>
                <w:szCs w:val="2"/>
                <w:color w:val="auto"/>
              </w:rPr>
            </w:pPr>
          </w:p>
        </w:tc>
        <w:tc>
          <w:tcPr>
            <w:tcW w:w="4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14"/>
        </w:trPr>
        <w:tc>
          <w:tcPr>
            <w:tcW w:w="5100" w:type="dxa"/>
            <w:vAlign w:val="bottom"/>
          </w:tcPr>
          <w:p>
            <w:pPr>
              <w:spacing w:after="0"/>
              <w:rPr>
                <w:sz w:val="20"/>
                <w:szCs w:val="20"/>
                <w:color w:val="auto"/>
              </w:rPr>
            </w:pPr>
            <w:r>
              <w:rPr>
                <w:rFonts w:ascii="Arial" w:cs="Arial" w:eastAsia="Arial" w:hAnsi="Arial"/>
                <w:sz w:val="18"/>
                <w:szCs w:val="18"/>
                <w:color w:val="auto"/>
              </w:rPr>
              <w:t>Notes due to sellers</w:t>
            </w:r>
          </w:p>
        </w:tc>
        <w:tc>
          <w:tcPr>
            <w:tcW w:w="4180" w:type="dxa"/>
            <w:vAlign w:val="bottom"/>
          </w:tcPr>
          <w:p>
            <w:pPr>
              <w:jc w:val="right"/>
              <w:ind w:right="110"/>
              <w:spacing w:after="0"/>
              <w:rPr>
                <w:sz w:val="20"/>
                <w:szCs w:val="20"/>
                <w:color w:val="auto"/>
              </w:rPr>
            </w:pPr>
            <w:r>
              <w:rPr>
                <w:rFonts w:ascii="Arial" w:cs="Arial" w:eastAsia="Arial" w:hAnsi="Arial"/>
                <w:sz w:val="18"/>
                <w:szCs w:val="18"/>
                <w:color w:val="auto"/>
              </w:rPr>
              <w:t>$12.8</w:t>
            </w:r>
          </w:p>
        </w:tc>
        <w:tc>
          <w:tcPr>
            <w:tcW w:w="66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43"/>
        </w:trPr>
        <w:tc>
          <w:tcPr>
            <w:tcW w:w="5100" w:type="dxa"/>
            <w:vAlign w:val="bottom"/>
          </w:tcPr>
          <w:p>
            <w:pPr>
              <w:spacing w:after="0"/>
              <w:rPr>
                <w:sz w:val="20"/>
                <w:szCs w:val="20"/>
                <w:color w:val="auto"/>
              </w:rPr>
            </w:pPr>
            <w:r>
              <w:rPr>
                <w:rFonts w:ascii="Arial" w:cs="Arial" w:eastAsia="Arial" w:hAnsi="Arial"/>
                <w:sz w:val="18"/>
                <w:szCs w:val="18"/>
                <w:color w:val="auto"/>
              </w:rPr>
              <w:t>Other</w:t>
            </w:r>
          </w:p>
        </w:tc>
        <w:tc>
          <w:tcPr>
            <w:tcW w:w="4180" w:type="dxa"/>
            <w:vAlign w:val="bottom"/>
          </w:tcPr>
          <w:p>
            <w:pPr>
              <w:jc w:val="right"/>
              <w:ind w:right="110"/>
              <w:spacing w:after="0"/>
              <w:rPr>
                <w:sz w:val="20"/>
                <w:szCs w:val="20"/>
                <w:color w:val="auto"/>
              </w:rPr>
            </w:pPr>
            <w:r>
              <w:rPr>
                <w:rFonts w:ascii="Arial" w:cs="Arial" w:eastAsia="Arial" w:hAnsi="Arial"/>
                <w:sz w:val="18"/>
                <w:szCs w:val="18"/>
                <w:color w:val="auto"/>
              </w:rPr>
              <w:t>7.7</w:t>
            </w:r>
          </w:p>
        </w:tc>
        <w:tc>
          <w:tcPr>
            <w:tcW w:w="660" w:type="dxa"/>
            <w:vAlign w:val="bottom"/>
          </w:tcPr>
          <w:p>
            <w:pPr>
              <w:jc w:val="right"/>
              <w:spacing w:after="0"/>
              <w:rPr>
                <w:sz w:val="20"/>
                <w:szCs w:val="20"/>
                <w:color w:val="auto"/>
              </w:rPr>
            </w:pPr>
            <w:r>
              <w:rPr>
                <w:rFonts w:ascii="Arial" w:cs="Arial" w:eastAsia="Arial" w:hAnsi="Arial"/>
                <w:sz w:val="18"/>
                <w:szCs w:val="18"/>
                <w:color w:val="auto"/>
              </w:rPr>
              <w:t>10.5</w:t>
            </w:r>
          </w:p>
        </w:tc>
      </w:tr>
    </w:tbl>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NOTE 16. OPERATING LEASES</w:t>
      </w:r>
    </w:p>
    <w:p>
      <w:pPr>
        <w:spacing w:after="0" w:line="119" w:lineRule="exact"/>
        <w:rPr>
          <w:sz w:val="20"/>
          <w:szCs w:val="20"/>
          <w:color w:val="auto"/>
        </w:rPr>
      </w:pPr>
    </w:p>
    <w:p>
      <w:pPr>
        <w:ind w:left="700" w:right="60" w:firstLine="402"/>
        <w:spacing w:after="0" w:line="248" w:lineRule="auto"/>
        <w:rPr>
          <w:sz w:val="20"/>
          <w:szCs w:val="20"/>
          <w:color w:val="auto"/>
        </w:rPr>
      </w:pPr>
      <w:r>
        <w:rPr>
          <w:rFonts w:ascii="Arial" w:cs="Arial" w:eastAsia="Arial" w:hAnsi="Arial"/>
          <w:sz w:val="18"/>
          <w:szCs w:val="18"/>
          <w:color w:val="auto"/>
        </w:rPr>
        <w:t>The Company leases certain property and equipment from third parties under various non-cancelable operating lease agreements. Certain lease agreements contain renewal and purchase options. The lease agreements generally provide that the Company pay taxes, insurance and maintenance expenses related to the leased assets. Future minimum lease payments for non-cancelable operating leases at September 30, 2008, are as follows (in millions):</w:t>
      </w:r>
    </w:p>
    <w:p>
      <w:pPr>
        <w:spacing w:after="0" w:line="108"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3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00" w:type="dxa"/>
            <w:vAlign w:val="bottom"/>
            <w:shd w:val="clear" w:color="auto" w:fill="CCEEFF"/>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160" w:type="dxa"/>
            <w:vAlign w:val="bottom"/>
          </w:tcPr>
          <w:p>
            <w:pPr>
              <w:spacing w:after="0" w:line="202" w:lineRule="exact"/>
              <w:rPr>
                <w:sz w:val="20"/>
                <w:szCs w:val="20"/>
                <w:color w:val="auto"/>
              </w:rPr>
            </w:pPr>
            <w:r>
              <w:rPr>
                <w:rFonts w:ascii="Arial" w:cs="Arial" w:eastAsia="Arial" w:hAnsi="Arial"/>
                <w:sz w:val="18"/>
                <w:szCs w:val="18"/>
                <w:color w:val="auto"/>
              </w:rPr>
              <w:t>2010</w:t>
            </w:r>
          </w:p>
        </w:tc>
        <w:tc>
          <w:tcPr>
            <w:tcW w:w="3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33.5</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2011</w:t>
            </w:r>
          </w:p>
        </w:tc>
        <w:tc>
          <w:tcPr>
            <w:tcW w:w="3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30.4</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160" w:type="dxa"/>
            <w:vAlign w:val="bottom"/>
          </w:tcPr>
          <w:p>
            <w:pPr>
              <w:spacing w:after="0" w:line="202" w:lineRule="exact"/>
              <w:rPr>
                <w:sz w:val="20"/>
                <w:szCs w:val="20"/>
                <w:color w:val="auto"/>
              </w:rPr>
            </w:pPr>
            <w:r>
              <w:rPr>
                <w:rFonts w:ascii="Arial" w:cs="Arial" w:eastAsia="Arial" w:hAnsi="Arial"/>
                <w:sz w:val="18"/>
                <w:szCs w:val="18"/>
                <w:color w:val="auto"/>
              </w:rPr>
              <w:t>2012</w:t>
            </w:r>
          </w:p>
        </w:tc>
        <w:tc>
          <w:tcPr>
            <w:tcW w:w="3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24.5</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2013</w:t>
            </w:r>
          </w:p>
        </w:tc>
        <w:tc>
          <w:tcPr>
            <w:tcW w:w="3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6160" w:type="dxa"/>
            <w:vAlign w:val="bottom"/>
          </w:tcPr>
          <w:p>
            <w:pPr>
              <w:spacing w:after="0" w:line="202" w:lineRule="exact"/>
              <w:rPr>
                <w:sz w:val="20"/>
                <w:szCs w:val="20"/>
                <w:color w:val="auto"/>
              </w:rPr>
            </w:pPr>
            <w:r>
              <w:rPr>
                <w:rFonts w:ascii="Arial" w:cs="Arial" w:eastAsia="Arial" w:hAnsi="Arial"/>
                <w:sz w:val="18"/>
                <w:szCs w:val="18"/>
                <w:color w:val="auto"/>
              </w:rPr>
              <w:t>Thereafter</w:t>
            </w:r>
          </w:p>
        </w:tc>
        <w:tc>
          <w:tcPr>
            <w:tcW w:w="3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44.6</w:t>
            </w: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future minimum lease payments</w:t>
            </w:r>
          </w:p>
        </w:tc>
        <w:tc>
          <w:tcPr>
            <w:tcW w:w="33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u w:val="single" w:color="auto"/>
                <w:color w:val="auto"/>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192.2</w:t>
            </w:r>
          </w:p>
        </w:tc>
        <w:tc>
          <w:tcPr>
            <w:tcW w:w="10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2" w:lineRule="exact"/>
        <w:rPr>
          <w:sz w:val="20"/>
          <w:szCs w:val="20"/>
          <w:color w:val="auto"/>
        </w:rPr>
      </w:pPr>
    </w:p>
    <w:p>
      <w:pPr>
        <w:ind w:left="700" w:right="80" w:firstLine="402"/>
        <w:spacing w:after="0" w:line="241" w:lineRule="auto"/>
        <w:rPr>
          <w:sz w:val="20"/>
          <w:szCs w:val="20"/>
          <w:color w:val="auto"/>
        </w:rPr>
      </w:pPr>
      <w:r>
        <w:rPr>
          <w:rFonts w:ascii="Arial" w:cs="Arial" w:eastAsia="Arial" w:hAnsi="Arial"/>
          <w:sz w:val="18"/>
          <w:szCs w:val="18"/>
          <w:color w:val="auto"/>
        </w:rPr>
        <w:t>The Company also leases certain vehicles (primarily cars and light trucks) under agreements that are cancelable after the first year, but typically continue on a month-to-month basis until canceled by the Company. The vehicle leases and certain other non-cancelable operating leases contain residual value guarantees that create a contingent obligation on the part of the Company to compensate the lessor if the leased asset cannot be sold for an amount in excess of a specified minimum value at the conclusion of the lease term. If all such vehicle leases had been canceled as of September 30, 2008, the Company’s residual value guarantee would have approximated $7.8 million. Other residual value guarantee amounts that apply at the conclusion of the non-cancelable lease term are as follows:</w:t>
      </w:r>
    </w:p>
    <w:p>
      <w:pPr>
        <w:spacing w:after="0" w:line="94"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4620" w:type="dxa"/>
            <w:vAlign w:val="bottom"/>
          </w:tcPr>
          <w:p>
            <w:pPr>
              <w:spacing w:after="0"/>
              <w:rPr>
                <w:sz w:val="18"/>
                <w:szCs w:val="18"/>
                <w:color w:val="auto"/>
              </w:rPr>
            </w:pPr>
          </w:p>
        </w:tc>
        <w:tc>
          <w:tcPr>
            <w:tcW w:w="3580" w:type="dxa"/>
            <w:vAlign w:val="bottom"/>
          </w:tcPr>
          <w:p>
            <w:pPr>
              <w:jc w:val="center"/>
              <w:ind w:left="1870"/>
              <w:spacing w:after="0"/>
              <w:rPr>
                <w:sz w:val="20"/>
                <w:szCs w:val="20"/>
                <w:color w:val="auto"/>
              </w:rPr>
            </w:pPr>
            <w:r>
              <w:rPr>
                <w:rFonts w:ascii="Arial" w:cs="Arial" w:eastAsia="Arial" w:hAnsi="Arial"/>
                <w:sz w:val="18"/>
                <w:szCs w:val="18"/>
                <w:color w:val="auto"/>
                <w:w w:val="99"/>
              </w:rPr>
              <w:t>Amount of</w:t>
            </w:r>
          </w:p>
        </w:tc>
        <w:tc>
          <w:tcPr>
            <w:tcW w:w="1740" w:type="dxa"/>
            <w:vAlign w:val="bottom"/>
          </w:tcPr>
          <w:p>
            <w:pPr>
              <w:jc w:val="right"/>
              <w:ind w:right="470"/>
              <w:spacing w:after="0"/>
              <w:rPr>
                <w:sz w:val="20"/>
                <w:szCs w:val="20"/>
                <w:color w:val="auto"/>
              </w:rPr>
            </w:pPr>
            <w:r>
              <w:rPr>
                <w:rFonts w:ascii="Arial" w:cs="Arial" w:eastAsia="Arial" w:hAnsi="Arial"/>
                <w:sz w:val="18"/>
                <w:szCs w:val="18"/>
                <w:color w:val="auto"/>
              </w:rPr>
              <w:t>Lease</w:t>
            </w:r>
          </w:p>
        </w:tc>
      </w:tr>
      <w:tr>
        <w:trPr>
          <w:trHeight w:val="243"/>
        </w:trPr>
        <w:tc>
          <w:tcPr>
            <w:tcW w:w="4620" w:type="dxa"/>
            <w:vAlign w:val="bottom"/>
          </w:tcPr>
          <w:p>
            <w:pPr>
              <w:spacing w:after="0"/>
              <w:rPr>
                <w:sz w:val="21"/>
                <w:szCs w:val="21"/>
                <w:color w:val="auto"/>
              </w:rPr>
            </w:pPr>
          </w:p>
        </w:tc>
        <w:tc>
          <w:tcPr>
            <w:tcW w:w="3580" w:type="dxa"/>
            <w:vAlign w:val="bottom"/>
          </w:tcPr>
          <w:p>
            <w:pPr>
              <w:jc w:val="center"/>
              <w:ind w:left="1870"/>
              <w:spacing w:after="0"/>
              <w:rPr>
                <w:sz w:val="20"/>
                <w:szCs w:val="20"/>
                <w:color w:val="auto"/>
              </w:rPr>
            </w:pPr>
            <w:r>
              <w:rPr>
                <w:rFonts w:ascii="Arial" w:cs="Arial" w:eastAsia="Arial" w:hAnsi="Arial"/>
                <w:sz w:val="18"/>
                <w:szCs w:val="18"/>
                <w:color w:val="auto"/>
              </w:rPr>
              <w:t>Guarantee</w:t>
            </w: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Termination Date</w:t>
            </w:r>
          </w:p>
        </w:tc>
      </w:tr>
      <w:tr>
        <w:trPr>
          <w:trHeight w:val="23"/>
        </w:trPr>
        <w:tc>
          <w:tcPr>
            <w:tcW w:w="462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14"/>
        </w:trPr>
        <w:tc>
          <w:tcPr>
            <w:tcW w:w="4620" w:type="dxa"/>
            <w:vAlign w:val="bottom"/>
          </w:tcPr>
          <w:p>
            <w:pPr>
              <w:spacing w:after="0"/>
              <w:rPr>
                <w:sz w:val="20"/>
                <w:szCs w:val="20"/>
                <w:color w:val="auto"/>
              </w:rPr>
            </w:pPr>
            <w:r>
              <w:rPr>
                <w:rFonts w:ascii="Arial" w:cs="Arial" w:eastAsia="Arial" w:hAnsi="Arial"/>
                <w:sz w:val="18"/>
                <w:szCs w:val="18"/>
                <w:color w:val="auto"/>
              </w:rPr>
              <w:t>Scotts LawnService</w:t>
            </w:r>
            <w:r>
              <w:rPr>
                <w:rFonts w:ascii="Arial" w:cs="Arial" w:eastAsia="Arial" w:hAnsi="Arial"/>
                <w:sz w:val="15"/>
                <w:szCs w:val="15"/>
                <w:color w:val="auto"/>
              </w:rPr>
              <w:t>®</w:t>
            </w:r>
            <w:r>
              <w:rPr>
                <w:rFonts w:ascii="Arial" w:cs="Arial" w:eastAsia="Arial" w:hAnsi="Arial"/>
                <w:sz w:val="18"/>
                <w:szCs w:val="18"/>
                <w:color w:val="auto"/>
              </w:rPr>
              <w:t xml:space="preserve"> vehicles</w:t>
            </w:r>
          </w:p>
        </w:tc>
        <w:tc>
          <w:tcPr>
            <w:tcW w:w="3580" w:type="dxa"/>
            <w:vAlign w:val="bottom"/>
          </w:tcPr>
          <w:p>
            <w:pPr>
              <w:jc w:val="center"/>
              <w:ind w:left="1890"/>
              <w:spacing w:after="0"/>
              <w:rPr>
                <w:sz w:val="20"/>
                <w:szCs w:val="20"/>
                <w:color w:val="auto"/>
              </w:rPr>
            </w:pPr>
            <w:r>
              <w:rPr>
                <w:rFonts w:ascii="Arial" w:cs="Arial" w:eastAsia="Arial" w:hAnsi="Arial"/>
                <w:sz w:val="18"/>
                <w:szCs w:val="18"/>
                <w:color w:val="auto"/>
              </w:rPr>
              <w:t>$ 19.5 million</w:t>
            </w:r>
          </w:p>
        </w:tc>
        <w:tc>
          <w:tcPr>
            <w:tcW w:w="1740" w:type="dxa"/>
            <w:vAlign w:val="bottom"/>
          </w:tcPr>
          <w:p>
            <w:pPr>
              <w:jc w:val="right"/>
              <w:spacing w:after="0"/>
              <w:rPr>
                <w:sz w:val="20"/>
                <w:szCs w:val="20"/>
                <w:color w:val="auto"/>
              </w:rPr>
            </w:pPr>
            <w:r>
              <w:rPr>
                <w:rFonts w:ascii="Arial" w:cs="Arial" w:eastAsia="Arial" w:hAnsi="Arial"/>
                <w:sz w:val="18"/>
                <w:szCs w:val="18"/>
                <w:color w:val="auto"/>
              </w:rPr>
              <w:t>2012</w:t>
            </w:r>
          </w:p>
        </w:tc>
      </w:tr>
      <w:tr>
        <w:trPr>
          <w:trHeight w:val="243"/>
        </w:trPr>
        <w:tc>
          <w:tcPr>
            <w:tcW w:w="4620" w:type="dxa"/>
            <w:vAlign w:val="bottom"/>
          </w:tcPr>
          <w:p>
            <w:pPr>
              <w:spacing w:after="0"/>
              <w:rPr>
                <w:sz w:val="20"/>
                <w:szCs w:val="20"/>
                <w:color w:val="auto"/>
              </w:rPr>
            </w:pPr>
            <w:r>
              <w:rPr>
                <w:rFonts w:ascii="Arial" w:cs="Arial" w:eastAsia="Arial" w:hAnsi="Arial"/>
                <w:sz w:val="18"/>
                <w:szCs w:val="18"/>
                <w:color w:val="auto"/>
              </w:rPr>
              <w:t>Corporate aircraft</w:t>
            </w:r>
          </w:p>
        </w:tc>
        <w:tc>
          <w:tcPr>
            <w:tcW w:w="3580" w:type="dxa"/>
            <w:vAlign w:val="bottom"/>
          </w:tcPr>
          <w:p>
            <w:pPr>
              <w:ind w:left="2420"/>
              <w:spacing w:after="0"/>
              <w:rPr>
                <w:sz w:val="20"/>
                <w:szCs w:val="20"/>
                <w:color w:val="auto"/>
              </w:rPr>
            </w:pPr>
            <w:r>
              <w:rPr>
                <w:rFonts w:ascii="Arial" w:cs="Arial" w:eastAsia="Arial" w:hAnsi="Arial"/>
                <w:sz w:val="18"/>
                <w:szCs w:val="18"/>
                <w:color w:val="auto"/>
              </w:rPr>
              <w:t>15.7 million</w:t>
            </w:r>
          </w:p>
        </w:tc>
        <w:tc>
          <w:tcPr>
            <w:tcW w:w="1740" w:type="dxa"/>
            <w:vAlign w:val="bottom"/>
          </w:tcPr>
          <w:p>
            <w:pPr>
              <w:jc w:val="right"/>
              <w:spacing w:after="0"/>
              <w:rPr>
                <w:sz w:val="20"/>
                <w:szCs w:val="20"/>
                <w:color w:val="auto"/>
              </w:rPr>
            </w:pPr>
            <w:r>
              <w:rPr>
                <w:rFonts w:ascii="Arial" w:cs="Arial" w:eastAsia="Arial" w:hAnsi="Arial"/>
                <w:sz w:val="18"/>
                <w:szCs w:val="18"/>
                <w:color w:val="auto"/>
              </w:rPr>
              <w:t>2010 and 2012</w:t>
            </w:r>
          </w:p>
        </w:tc>
      </w:tr>
    </w:tbl>
    <w:p>
      <w:pPr>
        <w:spacing w:after="0" w:line="8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Rent expense for fiscal 2008, 2007 and 2006 totaled $68.1 million, $74.9 million and $63.3 million, respectively.</w:t>
      </w:r>
    </w:p>
    <w:p>
      <w:pPr>
        <w:spacing w:after="0" w:line="15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1"/>
          <w:szCs w:val="11"/>
          <w:b w:val="1"/>
          <w:bCs w:val="1"/>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-78105</wp:posOffset>
            </wp:positionV>
            <wp:extent cx="19748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240" w:top="415" w:right="919" w:bottom="1440" w:gutter="0" w:footer="0" w:header="0"/>
        </w:sectPr>
      </w:pPr>
    </w:p>
    <w:bookmarkStart w:id="106" w:name="page107"/>
    <w:bookmarkEnd w:id="106"/>
    <w:p>
      <w:pPr>
        <w:spacing w:after="0"/>
        <w:rPr>
          <w:rFonts w:ascii="Times New Roman" w:cs="Times New Roman" w:eastAsia="Times New Roman" w:hAnsi="Times New Roman"/>
          <w:sz w:val="18"/>
          <w:szCs w:val="18"/>
          <w:b w:val="1"/>
          <w:bCs w:val="1"/>
          <w:u w:val="single" w:color="auto"/>
          <w:color w:val="0000EE"/>
        </w:rPr>
      </w:pPr>
      <w:hyperlink w:anchor="page64">
        <w:r>
          <w:rPr>
            <w:rFonts w:ascii="Times New Roman" w:cs="Times New Roman" w:eastAsia="Times New Roman" w:hAnsi="Times New Roman"/>
            <w:sz w:val="18"/>
            <w:szCs w:val="18"/>
            <w:b w:val="1"/>
            <w:bCs w:val="1"/>
            <w:u w:val="single" w:color="auto"/>
            <w:color w:val="0000EE"/>
          </w:rPr>
          <w:t>Table of Contents</w:t>
        </w:r>
      </w:hyperlink>
    </w:p>
    <w:p>
      <w:pPr>
        <w:spacing w:after="0" w:line="317"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NOTE 17. COMMITMENTS</w:t>
      </w:r>
    </w:p>
    <w:p>
      <w:pPr>
        <w:spacing w:after="0" w:line="119" w:lineRule="exact"/>
        <w:rPr>
          <w:sz w:val="20"/>
          <w:szCs w:val="20"/>
          <w:color w:val="auto"/>
        </w:rPr>
      </w:pPr>
    </w:p>
    <w:p>
      <w:pPr>
        <w:ind w:left="700" w:firstLine="402"/>
        <w:spacing w:after="0" w:line="276" w:lineRule="auto"/>
        <w:rPr>
          <w:sz w:val="20"/>
          <w:szCs w:val="20"/>
          <w:color w:val="auto"/>
        </w:rPr>
      </w:pPr>
      <w:r>
        <w:rPr>
          <w:rFonts w:ascii="Arial" w:cs="Arial" w:eastAsia="Arial" w:hAnsi="Arial"/>
          <w:sz w:val="18"/>
          <w:szCs w:val="18"/>
          <w:color w:val="auto"/>
        </w:rPr>
        <w:t>The Company has the following unconditional purchase obligations due during each of the next five fiscal years that have not been recognized on the Consolidated Balance Sheet at September 30, 2008 (in millions):</w:t>
      </w:r>
    </w:p>
    <w:p>
      <w:pPr>
        <w:spacing w:after="0" w:line="83"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4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$ 299.8</w:t>
            </w:r>
          </w:p>
        </w:tc>
        <w:tc>
          <w:tcPr>
            <w:tcW w:w="100" w:type="dxa"/>
            <w:vAlign w:val="bottom"/>
            <w:shd w:val="clear" w:color="auto" w:fill="CCEEFF"/>
          </w:tcPr>
          <w:p>
            <w:pPr>
              <w:spacing w:after="0"/>
              <w:rPr>
                <w:sz w:val="17"/>
                <w:szCs w:val="17"/>
                <w:color w:val="auto"/>
              </w:rPr>
            </w:pPr>
          </w:p>
        </w:tc>
      </w:tr>
      <w:tr>
        <w:trPr>
          <w:trHeight w:val="203"/>
        </w:trPr>
        <w:tc>
          <w:tcPr>
            <w:tcW w:w="5080" w:type="dxa"/>
            <w:vAlign w:val="bottom"/>
          </w:tcPr>
          <w:p>
            <w:pPr>
              <w:spacing w:after="0" w:line="202" w:lineRule="exact"/>
              <w:rPr>
                <w:sz w:val="20"/>
                <w:szCs w:val="20"/>
                <w:color w:val="auto"/>
              </w:rPr>
            </w:pPr>
            <w:r>
              <w:rPr>
                <w:rFonts w:ascii="Arial" w:cs="Arial" w:eastAsia="Arial" w:hAnsi="Arial"/>
                <w:sz w:val="18"/>
                <w:szCs w:val="18"/>
                <w:color w:val="auto"/>
              </w:rPr>
              <w:t>2010</w:t>
            </w:r>
          </w:p>
        </w:tc>
        <w:tc>
          <w:tcPr>
            <w:tcW w:w="4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150.9</w:t>
            </w:r>
          </w:p>
        </w:tc>
        <w:tc>
          <w:tcPr>
            <w:tcW w:w="100" w:type="dxa"/>
            <w:vAlign w:val="bottom"/>
          </w:tcPr>
          <w:p>
            <w:pPr>
              <w:spacing w:after="0"/>
              <w:rPr>
                <w:sz w:val="17"/>
                <w:szCs w:val="17"/>
                <w:color w:val="auto"/>
              </w:rPr>
            </w:pPr>
          </w:p>
        </w:tc>
      </w:tr>
      <w:tr>
        <w:trPr>
          <w:trHeight w:val="203"/>
        </w:trPr>
        <w:tc>
          <w:tcPr>
            <w:tcW w:w="5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2011</w:t>
            </w:r>
          </w:p>
        </w:tc>
        <w:tc>
          <w:tcPr>
            <w:tcW w:w="48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78.1</w:t>
            </w:r>
          </w:p>
        </w:tc>
        <w:tc>
          <w:tcPr>
            <w:tcW w:w="100" w:type="dxa"/>
            <w:vAlign w:val="bottom"/>
            <w:shd w:val="clear" w:color="auto" w:fill="CCEEFF"/>
          </w:tcPr>
          <w:p>
            <w:pPr>
              <w:spacing w:after="0"/>
              <w:rPr>
                <w:sz w:val="17"/>
                <w:szCs w:val="17"/>
                <w:color w:val="auto"/>
              </w:rPr>
            </w:pPr>
          </w:p>
        </w:tc>
      </w:tr>
      <w:tr>
        <w:trPr>
          <w:trHeight w:val="203"/>
        </w:trPr>
        <w:tc>
          <w:tcPr>
            <w:tcW w:w="5080" w:type="dxa"/>
            <w:vAlign w:val="bottom"/>
          </w:tcPr>
          <w:p>
            <w:pPr>
              <w:spacing w:after="0" w:line="202" w:lineRule="exact"/>
              <w:rPr>
                <w:sz w:val="20"/>
                <w:szCs w:val="20"/>
                <w:color w:val="auto"/>
              </w:rPr>
            </w:pPr>
            <w:r>
              <w:rPr>
                <w:rFonts w:ascii="Arial" w:cs="Arial" w:eastAsia="Arial" w:hAnsi="Arial"/>
                <w:sz w:val="18"/>
                <w:szCs w:val="18"/>
                <w:color w:val="auto"/>
              </w:rPr>
              <w:t>2012</w:t>
            </w:r>
          </w:p>
        </w:tc>
        <w:tc>
          <w:tcPr>
            <w:tcW w:w="4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36.9</w:t>
            </w:r>
          </w:p>
        </w:tc>
        <w:tc>
          <w:tcPr>
            <w:tcW w:w="100" w:type="dxa"/>
            <w:vAlign w:val="bottom"/>
          </w:tcPr>
          <w:p>
            <w:pPr>
              <w:spacing w:after="0"/>
              <w:rPr>
                <w:sz w:val="17"/>
                <w:szCs w:val="17"/>
                <w:color w:val="auto"/>
              </w:rPr>
            </w:pPr>
          </w:p>
        </w:tc>
      </w:tr>
      <w:tr>
        <w:trPr>
          <w:trHeight w:val="203"/>
        </w:trPr>
        <w:tc>
          <w:tcPr>
            <w:tcW w:w="5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2013</w:t>
            </w:r>
          </w:p>
        </w:tc>
        <w:tc>
          <w:tcPr>
            <w:tcW w:w="48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31.6</w:t>
            </w:r>
          </w:p>
        </w:tc>
        <w:tc>
          <w:tcPr>
            <w:tcW w:w="100" w:type="dxa"/>
            <w:vAlign w:val="bottom"/>
            <w:shd w:val="clear" w:color="auto" w:fill="CCEEFF"/>
          </w:tcPr>
          <w:p>
            <w:pPr>
              <w:spacing w:after="0"/>
              <w:rPr>
                <w:sz w:val="17"/>
                <w:szCs w:val="17"/>
                <w:color w:val="auto"/>
              </w:rPr>
            </w:pPr>
          </w:p>
        </w:tc>
      </w:tr>
      <w:tr>
        <w:trPr>
          <w:trHeight w:val="210"/>
        </w:trPr>
        <w:tc>
          <w:tcPr>
            <w:tcW w:w="5080" w:type="dxa"/>
            <w:vAlign w:val="bottom"/>
          </w:tcPr>
          <w:p>
            <w:pPr>
              <w:spacing w:after="0" w:line="202" w:lineRule="exact"/>
              <w:rPr>
                <w:sz w:val="20"/>
                <w:szCs w:val="20"/>
                <w:color w:val="auto"/>
              </w:rPr>
            </w:pPr>
            <w:r>
              <w:rPr>
                <w:rFonts w:ascii="Arial" w:cs="Arial" w:eastAsia="Arial" w:hAnsi="Arial"/>
                <w:sz w:val="18"/>
                <w:szCs w:val="18"/>
                <w:color w:val="auto"/>
              </w:rPr>
              <w:t>Thereafter</w:t>
            </w:r>
          </w:p>
        </w:tc>
        <w:tc>
          <w:tcPr>
            <w:tcW w:w="4240" w:type="dxa"/>
            <w:vAlign w:val="bottom"/>
          </w:tcPr>
          <w:p>
            <w:pPr>
              <w:spacing w:after="0"/>
              <w:rPr>
                <w:sz w:val="18"/>
                <w:szCs w:val="18"/>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03"/>
        </w:trPr>
        <w:tc>
          <w:tcPr>
            <w:tcW w:w="5080" w:type="dxa"/>
            <w:vAlign w:val="bottom"/>
            <w:shd w:val="clear" w:color="auto" w:fill="CCEEFF"/>
          </w:tcPr>
          <w:p>
            <w:pPr>
              <w:spacing w:after="0"/>
              <w:rPr>
                <w:sz w:val="17"/>
                <w:szCs w:val="17"/>
                <w:color w:val="auto"/>
              </w:rPr>
            </w:pPr>
          </w:p>
        </w:tc>
        <w:tc>
          <w:tcPr>
            <w:tcW w:w="48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$ 597.3</w:t>
            </w:r>
          </w:p>
        </w:tc>
        <w:tc>
          <w:tcPr>
            <w:tcW w:w="100" w:type="dxa"/>
            <w:vAlign w:val="bottom"/>
            <w:shd w:val="clear" w:color="auto" w:fill="CCEEFF"/>
          </w:tcPr>
          <w:p>
            <w:pPr>
              <w:spacing w:after="0"/>
              <w:rPr>
                <w:sz w:val="17"/>
                <w:szCs w:val="17"/>
                <w:color w:val="auto"/>
              </w:rPr>
            </w:pPr>
          </w:p>
        </w:tc>
      </w:tr>
      <w:tr>
        <w:trPr>
          <w:trHeight w:val="20"/>
        </w:trPr>
        <w:tc>
          <w:tcPr>
            <w:tcW w:w="50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2" w:lineRule="exact"/>
        <w:rPr>
          <w:sz w:val="20"/>
          <w:szCs w:val="20"/>
          <w:color w:val="auto"/>
        </w:rPr>
      </w:pPr>
    </w:p>
    <w:p>
      <w:pPr>
        <w:ind w:left="700" w:right="40" w:firstLine="402"/>
        <w:spacing w:after="0" w:line="276" w:lineRule="auto"/>
        <w:rPr>
          <w:sz w:val="20"/>
          <w:szCs w:val="20"/>
          <w:color w:val="auto"/>
        </w:rPr>
      </w:pPr>
      <w:r>
        <w:rPr>
          <w:rFonts w:ascii="Arial" w:cs="Arial" w:eastAsia="Arial" w:hAnsi="Arial"/>
          <w:sz w:val="18"/>
          <w:szCs w:val="18"/>
          <w:color w:val="auto"/>
        </w:rPr>
        <w:t>Purchase obligations primarily represent commitments for materials used in the Company’s manufacturing processes, as well as commitments for warehouse services, grass seed and out-sourced information services.</w:t>
      </w:r>
    </w:p>
    <w:p>
      <w:pPr>
        <w:spacing w:after="0" w:line="15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NOTE 18. CONTINGENCIES</w:t>
      </w:r>
    </w:p>
    <w:p>
      <w:pPr>
        <w:spacing w:after="0" w:line="119" w:lineRule="exact"/>
        <w:rPr>
          <w:sz w:val="20"/>
          <w:szCs w:val="20"/>
          <w:color w:val="auto"/>
        </w:rPr>
      </w:pPr>
    </w:p>
    <w:p>
      <w:pPr>
        <w:ind w:left="700" w:right="20" w:firstLine="402"/>
        <w:spacing w:after="0"/>
        <w:rPr>
          <w:sz w:val="20"/>
          <w:szCs w:val="20"/>
          <w:color w:val="auto"/>
        </w:rPr>
      </w:pPr>
      <w:r>
        <w:rPr>
          <w:rFonts w:ascii="Arial" w:cs="Arial" w:eastAsia="Arial" w:hAnsi="Arial"/>
          <w:sz w:val="18"/>
          <w:szCs w:val="18"/>
          <w:color w:val="auto"/>
        </w:rPr>
        <w:t>Management continually evaluates the Company’s contingencies, including various lawsuits and claims which arise in the normal course of business, product and general liabilities, worker’s compensation, property losses and other fiduciary liabilities for which the Company is self-insured or retains a high exposure limit. Self-insurance reserves are established based on actuarial loss estimates for specific individual claims plus actuarial estimated amounts for incurred but not reported claims and adverse development factors for existing claims. Legal costs incurred in connection with the resolution of claims, lawsuits and other contingencies generally are expensed as incurred. In the opinion of management, its assessment of contingencies is reasonable and related reserves, in the aggregate, are adequate; however, there can be no assurance that future quarterly or annual operating results will not be materially affected by final resolution of these matters. The following are the more significant of the Company’s identified contingencies.</w:t>
      </w:r>
    </w:p>
    <w:p>
      <w:pPr>
        <w:spacing w:after="0" w:line="193" w:lineRule="exact"/>
        <w:rPr>
          <w:sz w:val="20"/>
          <w:szCs w:val="20"/>
          <w:color w:val="auto"/>
        </w:rPr>
      </w:pPr>
    </w:p>
    <w:p>
      <w:pPr>
        <w:ind w:left="700"/>
        <w:spacing w:after="0"/>
        <w:rPr>
          <w:sz w:val="20"/>
          <w:szCs w:val="20"/>
          <w:color w:val="auto"/>
        </w:rPr>
      </w:pPr>
      <w:r>
        <w:rPr>
          <w:rFonts w:ascii="Arial" w:cs="Arial" w:eastAsia="Arial" w:hAnsi="Arial"/>
          <w:sz w:val="16"/>
          <w:szCs w:val="16"/>
          <w:b w:val="1"/>
          <w:bCs w:val="1"/>
          <w:u w:val="single" w:color="auto"/>
          <w:color w:val="auto"/>
        </w:rPr>
        <w:t>FIFRA Compliance and the Corresponding Governmental Investigation</w:t>
      </w:r>
    </w:p>
    <w:p>
      <w:pPr>
        <w:spacing w:after="0" w:line="124" w:lineRule="exact"/>
        <w:rPr>
          <w:sz w:val="20"/>
          <w:szCs w:val="20"/>
          <w:color w:val="auto"/>
        </w:rPr>
      </w:pPr>
    </w:p>
    <w:p>
      <w:pPr>
        <w:ind w:left="700" w:right="40" w:firstLine="402"/>
        <w:spacing w:after="0" w:line="237" w:lineRule="auto"/>
        <w:rPr>
          <w:sz w:val="20"/>
          <w:szCs w:val="20"/>
          <w:color w:val="auto"/>
        </w:rPr>
      </w:pPr>
      <w:r>
        <w:rPr>
          <w:rFonts w:ascii="Arial" w:cs="Arial" w:eastAsia="Arial" w:hAnsi="Arial"/>
          <w:sz w:val="18"/>
          <w:szCs w:val="18"/>
          <w:color w:val="auto"/>
        </w:rPr>
        <w:t>The Company’s products that contain pesticides are subject to the Federal Insecticide, Fungicide, and Rodenticide Act of 1947, as amended (“FIFRA”). In April 2008, the Company became aware that a former associate apparently deliberately circumvented the Company’s policies and U.S. EPA regulations under FIFRA by failing to obtain valid registrations for products and/or causing invalid product registration forms to be submitted to regulators. Since that time, the Company has been cooperating with the U.S. EPA in its civil investigation into product registration issues involving the Company and with the U.S. EPA and the U.S. DOJ in a related criminal investigation. In late April of 2008, in connection with the U.S. EPA’s investigation, the Company was required to conduct a consumer-level recall of certain consumer lawn and garden products and a Scotts LawnService</w:t>
      </w:r>
      <w:r>
        <w:rPr>
          <w:rFonts w:ascii="Arial" w:cs="Arial" w:eastAsia="Arial" w:hAnsi="Arial"/>
          <w:sz w:val="15"/>
          <w:szCs w:val="15"/>
          <w:color w:val="auto"/>
        </w:rPr>
        <w:t>®</w:t>
      </w:r>
      <w:r>
        <w:rPr>
          <w:rFonts w:ascii="Arial" w:cs="Arial" w:eastAsia="Arial" w:hAnsi="Arial"/>
          <w:sz w:val="18"/>
          <w:szCs w:val="18"/>
          <w:color w:val="auto"/>
        </w:rPr>
        <w:t xml:space="preserve"> product. Subsequently, the Company and the U.S. EPA agreed upon a Compliance Review Plan for conducting a comprehensive, independent review of the Company’s product registration records. Pursuant to the Compliance Review Plan, an independent third-party firm, Quality Associates Incorporated (“QAI”), has been reviewing all of the Company’s U.S. pesticide product registration records, some of which are historical in nature and no longer support sales of the Company’s products. The U.S. EPA investigation and QAI review process have resulted in the issuance of a number of Stop Sale, Use or Removal Orders by the U.S. EPA that caused the Company to temporarily suspend sales and shipments of affected products. In addition, as the QAI review process or the Company’s internal review has indicated a FIFRA registration issue or a potential FIFRA registration issue (some of which appear unrelated to the former associate), the Company has endeavored to stop selling or distributing the affected products until the issue could be resolved with the U.S. EPA.</w:t>
      </w:r>
    </w:p>
    <w:p>
      <w:pPr>
        <w:spacing w:after="0" w:line="1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1"/>
          <w:szCs w:val="11"/>
          <w:b w:val="1"/>
          <w:bCs w:val="1"/>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-78105</wp:posOffset>
            </wp:positionV>
            <wp:extent cx="19748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240" w:top="415" w:right="919" w:bottom="1440" w:gutter="0" w:footer="0" w:header="0"/>
        </w:sectPr>
      </w:pPr>
    </w:p>
    <w:bookmarkStart w:id="107" w:name="page108"/>
    <w:bookmarkEnd w:id="107"/>
    <w:p>
      <w:pPr>
        <w:spacing w:after="0"/>
        <w:rPr>
          <w:rFonts w:ascii="Times New Roman" w:cs="Times New Roman" w:eastAsia="Times New Roman" w:hAnsi="Times New Roman"/>
          <w:sz w:val="18"/>
          <w:szCs w:val="18"/>
          <w:b w:val="1"/>
          <w:bCs w:val="1"/>
          <w:u w:val="single" w:color="auto"/>
          <w:color w:val="0000EE"/>
        </w:rPr>
      </w:pPr>
      <w:hyperlink w:anchor="page64">
        <w:r>
          <w:rPr>
            <w:rFonts w:ascii="Times New Roman" w:cs="Times New Roman" w:eastAsia="Times New Roman" w:hAnsi="Times New Roman"/>
            <w:sz w:val="18"/>
            <w:szCs w:val="18"/>
            <w:b w:val="1"/>
            <w:bCs w:val="1"/>
            <w:u w:val="single" w:color="auto"/>
            <w:color w:val="0000EE"/>
          </w:rPr>
          <w:t>Table of Contents</w:t>
        </w:r>
      </w:hyperlink>
    </w:p>
    <w:p>
      <w:pPr>
        <w:spacing w:after="0" w:line="317"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5" w:lineRule="exact"/>
        <w:rPr>
          <w:sz w:val="20"/>
          <w:szCs w:val="20"/>
          <w:color w:val="auto"/>
        </w:rPr>
      </w:pPr>
    </w:p>
    <w:p>
      <w:pPr>
        <w:ind w:left="700" w:firstLine="402"/>
        <w:spacing w:after="0" w:line="243" w:lineRule="auto"/>
        <w:rPr>
          <w:sz w:val="20"/>
          <w:szCs w:val="20"/>
          <w:color w:val="auto"/>
        </w:rPr>
      </w:pPr>
      <w:r>
        <w:rPr>
          <w:rFonts w:ascii="Arial" w:cs="Arial" w:eastAsia="Arial" w:hAnsi="Arial"/>
          <w:sz w:val="18"/>
          <w:szCs w:val="18"/>
          <w:color w:val="auto"/>
        </w:rPr>
        <w:t>On September 26, 2008, the Company, doing business as Scotts LawnService</w:t>
      </w:r>
      <w:r>
        <w:rPr>
          <w:rFonts w:ascii="Arial" w:cs="Arial" w:eastAsia="Arial" w:hAnsi="Arial"/>
          <w:sz w:val="15"/>
          <w:szCs w:val="15"/>
          <w:color w:val="auto"/>
        </w:rPr>
        <w:t>®</w:t>
      </w:r>
      <w:r>
        <w:rPr>
          <w:rFonts w:ascii="Arial" w:cs="Arial" w:eastAsia="Arial" w:hAnsi="Arial"/>
          <w:sz w:val="18"/>
          <w:szCs w:val="18"/>
          <w:color w:val="auto"/>
        </w:rPr>
        <w:t>, was named as a defendant in a purported class action filed in the U.S. District Court for the Eastern District of Michigan relating to certain pesticide products. In the suit, Mark Baumkel, on behalf of himself and the purported classes, seeks an unspecified amount of damages, plus costs and attorney fees, for alleged claims involving breach of contract, unjust enrichment and violation of the Michigan consumer protection act. Given the preliminary stages of the proceedings, no reserves have been booked at this time, and the Company intends to vigorously contest the plaintiff’s assertions.</w:t>
      </w:r>
    </w:p>
    <w:p>
      <w:pPr>
        <w:spacing w:after="0" w:line="80" w:lineRule="exact"/>
        <w:rPr>
          <w:sz w:val="20"/>
          <w:szCs w:val="20"/>
          <w:color w:val="auto"/>
        </w:rPr>
      </w:pPr>
    </w:p>
    <w:p>
      <w:pPr>
        <w:ind w:left="700" w:right="100" w:firstLine="402"/>
        <w:spacing w:after="0" w:line="239" w:lineRule="auto"/>
        <w:rPr>
          <w:sz w:val="20"/>
          <w:szCs w:val="20"/>
          <w:color w:val="auto"/>
        </w:rPr>
      </w:pPr>
      <w:r>
        <w:rPr>
          <w:rFonts w:ascii="Arial" w:cs="Arial" w:eastAsia="Arial" w:hAnsi="Arial"/>
          <w:sz w:val="18"/>
          <w:szCs w:val="18"/>
          <w:color w:val="auto"/>
        </w:rPr>
        <w:t>The U.S. EPA investigation or the compliance review process may result in future state or federal action or private rights of action with respect to additional product registration issues. Until the investigation and compliance review process are complete, the Company cannot fully quantify the extent of additional issues. While the Company continues to evaluate the financial impact of the registration and recall matters, the Company currently expects total fiscal year 2008 and 2009 costs related to the recalls and known registration issues to be limited to approximately $65 million, exclusive of potential fines, penalties and/or judgments, of which approximately $51.1 million was incurred during fiscal 2008. No reserves have been established with respect to any potential fines, penalties and/or judgments at the state and/or federal level related to the product registration issues, as the scope and magnitude of such amounts are not currently estimable. However, it is possible that such fines, penalties and/or judgments could be material and have an adverse effect on the Company’s financial condition, results of operations and cash flows.</w:t>
      </w:r>
    </w:p>
    <w:p>
      <w:pPr>
        <w:spacing w:after="0" w:line="197" w:lineRule="exact"/>
        <w:rPr>
          <w:sz w:val="20"/>
          <w:szCs w:val="20"/>
          <w:color w:val="auto"/>
        </w:rPr>
      </w:pPr>
    </w:p>
    <w:p>
      <w:pPr>
        <w:ind w:left="700"/>
        <w:spacing w:after="0"/>
        <w:rPr>
          <w:sz w:val="20"/>
          <w:szCs w:val="20"/>
          <w:color w:val="auto"/>
        </w:rPr>
      </w:pPr>
      <w:r>
        <w:rPr>
          <w:rFonts w:ascii="Arial" w:cs="Arial" w:eastAsia="Arial" w:hAnsi="Arial"/>
          <w:sz w:val="16"/>
          <w:szCs w:val="16"/>
          <w:b w:val="1"/>
          <w:bCs w:val="1"/>
          <w:u w:val="single" w:color="auto"/>
          <w:color w:val="auto"/>
        </w:rPr>
        <w:t>Other Regulatory Matters</w:t>
      </w:r>
    </w:p>
    <w:p>
      <w:pPr>
        <w:spacing w:after="0" w:line="124" w:lineRule="exact"/>
        <w:rPr>
          <w:sz w:val="20"/>
          <w:szCs w:val="20"/>
          <w:color w:val="auto"/>
        </w:rPr>
      </w:pPr>
    </w:p>
    <w:p>
      <w:pPr>
        <w:ind w:left="700" w:right="60" w:firstLine="402"/>
        <w:spacing w:after="0" w:line="243" w:lineRule="auto"/>
        <w:rPr>
          <w:sz w:val="20"/>
          <w:szCs w:val="20"/>
          <w:color w:val="auto"/>
        </w:rPr>
      </w:pPr>
      <w:r>
        <w:rPr>
          <w:rFonts w:ascii="Arial" w:cs="Arial" w:eastAsia="Arial" w:hAnsi="Arial"/>
          <w:sz w:val="18"/>
          <w:szCs w:val="18"/>
          <w:color w:val="auto"/>
        </w:rPr>
        <w:t>In 1997, the Ohio Environmental Protection Agency (the “Ohio EPA”) initiated an enforcement action against the Company with respect to alleged surface water violations and inadequate treatment capabilities at the Marysville, Ohio facility seeking corrective action under the federal Resource Conservation and Recovery Act. The action related to discharges from on-site waste water treatment and several discontinued on-site disposal areas. Pursuant to a Consent Order entered by the Union County Common Pleas Court in 2002, the Company is actively engaged in restoring the site to eliminate exposure to waste materials from the discontinued on-site disposal areas.</w:t>
      </w:r>
    </w:p>
    <w:p>
      <w:pPr>
        <w:spacing w:after="0" w:line="80" w:lineRule="exact"/>
        <w:rPr>
          <w:sz w:val="20"/>
          <w:szCs w:val="20"/>
          <w:color w:val="auto"/>
        </w:rPr>
      </w:pPr>
    </w:p>
    <w:p>
      <w:pPr>
        <w:ind w:left="700" w:right="60" w:firstLine="402"/>
        <w:spacing w:after="0" w:line="248" w:lineRule="auto"/>
        <w:rPr>
          <w:sz w:val="20"/>
          <w:szCs w:val="20"/>
          <w:color w:val="auto"/>
        </w:rPr>
      </w:pPr>
      <w:r>
        <w:rPr>
          <w:rFonts w:ascii="Arial" w:cs="Arial" w:eastAsia="Arial" w:hAnsi="Arial"/>
          <w:sz w:val="18"/>
          <w:szCs w:val="18"/>
          <w:color w:val="auto"/>
        </w:rPr>
        <w:t>At September 30, 2008, $ 3.8 million was accrued for these non-FIFRA compliance-related environmental matters. The amounts accrued are believed to be adequate to cover such known environmental exposures based on current facts and estimates of likely outcomes. However, if facts and circumstances change significantly, they could result in a material adverse effect on the Company’s results of operations, financial condition or cash flows.</w:t>
      </w:r>
    </w:p>
    <w:p>
      <w:pPr>
        <w:spacing w:after="0" w:line="76" w:lineRule="exact"/>
        <w:rPr>
          <w:sz w:val="20"/>
          <w:szCs w:val="20"/>
          <w:color w:val="auto"/>
        </w:rPr>
      </w:pPr>
    </w:p>
    <w:p>
      <w:pPr>
        <w:ind w:left="700" w:right="180" w:firstLine="402"/>
        <w:spacing w:after="0" w:line="276" w:lineRule="auto"/>
        <w:rPr>
          <w:sz w:val="20"/>
          <w:szCs w:val="20"/>
          <w:color w:val="auto"/>
        </w:rPr>
      </w:pPr>
      <w:r>
        <w:rPr>
          <w:rFonts w:ascii="Arial" w:cs="Arial" w:eastAsia="Arial" w:hAnsi="Arial"/>
          <w:sz w:val="18"/>
          <w:szCs w:val="18"/>
          <w:color w:val="auto"/>
        </w:rPr>
        <w:t>During fiscal 2008, 2007 and 2006, we expensed approximately $1.4 million, $1.5 million and $2.4 million, respectively, for these non-FIFRA compliance-related environmental matters.</w:t>
      </w:r>
    </w:p>
    <w:p>
      <w:pPr>
        <w:spacing w:after="0" w:line="161" w:lineRule="exact"/>
        <w:rPr>
          <w:sz w:val="20"/>
          <w:szCs w:val="20"/>
          <w:color w:val="auto"/>
        </w:rPr>
      </w:pPr>
    </w:p>
    <w:p>
      <w:pPr>
        <w:ind w:left="700"/>
        <w:spacing w:after="0"/>
        <w:rPr>
          <w:sz w:val="20"/>
          <w:szCs w:val="20"/>
          <w:color w:val="auto"/>
        </w:rPr>
      </w:pPr>
      <w:r>
        <w:rPr>
          <w:rFonts w:ascii="Arial" w:cs="Arial" w:eastAsia="Arial" w:hAnsi="Arial"/>
          <w:sz w:val="16"/>
          <w:szCs w:val="16"/>
          <w:b w:val="1"/>
          <w:bCs w:val="1"/>
          <w:u w:val="single" w:color="auto"/>
          <w:color w:val="auto"/>
        </w:rPr>
        <w:t>U.S. Horticultural Supply, Inc. (F/K/A E.C. Geiger, Inc.)</w:t>
      </w:r>
    </w:p>
    <w:p>
      <w:pPr>
        <w:spacing w:after="0" w:line="124" w:lineRule="exact"/>
        <w:rPr>
          <w:sz w:val="20"/>
          <w:szCs w:val="20"/>
          <w:color w:val="auto"/>
        </w:rPr>
      </w:pPr>
    </w:p>
    <w:p>
      <w:pPr>
        <w:ind w:left="700" w:right="140" w:firstLine="402"/>
        <w:spacing w:after="0" w:line="241" w:lineRule="auto"/>
        <w:rPr>
          <w:sz w:val="20"/>
          <w:szCs w:val="20"/>
          <w:color w:val="auto"/>
        </w:rPr>
      </w:pPr>
      <w:r>
        <w:rPr>
          <w:rFonts w:ascii="Arial" w:cs="Arial" w:eastAsia="Arial" w:hAnsi="Arial"/>
          <w:sz w:val="18"/>
          <w:szCs w:val="18"/>
          <w:color w:val="auto"/>
        </w:rPr>
        <w:t>On November 5, 2004, U.S. Horticultural Supply, Inc. (“Geiger”) filed suit against the Company in the U.S. District Court for the Eastern District of Pennsylvania. The complaint alleges that the Company conspired with another distributor, Griffin Greenhouse Supplies, Inc., to restrain trade in the horticultural products market, in violation of Section 1 of the Sherman Antitrust Act. On June 2, 2006, the Court denied the Company’s motion to dismiss the complaint. Fact discovery and expert discovery are closed. Geiger’s damages expert quantifies Geiger’s alleged damages at approximately $3.3 million, which could be trebled under antitrust laws. Geiger also seeks recovery of attorneys’ fees and costs. The Company has moved for summary judgment requesting dismissal of Geiger’s claims.</w:t>
      </w:r>
    </w:p>
    <w:p>
      <w:pPr>
        <w:spacing w:after="0" w:line="85" w:lineRule="exact"/>
        <w:rPr>
          <w:sz w:val="20"/>
          <w:szCs w:val="20"/>
          <w:color w:val="auto"/>
        </w:rPr>
      </w:pPr>
    </w:p>
    <w:p>
      <w:pPr>
        <w:ind w:left="700" w:right="80" w:firstLine="402"/>
        <w:spacing w:after="0" w:line="248" w:lineRule="auto"/>
        <w:rPr>
          <w:sz w:val="20"/>
          <w:szCs w:val="20"/>
          <w:color w:val="auto"/>
        </w:rPr>
      </w:pPr>
      <w:r>
        <w:rPr>
          <w:rFonts w:ascii="Arial" w:cs="Arial" w:eastAsia="Arial" w:hAnsi="Arial"/>
          <w:sz w:val="18"/>
          <w:szCs w:val="18"/>
          <w:color w:val="auto"/>
        </w:rPr>
        <w:t>The Company continues to vigorously defend against Geiger’s claims. The Company believes that Geiger’s claims are without merit. While no accrual has been established related to this matter, the Company cannot predict the ultimate outcome with certainty. The Company had previously sued and obtained a judgment against Geiger on April 25, 2005, based on Geiger’s default on obligations to the Company. The Company is proceeding to collect that judgment.</w:t>
      </w:r>
    </w:p>
    <w:p>
      <w:pPr>
        <w:spacing w:after="0" w:line="11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1"/>
          <w:szCs w:val="11"/>
          <w:b w:val="1"/>
          <w:bCs w:val="1"/>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-78105</wp:posOffset>
            </wp:positionV>
            <wp:extent cx="19748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20"/>
          </w:cols>
          <w:pgMar w:left="240" w:top="415" w:right="939" w:bottom="1440" w:gutter="0" w:footer="0" w:header="0"/>
        </w:sectPr>
      </w:pPr>
    </w:p>
    <w:bookmarkStart w:id="108" w:name="page109"/>
    <w:bookmarkEnd w:id="108"/>
    <w:p>
      <w:pPr>
        <w:spacing w:after="0"/>
        <w:rPr>
          <w:rFonts w:ascii="Times New Roman" w:cs="Times New Roman" w:eastAsia="Times New Roman" w:hAnsi="Times New Roman"/>
          <w:sz w:val="18"/>
          <w:szCs w:val="18"/>
          <w:b w:val="1"/>
          <w:bCs w:val="1"/>
          <w:u w:val="single" w:color="auto"/>
          <w:color w:val="0000EE"/>
        </w:rPr>
      </w:pPr>
      <w:hyperlink w:anchor="page64">
        <w:r>
          <w:rPr>
            <w:rFonts w:ascii="Times New Roman" w:cs="Times New Roman" w:eastAsia="Times New Roman" w:hAnsi="Times New Roman"/>
            <w:sz w:val="18"/>
            <w:szCs w:val="18"/>
            <w:b w:val="1"/>
            <w:bCs w:val="1"/>
            <w:u w:val="single" w:color="auto"/>
            <w:color w:val="0000EE"/>
          </w:rPr>
          <w:t>Table of Contents</w:t>
        </w:r>
      </w:hyperlink>
    </w:p>
    <w:p>
      <w:pPr>
        <w:spacing w:after="0" w:line="317"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8" w:lineRule="exact"/>
        <w:rPr>
          <w:sz w:val="20"/>
          <w:szCs w:val="20"/>
          <w:color w:val="auto"/>
        </w:rPr>
      </w:pPr>
    </w:p>
    <w:p>
      <w:pPr>
        <w:ind w:left="700"/>
        <w:spacing w:after="0"/>
        <w:rPr>
          <w:sz w:val="20"/>
          <w:szCs w:val="20"/>
          <w:color w:val="auto"/>
        </w:rPr>
      </w:pPr>
      <w:r>
        <w:rPr>
          <w:rFonts w:ascii="Arial" w:cs="Arial" w:eastAsia="Arial" w:hAnsi="Arial"/>
          <w:sz w:val="16"/>
          <w:szCs w:val="16"/>
          <w:b w:val="1"/>
          <w:bCs w:val="1"/>
          <w:u w:val="single" w:color="auto"/>
          <w:color w:val="auto"/>
        </w:rPr>
        <w:t>Other</w:t>
      </w:r>
    </w:p>
    <w:p>
      <w:pPr>
        <w:spacing w:after="0" w:line="124" w:lineRule="exact"/>
        <w:rPr>
          <w:sz w:val="20"/>
          <w:szCs w:val="20"/>
          <w:color w:val="auto"/>
        </w:rPr>
      </w:pPr>
    </w:p>
    <w:p>
      <w:pPr>
        <w:ind w:left="700" w:right="40" w:firstLine="402"/>
        <w:spacing w:after="0"/>
        <w:rPr>
          <w:sz w:val="20"/>
          <w:szCs w:val="20"/>
          <w:color w:val="auto"/>
        </w:rPr>
      </w:pPr>
      <w:r>
        <w:rPr>
          <w:rFonts w:ascii="Arial" w:cs="Arial" w:eastAsia="Arial" w:hAnsi="Arial"/>
          <w:sz w:val="18"/>
          <w:szCs w:val="18"/>
          <w:color w:val="auto"/>
        </w:rPr>
        <w:t>The Company has been named as a defendant in a number of cases alleging injuries that the lawsuits claim resulted from exposure to asbestos-containing products, apparently based on the Company’s historic use of vermiculite in certain of its products. The complaints in these cases are not specific about the plaintiffs’ contacts with the Company or its products. The Company in each case is one of numerous defendants and none of the claims seek damages from the Company alone. The Company believes that the claims against it are without merit and is vigorously defending against them. It is not currently possible to reasonably estimate a probable loss, if any, associated with the cases and, accordingly, no accrual or reserves have been recorded in the Company’s consolidated financial statements. There can be no assurance that these cases, whether as a result of adverse outcomes or as a result of significant defense costs, will not have a material adverse effect on the Company’s financial condition, results of operations or cash flows.</w:t>
      </w:r>
    </w:p>
    <w:p>
      <w:pPr>
        <w:spacing w:after="0" w:line="82" w:lineRule="exact"/>
        <w:rPr>
          <w:sz w:val="20"/>
          <w:szCs w:val="20"/>
          <w:color w:val="auto"/>
        </w:rPr>
      </w:pPr>
    </w:p>
    <w:p>
      <w:pPr>
        <w:ind w:left="700" w:right="320" w:firstLine="402"/>
        <w:spacing w:after="0" w:line="255" w:lineRule="auto"/>
        <w:rPr>
          <w:sz w:val="20"/>
          <w:szCs w:val="20"/>
          <w:color w:val="auto"/>
        </w:rPr>
      </w:pPr>
      <w:r>
        <w:rPr>
          <w:rFonts w:ascii="Arial" w:cs="Arial" w:eastAsia="Arial" w:hAnsi="Arial"/>
          <w:sz w:val="18"/>
          <w:szCs w:val="18"/>
          <w:color w:val="auto"/>
        </w:rPr>
        <w:t>The Company is reviewing agreements and policies that may provide insurance coverage or indemnity as to these claims and is pursuing coverage under some of these agreements and policies, although there can be no assurance of the results of these efforts.</w:t>
      </w:r>
    </w:p>
    <w:p>
      <w:pPr>
        <w:spacing w:after="0" w:line="70" w:lineRule="exact"/>
        <w:rPr>
          <w:sz w:val="20"/>
          <w:szCs w:val="20"/>
          <w:color w:val="auto"/>
        </w:rPr>
      </w:pPr>
    </w:p>
    <w:p>
      <w:pPr>
        <w:ind w:left="700" w:right="260" w:firstLine="402"/>
        <w:spacing w:after="0" w:line="241" w:lineRule="auto"/>
        <w:rPr>
          <w:sz w:val="20"/>
          <w:szCs w:val="20"/>
          <w:color w:val="auto"/>
        </w:rPr>
      </w:pPr>
      <w:r>
        <w:rPr>
          <w:rFonts w:ascii="Arial" w:cs="Arial" w:eastAsia="Arial" w:hAnsi="Arial"/>
          <w:sz w:val="18"/>
          <w:szCs w:val="18"/>
          <w:color w:val="auto"/>
        </w:rPr>
        <w:t>On April 27, 2007, the Company received a proposed Order On Consent from the New York State Department of Environmental Conservation (the “Proposed Order”) alleging that, during the calendar year 2003, the Company and James Hagedorn, individually and as Chairman of the Board and Chief Executive Officer of the Company, unlawfully donated to a Port Washington, New York youth sports organization forty bags of Scotts</w:t>
      </w:r>
      <w:r>
        <w:rPr>
          <w:rFonts w:ascii="Arial" w:cs="Arial" w:eastAsia="Arial" w:hAnsi="Arial"/>
          <w:sz w:val="15"/>
          <w:szCs w:val="15"/>
          <w:color w:val="auto"/>
        </w:rPr>
        <w:t>®</w:t>
      </w:r>
      <w:r>
        <w:rPr>
          <w:rFonts w:ascii="Arial" w:cs="Arial" w:eastAsia="Arial" w:hAnsi="Arial"/>
          <w:sz w:val="18"/>
          <w:szCs w:val="18"/>
          <w:color w:val="auto"/>
        </w:rPr>
        <w:t xml:space="preserve"> LawnPro Annual Program Step 3 Insect Control Plus Fertilizer which, while federally registered, was allegedly not registered in the state of New York. The Proposed Order requests penalties totaling $695,000. The Company has made its position clear to the New York State Department of Environmental Conservation and is awaiting a response.</w:t>
      </w:r>
    </w:p>
    <w:p>
      <w:pPr>
        <w:spacing w:after="0" w:line="85" w:lineRule="exact"/>
        <w:rPr>
          <w:sz w:val="20"/>
          <w:szCs w:val="20"/>
          <w:color w:val="auto"/>
        </w:rPr>
      </w:pPr>
    </w:p>
    <w:p>
      <w:pPr>
        <w:ind w:left="700" w:right="620" w:firstLine="402"/>
        <w:spacing w:after="0" w:line="255" w:lineRule="auto"/>
        <w:rPr>
          <w:sz w:val="20"/>
          <w:szCs w:val="20"/>
          <w:color w:val="auto"/>
        </w:rPr>
      </w:pPr>
      <w:r>
        <w:rPr>
          <w:rFonts w:ascii="Arial" w:cs="Arial" w:eastAsia="Arial" w:hAnsi="Arial"/>
          <w:sz w:val="18"/>
          <w:szCs w:val="18"/>
          <w:color w:val="auto"/>
        </w:rPr>
        <w:t>The Company is involved in other lawsuits and claims which arise in the normal course of business. These claims individually and in the aggregate are not expected to result in a material adverse effect on the Company’s results of operations, financial condition or cash flows.</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NOTE 19. CONCENTRATIONS OF CREDIT RISK</w:t>
      </w:r>
    </w:p>
    <w:p>
      <w:pPr>
        <w:spacing w:after="0" w:line="119" w:lineRule="exact"/>
        <w:rPr>
          <w:sz w:val="20"/>
          <w:szCs w:val="20"/>
          <w:color w:val="auto"/>
        </w:rPr>
      </w:pPr>
    </w:p>
    <w:p>
      <w:pPr>
        <w:ind w:left="700" w:right="40" w:firstLine="402"/>
        <w:spacing w:after="0" w:line="241" w:lineRule="auto"/>
        <w:rPr>
          <w:sz w:val="20"/>
          <w:szCs w:val="20"/>
          <w:color w:val="auto"/>
        </w:rPr>
      </w:pPr>
      <w:r>
        <w:rPr>
          <w:rFonts w:ascii="Arial" w:cs="Arial" w:eastAsia="Arial" w:hAnsi="Arial"/>
          <w:sz w:val="18"/>
          <w:szCs w:val="18"/>
          <w:color w:val="auto"/>
        </w:rPr>
        <w:t>Financial instruments which potentially subject the Company to concentration of credit risk consist principally of trade accounts receivable. The Company sells its consumer products to a wide variety of retailers, including mass merchandisers, home centers, independent hardware stores, nurseries, garden outlets, warehouse clubs, food and drug stores and local and regional chains. Professional products are sold to commercial nurseries, greenhouses, landscape services and growers of specialty agriculture crops. Concentrations of accounts receivable at September 30, net of accounts receivable pledged under the terms of the New MARP Agreement whereby the purchaser has assumed the risk associated with the debtor’s financial inability to pay ($146.6 million and $149.5 million for 2008 and 2007, respectively), were as follows:</w:t>
      </w:r>
    </w:p>
    <w:p>
      <w:pPr>
        <w:spacing w:after="0" w:line="98" w:lineRule="exact"/>
        <w:rPr>
          <w:sz w:val="20"/>
          <w:szCs w:val="20"/>
          <w:color w:val="auto"/>
        </w:rPr>
      </w:pPr>
    </w:p>
    <w:tbl>
      <w:tblPr>
        <w:tblLayout w:type="fixed"/>
        <w:tblInd w:w="70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8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2008</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2007</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8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8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Due from customers geographically located in North America</w:t>
            </w:r>
          </w:p>
        </w:tc>
        <w:tc>
          <w:tcPr>
            <w:tcW w:w="114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53%</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60" w:type="dxa"/>
            <w:vAlign w:val="bottom"/>
          </w:tcPr>
          <w:p>
            <w:pPr>
              <w:ind w:left="160"/>
              <w:spacing w:after="0" w:line="202" w:lineRule="exact"/>
              <w:rPr>
                <w:sz w:val="20"/>
                <w:szCs w:val="20"/>
                <w:color w:val="auto"/>
              </w:rPr>
            </w:pPr>
            <w:r>
              <w:rPr>
                <w:rFonts w:ascii="Arial" w:cs="Arial" w:eastAsia="Arial" w:hAnsi="Arial"/>
                <w:sz w:val="18"/>
                <w:szCs w:val="18"/>
                <w:color w:val="auto"/>
              </w:rPr>
              <w:t>Applicable to the consumer business</w:t>
            </w:r>
          </w:p>
        </w:tc>
        <w:tc>
          <w:tcPr>
            <w:tcW w:w="11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61%</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260" w:type="dxa"/>
            <w:vAlign w:val="bottom"/>
            <w:shd w:val="clear" w:color="auto" w:fill="CCEEFF"/>
          </w:tcPr>
          <w:p>
            <w:pPr>
              <w:ind w:left="160"/>
              <w:spacing w:after="0" w:line="179" w:lineRule="exact"/>
              <w:rPr>
                <w:sz w:val="20"/>
                <w:szCs w:val="20"/>
                <w:color w:val="auto"/>
              </w:rPr>
            </w:pPr>
            <w:r>
              <w:rPr>
                <w:rFonts w:ascii="Arial" w:cs="Arial" w:eastAsia="Arial" w:hAnsi="Arial"/>
                <w:sz w:val="18"/>
                <w:szCs w:val="18"/>
                <w:color w:val="auto"/>
              </w:rPr>
              <w:t>Applicable to Scotts LawnService</w:t>
            </w:r>
            <w:r>
              <w:rPr>
                <w:rFonts w:ascii="Arial" w:cs="Arial" w:eastAsia="Arial" w:hAnsi="Arial"/>
                <w:sz w:val="15"/>
                <w:szCs w:val="15"/>
                <w:color w:val="auto"/>
              </w:rPr>
              <w:t>®</w:t>
            </w:r>
            <w:r>
              <w:rPr>
                <w:rFonts w:ascii="Arial" w:cs="Arial" w:eastAsia="Arial" w:hAnsi="Arial"/>
                <w:sz w:val="18"/>
                <w:szCs w:val="18"/>
                <w:color w:val="auto"/>
              </w:rPr>
              <w:t>, the professional businesses (primarily distributors), Smith &amp;</w:t>
            </w:r>
          </w:p>
        </w:tc>
        <w:tc>
          <w:tcPr>
            <w:tcW w:w="1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Hawken</w:t>
            </w:r>
            <w:r>
              <w:rPr>
                <w:rFonts w:ascii="Arial" w:cs="Arial" w:eastAsia="Arial" w:hAnsi="Arial"/>
                <w:sz w:val="15"/>
                <w:szCs w:val="15"/>
                <w:color w:val="auto"/>
              </w:rPr>
              <w:t>®</w:t>
            </w:r>
            <w:r>
              <w:rPr>
                <w:rFonts w:ascii="Arial" w:cs="Arial" w:eastAsia="Arial" w:hAnsi="Arial"/>
                <w:sz w:val="18"/>
                <w:szCs w:val="18"/>
                <w:color w:val="auto"/>
              </w:rPr>
              <w:t xml:space="preserve"> and Morning Song</w:t>
            </w:r>
            <w:r>
              <w:rPr>
                <w:rFonts w:ascii="Arial" w:cs="Arial" w:eastAsia="Arial" w:hAnsi="Arial"/>
                <w:sz w:val="15"/>
                <w:szCs w:val="15"/>
                <w:color w:val="auto"/>
              </w:rPr>
              <w:t>®</w:t>
            </w:r>
          </w:p>
        </w:tc>
        <w:tc>
          <w:tcPr>
            <w:tcW w:w="11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39%</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Top 3 customers within consumer business as a percent of total consumer accounts receivable</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0%</w:t>
            </w:r>
          </w:p>
        </w:tc>
        <w:tc>
          <w:tcPr>
            <w:tcW w:w="62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700" w:right="60" w:firstLine="402"/>
        <w:spacing w:after="0" w:line="248" w:lineRule="auto"/>
        <w:rPr>
          <w:sz w:val="20"/>
          <w:szCs w:val="20"/>
          <w:color w:val="auto"/>
        </w:rPr>
      </w:pPr>
      <w:r>
        <w:rPr>
          <w:rFonts w:ascii="Arial" w:cs="Arial" w:eastAsia="Arial" w:hAnsi="Arial"/>
          <w:sz w:val="18"/>
          <w:szCs w:val="18"/>
          <w:color w:val="auto"/>
        </w:rPr>
        <w:t>The remainder of the Company’s accounts receivable at September 30, 2008 and 2007, were generated from customers located outside of North America, primarily retailers, distributors, nurseries and growers in Europe. No concentrations of customers or individual customers within this group account for more than 10% of the Company’s accounts receivable at either balance sheet date.</w:t>
      </w:r>
    </w:p>
    <w:p>
      <w:pPr>
        <w:spacing w:after="0" w:line="11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1"/>
          <w:szCs w:val="11"/>
          <w:b w:val="1"/>
          <w:bCs w:val="1"/>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-78105</wp:posOffset>
            </wp:positionV>
            <wp:extent cx="19748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240" w:top="415" w:right="919" w:bottom="1440" w:gutter="0" w:footer="0" w:header="0"/>
        </w:sectPr>
      </w:pPr>
    </w:p>
    <w:bookmarkStart w:id="109" w:name="page110"/>
    <w:bookmarkEnd w:id="109"/>
    <w:p>
      <w:pPr>
        <w:spacing w:after="0"/>
        <w:rPr>
          <w:rFonts w:ascii="Times New Roman" w:cs="Times New Roman" w:eastAsia="Times New Roman" w:hAnsi="Times New Roman"/>
          <w:sz w:val="18"/>
          <w:szCs w:val="18"/>
          <w:b w:val="1"/>
          <w:bCs w:val="1"/>
          <w:u w:val="single" w:color="auto"/>
          <w:color w:val="0000EE"/>
        </w:rPr>
      </w:pPr>
      <w:hyperlink w:anchor="page64">
        <w:r>
          <w:rPr>
            <w:rFonts w:ascii="Times New Roman" w:cs="Times New Roman" w:eastAsia="Times New Roman" w:hAnsi="Times New Roman"/>
            <w:sz w:val="18"/>
            <w:szCs w:val="18"/>
            <w:b w:val="1"/>
            <w:bCs w:val="1"/>
            <w:u w:val="single" w:color="auto"/>
            <w:color w:val="0000EE"/>
          </w:rPr>
          <w:t>Table of Contents</w:t>
        </w:r>
      </w:hyperlink>
    </w:p>
    <w:p>
      <w:pPr>
        <w:spacing w:after="0" w:line="317"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5" w:lineRule="exact"/>
        <w:rPr>
          <w:sz w:val="20"/>
          <w:szCs w:val="20"/>
          <w:color w:val="auto"/>
        </w:rPr>
      </w:pPr>
    </w:p>
    <w:p>
      <w:pPr>
        <w:ind w:left="700" w:right="160" w:firstLine="402"/>
        <w:spacing w:after="0" w:line="277" w:lineRule="auto"/>
        <w:rPr>
          <w:sz w:val="20"/>
          <w:szCs w:val="20"/>
          <w:color w:val="auto"/>
        </w:rPr>
      </w:pPr>
      <w:r>
        <w:rPr>
          <w:rFonts w:ascii="Arial" w:cs="Arial" w:eastAsia="Arial" w:hAnsi="Arial"/>
          <w:sz w:val="17"/>
          <w:szCs w:val="17"/>
          <w:color w:val="auto"/>
        </w:rPr>
        <w:t>The Company’s three largest customers are reported within the Global Consumer segment, and are the only customers that individually represent more than 10% of reported consolidated net sales for each of the last three fiscal years. These three customers accounted for the following percentages of consolidated net sales for the fiscal years ended September 30:</w:t>
      </w:r>
    </w:p>
    <w:p>
      <w:pPr>
        <w:spacing w:after="0" w:line="62"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3840" w:type="dxa"/>
            <w:vAlign w:val="bottom"/>
          </w:tcPr>
          <w:p>
            <w:pPr>
              <w:jc w:val="right"/>
              <w:ind w:right="330"/>
              <w:spacing w:after="0"/>
              <w:rPr>
                <w:sz w:val="20"/>
                <w:szCs w:val="20"/>
                <w:color w:val="auto"/>
              </w:rPr>
            </w:pPr>
            <w:r>
              <w:rPr>
                <w:rFonts w:ascii="Arial" w:cs="Arial" w:eastAsia="Arial" w:hAnsi="Arial"/>
                <w:sz w:val="18"/>
                <w:szCs w:val="18"/>
                <w:color w:val="auto"/>
              </w:rPr>
              <w:t>Largest</w:t>
            </w:r>
          </w:p>
        </w:tc>
        <w:tc>
          <w:tcPr>
            <w:tcW w:w="1620" w:type="dxa"/>
            <w:vAlign w:val="bottom"/>
          </w:tcPr>
          <w:p>
            <w:pPr>
              <w:jc w:val="right"/>
              <w:ind w:right="250"/>
              <w:spacing w:after="0"/>
              <w:rPr>
                <w:sz w:val="20"/>
                <w:szCs w:val="20"/>
                <w:color w:val="auto"/>
              </w:rPr>
            </w:pPr>
            <w:r>
              <w:rPr>
                <w:rFonts w:ascii="Arial" w:cs="Arial" w:eastAsia="Arial" w:hAnsi="Arial"/>
                <w:sz w:val="18"/>
                <w:szCs w:val="18"/>
                <w:color w:val="auto"/>
              </w:rPr>
              <w:t>2nd Largest</w:t>
            </w: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3rd Largest</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100" w:type="dxa"/>
            <w:vAlign w:val="bottom"/>
            <w:tcBorders>
              <w:bottom w:val="single" w:sz="8" w:color="auto"/>
            </w:tcBorders>
          </w:tcPr>
          <w:p>
            <w:pPr>
              <w:spacing w:after="0"/>
              <w:rPr>
                <w:sz w:val="20"/>
                <w:szCs w:val="20"/>
                <w:color w:val="auto"/>
              </w:rPr>
            </w:pPr>
          </w:p>
        </w:tc>
        <w:tc>
          <w:tcPr>
            <w:tcW w:w="3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Customer</w:t>
            </w:r>
          </w:p>
        </w:tc>
        <w:tc>
          <w:tcPr>
            <w:tcW w:w="16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Customer</w:t>
            </w:r>
          </w:p>
        </w:tc>
        <w:tc>
          <w:tcPr>
            <w:tcW w:w="14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Customer</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310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100" w:type="dxa"/>
            <w:vAlign w:val="bottom"/>
            <w:shd w:val="clear" w:color="auto" w:fill="CCEEFF"/>
          </w:tcPr>
          <w:p>
            <w:pPr>
              <w:jc w:val="right"/>
              <w:ind w:right="2630"/>
              <w:spacing w:after="0" w:line="202" w:lineRule="exact"/>
              <w:rPr>
                <w:sz w:val="20"/>
                <w:szCs w:val="20"/>
                <w:color w:val="auto"/>
              </w:rPr>
            </w:pPr>
            <w:r>
              <w:rPr>
                <w:rFonts w:ascii="Arial" w:cs="Arial" w:eastAsia="Arial" w:hAnsi="Arial"/>
                <w:sz w:val="18"/>
                <w:szCs w:val="18"/>
                <w:color w:val="auto"/>
                <w:w w:val="89"/>
              </w:rPr>
              <w:t>2008</w:t>
            </w:r>
          </w:p>
        </w:tc>
        <w:tc>
          <w:tcPr>
            <w:tcW w:w="384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21.0%</w:t>
            </w:r>
          </w:p>
        </w:tc>
        <w:tc>
          <w:tcPr>
            <w:tcW w:w="1620" w:type="dxa"/>
            <w:vAlign w:val="bottom"/>
            <w:shd w:val="clear" w:color="auto" w:fill="CCEEFF"/>
          </w:tcPr>
          <w:p>
            <w:pPr>
              <w:jc w:val="right"/>
              <w:ind w:right="390"/>
              <w:spacing w:after="0" w:line="202" w:lineRule="exact"/>
              <w:rPr>
                <w:sz w:val="20"/>
                <w:szCs w:val="20"/>
                <w:color w:val="auto"/>
              </w:rPr>
            </w:pPr>
            <w:r>
              <w:rPr>
                <w:rFonts w:ascii="Arial" w:cs="Arial" w:eastAsia="Arial" w:hAnsi="Arial"/>
                <w:sz w:val="18"/>
                <w:szCs w:val="18"/>
                <w:color w:val="auto"/>
              </w:rPr>
              <w:t>13.5%</w:t>
            </w:r>
          </w:p>
        </w:tc>
        <w:tc>
          <w:tcPr>
            <w:tcW w:w="146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00" w:type="dxa"/>
            <w:vAlign w:val="bottom"/>
          </w:tcPr>
          <w:p>
            <w:pPr>
              <w:jc w:val="right"/>
              <w:ind w:right="2630"/>
              <w:spacing w:after="0" w:line="202" w:lineRule="exact"/>
              <w:rPr>
                <w:sz w:val="20"/>
                <w:szCs w:val="20"/>
                <w:color w:val="auto"/>
              </w:rPr>
            </w:pPr>
            <w:r>
              <w:rPr>
                <w:rFonts w:ascii="Arial" w:cs="Arial" w:eastAsia="Arial" w:hAnsi="Arial"/>
                <w:sz w:val="18"/>
                <w:szCs w:val="18"/>
                <w:color w:val="auto"/>
                <w:w w:val="89"/>
              </w:rPr>
              <w:t>2007</w:t>
            </w:r>
          </w:p>
        </w:tc>
        <w:tc>
          <w:tcPr>
            <w:tcW w:w="384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20.2%</w:t>
            </w:r>
          </w:p>
        </w:tc>
        <w:tc>
          <w:tcPr>
            <w:tcW w:w="1620" w:type="dxa"/>
            <w:vAlign w:val="bottom"/>
          </w:tcPr>
          <w:p>
            <w:pPr>
              <w:jc w:val="right"/>
              <w:ind w:right="390"/>
              <w:spacing w:after="0" w:line="202" w:lineRule="exact"/>
              <w:rPr>
                <w:sz w:val="20"/>
                <w:szCs w:val="20"/>
                <w:color w:val="auto"/>
              </w:rPr>
            </w:pPr>
            <w:r>
              <w:rPr>
                <w:rFonts w:ascii="Arial" w:cs="Arial" w:eastAsia="Arial" w:hAnsi="Arial"/>
                <w:sz w:val="18"/>
                <w:szCs w:val="18"/>
                <w:color w:val="auto"/>
              </w:rPr>
              <w:t>10.9%</w:t>
            </w:r>
          </w:p>
        </w:tc>
        <w:tc>
          <w:tcPr>
            <w:tcW w:w="146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00" w:type="dxa"/>
            <w:vAlign w:val="bottom"/>
            <w:shd w:val="clear" w:color="auto" w:fill="CCEEFF"/>
          </w:tcPr>
          <w:p>
            <w:pPr>
              <w:jc w:val="right"/>
              <w:ind w:right="2630"/>
              <w:spacing w:after="0" w:line="202" w:lineRule="exact"/>
              <w:rPr>
                <w:sz w:val="20"/>
                <w:szCs w:val="20"/>
                <w:color w:val="auto"/>
              </w:rPr>
            </w:pPr>
            <w:r>
              <w:rPr>
                <w:rFonts w:ascii="Arial" w:cs="Arial" w:eastAsia="Arial" w:hAnsi="Arial"/>
                <w:sz w:val="18"/>
                <w:szCs w:val="18"/>
                <w:color w:val="auto"/>
                <w:w w:val="89"/>
              </w:rPr>
              <w:t>2006</w:t>
            </w:r>
          </w:p>
        </w:tc>
        <w:tc>
          <w:tcPr>
            <w:tcW w:w="384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21.5%</w:t>
            </w:r>
          </w:p>
        </w:tc>
        <w:tc>
          <w:tcPr>
            <w:tcW w:w="1620" w:type="dxa"/>
            <w:vAlign w:val="bottom"/>
            <w:shd w:val="clear" w:color="auto" w:fill="CCEEFF"/>
          </w:tcPr>
          <w:p>
            <w:pPr>
              <w:jc w:val="right"/>
              <w:ind w:right="390"/>
              <w:spacing w:after="0" w:line="202" w:lineRule="exact"/>
              <w:rPr>
                <w:sz w:val="20"/>
                <w:szCs w:val="20"/>
                <w:color w:val="auto"/>
              </w:rPr>
            </w:pPr>
            <w:r>
              <w:rPr>
                <w:rFonts w:ascii="Arial" w:cs="Arial" w:eastAsia="Arial" w:hAnsi="Arial"/>
                <w:sz w:val="18"/>
                <w:szCs w:val="18"/>
                <w:color w:val="auto"/>
              </w:rPr>
              <w:t>11.2%</w:t>
            </w:r>
          </w:p>
        </w:tc>
        <w:tc>
          <w:tcPr>
            <w:tcW w:w="146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bl>
    <w:p>
      <w:pPr>
        <w:spacing w:after="0" w:line="20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NOTE 20. OTHER (INCOME) EXPENSE</w:t>
      </w:r>
    </w:p>
    <w:p>
      <w:pPr>
        <w:spacing w:after="0" w:line="11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Other (income) expense consisted of the following for the fiscal years ended September 30 (in millions):</w:t>
      </w:r>
    </w:p>
    <w:p>
      <w:pPr>
        <w:spacing w:after="0" w:line="131" w:lineRule="exact"/>
        <w:rPr>
          <w:sz w:val="20"/>
          <w:szCs w:val="20"/>
          <w:color w:val="auto"/>
        </w:rPr>
      </w:pPr>
    </w:p>
    <w:tbl>
      <w:tblPr>
        <w:tblLayout w:type="fixed"/>
        <w:tblInd w:w="70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7680" w:type="dxa"/>
            <w:vAlign w:val="bottom"/>
          </w:tcPr>
          <w:p>
            <w:pPr>
              <w:spacing w:after="0"/>
              <w:rPr>
                <w:sz w:val="21"/>
                <w:szCs w:val="21"/>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2008</w:t>
            </w:r>
          </w:p>
        </w:tc>
        <w:tc>
          <w:tcPr>
            <w:tcW w:w="220" w:type="dxa"/>
            <w:vAlign w:val="bottom"/>
          </w:tcPr>
          <w:p>
            <w:pPr>
              <w:spacing w:after="0"/>
              <w:rPr>
                <w:sz w:val="21"/>
                <w:szCs w:val="21"/>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2007</w:t>
            </w:r>
          </w:p>
        </w:tc>
        <w:tc>
          <w:tcPr>
            <w:tcW w:w="240" w:type="dxa"/>
            <w:vAlign w:val="bottom"/>
          </w:tcPr>
          <w:p>
            <w:pPr>
              <w:spacing w:after="0"/>
              <w:rPr>
                <w:sz w:val="21"/>
                <w:szCs w:val="21"/>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7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Royalty income</w:t>
            </w:r>
          </w:p>
        </w:tc>
        <w:tc>
          <w:tcPr>
            <w:tcW w:w="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(9.6)</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(9.9)</w:t>
            </w:r>
          </w:p>
        </w:tc>
        <w:tc>
          <w:tcPr>
            <w:tcW w:w="6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tcPr>
          <w:p>
            <w:pPr>
              <w:spacing w:after="0" w:line="202" w:lineRule="exact"/>
              <w:rPr>
                <w:sz w:val="20"/>
                <w:szCs w:val="20"/>
                <w:color w:val="auto"/>
              </w:rPr>
            </w:pPr>
            <w:r>
              <w:rPr>
                <w:rFonts w:ascii="Arial" w:cs="Arial" w:eastAsia="Arial" w:hAnsi="Arial"/>
                <w:sz w:val="18"/>
                <w:szCs w:val="18"/>
                <w:color w:val="auto"/>
              </w:rPr>
              <w:t>Gain from peat transaction</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w:t>
            </w:r>
          </w:p>
        </w:tc>
        <w:tc>
          <w:tcPr>
            <w:tcW w:w="6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Franchise fees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(0.2)</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(0.2)</w:t>
            </w:r>
          </w:p>
        </w:tc>
        <w:tc>
          <w:tcPr>
            <w:tcW w:w="6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tcPr>
          <w:p>
            <w:pPr>
              <w:spacing w:after="0" w:line="202" w:lineRule="exact"/>
              <w:rPr>
                <w:sz w:val="20"/>
                <w:szCs w:val="20"/>
                <w:color w:val="auto"/>
              </w:rPr>
            </w:pPr>
            <w:r>
              <w:rPr>
                <w:rFonts w:ascii="Arial" w:cs="Arial" w:eastAsia="Arial" w:hAnsi="Arial"/>
                <w:sz w:val="18"/>
                <w:szCs w:val="18"/>
                <w:color w:val="auto"/>
              </w:rPr>
              <w:t>Foreign currency (gains) losses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0.9</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(0.2)</w:t>
            </w:r>
          </w:p>
        </w:tc>
        <w:tc>
          <w:tcPr>
            <w:tcW w:w="6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net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(0.3)</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(0.2)</w:t>
            </w:r>
          </w:p>
        </w:tc>
        <w:tc>
          <w:tcPr>
            <w:tcW w:w="6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0"/>
        </w:trPr>
        <w:tc>
          <w:tcPr>
            <w:tcW w:w="770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(10.4</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(11.5</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(9.2</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NOTE 21. SEGMENT INFORMATION</w:t>
      </w:r>
    </w:p>
    <w:p>
      <w:pPr>
        <w:spacing w:after="0" w:line="119" w:lineRule="exact"/>
        <w:rPr>
          <w:sz w:val="20"/>
          <w:szCs w:val="20"/>
          <w:color w:val="auto"/>
        </w:rPr>
      </w:pPr>
    </w:p>
    <w:p>
      <w:pPr>
        <w:ind w:left="700" w:right="80" w:firstLine="402"/>
        <w:spacing w:after="0" w:line="263" w:lineRule="auto"/>
        <w:rPr>
          <w:sz w:val="20"/>
          <w:szCs w:val="20"/>
          <w:color w:val="auto"/>
        </w:rPr>
      </w:pPr>
      <w:r>
        <w:rPr>
          <w:rFonts w:ascii="Arial" w:cs="Arial" w:eastAsia="Arial" w:hAnsi="Arial"/>
          <w:sz w:val="17"/>
          <w:szCs w:val="17"/>
          <w:color w:val="auto"/>
        </w:rPr>
        <w:t>For fiscal 2008, the Company divided its business into the following segments — Global Consumer, Global Professional, Scotts LawnService</w:t>
      </w:r>
      <w:r>
        <w:rPr>
          <w:rFonts w:ascii="Arial" w:cs="Arial" w:eastAsia="Arial" w:hAnsi="Arial"/>
          <w:sz w:val="14"/>
          <w:szCs w:val="14"/>
          <w:color w:val="auto"/>
        </w:rPr>
        <w:t>®</w:t>
      </w:r>
      <w:r>
        <w:rPr>
          <w:rFonts w:ascii="Arial" w:cs="Arial" w:eastAsia="Arial" w:hAnsi="Arial"/>
          <w:sz w:val="17"/>
          <w:szCs w:val="17"/>
          <w:color w:val="auto"/>
        </w:rPr>
        <w:t>, and Corporate &amp; Other. These segments differ from those used in the prior year due to the realignment of the North America and International segments into the Global Consumer and Global Professional segments. The prior year amounts have been reclassified to conform with the fiscal 2008 segments. This division of reportable segments is consistent with how the segments report to and are managed by senior management of the Company.</w:t>
      </w:r>
    </w:p>
    <w:p>
      <w:pPr>
        <w:spacing w:after="0" w:line="63" w:lineRule="exact"/>
        <w:rPr>
          <w:sz w:val="20"/>
          <w:szCs w:val="20"/>
          <w:color w:val="auto"/>
        </w:rPr>
      </w:pPr>
    </w:p>
    <w:p>
      <w:pPr>
        <w:ind w:left="700" w:right="80" w:firstLine="402"/>
        <w:spacing w:after="0" w:line="243" w:lineRule="auto"/>
        <w:rPr>
          <w:sz w:val="20"/>
          <w:szCs w:val="20"/>
          <w:color w:val="auto"/>
        </w:rPr>
      </w:pPr>
      <w:r>
        <w:rPr>
          <w:rFonts w:ascii="Arial" w:cs="Arial" w:eastAsia="Arial" w:hAnsi="Arial"/>
          <w:sz w:val="18"/>
          <w:szCs w:val="18"/>
          <w:color w:val="auto"/>
        </w:rPr>
        <w:t>The Global Consumer segment consists of the North American Consumer and International Consumer business groups. The business groups comprising this segment manufacture, market and sell dry, granular slow-release lawn fertilizers, combination lawn fertilizer and control products, grass seed, spreaders, water-soluble, liquid and continuous release garden and indoor plant foods, plant care products, potting, garden and lawn soils, mulches and other growing media products and pesticide products. Products are marketed to mass merchandisers, home centers, large hardware chains, warehouse clubs, distributors, garden centers and grocers in the United States, Canada and Europe.</w:t>
      </w:r>
    </w:p>
    <w:p>
      <w:pPr>
        <w:spacing w:after="0" w:line="80" w:lineRule="exact"/>
        <w:rPr>
          <w:sz w:val="20"/>
          <w:szCs w:val="20"/>
          <w:color w:val="auto"/>
        </w:rPr>
      </w:pPr>
    </w:p>
    <w:p>
      <w:pPr>
        <w:ind w:left="700" w:right="60" w:firstLine="402"/>
        <w:spacing w:after="0" w:line="248" w:lineRule="auto"/>
        <w:rPr>
          <w:sz w:val="20"/>
          <w:szCs w:val="20"/>
          <w:color w:val="auto"/>
        </w:rPr>
      </w:pPr>
      <w:r>
        <w:rPr>
          <w:rFonts w:ascii="Arial" w:cs="Arial" w:eastAsia="Arial" w:hAnsi="Arial"/>
          <w:sz w:val="18"/>
          <w:szCs w:val="18"/>
          <w:color w:val="auto"/>
        </w:rPr>
        <w:t>The Global Professional segment is focused on a full line of horticultural products including controlled-release and water-soluble fertilizers and plant protection products, grass seed products, spreaders and customer application services. Products are sold to commercial nurseries and greenhouses and specialty crop growers, primarily in North America and Europe. Our consumer businesses in Australia and Latin America are also part of the Global Professional segment.</w:t>
      </w:r>
    </w:p>
    <w:p>
      <w:pPr>
        <w:spacing w:after="0" w:line="76" w:lineRule="exact"/>
        <w:rPr>
          <w:sz w:val="20"/>
          <w:szCs w:val="20"/>
          <w:color w:val="auto"/>
        </w:rPr>
      </w:pPr>
    </w:p>
    <w:p>
      <w:pPr>
        <w:ind w:left="700" w:right="60" w:firstLine="402"/>
        <w:spacing w:after="0" w:line="256" w:lineRule="auto"/>
        <w:rPr>
          <w:sz w:val="20"/>
          <w:szCs w:val="20"/>
          <w:color w:val="auto"/>
        </w:rPr>
      </w:pPr>
      <w:r>
        <w:rPr>
          <w:rFonts w:ascii="Arial" w:cs="Arial" w:eastAsia="Arial" w:hAnsi="Arial"/>
          <w:sz w:val="18"/>
          <w:szCs w:val="18"/>
          <w:color w:val="auto"/>
        </w:rPr>
        <w:t>The Scotts LawnService</w:t>
      </w:r>
      <w:r>
        <w:rPr>
          <w:rFonts w:ascii="Arial" w:cs="Arial" w:eastAsia="Arial" w:hAnsi="Arial"/>
          <w:sz w:val="15"/>
          <w:szCs w:val="15"/>
          <w:color w:val="auto"/>
        </w:rPr>
        <w:t>®</w:t>
      </w:r>
      <w:r>
        <w:rPr>
          <w:rFonts w:ascii="Arial" w:cs="Arial" w:eastAsia="Arial" w:hAnsi="Arial"/>
          <w:sz w:val="18"/>
          <w:szCs w:val="18"/>
          <w:color w:val="auto"/>
        </w:rPr>
        <w:t xml:space="preserve"> segment provides lawn fertilization, disease and insect control and other related services such as core aeration and tree and shrub fertilization primarily to residential consumers through company-owned branches and franchises in the United States. In our larger branches, an exterior barrier pest control service is also offered.</w:t>
      </w:r>
    </w:p>
    <w:p>
      <w:pPr>
        <w:spacing w:after="0" w:line="67" w:lineRule="exact"/>
        <w:rPr>
          <w:sz w:val="20"/>
          <w:szCs w:val="20"/>
          <w:color w:val="auto"/>
        </w:rPr>
      </w:pPr>
    </w:p>
    <w:p>
      <w:pPr>
        <w:ind w:left="700" w:right="300" w:firstLine="402"/>
        <w:spacing w:after="0" w:line="277" w:lineRule="auto"/>
        <w:rPr>
          <w:sz w:val="20"/>
          <w:szCs w:val="20"/>
          <w:color w:val="auto"/>
        </w:rPr>
      </w:pPr>
      <w:r>
        <w:rPr>
          <w:rFonts w:ascii="Arial" w:cs="Arial" w:eastAsia="Arial" w:hAnsi="Arial"/>
          <w:sz w:val="18"/>
          <w:szCs w:val="18"/>
          <w:color w:val="auto"/>
        </w:rPr>
        <w:t>The Corporate &amp; Other segment consists of the Smith &amp; Hawken</w:t>
      </w:r>
      <w:r>
        <w:rPr>
          <w:rFonts w:ascii="Arial" w:cs="Arial" w:eastAsia="Arial" w:hAnsi="Arial"/>
          <w:sz w:val="15"/>
          <w:szCs w:val="15"/>
          <w:color w:val="auto"/>
        </w:rPr>
        <w:t>®</w:t>
      </w:r>
      <w:r>
        <w:rPr>
          <w:rFonts w:ascii="Arial" w:cs="Arial" w:eastAsia="Arial" w:hAnsi="Arial"/>
          <w:sz w:val="18"/>
          <w:szCs w:val="18"/>
          <w:color w:val="auto"/>
        </w:rPr>
        <w:t xml:space="preserve"> business and corporate general and administrative expenses.</w:t>
      </w:r>
    </w:p>
    <w:p>
      <w:pPr>
        <w:spacing w:after="0" w:line="8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1"/>
          <w:szCs w:val="11"/>
          <w:b w:val="1"/>
          <w:bCs w:val="1"/>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-78105</wp:posOffset>
            </wp:positionV>
            <wp:extent cx="19748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240" w:top="415" w:right="919" w:bottom="1440" w:gutter="0" w:footer="0" w:header="0"/>
        </w:sectPr>
      </w:pPr>
    </w:p>
    <w:bookmarkStart w:id="110" w:name="page111"/>
    <w:bookmarkEnd w:id="110"/>
    <w:p>
      <w:pPr>
        <w:spacing w:after="0"/>
        <w:rPr>
          <w:rFonts w:ascii="Times New Roman" w:cs="Times New Roman" w:eastAsia="Times New Roman" w:hAnsi="Times New Roman"/>
          <w:sz w:val="18"/>
          <w:szCs w:val="18"/>
          <w:b w:val="1"/>
          <w:bCs w:val="1"/>
          <w:u w:val="single" w:color="auto"/>
          <w:color w:val="0000EE"/>
        </w:rPr>
      </w:pPr>
      <w:hyperlink w:anchor="page64">
        <w:r>
          <w:rPr>
            <w:rFonts w:ascii="Times New Roman" w:cs="Times New Roman" w:eastAsia="Times New Roman" w:hAnsi="Times New Roman"/>
            <w:sz w:val="18"/>
            <w:szCs w:val="18"/>
            <w:b w:val="1"/>
            <w:bCs w:val="1"/>
            <w:u w:val="single" w:color="auto"/>
            <w:color w:val="0000EE"/>
          </w:rPr>
          <w:t>Table of Contents</w:t>
        </w:r>
      </w:hyperlink>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5" w:lineRule="exact"/>
        <w:rPr>
          <w:sz w:val="20"/>
          <w:szCs w:val="20"/>
          <w:color w:val="auto"/>
        </w:rPr>
      </w:pPr>
    </w:p>
    <w:p>
      <w:pPr>
        <w:ind w:left="700" w:right="840" w:firstLine="402"/>
        <w:spacing w:after="0" w:line="248" w:lineRule="auto"/>
        <w:rPr>
          <w:sz w:val="20"/>
          <w:szCs w:val="20"/>
          <w:color w:val="auto"/>
        </w:rPr>
      </w:pPr>
      <w:r>
        <w:rPr>
          <w:rFonts w:ascii="Arial" w:cs="Arial" w:eastAsia="Arial" w:hAnsi="Arial"/>
          <w:sz w:val="18"/>
          <w:szCs w:val="18"/>
          <w:color w:val="auto"/>
        </w:rPr>
        <w:t>The following table presents segment financial information in accordance with SFAS 131, “Disclosures about Segments of an Enterprise and Related Information.” Pursuant to SFAS 131, the presentation of the segment financial information is consistent with the basis used by management (i.e., certain costs not allocated to business segments for internal management reporting purposes are not allocated for purposes of this presentation).</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00" w:type="dxa"/>
            <w:vAlign w:val="bottom"/>
          </w:tcPr>
          <w:p>
            <w:pPr>
              <w:spacing w:after="0"/>
              <w:rPr>
                <w:sz w:val="21"/>
                <w:szCs w:val="21"/>
                <w:color w:val="auto"/>
              </w:rPr>
            </w:pPr>
          </w:p>
        </w:tc>
        <w:tc>
          <w:tcPr>
            <w:tcW w:w="4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39"/>
              <w:spacing w:after="0"/>
              <w:rPr>
                <w:sz w:val="20"/>
                <w:szCs w:val="20"/>
                <w:color w:val="auto"/>
              </w:rPr>
            </w:pPr>
            <w:r>
              <w:rPr>
                <w:rFonts w:ascii="Arial" w:cs="Arial" w:eastAsia="Arial" w:hAnsi="Arial"/>
                <w:sz w:val="18"/>
                <w:szCs w:val="18"/>
                <w:color w:val="auto"/>
              </w:rPr>
              <w:t>2008</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39"/>
              <w:spacing w:after="0"/>
              <w:rPr>
                <w:sz w:val="20"/>
                <w:szCs w:val="20"/>
                <w:color w:val="auto"/>
              </w:rPr>
            </w:pPr>
            <w:r>
              <w:rPr>
                <w:rFonts w:ascii="Arial" w:cs="Arial" w:eastAsia="Arial" w:hAnsi="Arial"/>
                <w:sz w:val="18"/>
                <w:szCs w:val="18"/>
                <w:color w:val="auto"/>
              </w:rPr>
              <w:t>2007</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59"/>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700" w:type="dxa"/>
            <w:vAlign w:val="bottom"/>
          </w:tcPr>
          <w:p>
            <w:pPr>
              <w:spacing w:after="0"/>
              <w:rPr>
                <w:sz w:val="2"/>
                <w:szCs w:val="2"/>
                <w:color w:val="auto"/>
              </w:rPr>
            </w:pPr>
          </w:p>
        </w:tc>
        <w:tc>
          <w:tcPr>
            <w:tcW w:w="4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700" w:type="dxa"/>
            <w:vAlign w:val="bottom"/>
            <w:vMerge w:val="restart"/>
          </w:tcPr>
          <w:p>
            <w:pPr>
              <w:spacing w:after="0"/>
              <w:rPr>
                <w:sz w:val="2"/>
                <w:szCs w:val="2"/>
                <w:color w:val="auto"/>
              </w:rPr>
            </w:pPr>
          </w:p>
        </w:tc>
        <w:tc>
          <w:tcPr>
            <w:tcW w:w="4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00" w:type="dxa"/>
            <w:vAlign w:val="bottom"/>
            <w:vMerge w:val="continue"/>
          </w:tcPr>
          <w:p>
            <w:pPr>
              <w:spacing w:after="0"/>
              <w:rPr>
                <w:sz w:val="16"/>
                <w:szCs w:val="16"/>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6"/>
                <w:szCs w:val="16"/>
                <w:color w:val="auto"/>
              </w:rPr>
              <w:t>Net sales:</w:t>
            </w:r>
          </w:p>
        </w:tc>
        <w:tc>
          <w:tcPr>
            <w:tcW w:w="30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00" w:type="dxa"/>
            <w:vAlign w:val="bottom"/>
          </w:tcPr>
          <w:p>
            <w:pPr>
              <w:spacing w:after="0"/>
              <w:rPr>
                <w:sz w:val="16"/>
                <w:szCs w:val="16"/>
                <w:color w:val="auto"/>
              </w:rPr>
            </w:pPr>
          </w:p>
        </w:tc>
        <w:tc>
          <w:tcPr>
            <w:tcW w:w="4860" w:type="dxa"/>
            <w:vAlign w:val="bottom"/>
          </w:tcPr>
          <w:p>
            <w:pPr>
              <w:ind w:left="160"/>
              <w:spacing w:after="0"/>
              <w:rPr>
                <w:sz w:val="20"/>
                <w:szCs w:val="20"/>
                <w:color w:val="auto"/>
              </w:rPr>
            </w:pPr>
            <w:r>
              <w:rPr>
                <w:rFonts w:ascii="Arial" w:cs="Arial" w:eastAsia="Arial" w:hAnsi="Arial"/>
                <w:sz w:val="16"/>
                <w:szCs w:val="16"/>
                <w:color w:val="auto"/>
              </w:rPr>
              <w:t>Global Consumer</w:t>
            </w:r>
          </w:p>
        </w:tc>
        <w:tc>
          <w:tcPr>
            <w:tcW w:w="24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2,250.1</w:t>
            </w:r>
          </w:p>
        </w:tc>
        <w:tc>
          <w:tcPr>
            <w:tcW w:w="220" w:type="dxa"/>
            <w:vAlign w:val="bottom"/>
          </w:tcPr>
          <w:p>
            <w:pPr>
              <w:spacing w:after="0"/>
              <w:rPr>
                <w:sz w:val="16"/>
                <w:szCs w:val="16"/>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2,176.2</w:t>
            </w:r>
          </w:p>
        </w:tc>
        <w:tc>
          <w:tcPr>
            <w:tcW w:w="220" w:type="dxa"/>
            <w:vAlign w:val="bottom"/>
          </w:tcPr>
          <w:p>
            <w:pPr>
              <w:spacing w:after="0"/>
              <w:rPr>
                <w:sz w:val="16"/>
                <w:szCs w:val="16"/>
                <w:color w:val="auto"/>
              </w:rPr>
            </w:pP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2,089.6</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00" w:type="dxa"/>
            <w:vAlign w:val="bottom"/>
          </w:tcPr>
          <w:p>
            <w:pPr>
              <w:spacing w:after="0"/>
              <w:rPr>
                <w:sz w:val="16"/>
                <w:szCs w:val="16"/>
                <w:color w:val="auto"/>
              </w:rPr>
            </w:pPr>
          </w:p>
        </w:tc>
        <w:tc>
          <w:tcPr>
            <w:tcW w:w="48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Global Professional</w:t>
            </w:r>
          </w:p>
        </w:tc>
        <w:tc>
          <w:tcPr>
            <w:tcW w:w="30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348.8</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281.9</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233.4</w:t>
            </w:r>
          </w:p>
        </w:tc>
        <w:tc>
          <w:tcPr>
            <w:tcW w:w="100" w:type="dxa"/>
            <w:vAlign w:val="bottom"/>
            <w:shd w:val="clear" w:color="auto" w:fill="CCEEFF"/>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00" w:type="dxa"/>
            <w:vAlign w:val="bottom"/>
          </w:tcPr>
          <w:p>
            <w:pPr>
              <w:spacing w:after="0"/>
              <w:rPr>
                <w:sz w:val="16"/>
                <w:szCs w:val="16"/>
                <w:color w:val="auto"/>
              </w:rPr>
            </w:pPr>
          </w:p>
        </w:tc>
        <w:tc>
          <w:tcPr>
            <w:tcW w:w="4860" w:type="dxa"/>
            <w:vAlign w:val="bottom"/>
          </w:tcPr>
          <w:p>
            <w:pPr>
              <w:ind w:left="160"/>
              <w:spacing w:after="0" w:line="189" w:lineRule="exact"/>
              <w:rPr>
                <w:sz w:val="20"/>
                <w:szCs w:val="20"/>
                <w:color w:val="auto"/>
              </w:rPr>
            </w:pPr>
            <w:r>
              <w:rPr>
                <w:rFonts w:ascii="Arial" w:cs="Arial" w:eastAsia="Arial" w:hAnsi="Arial"/>
                <w:sz w:val="13"/>
                <w:szCs w:val="13"/>
                <w:color w:val="auto"/>
              </w:rPr>
              <w:t>Scotts LawnService</w:t>
            </w:r>
            <w:r>
              <w:rPr>
                <w:rFonts w:ascii="Arial" w:cs="Arial" w:eastAsia="Arial" w:hAnsi="Arial"/>
                <w:sz w:val="21"/>
                <w:szCs w:val="21"/>
                <w:color w:val="auto"/>
                <w:vertAlign w:val="superscript"/>
              </w:rPr>
              <w:t>®</w:t>
            </w:r>
          </w:p>
        </w:tc>
        <w:tc>
          <w:tcPr>
            <w:tcW w:w="3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247.4</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230.5</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205.7</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00" w:type="dxa"/>
            <w:vAlign w:val="bottom"/>
          </w:tcPr>
          <w:p>
            <w:pPr>
              <w:spacing w:after="0"/>
              <w:rPr>
                <w:sz w:val="16"/>
                <w:szCs w:val="16"/>
                <w:color w:val="auto"/>
              </w:rPr>
            </w:pPr>
          </w:p>
        </w:tc>
        <w:tc>
          <w:tcPr>
            <w:tcW w:w="48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Corporate &amp; Other</w:t>
            </w:r>
          </w:p>
        </w:tc>
        <w:tc>
          <w:tcPr>
            <w:tcW w:w="30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158.6</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184.0</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169.2</w:t>
            </w:r>
          </w:p>
        </w:tc>
        <w:tc>
          <w:tcPr>
            <w:tcW w:w="100" w:type="dxa"/>
            <w:vAlign w:val="bottom"/>
            <w:shd w:val="clear" w:color="auto" w:fill="CCEEFF"/>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560" w:type="dxa"/>
            <w:vAlign w:val="bottom"/>
            <w:gridSpan w:val="2"/>
          </w:tcPr>
          <w:p>
            <w:pPr>
              <w:ind w:left="700"/>
              <w:spacing w:after="0"/>
              <w:rPr>
                <w:sz w:val="20"/>
                <w:szCs w:val="20"/>
                <w:color w:val="auto"/>
              </w:rPr>
            </w:pPr>
            <w:r>
              <w:rPr>
                <w:rFonts w:ascii="Arial" w:cs="Arial" w:eastAsia="Arial" w:hAnsi="Arial"/>
                <w:sz w:val="16"/>
                <w:szCs w:val="16"/>
                <w:color w:val="auto"/>
              </w:rPr>
              <w:t>Segment total</w:t>
            </w:r>
          </w:p>
        </w:tc>
        <w:tc>
          <w:tcPr>
            <w:tcW w:w="3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3,004.9</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2,872.6</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2,697.9</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00" w:type="dxa"/>
            <w:vAlign w:val="bottom"/>
          </w:tcPr>
          <w:p>
            <w:pPr>
              <w:spacing w:after="0"/>
              <w:rPr>
                <w:sz w:val="16"/>
                <w:szCs w:val="16"/>
                <w:color w:val="auto"/>
              </w:rPr>
            </w:pPr>
          </w:p>
        </w:tc>
        <w:tc>
          <w:tcPr>
            <w:tcW w:w="4860" w:type="dxa"/>
            <w:vAlign w:val="bottom"/>
            <w:shd w:val="clear" w:color="auto" w:fill="CCEEFF"/>
          </w:tcPr>
          <w:p>
            <w:pPr>
              <w:ind w:left="160"/>
              <w:spacing w:after="0" w:line="189" w:lineRule="exact"/>
              <w:rPr>
                <w:sz w:val="20"/>
                <w:szCs w:val="20"/>
                <w:color w:val="auto"/>
              </w:rPr>
            </w:pPr>
            <w:r>
              <w:rPr>
                <w:rFonts w:ascii="Arial" w:cs="Arial" w:eastAsia="Arial" w:hAnsi="Arial"/>
                <w:sz w:val="13"/>
                <w:szCs w:val="13"/>
                <w:color w:val="auto"/>
              </w:rPr>
              <w:t>Roundup</w:t>
            </w:r>
            <w:r>
              <w:rPr>
                <w:rFonts w:ascii="Arial" w:cs="Arial" w:eastAsia="Arial" w:hAnsi="Arial"/>
                <w:sz w:val="21"/>
                <w:szCs w:val="21"/>
                <w:color w:val="auto"/>
                <w:vertAlign w:val="superscript"/>
              </w:rPr>
              <w:t>®</w:t>
            </w:r>
            <w:r>
              <w:rPr>
                <w:rFonts w:ascii="Arial" w:cs="Arial" w:eastAsia="Arial" w:hAnsi="Arial"/>
                <w:sz w:val="13"/>
                <w:szCs w:val="13"/>
                <w:color w:val="auto"/>
              </w:rPr>
              <w:t xml:space="preserve"> amortization</w:t>
            </w:r>
          </w:p>
        </w:tc>
        <w:tc>
          <w:tcPr>
            <w:tcW w:w="30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(0.8)</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(0.8)</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(0.8)</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4860" w:type="dxa"/>
            <w:vAlign w:val="bottom"/>
          </w:tcPr>
          <w:p>
            <w:pPr>
              <w:ind w:left="160"/>
              <w:spacing w:after="0"/>
              <w:rPr>
                <w:sz w:val="20"/>
                <w:szCs w:val="20"/>
                <w:color w:val="auto"/>
              </w:rPr>
            </w:pPr>
            <w:r>
              <w:rPr>
                <w:rFonts w:ascii="Arial" w:cs="Arial" w:eastAsia="Arial" w:hAnsi="Arial"/>
                <w:sz w:val="16"/>
                <w:szCs w:val="16"/>
                <w:color w:val="auto"/>
              </w:rPr>
              <w:t>Product registration and recall matters — returns</w:t>
            </w:r>
          </w:p>
        </w:tc>
        <w:tc>
          <w:tcPr>
            <w:tcW w:w="3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(22.3)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00" w:type="dxa"/>
            <w:vAlign w:val="bottom"/>
          </w:tcPr>
          <w:p>
            <w:pPr>
              <w:spacing w:after="0"/>
              <w:rPr>
                <w:sz w:val="16"/>
                <w:szCs w:val="16"/>
                <w:color w:val="auto"/>
              </w:rPr>
            </w:pPr>
          </w:p>
        </w:tc>
        <w:tc>
          <w:tcPr>
            <w:tcW w:w="4860" w:type="dxa"/>
            <w:vAlign w:val="bottom"/>
            <w:shd w:val="clear" w:color="auto" w:fill="CCEEFF"/>
          </w:tcPr>
          <w:p>
            <w:pPr>
              <w:spacing w:after="0"/>
              <w:rPr>
                <w:sz w:val="16"/>
                <w:szCs w:val="16"/>
                <w:color w:val="auto"/>
              </w:rPr>
            </w:pPr>
          </w:p>
        </w:tc>
        <w:tc>
          <w:tcPr>
            <w:tcW w:w="2300" w:type="dxa"/>
            <w:vAlign w:val="bottom"/>
            <w:gridSpan w:val="2"/>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u w:val="single" w:color="auto"/>
                <w:color w:val="auto"/>
                <w:w w:val="8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2,981.8</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u w:val="single" w:color="auto"/>
                <w:color w:val="auto"/>
                <w:w w:val="8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2,871.8</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2,697.1</w:t>
            </w:r>
          </w:p>
        </w:tc>
        <w:tc>
          <w:tcPr>
            <w:tcW w:w="100" w:type="dxa"/>
            <w:vAlign w:val="bottom"/>
            <w:shd w:val="clear" w:color="auto" w:fill="CCEEFF"/>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560" w:type="dxa"/>
            <w:vAlign w:val="bottom"/>
            <w:gridSpan w:val="2"/>
            <w:vMerge w:val="restart"/>
          </w:tcPr>
          <w:p>
            <w:pPr>
              <w:ind w:left="700"/>
              <w:spacing w:after="0"/>
              <w:rPr>
                <w:sz w:val="20"/>
                <w:szCs w:val="20"/>
                <w:color w:val="auto"/>
              </w:rPr>
            </w:pPr>
            <w:r>
              <w:rPr>
                <w:rFonts w:ascii="Arial" w:cs="Arial" w:eastAsia="Arial" w:hAnsi="Arial"/>
                <w:sz w:val="16"/>
                <w:szCs w:val="16"/>
                <w:color w:val="auto"/>
              </w:rPr>
              <w:t>Operating income (loss):</w:t>
            </w:r>
          </w:p>
        </w:tc>
        <w:tc>
          <w:tcPr>
            <w:tcW w:w="3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56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00" w:type="dxa"/>
            <w:vAlign w:val="bottom"/>
          </w:tcPr>
          <w:p>
            <w:pPr>
              <w:spacing w:after="0"/>
              <w:rPr>
                <w:sz w:val="16"/>
                <w:szCs w:val="16"/>
                <w:color w:val="auto"/>
              </w:rPr>
            </w:pPr>
          </w:p>
        </w:tc>
        <w:tc>
          <w:tcPr>
            <w:tcW w:w="48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Global Consumer</w:t>
            </w:r>
          </w:p>
        </w:tc>
        <w:tc>
          <w:tcPr>
            <w:tcW w:w="24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344.5</w:t>
            </w:r>
          </w:p>
        </w:tc>
        <w:tc>
          <w:tcPr>
            <w:tcW w:w="22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379.1</w:t>
            </w:r>
          </w:p>
        </w:tc>
        <w:tc>
          <w:tcPr>
            <w:tcW w:w="22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392.4</w:t>
            </w:r>
          </w:p>
        </w:tc>
        <w:tc>
          <w:tcPr>
            <w:tcW w:w="100" w:type="dxa"/>
            <w:vAlign w:val="bottom"/>
            <w:shd w:val="clear" w:color="auto" w:fill="CCEEFF"/>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00" w:type="dxa"/>
            <w:vAlign w:val="bottom"/>
          </w:tcPr>
          <w:p>
            <w:pPr>
              <w:spacing w:after="0"/>
              <w:rPr>
                <w:sz w:val="16"/>
                <w:szCs w:val="16"/>
                <w:color w:val="auto"/>
              </w:rPr>
            </w:pPr>
          </w:p>
        </w:tc>
        <w:tc>
          <w:tcPr>
            <w:tcW w:w="4860" w:type="dxa"/>
            <w:vAlign w:val="bottom"/>
          </w:tcPr>
          <w:p>
            <w:pPr>
              <w:ind w:left="160"/>
              <w:spacing w:after="0"/>
              <w:rPr>
                <w:sz w:val="20"/>
                <w:szCs w:val="20"/>
                <w:color w:val="auto"/>
              </w:rPr>
            </w:pPr>
            <w:r>
              <w:rPr>
                <w:rFonts w:ascii="Arial" w:cs="Arial" w:eastAsia="Arial" w:hAnsi="Arial"/>
                <w:sz w:val="16"/>
                <w:szCs w:val="16"/>
                <w:color w:val="auto"/>
              </w:rPr>
              <w:t>Global Professional</w:t>
            </w:r>
          </w:p>
        </w:tc>
        <w:tc>
          <w:tcPr>
            <w:tcW w:w="3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33.7</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31.3</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27.3</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00" w:type="dxa"/>
            <w:vAlign w:val="bottom"/>
          </w:tcPr>
          <w:p>
            <w:pPr>
              <w:spacing w:after="0"/>
              <w:rPr>
                <w:sz w:val="16"/>
                <w:szCs w:val="16"/>
                <w:color w:val="auto"/>
              </w:rPr>
            </w:pPr>
          </w:p>
        </w:tc>
        <w:tc>
          <w:tcPr>
            <w:tcW w:w="4860" w:type="dxa"/>
            <w:vAlign w:val="bottom"/>
            <w:shd w:val="clear" w:color="auto" w:fill="CCEEFF"/>
          </w:tcPr>
          <w:p>
            <w:pPr>
              <w:ind w:left="160"/>
              <w:spacing w:after="0" w:line="189" w:lineRule="exact"/>
              <w:rPr>
                <w:sz w:val="20"/>
                <w:szCs w:val="20"/>
                <w:color w:val="auto"/>
              </w:rPr>
            </w:pPr>
            <w:r>
              <w:rPr>
                <w:rFonts w:ascii="Arial" w:cs="Arial" w:eastAsia="Arial" w:hAnsi="Arial"/>
                <w:sz w:val="13"/>
                <w:szCs w:val="13"/>
                <w:color w:val="auto"/>
              </w:rPr>
              <w:t>Scotts LawnService</w:t>
            </w:r>
            <w:r>
              <w:rPr>
                <w:rFonts w:ascii="Arial" w:cs="Arial" w:eastAsia="Arial" w:hAnsi="Arial"/>
                <w:sz w:val="21"/>
                <w:szCs w:val="21"/>
                <w:color w:val="auto"/>
                <w:vertAlign w:val="superscript"/>
              </w:rPr>
              <w:t>®</w:t>
            </w:r>
          </w:p>
        </w:tc>
        <w:tc>
          <w:tcPr>
            <w:tcW w:w="30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00" w:type="dxa"/>
            <w:vAlign w:val="bottom"/>
            <w:shd w:val="clear" w:color="auto" w:fill="CCEEFF"/>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4860" w:type="dxa"/>
            <w:vAlign w:val="bottom"/>
          </w:tcPr>
          <w:p>
            <w:pPr>
              <w:ind w:left="160"/>
              <w:spacing w:after="0"/>
              <w:rPr>
                <w:sz w:val="20"/>
                <w:szCs w:val="20"/>
                <w:color w:val="auto"/>
              </w:rPr>
            </w:pPr>
            <w:r>
              <w:rPr>
                <w:rFonts w:ascii="Arial" w:cs="Arial" w:eastAsia="Arial" w:hAnsi="Arial"/>
                <w:sz w:val="16"/>
                <w:szCs w:val="16"/>
                <w:color w:val="auto"/>
              </w:rPr>
              <w:t>Corporate &amp; Other</w:t>
            </w:r>
          </w:p>
        </w:tc>
        <w:tc>
          <w:tcPr>
            <w:tcW w:w="3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(87.2)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(90.5)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(91.0)</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00" w:type="dxa"/>
            <w:vAlign w:val="bottom"/>
          </w:tcPr>
          <w:p>
            <w:pPr>
              <w:spacing w:after="0"/>
              <w:rPr>
                <w:sz w:val="16"/>
                <w:szCs w:val="16"/>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6"/>
                <w:szCs w:val="16"/>
                <w:color w:val="auto"/>
              </w:rPr>
              <w:t>Segment total</w:t>
            </w:r>
          </w:p>
        </w:tc>
        <w:tc>
          <w:tcPr>
            <w:tcW w:w="30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302.3</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331.2</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344.3</w:t>
            </w:r>
          </w:p>
        </w:tc>
        <w:tc>
          <w:tcPr>
            <w:tcW w:w="100" w:type="dxa"/>
            <w:vAlign w:val="bottom"/>
            <w:shd w:val="clear" w:color="auto" w:fill="CCEEFF"/>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00" w:type="dxa"/>
            <w:vAlign w:val="bottom"/>
          </w:tcPr>
          <w:p>
            <w:pPr>
              <w:spacing w:after="0"/>
              <w:rPr>
                <w:sz w:val="16"/>
                <w:szCs w:val="16"/>
                <w:color w:val="auto"/>
              </w:rPr>
            </w:pPr>
          </w:p>
        </w:tc>
        <w:tc>
          <w:tcPr>
            <w:tcW w:w="4860" w:type="dxa"/>
            <w:vAlign w:val="bottom"/>
          </w:tcPr>
          <w:p>
            <w:pPr>
              <w:spacing w:after="0" w:line="189" w:lineRule="exact"/>
              <w:rPr>
                <w:sz w:val="20"/>
                <w:szCs w:val="20"/>
                <w:color w:val="auto"/>
              </w:rPr>
            </w:pPr>
            <w:r>
              <w:rPr>
                <w:rFonts w:ascii="Arial" w:cs="Arial" w:eastAsia="Arial" w:hAnsi="Arial"/>
                <w:sz w:val="13"/>
                <w:szCs w:val="13"/>
                <w:color w:val="auto"/>
              </w:rPr>
              <w:t>Roundup</w:t>
            </w:r>
            <w:r>
              <w:rPr>
                <w:rFonts w:ascii="Arial" w:cs="Arial" w:eastAsia="Arial" w:hAnsi="Arial"/>
                <w:sz w:val="21"/>
                <w:szCs w:val="21"/>
                <w:color w:val="auto"/>
                <w:vertAlign w:val="superscript"/>
              </w:rPr>
              <w:t>®</w:t>
            </w:r>
            <w:r>
              <w:rPr>
                <w:rFonts w:ascii="Arial" w:cs="Arial" w:eastAsia="Arial" w:hAnsi="Arial"/>
                <w:sz w:val="13"/>
                <w:szCs w:val="13"/>
                <w:color w:val="auto"/>
              </w:rPr>
              <w:t xml:space="preserve"> amortization</w:t>
            </w:r>
          </w:p>
        </w:tc>
        <w:tc>
          <w:tcPr>
            <w:tcW w:w="3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(0.8)</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(0.8)</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(0.8)</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00" w:type="dxa"/>
            <w:vAlign w:val="bottom"/>
          </w:tcPr>
          <w:p>
            <w:pPr>
              <w:spacing w:after="0"/>
              <w:rPr>
                <w:sz w:val="16"/>
                <w:szCs w:val="16"/>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6"/>
                <w:szCs w:val="16"/>
                <w:color w:val="auto"/>
              </w:rPr>
              <w:t>Amortization</w:t>
            </w:r>
          </w:p>
        </w:tc>
        <w:tc>
          <w:tcPr>
            <w:tcW w:w="30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(15.6)</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(15.3)</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(15.2)</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00" w:type="dxa"/>
            <w:vAlign w:val="bottom"/>
          </w:tcPr>
          <w:p>
            <w:pPr>
              <w:spacing w:after="0"/>
              <w:rPr>
                <w:sz w:val="16"/>
                <w:szCs w:val="16"/>
                <w:color w:val="auto"/>
              </w:rPr>
            </w:pPr>
          </w:p>
        </w:tc>
        <w:tc>
          <w:tcPr>
            <w:tcW w:w="4860" w:type="dxa"/>
            <w:vAlign w:val="bottom"/>
          </w:tcPr>
          <w:p>
            <w:pPr>
              <w:spacing w:after="0"/>
              <w:rPr>
                <w:sz w:val="20"/>
                <w:szCs w:val="20"/>
                <w:color w:val="auto"/>
              </w:rPr>
            </w:pPr>
            <w:r>
              <w:rPr>
                <w:rFonts w:ascii="Arial" w:cs="Arial" w:eastAsia="Arial" w:hAnsi="Arial"/>
                <w:sz w:val="16"/>
                <w:szCs w:val="16"/>
                <w:color w:val="auto"/>
              </w:rPr>
              <w:t>Product registration and recall matters</w:t>
            </w:r>
          </w:p>
        </w:tc>
        <w:tc>
          <w:tcPr>
            <w:tcW w:w="3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(51.1)</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00" w:type="dxa"/>
            <w:vAlign w:val="bottom"/>
          </w:tcPr>
          <w:p>
            <w:pPr>
              <w:spacing w:after="0"/>
              <w:rPr>
                <w:sz w:val="16"/>
                <w:szCs w:val="16"/>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6"/>
                <w:szCs w:val="16"/>
                <w:color w:val="auto"/>
              </w:rPr>
              <w:t>Impairment of assets</w:t>
            </w:r>
          </w:p>
        </w:tc>
        <w:tc>
          <w:tcPr>
            <w:tcW w:w="30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(136.8)</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(35.3)</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(66.4)</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4860" w:type="dxa"/>
            <w:vAlign w:val="bottom"/>
          </w:tcPr>
          <w:p>
            <w:pPr>
              <w:spacing w:after="0"/>
              <w:rPr>
                <w:sz w:val="20"/>
                <w:szCs w:val="20"/>
                <w:color w:val="auto"/>
              </w:rPr>
            </w:pPr>
            <w:r>
              <w:rPr>
                <w:rFonts w:ascii="Arial" w:cs="Arial" w:eastAsia="Arial" w:hAnsi="Arial"/>
                <w:sz w:val="16"/>
                <w:szCs w:val="16"/>
                <w:color w:val="auto"/>
              </w:rPr>
              <w:t>Restructuring and other charges</w:t>
            </w:r>
          </w:p>
        </w:tc>
        <w:tc>
          <w:tcPr>
            <w:tcW w:w="3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(2.7)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(9.4)</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00" w:type="dxa"/>
            <w:vAlign w:val="bottom"/>
          </w:tcPr>
          <w:p>
            <w:pPr>
              <w:spacing w:after="0"/>
              <w:rPr>
                <w:sz w:val="16"/>
                <w:szCs w:val="16"/>
                <w:color w:val="auto"/>
              </w:rPr>
            </w:pPr>
          </w:p>
        </w:tc>
        <w:tc>
          <w:tcPr>
            <w:tcW w:w="4860" w:type="dxa"/>
            <w:vAlign w:val="bottom"/>
            <w:shd w:val="clear" w:color="auto" w:fill="CCEEFF"/>
          </w:tcPr>
          <w:p>
            <w:pPr>
              <w:spacing w:after="0"/>
              <w:rPr>
                <w:sz w:val="16"/>
                <w:szCs w:val="16"/>
                <w:color w:val="auto"/>
              </w:rPr>
            </w:pPr>
          </w:p>
        </w:tc>
        <w:tc>
          <w:tcPr>
            <w:tcW w:w="2300" w:type="dxa"/>
            <w:vAlign w:val="bottom"/>
            <w:gridSpan w:val="2"/>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98.0</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277.1</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252.5</w:t>
            </w:r>
          </w:p>
        </w:tc>
        <w:tc>
          <w:tcPr>
            <w:tcW w:w="100" w:type="dxa"/>
            <w:vAlign w:val="bottom"/>
            <w:shd w:val="clear" w:color="auto" w:fill="CCEEFF"/>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560" w:type="dxa"/>
            <w:vAlign w:val="bottom"/>
            <w:gridSpan w:val="2"/>
            <w:vMerge w:val="restart"/>
          </w:tcPr>
          <w:p>
            <w:pPr>
              <w:ind w:left="700"/>
              <w:spacing w:after="0"/>
              <w:rPr>
                <w:sz w:val="20"/>
                <w:szCs w:val="20"/>
                <w:color w:val="auto"/>
              </w:rPr>
            </w:pPr>
            <w:r>
              <w:rPr>
                <w:rFonts w:ascii="Arial" w:cs="Arial" w:eastAsia="Arial" w:hAnsi="Arial"/>
                <w:sz w:val="16"/>
                <w:szCs w:val="16"/>
                <w:color w:val="auto"/>
              </w:rPr>
              <w:t>Depreciation &amp; amortization:</w:t>
            </w:r>
          </w:p>
        </w:tc>
        <w:tc>
          <w:tcPr>
            <w:tcW w:w="3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56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00" w:type="dxa"/>
            <w:vAlign w:val="bottom"/>
          </w:tcPr>
          <w:p>
            <w:pPr>
              <w:spacing w:after="0"/>
              <w:rPr>
                <w:sz w:val="16"/>
                <w:szCs w:val="16"/>
                <w:color w:val="auto"/>
              </w:rPr>
            </w:pPr>
          </w:p>
        </w:tc>
        <w:tc>
          <w:tcPr>
            <w:tcW w:w="48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Global Consumer</w:t>
            </w:r>
          </w:p>
        </w:tc>
        <w:tc>
          <w:tcPr>
            <w:tcW w:w="24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w:t>
            </w:r>
          </w:p>
        </w:tc>
        <w:tc>
          <w:tcPr>
            <w:tcW w:w="22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w:t>
            </w:r>
          </w:p>
        </w:tc>
        <w:tc>
          <w:tcPr>
            <w:tcW w:w="22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w:t>
            </w:r>
          </w:p>
        </w:tc>
        <w:tc>
          <w:tcPr>
            <w:tcW w:w="100" w:type="dxa"/>
            <w:vAlign w:val="bottom"/>
            <w:shd w:val="clear" w:color="auto" w:fill="CCEEFF"/>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00" w:type="dxa"/>
            <w:vAlign w:val="bottom"/>
          </w:tcPr>
          <w:p>
            <w:pPr>
              <w:spacing w:after="0"/>
              <w:rPr>
                <w:sz w:val="16"/>
                <w:szCs w:val="16"/>
                <w:color w:val="auto"/>
              </w:rPr>
            </w:pPr>
          </w:p>
        </w:tc>
        <w:tc>
          <w:tcPr>
            <w:tcW w:w="4860" w:type="dxa"/>
            <w:vAlign w:val="bottom"/>
          </w:tcPr>
          <w:p>
            <w:pPr>
              <w:ind w:left="160"/>
              <w:spacing w:after="0"/>
              <w:rPr>
                <w:sz w:val="20"/>
                <w:szCs w:val="20"/>
                <w:color w:val="auto"/>
              </w:rPr>
            </w:pPr>
            <w:r>
              <w:rPr>
                <w:rFonts w:ascii="Arial" w:cs="Arial" w:eastAsia="Arial" w:hAnsi="Arial"/>
                <w:sz w:val="16"/>
                <w:szCs w:val="16"/>
                <w:color w:val="auto"/>
              </w:rPr>
              <w:t>Global Professional</w:t>
            </w:r>
          </w:p>
        </w:tc>
        <w:tc>
          <w:tcPr>
            <w:tcW w:w="3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3.3</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3.6</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00" w:type="dxa"/>
            <w:vAlign w:val="bottom"/>
          </w:tcPr>
          <w:p>
            <w:pPr>
              <w:spacing w:after="0"/>
              <w:rPr>
                <w:sz w:val="16"/>
                <w:szCs w:val="16"/>
                <w:color w:val="auto"/>
              </w:rPr>
            </w:pPr>
          </w:p>
        </w:tc>
        <w:tc>
          <w:tcPr>
            <w:tcW w:w="4860" w:type="dxa"/>
            <w:vAlign w:val="bottom"/>
            <w:shd w:val="clear" w:color="auto" w:fill="CCEEFF"/>
          </w:tcPr>
          <w:p>
            <w:pPr>
              <w:ind w:left="160"/>
              <w:spacing w:after="0" w:line="189" w:lineRule="exact"/>
              <w:rPr>
                <w:sz w:val="20"/>
                <w:szCs w:val="20"/>
                <w:color w:val="auto"/>
              </w:rPr>
            </w:pPr>
            <w:r>
              <w:rPr>
                <w:rFonts w:ascii="Arial" w:cs="Arial" w:eastAsia="Arial" w:hAnsi="Arial"/>
                <w:sz w:val="13"/>
                <w:szCs w:val="13"/>
                <w:color w:val="auto"/>
              </w:rPr>
              <w:t>Scotts LawnService</w:t>
            </w:r>
            <w:r>
              <w:rPr>
                <w:rFonts w:ascii="Arial" w:cs="Arial" w:eastAsia="Arial" w:hAnsi="Arial"/>
                <w:sz w:val="21"/>
                <w:szCs w:val="21"/>
                <w:color w:val="auto"/>
                <w:vertAlign w:val="superscript"/>
              </w:rPr>
              <w:t>®</w:t>
            </w:r>
          </w:p>
        </w:tc>
        <w:tc>
          <w:tcPr>
            <w:tcW w:w="30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4860" w:type="dxa"/>
            <w:vAlign w:val="bottom"/>
          </w:tcPr>
          <w:p>
            <w:pPr>
              <w:ind w:left="160"/>
              <w:spacing w:after="0"/>
              <w:rPr>
                <w:sz w:val="20"/>
                <w:szCs w:val="20"/>
                <w:color w:val="auto"/>
              </w:rPr>
            </w:pPr>
            <w:r>
              <w:rPr>
                <w:rFonts w:ascii="Arial" w:cs="Arial" w:eastAsia="Arial" w:hAnsi="Arial"/>
                <w:sz w:val="16"/>
                <w:szCs w:val="16"/>
                <w:color w:val="auto"/>
              </w:rPr>
              <w:t>Corporate &amp; Other</w:t>
            </w:r>
          </w:p>
        </w:tc>
        <w:tc>
          <w:tcPr>
            <w:tcW w:w="3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00" w:type="dxa"/>
            <w:vAlign w:val="bottom"/>
          </w:tcPr>
          <w:p>
            <w:pPr>
              <w:spacing w:after="0"/>
              <w:rPr>
                <w:sz w:val="16"/>
                <w:szCs w:val="16"/>
                <w:color w:val="auto"/>
              </w:rPr>
            </w:pPr>
          </w:p>
        </w:tc>
        <w:tc>
          <w:tcPr>
            <w:tcW w:w="4860" w:type="dxa"/>
            <w:vAlign w:val="bottom"/>
            <w:shd w:val="clear" w:color="auto" w:fill="CCEEFF"/>
          </w:tcPr>
          <w:p>
            <w:pPr>
              <w:spacing w:after="0"/>
              <w:rPr>
                <w:sz w:val="16"/>
                <w:szCs w:val="16"/>
                <w:color w:val="auto"/>
              </w:rPr>
            </w:pPr>
          </w:p>
        </w:tc>
        <w:tc>
          <w:tcPr>
            <w:tcW w:w="24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70.3</w:t>
            </w:r>
          </w:p>
        </w:tc>
        <w:tc>
          <w:tcPr>
            <w:tcW w:w="22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w:t>
            </w:r>
          </w:p>
        </w:tc>
        <w:tc>
          <w:tcPr>
            <w:tcW w:w="22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67.0</w:t>
            </w:r>
          </w:p>
        </w:tc>
        <w:tc>
          <w:tcPr>
            <w:tcW w:w="100" w:type="dxa"/>
            <w:vAlign w:val="bottom"/>
            <w:shd w:val="clear" w:color="auto" w:fill="CCEEFF"/>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560" w:type="dxa"/>
            <w:vAlign w:val="bottom"/>
            <w:gridSpan w:val="2"/>
            <w:vMerge w:val="restart"/>
          </w:tcPr>
          <w:p>
            <w:pPr>
              <w:ind w:left="700"/>
              <w:spacing w:after="0"/>
              <w:rPr>
                <w:sz w:val="20"/>
                <w:szCs w:val="20"/>
                <w:color w:val="auto"/>
              </w:rPr>
            </w:pPr>
            <w:r>
              <w:rPr>
                <w:rFonts w:ascii="Arial" w:cs="Arial" w:eastAsia="Arial" w:hAnsi="Arial"/>
                <w:sz w:val="16"/>
                <w:szCs w:val="16"/>
                <w:color w:val="auto"/>
              </w:rPr>
              <w:t>Capital expenditures:</w:t>
            </w:r>
          </w:p>
        </w:tc>
        <w:tc>
          <w:tcPr>
            <w:tcW w:w="3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56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00" w:type="dxa"/>
            <w:vAlign w:val="bottom"/>
          </w:tcPr>
          <w:p>
            <w:pPr>
              <w:spacing w:after="0"/>
              <w:rPr>
                <w:sz w:val="16"/>
                <w:szCs w:val="16"/>
                <w:color w:val="auto"/>
              </w:rPr>
            </w:pPr>
          </w:p>
        </w:tc>
        <w:tc>
          <w:tcPr>
            <w:tcW w:w="48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Global Consumer</w:t>
            </w:r>
          </w:p>
        </w:tc>
        <w:tc>
          <w:tcPr>
            <w:tcW w:w="24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w:t>
            </w:r>
          </w:p>
        </w:tc>
        <w:tc>
          <w:tcPr>
            <w:tcW w:w="22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w:t>
            </w:r>
          </w:p>
        </w:tc>
        <w:tc>
          <w:tcPr>
            <w:tcW w:w="22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w:t>
            </w:r>
          </w:p>
        </w:tc>
        <w:tc>
          <w:tcPr>
            <w:tcW w:w="100" w:type="dxa"/>
            <w:vAlign w:val="bottom"/>
            <w:shd w:val="clear" w:color="auto" w:fill="CCEEFF"/>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00" w:type="dxa"/>
            <w:vAlign w:val="bottom"/>
          </w:tcPr>
          <w:p>
            <w:pPr>
              <w:spacing w:after="0"/>
              <w:rPr>
                <w:sz w:val="16"/>
                <w:szCs w:val="16"/>
                <w:color w:val="auto"/>
              </w:rPr>
            </w:pPr>
          </w:p>
        </w:tc>
        <w:tc>
          <w:tcPr>
            <w:tcW w:w="4860" w:type="dxa"/>
            <w:vAlign w:val="bottom"/>
          </w:tcPr>
          <w:p>
            <w:pPr>
              <w:ind w:left="160"/>
              <w:spacing w:after="0"/>
              <w:rPr>
                <w:sz w:val="20"/>
                <w:szCs w:val="20"/>
                <w:color w:val="auto"/>
              </w:rPr>
            </w:pPr>
            <w:r>
              <w:rPr>
                <w:rFonts w:ascii="Arial" w:cs="Arial" w:eastAsia="Arial" w:hAnsi="Arial"/>
                <w:sz w:val="16"/>
                <w:szCs w:val="16"/>
                <w:color w:val="auto"/>
              </w:rPr>
              <w:t>Global Professional</w:t>
            </w:r>
          </w:p>
        </w:tc>
        <w:tc>
          <w:tcPr>
            <w:tcW w:w="3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1.0</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1.2</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00" w:type="dxa"/>
            <w:vAlign w:val="bottom"/>
          </w:tcPr>
          <w:p>
            <w:pPr>
              <w:spacing w:after="0"/>
              <w:rPr>
                <w:sz w:val="16"/>
                <w:szCs w:val="16"/>
                <w:color w:val="auto"/>
              </w:rPr>
            </w:pPr>
          </w:p>
        </w:tc>
        <w:tc>
          <w:tcPr>
            <w:tcW w:w="4860" w:type="dxa"/>
            <w:vAlign w:val="bottom"/>
            <w:shd w:val="clear" w:color="auto" w:fill="CCEEFF"/>
          </w:tcPr>
          <w:p>
            <w:pPr>
              <w:ind w:left="160"/>
              <w:spacing w:after="0" w:line="189" w:lineRule="exact"/>
              <w:rPr>
                <w:sz w:val="20"/>
                <w:szCs w:val="20"/>
                <w:color w:val="auto"/>
              </w:rPr>
            </w:pPr>
            <w:r>
              <w:rPr>
                <w:rFonts w:ascii="Arial" w:cs="Arial" w:eastAsia="Arial" w:hAnsi="Arial"/>
                <w:sz w:val="13"/>
                <w:szCs w:val="13"/>
                <w:color w:val="auto"/>
              </w:rPr>
              <w:t>Scotts LawnService</w:t>
            </w:r>
            <w:r>
              <w:rPr>
                <w:rFonts w:ascii="Arial" w:cs="Arial" w:eastAsia="Arial" w:hAnsi="Arial"/>
                <w:sz w:val="21"/>
                <w:szCs w:val="21"/>
                <w:color w:val="auto"/>
                <w:vertAlign w:val="superscript"/>
              </w:rPr>
              <w:t>®</w:t>
            </w:r>
          </w:p>
        </w:tc>
        <w:tc>
          <w:tcPr>
            <w:tcW w:w="30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4860" w:type="dxa"/>
            <w:vAlign w:val="bottom"/>
          </w:tcPr>
          <w:p>
            <w:pPr>
              <w:ind w:left="160"/>
              <w:spacing w:after="0"/>
              <w:rPr>
                <w:sz w:val="20"/>
                <w:szCs w:val="20"/>
                <w:color w:val="auto"/>
              </w:rPr>
            </w:pPr>
            <w:r>
              <w:rPr>
                <w:rFonts w:ascii="Arial" w:cs="Arial" w:eastAsia="Arial" w:hAnsi="Arial"/>
                <w:sz w:val="16"/>
                <w:szCs w:val="16"/>
                <w:color w:val="auto"/>
              </w:rPr>
              <w:t>Corporate &amp; Other</w:t>
            </w:r>
          </w:p>
        </w:tc>
        <w:tc>
          <w:tcPr>
            <w:tcW w:w="3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00" w:type="dxa"/>
            <w:vAlign w:val="bottom"/>
          </w:tcPr>
          <w:p>
            <w:pPr>
              <w:spacing w:after="0"/>
              <w:rPr>
                <w:sz w:val="16"/>
                <w:szCs w:val="16"/>
                <w:color w:val="auto"/>
              </w:rPr>
            </w:pPr>
          </w:p>
        </w:tc>
        <w:tc>
          <w:tcPr>
            <w:tcW w:w="4860" w:type="dxa"/>
            <w:vAlign w:val="bottom"/>
            <w:shd w:val="clear" w:color="auto" w:fill="CCEEFF"/>
          </w:tcPr>
          <w:p>
            <w:pPr>
              <w:spacing w:after="0"/>
              <w:rPr>
                <w:sz w:val="16"/>
                <w:szCs w:val="16"/>
                <w:color w:val="auto"/>
              </w:rPr>
            </w:pPr>
          </w:p>
        </w:tc>
        <w:tc>
          <w:tcPr>
            <w:tcW w:w="24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60.2</w:t>
            </w:r>
          </w:p>
        </w:tc>
        <w:tc>
          <w:tcPr>
            <w:tcW w:w="22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w:t>
            </w:r>
          </w:p>
        </w:tc>
        <w:tc>
          <w:tcPr>
            <w:tcW w:w="22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w:t>
            </w:r>
          </w:p>
        </w:tc>
        <w:tc>
          <w:tcPr>
            <w:tcW w:w="100" w:type="dxa"/>
            <w:vAlign w:val="bottom"/>
            <w:shd w:val="clear" w:color="auto" w:fill="CCEEFF"/>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560" w:type="dxa"/>
            <w:vAlign w:val="bottom"/>
            <w:gridSpan w:val="2"/>
            <w:vMerge w:val="restart"/>
          </w:tcPr>
          <w:p>
            <w:pPr>
              <w:ind w:left="700"/>
              <w:spacing w:after="0"/>
              <w:rPr>
                <w:sz w:val="20"/>
                <w:szCs w:val="20"/>
                <w:color w:val="auto"/>
              </w:rPr>
            </w:pPr>
            <w:r>
              <w:rPr>
                <w:rFonts w:ascii="Arial" w:cs="Arial" w:eastAsia="Arial" w:hAnsi="Arial"/>
                <w:sz w:val="16"/>
                <w:szCs w:val="16"/>
                <w:color w:val="auto"/>
              </w:rPr>
              <w:t>Total assets:</w:t>
            </w:r>
          </w:p>
        </w:tc>
        <w:tc>
          <w:tcPr>
            <w:tcW w:w="3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56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00" w:type="dxa"/>
            <w:vAlign w:val="bottom"/>
          </w:tcPr>
          <w:p>
            <w:pPr>
              <w:spacing w:after="0"/>
              <w:rPr>
                <w:sz w:val="16"/>
                <w:szCs w:val="16"/>
                <w:color w:val="auto"/>
              </w:rPr>
            </w:pPr>
          </w:p>
        </w:tc>
        <w:tc>
          <w:tcPr>
            <w:tcW w:w="48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Global Consumer</w:t>
            </w:r>
          </w:p>
        </w:tc>
        <w:tc>
          <w:tcPr>
            <w:tcW w:w="24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1,483.8</w:t>
            </w:r>
          </w:p>
        </w:tc>
        <w:tc>
          <w:tcPr>
            <w:tcW w:w="22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1,551.9</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00" w:type="dxa"/>
            <w:vAlign w:val="bottom"/>
          </w:tcPr>
          <w:p>
            <w:pPr>
              <w:spacing w:after="0"/>
              <w:rPr>
                <w:sz w:val="16"/>
                <w:szCs w:val="16"/>
                <w:color w:val="auto"/>
              </w:rPr>
            </w:pPr>
          </w:p>
        </w:tc>
        <w:tc>
          <w:tcPr>
            <w:tcW w:w="4860" w:type="dxa"/>
            <w:vAlign w:val="bottom"/>
          </w:tcPr>
          <w:p>
            <w:pPr>
              <w:ind w:left="160"/>
              <w:spacing w:after="0"/>
              <w:rPr>
                <w:sz w:val="20"/>
                <w:szCs w:val="20"/>
                <w:color w:val="auto"/>
              </w:rPr>
            </w:pPr>
            <w:r>
              <w:rPr>
                <w:rFonts w:ascii="Arial" w:cs="Arial" w:eastAsia="Arial" w:hAnsi="Arial"/>
                <w:sz w:val="16"/>
                <w:szCs w:val="16"/>
                <w:color w:val="auto"/>
              </w:rPr>
              <w:t>Global Professional</w:t>
            </w:r>
          </w:p>
        </w:tc>
        <w:tc>
          <w:tcPr>
            <w:tcW w:w="3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289.9</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308.0</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00" w:type="dxa"/>
            <w:vAlign w:val="bottom"/>
          </w:tcPr>
          <w:p>
            <w:pPr>
              <w:spacing w:after="0"/>
              <w:rPr>
                <w:sz w:val="16"/>
                <w:szCs w:val="16"/>
                <w:color w:val="auto"/>
              </w:rPr>
            </w:pPr>
          </w:p>
        </w:tc>
        <w:tc>
          <w:tcPr>
            <w:tcW w:w="4860" w:type="dxa"/>
            <w:vAlign w:val="bottom"/>
            <w:shd w:val="clear" w:color="auto" w:fill="CCEEFF"/>
          </w:tcPr>
          <w:p>
            <w:pPr>
              <w:ind w:left="160"/>
              <w:spacing w:after="0" w:line="189" w:lineRule="exact"/>
              <w:rPr>
                <w:sz w:val="20"/>
                <w:szCs w:val="20"/>
                <w:color w:val="auto"/>
              </w:rPr>
            </w:pPr>
            <w:r>
              <w:rPr>
                <w:rFonts w:ascii="Arial" w:cs="Arial" w:eastAsia="Arial" w:hAnsi="Arial"/>
                <w:sz w:val="13"/>
                <w:szCs w:val="13"/>
                <w:color w:val="auto"/>
              </w:rPr>
              <w:t>Scotts LawnService</w:t>
            </w:r>
            <w:r>
              <w:rPr>
                <w:rFonts w:ascii="Arial" w:cs="Arial" w:eastAsia="Arial" w:hAnsi="Arial"/>
                <w:sz w:val="21"/>
                <w:szCs w:val="21"/>
                <w:color w:val="auto"/>
                <w:vertAlign w:val="superscript"/>
              </w:rPr>
              <w:t>®</w:t>
            </w:r>
          </w:p>
        </w:tc>
        <w:tc>
          <w:tcPr>
            <w:tcW w:w="30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186.5</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189.2</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4860" w:type="dxa"/>
            <w:vAlign w:val="bottom"/>
          </w:tcPr>
          <w:p>
            <w:pPr>
              <w:ind w:left="160"/>
              <w:spacing w:after="0"/>
              <w:rPr>
                <w:sz w:val="20"/>
                <w:szCs w:val="20"/>
                <w:color w:val="auto"/>
              </w:rPr>
            </w:pPr>
            <w:r>
              <w:rPr>
                <w:rFonts w:ascii="Arial" w:cs="Arial" w:eastAsia="Arial" w:hAnsi="Arial"/>
                <w:sz w:val="16"/>
                <w:szCs w:val="16"/>
                <w:color w:val="auto"/>
              </w:rPr>
              <w:t>Corporate &amp; Other</w:t>
            </w:r>
          </w:p>
        </w:tc>
        <w:tc>
          <w:tcPr>
            <w:tcW w:w="3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196.1</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228.1</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00" w:type="dxa"/>
            <w:vAlign w:val="bottom"/>
          </w:tcPr>
          <w:p>
            <w:pPr>
              <w:spacing w:after="0"/>
              <w:rPr>
                <w:sz w:val="16"/>
                <w:szCs w:val="16"/>
                <w:color w:val="auto"/>
              </w:rPr>
            </w:pPr>
          </w:p>
        </w:tc>
        <w:tc>
          <w:tcPr>
            <w:tcW w:w="4860" w:type="dxa"/>
            <w:vAlign w:val="bottom"/>
            <w:shd w:val="clear" w:color="auto" w:fill="CCEEFF"/>
          </w:tcPr>
          <w:p>
            <w:pPr>
              <w:spacing w:after="0"/>
              <w:rPr>
                <w:sz w:val="16"/>
                <w:szCs w:val="16"/>
                <w:color w:val="auto"/>
              </w:rPr>
            </w:pPr>
          </w:p>
        </w:tc>
        <w:tc>
          <w:tcPr>
            <w:tcW w:w="2400" w:type="dxa"/>
            <w:vAlign w:val="bottom"/>
            <w:gridSpan w:val="3"/>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2,156.3</w:t>
            </w:r>
          </w:p>
        </w:tc>
        <w:tc>
          <w:tcPr>
            <w:tcW w:w="22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2,277.2</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0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70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109</w:t>
            </w:r>
          </w:p>
        </w:tc>
        <w:tc>
          <w:tcPr>
            <w:tcW w:w="2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700" w:type="dxa"/>
            <w:vAlign w:val="bottom"/>
            <w:tcBorders>
              <w:bottom w:val="single" w:sz="8" w:color="808080"/>
            </w:tcBorders>
          </w:tcPr>
          <w:p>
            <w:pPr>
              <w:spacing w:after="0"/>
              <w:rPr>
                <w:sz w:val="17"/>
                <w:szCs w:val="17"/>
                <w:color w:val="auto"/>
              </w:rPr>
            </w:pPr>
          </w:p>
        </w:tc>
        <w:tc>
          <w:tcPr>
            <w:tcW w:w="486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2000" w:type="dxa"/>
            <w:vAlign w:val="bottom"/>
            <w:tcBorders>
              <w:bottom w:val="single" w:sz="8" w:color="808080"/>
            </w:tcBorders>
          </w:tcPr>
          <w:p>
            <w:pPr>
              <w:spacing w:after="0"/>
              <w:rPr>
                <w:sz w:val="17"/>
                <w:szCs w:val="17"/>
                <w:color w:val="auto"/>
              </w:rPr>
            </w:pPr>
          </w:p>
        </w:tc>
        <w:tc>
          <w:tcPr>
            <w:tcW w:w="100" w:type="dxa"/>
            <w:vAlign w:val="bottom"/>
            <w:tcBorders>
              <w:bottom w:val="single" w:sz="8" w:color="808080"/>
            </w:tcBorders>
          </w:tcPr>
          <w:p>
            <w:pPr>
              <w:spacing w:after="0"/>
              <w:rPr>
                <w:sz w:val="17"/>
                <w:szCs w:val="17"/>
                <w:color w:val="auto"/>
              </w:rPr>
            </w:pPr>
          </w:p>
        </w:tc>
        <w:tc>
          <w:tcPr>
            <w:tcW w:w="56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100" w:type="dxa"/>
            <w:vAlign w:val="bottom"/>
            <w:tcBorders>
              <w:bottom w:val="single" w:sz="8" w:color="808080"/>
            </w:tcBorders>
          </w:tcPr>
          <w:p>
            <w:pPr>
              <w:spacing w:after="0"/>
              <w:rPr>
                <w:sz w:val="17"/>
                <w:szCs w:val="17"/>
                <w:color w:val="auto"/>
              </w:rPr>
            </w:pPr>
          </w:p>
        </w:tc>
        <w:tc>
          <w:tcPr>
            <w:tcW w:w="56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580" w:type="dxa"/>
            <w:vAlign w:val="bottom"/>
            <w:tcBorders>
              <w:bottom w:val="single" w:sz="8" w:color="808080"/>
            </w:tcBorders>
          </w:tcPr>
          <w:p>
            <w:pPr>
              <w:spacing w:after="0"/>
              <w:rPr>
                <w:sz w:val="17"/>
                <w:szCs w:val="17"/>
                <w:color w:val="auto"/>
              </w:rPr>
            </w:pPr>
          </w:p>
        </w:tc>
        <w:tc>
          <w:tcPr>
            <w:tcW w:w="10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11" w:name="page112"/>
    <w:bookmarkEnd w:id="111"/>
    <w:p>
      <w:pPr>
        <w:spacing w:after="0"/>
        <w:rPr>
          <w:rFonts w:ascii="Times New Roman" w:cs="Times New Roman" w:eastAsia="Times New Roman" w:hAnsi="Times New Roman"/>
          <w:sz w:val="18"/>
          <w:szCs w:val="18"/>
          <w:b w:val="1"/>
          <w:bCs w:val="1"/>
          <w:u w:val="single" w:color="auto"/>
          <w:color w:val="0000EE"/>
        </w:rPr>
      </w:pPr>
      <w:hyperlink w:anchor="page64">
        <w:r>
          <w:rPr>
            <w:rFonts w:ascii="Times New Roman" w:cs="Times New Roman" w:eastAsia="Times New Roman" w:hAnsi="Times New Roman"/>
            <w:sz w:val="18"/>
            <w:szCs w:val="18"/>
            <w:b w:val="1"/>
            <w:bCs w:val="1"/>
            <w:u w:val="single" w:color="auto"/>
            <w:color w:val="0000EE"/>
          </w:rPr>
          <w:t>Table of Contents</w:t>
        </w:r>
      </w:hyperlink>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5" w:lineRule="exact"/>
        <w:rPr>
          <w:sz w:val="20"/>
          <w:szCs w:val="20"/>
          <w:color w:val="auto"/>
        </w:rPr>
      </w:pPr>
    </w:p>
    <w:p>
      <w:pPr>
        <w:ind w:left="700" w:right="820" w:firstLine="402"/>
        <w:spacing w:after="0" w:line="248" w:lineRule="auto"/>
        <w:rPr>
          <w:sz w:val="20"/>
          <w:szCs w:val="20"/>
          <w:color w:val="auto"/>
        </w:rPr>
      </w:pPr>
      <w:r>
        <w:rPr>
          <w:rFonts w:ascii="Arial" w:cs="Arial" w:eastAsia="Arial" w:hAnsi="Arial"/>
          <w:sz w:val="18"/>
          <w:szCs w:val="18"/>
          <w:color w:val="auto"/>
        </w:rPr>
        <w:t>Segment operating income (loss) represents earnings before amortization of intangible assets, interest and taxes, since this is the measure of profitability used by management. Accordingly, the Corporate &amp; Other operating loss includes unallocated corporate general and administrative expenses and certain other income/expense not allocated to the business segments.</w:t>
      </w:r>
    </w:p>
    <w:p>
      <w:pPr>
        <w:spacing w:after="0" w:line="76" w:lineRule="exact"/>
        <w:rPr>
          <w:sz w:val="20"/>
          <w:szCs w:val="20"/>
          <w:color w:val="auto"/>
        </w:rPr>
      </w:pPr>
    </w:p>
    <w:p>
      <w:pPr>
        <w:ind w:left="700" w:right="820" w:firstLine="402"/>
        <w:spacing w:after="0" w:line="255" w:lineRule="auto"/>
        <w:rPr>
          <w:sz w:val="20"/>
          <w:szCs w:val="20"/>
          <w:color w:val="auto"/>
        </w:rPr>
      </w:pPr>
      <w:r>
        <w:rPr>
          <w:rFonts w:ascii="Arial" w:cs="Arial" w:eastAsia="Arial" w:hAnsi="Arial"/>
          <w:sz w:val="18"/>
          <w:szCs w:val="18"/>
          <w:color w:val="auto"/>
        </w:rPr>
        <w:t>Total assets reported for the Company’s operating segments include the intangible assets for the acquired businesses within those segments. Corporate &amp; Other assets primarily include deferred financing and debt issuance costs and corporate intangible assets, as well as deferred tax assets and Smith &amp; Hawken</w:t>
      </w:r>
      <w:r>
        <w:rPr>
          <w:rFonts w:ascii="Arial" w:cs="Arial" w:eastAsia="Arial" w:hAnsi="Arial"/>
          <w:sz w:val="15"/>
          <w:szCs w:val="15"/>
          <w:color w:val="auto"/>
        </w:rPr>
        <w:t>®</w:t>
      </w:r>
      <w:r>
        <w:rPr>
          <w:rFonts w:ascii="Arial" w:cs="Arial" w:eastAsia="Arial" w:hAnsi="Arial"/>
          <w:sz w:val="18"/>
          <w:szCs w:val="18"/>
          <w:color w:val="auto"/>
        </w:rPr>
        <w:t xml:space="preserve"> assets.</w:t>
      </w:r>
    </w:p>
    <w:p>
      <w:pPr>
        <w:spacing w:after="0" w:line="70" w:lineRule="exact"/>
        <w:rPr>
          <w:sz w:val="20"/>
          <w:szCs w:val="20"/>
          <w:color w:val="auto"/>
        </w:rPr>
      </w:pPr>
    </w:p>
    <w:p>
      <w:pPr>
        <w:ind w:left="700" w:right="780" w:firstLine="402"/>
        <w:spacing w:after="0" w:line="276" w:lineRule="auto"/>
        <w:rPr>
          <w:sz w:val="20"/>
          <w:szCs w:val="20"/>
          <w:color w:val="auto"/>
        </w:rPr>
      </w:pPr>
      <w:r>
        <w:rPr>
          <w:rFonts w:ascii="Arial" w:cs="Arial" w:eastAsia="Arial" w:hAnsi="Arial"/>
          <w:sz w:val="18"/>
          <w:szCs w:val="18"/>
          <w:color w:val="auto"/>
        </w:rPr>
        <w:t>The following table presents net sales and property, plant and equipment by geographic area for fiscal years 2008, 2007 and 2006:</w:t>
      </w:r>
    </w:p>
    <w:p>
      <w:pPr>
        <w:spacing w:after="0" w:line="64" w:lineRule="exact"/>
        <w:rPr>
          <w:sz w:val="20"/>
          <w:szCs w:val="20"/>
          <w:color w:val="auto"/>
        </w:rPr>
      </w:pPr>
    </w:p>
    <w:tbl>
      <w:tblPr>
        <w:tblLayout w:type="fixed"/>
        <w:tblInd w:w="70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6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ind w:right="70"/>
              <w:spacing w:after="0"/>
              <w:rPr>
                <w:sz w:val="20"/>
                <w:szCs w:val="20"/>
                <w:color w:val="auto"/>
              </w:rPr>
            </w:pPr>
            <w:r>
              <w:rPr>
                <w:rFonts w:ascii="Arial" w:cs="Arial" w:eastAsia="Arial" w:hAnsi="Arial"/>
                <w:sz w:val="18"/>
                <w:szCs w:val="18"/>
                <w:color w:val="auto"/>
              </w:rPr>
              <w:t>2008</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ind w:right="50"/>
              <w:spacing w:after="0"/>
              <w:rPr>
                <w:sz w:val="20"/>
                <w:szCs w:val="20"/>
                <w:color w:val="auto"/>
              </w:rPr>
            </w:pPr>
            <w:r>
              <w:rPr>
                <w:rFonts w:ascii="Arial" w:cs="Arial" w:eastAsia="Arial" w:hAnsi="Arial"/>
                <w:sz w:val="18"/>
                <w:szCs w:val="18"/>
                <w:color w:val="auto"/>
              </w:rPr>
              <w:t>2007</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6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6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tcPr>
          <w:p>
            <w:pPr>
              <w:ind w:left="160"/>
              <w:spacing w:after="0" w:line="202" w:lineRule="exact"/>
              <w:rPr>
                <w:sz w:val="20"/>
                <w:szCs w:val="20"/>
                <w:color w:val="auto"/>
              </w:rPr>
            </w:pPr>
            <w:r>
              <w:rPr>
                <w:rFonts w:ascii="Arial" w:cs="Arial" w:eastAsia="Arial" w:hAnsi="Arial"/>
                <w:sz w:val="18"/>
                <w:szCs w:val="18"/>
                <w:color w:val="auto"/>
              </w:rPr>
              <w:t>North America</w:t>
            </w:r>
          </w:p>
        </w:tc>
        <w:tc>
          <w:tcPr>
            <w:tcW w:w="12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w w:val="96"/>
              </w:rPr>
              <w:t>2,435.7</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w w:val="96"/>
              </w:rPr>
              <w:t>2,402.0</w:t>
            </w:r>
          </w:p>
        </w:tc>
        <w:tc>
          <w:tcPr>
            <w:tcW w:w="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9"/>
              </w:rPr>
              <w:t>2,288.6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International</w:t>
            </w: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546.1</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469.8</w:t>
            </w:r>
          </w:p>
        </w:tc>
        <w:tc>
          <w:tcPr>
            <w:tcW w:w="4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408.5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2,981.8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2,871.8</w:t>
            </w:r>
          </w:p>
        </w:tc>
        <w:tc>
          <w:tcPr>
            <w:tcW w:w="4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2,697.1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Property, plant and equipment, net: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tcPr>
          <w:p>
            <w:pPr>
              <w:ind w:left="160"/>
              <w:spacing w:after="0" w:line="202" w:lineRule="exact"/>
              <w:rPr>
                <w:sz w:val="20"/>
                <w:szCs w:val="20"/>
                <w:color w:val="auto"/>
              </w:rPr>
            </w:pPr>
            <w:r>
              <w:rPr>
                <w:rFonts w:ascii="Arial" w:cs="Arial" w:eastAsia="Arial" w:hAnsi="Arial"/>
                <w:sz w:val="18"/>
                <w:szCs w:val="18"/>
                <w:color w:val="auto"/>
              </w:rPr>
              <w:t>North America</w:t>
            </w:r>
          </w:p>
        </w:tc>
        <w:tc>
          <w:tcPr>
            <w:tcW w:w="12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297.3</w:t>
            </w:r>
          </w:p>
        </w:tc>
        <w:tc>
          <w:tcPr>
            <w:tcW w:w="200" w:type="dxa"/>
            <w:vAlign w:val="bottom"/>
          </w:tcPr>
          <w:p>
            <w:pPr>
              <w:spacing w:after="0"/>
              <w:rPr>
                <w:sz w:val="17"/>
                <w:szCs w:val="17"/>
                <w:color w:val="auto"/>
              </w:rPr>
            </w:pP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313.9</w:t>
            </w:r>
          </w:p>
        </w:tc>
        <w:tc>
          <w:tcPr>
            <w:tcW w:w="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324.1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International</w:t>
            </w: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46.8</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52.0</w:t>
            </w:r>
          </w:p>
        </w:tc>
        <w:tc>
          <w:tcPr>
            <w:tcW w:w="4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43.5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365.9</w:t>
            </w:r>
          </w:p>
        </w:tc>
        <w:tc>
          <w:tcPr>
            <w:tcW w:w="4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NOTE 22. QUARTERLY CONSOLIDATED FINANCIAL INFORMATION (UNAUDITED)</w:t>
      </w:r>
    </w:p>
    <w:p>
      <w:pPr>
        <w:spacing w:after="0" w:line="119" w:lineRule="exact"/>
        <w:rPr>
          <w:sz w:val="20"/>
          <w:szCs w:val="20"/>
          <w:color w:val="auto"/>
        </w:rPr>
      </w:pPr>
    </w:p>
    <w:p>
      <w:pPr>
        <w:ind w:left="700" w:right="1000" w:firstLine="402"/>
        <w:spacing w:after="0" w:line="276" w:lineRule="auto"/>
        <w:rPr>
          <w:sz w:val="20"/>
          <w:szCs w:val="20"/>
          <w:color w:val="auto"/>
        </w:rPr>
      </w:pPr>
      <w:r>
        <w:rPr>
          <w:rFonts w:ascii="Arial" w:cs="Arial" w:eastAsia="Arial" w:hAnsi="Arial"/>
          <w:sz w:val="18"/>
          <w:szCs w:val="18"/>
          <w:color w:val="auto"/>
        </w:rPr>
        <w:t>The following is a summary of the unaudited quarterly results of operations for fiscal 2008 and fiscal 2007 (in millions, except per share data).</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960" w:type="dxa"/>
            <w:vAlign w:val="bottom"/>
            <w:gridSpan w:val="3"/>
          </w:tcPr>
          <w:p>
            <w:pPr>
              <w:jc w:val="center"/>
              <w:ind w:right="60"/>
              <w:spacing w:after="0"/>
              <w:rPr>
                <w:sz w:val="20"/>
                <w:szCs w:val="20"/>
                <w:color w:val="auto"/>
              </w:rPr>
            </w:pPr>
            <w:r>
              <w:rPr>
                <w:rFonts w:ascii="Arial" w:cs="Arial" w:eastAsia="Arial" w:hAnsi="Arial"/>
                <w:sz w:val="18"/>
                <w:szCs w:val="18"/>
                <w:color w:val="auto"/>
                <w:w w:val="97"/>
              </w:rPr>
              <w:t>First</w:t>
            </w:r>
          </w:p>
        </w:tc>
        <w:tc>
          <w:tcPr>
            <w:tcW w:w="1060" w:type="dxa"/>
            <w:vAlign w:val="bottom"/>
            <w:gridSpan w:val="2"/>
          </w:tcPr>
          <w:p>
            <w:pPr>
              <w:ind w:left="200"/>
              <w:spacing w:after="0"/>
              <w:rPr>
                <w:sz w:val="20"/>
                <w:szCs w:val="20"/>
                <w:color w:val="auto"/>
              </w:rPr>
            </w:pPr>
            <w:r>
              <w:rPr>
                <w:rFonts w:ascii="Arial" w:cs="Arial" w:eastAsia="Arial" w:hAnsi="Arial"/>
                <w:sz w:val="18"/>
                <w:szCs w:val="18"/>
                <w:color w:val="auto"/>
              </w:rPr>
              <w:t>Second</w:t>
            </w:r>
          </w:p>
        </w:tc>
        <w:tc>
          <w:tcPr>
            <w:tcW w:w="340" w:type="dxa"/>
            <w:vAlign w:val="bottom"/>
          </w:tcPr>
          <w:p>
            <w:pPr>
              <w:spacing w:after="0"/>
              <w:rPr>
                <w:sz w:val="18"/>
                <w:szCs w:val="18"/>
                <w:color w:val="auto"/>
              </w:rPr>
            </w:pPr>
          </w:p>
        </w:tc>
        <w:tc>
          <w:tcPr>
            <w:tcW w:w="880" w:type="dxa"/>
            <w:vAlign w:val="bottom"/>
          </w:tcPr>
          <w:p>
            <w:pPr>
              <w:jc w:val="center"/>
              <w:ind w:right="210"/>
              <w:spacing w:after="0"/>
              <w:rPr>
                <w:sz w:val="20"/>
                <w:szCs w:val="20"/>
                <w:color w:val="auto"/>
              </w:rPr>
            </w:pPr>
            <w:r>
              <w:rPr>
                <w:rFonts w:ascii="Arial" w:cs="Arial" w:eastAsia="Arial" w:hAnsi="Arial"/>
                <w:sz w:val="18"/>
                <w:szCs w:val="18"/>
                <w:color w:val="auto"/>
              </w:rPr>
              <w:t>Third</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Fourth</w:t>
            </w: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700" w:type="dxa"/>
            <w:vAlign w:val="bottom"/>
          </w:tcPr>
          <w:p>
            <w:pPr>
              <w:spacing w:after="0"/>
              <w:rPr>
                <w:sz w:val="20"/>
                <w:szCs w:val="20"/>
                <w:color w:val="auto"/>
              </w:rPr>
            </w:pPr>
          </w:p>
        </w:tc>
        <w:tc>
          <w:tcPr>
            <w:tcW w:w="44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8"/>
                <w:szCs w:val="18"/>
                <w:color w:val="auto"/>
              </w:rPr>
              <w:t>Quarter</w:t>
            </w:r>
          </w:p>
        </w:tc>
        <w:tc>
          <w:tcPr>
            <w:tcW w:w="106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color w:val="auto"/>
              </w:rPr>
              <w:t>Quarter</w:t>
            </w: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Quarter</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Quarter</w:t>
            </w:r>
          </w:p>
        </w:tc>
        <w:tc>
          <w:tcPr>
            <w:tcW w:w="120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Full Year</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700" w:type="dxa"/>
            <w:vAlign w:val="bottom"/>
            <w:vMerge w:val="restart"/>
          </w:tcPr>
          <w:p>
            <w:pPr>
              <w:spacing w:after="0"/>
              <w:rPr>
                <w:sz w:val="2"/>
                <w:szCs w:val="2"/>
                <w:color w:val="auto"/>
              </w:rPr>
            </w:pPr>
          </w:p>
        </w:tc>
        <w:tc>
          <w:tcPr>
            <w:tcW w:w="4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00" w:type="dxa"/>
            <w:vAlign w:val="bottom"/>
            <w:vMerge w:val="continue"/>
          </w:tcPr>
          <w:p>
            <w:pPr>
              <w:spacing w:after="0"/>
              <w:rPr>
                <w:sz w:val="17"/>
                <w:szCs w:val="17"/>
                <w:color w:val="auto"/>
              </w:rPr>
            </w:pPr>
          </w:p>
        </w:tc>
        <w:tc>
          <w:tcPr>
            <w:tcW w:w="4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FISCAL 2008</w:t>
            </w:r>
          </w:p>
        </w:tc>
        <w:tc>
          <w:tcPr>
            <w:tcW w:w="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460" w:type="dxa"/>
            <w:vAlign w:val="bottom"/>
          </w:tcPr>
          <w:p>
            <w:pPr>
              <w:spacing w:after="0" w:line="202" w:lineRule="exact"/>
              <w:rPr>
                <w:sz w:val="20"/>
                <w:szCs w:val="20"/>
                <w:color w:val="auto"/>
              </w:rPr>
            </w:pPr>
            <w:r>
              <w:rPr>
                <w:rFonts w:ascii="Arial" w:cs="Arial" w:eastAsia="Arial" w:hAnsi="Arial"/>
                <w:sz w:val="18"/>
                <w:szCs w:val="18"/>
                <w:color w:val="auto"/>
              </w:rPr>
              <w:t>Net sales</w:t>
            </w:r>
          </w:p>
        </w:tc>
        <w:tc>
          <w:tcPr>
            <w:tcW w:w="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$ 308.7</w:t>
            </w:r>
          </w:p>
        </w:tc>
        <w:tc>
          <w:tcPr>
            <w:tcW w:w="260" w:type="dxa"/>
            <w:vAlign w:val="bottom"/>
          </w:tcPr>
          <w:p>
            <w:pPr>
              <w:spacing w:after="0"/>
              <w:rPr>
                <w:sz w:val="17"/>
                <w:szCs w:val="17"/>
                <w:color w:val="auto"/>
              </w:rPr>
            </w:pPr>
          </w:p>
        </w:tc>
        <w:tc>
          <w:tcPr>
            <w:tcW w:w="1060" w:type="dxa"/>
            <w:vAlign w:val="bottom"/>
            <w:gridSpan w:val="2"/>
          </w:tcPr>
          <w:p>
            <w:pPr>
              <w:jc w:val="right"/>
              <w:ind w:right="230"/>
              <w:spacing w:after="0" w:line="202" w:lineRule="exact"/>
              <w:rPr>
                <w:sz w:val="20"/>
                <w:szCs w:val="20"/>
                <w:color w:val="auto"/>
              </w:rPr>
            </w:pPr>
            <w:r>
              <w:rPr>
                <w:rFonts w:ascii="Arial" w:cs="Arial" w:eastAsia="Arial" w:hAnsi="Arial"/>
                <w:sz w:val="18"/>
                <w:szCs w:val="18"/>
                <w:color w:val="auto"/>
              </w:rPr>
              <w:t>$ 958.0</w:t>
            </w: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96"/>
              </w:rPr>
              <w:t>1,170.9</w:t>
            </w:r>
          </w:p>
        </w:tc>
        <w:tc>
          <w:tcPr>
            <w:tcW w:w="114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$ 544.2</w:t>
            </w:r>
          </w:p>
        </w:tc>
        <w:tc>
          <w:tcPr>
            <w:tcW w:w="120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$ 2,981.8</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profit</w:t>
            </w:r>
          </w:p>
        </w:tc>
        <w:tc>
          <w:tcPr>
            <w:tcW w:w="7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71.3</w:t>
            </w: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w w:val="93"/>
              </w:rPr>
              <w:t>322.8</w:t>
            </w: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423.8</w:t>
            </w:r>
          </w:p>
        </w:tc>
        <w:tc>
          <w:tcPr>
            <w:tcW w:w="114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121.7</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939.6</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460" w:type="dxa"/>
            <w:vAlign w:val="bottom"/>
          </w:tcPr>
          <w:p>
            <w:pPr>
              <w:spacing w:after="0" w:line="202" w:lineRule="exact"/>
              <w:rPr>
                <w:sz w:val="20"/>
                <w:szCs w:val="20"/>
                <w:color w:val="auto"/>
              </w:rPr>
            </w:pPr>
            <w:r>
              <w:rPr>
                <w:rFonts w:ascii="Arial" w:cs="Arial" w:eastAsia="Arial" w:hAnsi="Arial"/>
                <w:sz w:val="18"/>
                <w:szCs w:val="18"/>
                <w:color w:val="auto"/>
              </w:rPr>
              <w:t>Net income (loss)</w:t>
            </w:r>
          </w:p>
        </w:tc>
        <w:tc>
          <w:tcPr>
            <w:tcW w:w="96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(56.8)</w:t>
            </w:r>
          </w:p>
        </w:tc>
        <w:tc>
          <w:tcPr>
            <w:tcW w:w="300" w:type="dxa"/>
            <w:vAlign w:val="bottom"/>
          </w:tcPr>
          <w:p>
            <w:pPr>
              <w:spacing w:after="0"/>
              <w:rPr>
                <w:sz w:val="17"/>
                <w:szCs w:val="17"/>
                <w:color w:val="auto"/>
              </w:rPr>
            </w:pPr>
          </w:p>
        </w:tc>
        <w:tc>
          <w:tcPr>
            <w:tcW w:w="76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58.0</w:t>
            </w:r>
          </w:p>
        </w:tc>
        <w:tc>
          <w:tcPr>
            <w:tcW w:w="340" w:type="dxa"/>
            <w:vAlign w:val="bottom"/>
          </w:tcPr>
          <w:p>
            <w:pPr>
              <w:spacing w:after="0"/>
              <w:rPr>
                <w:sz w:val="17"/>
                <w:szCs w:val="17"/>
                <w:color w:val="auto"/>
              </w:rPr>
            </w:pPr>
          </w:p>
        </w:tc>
        <w:tc>
          <w:tcPr>
            <w:tcW w:w="8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22.6</w:t>
            </w:r>
          </w:p>
        </w:tc>
        <w:tc>
          <w:tcPr>
            <w:tcW w:w="114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(34.7)</w:t>
            </w:r>
          </w:p>
        </w:tc>
        <w:tc>
          <w:tcPr>
            <w:tcW w:w="340" w:type="dxa"/>
            <w:vAlign w:val="bottom"/>
          </w:tcPr>
          <w:p>
            <w:pPr>
              <w:spacing w:after="0"/>
              <w:rPr>
                <w:sz w:val="17"/>
                <w:szCs w:val="17"/>
                <w:color w:val="auto"/>
              </w:rPr>
            </w:pPr>
          </w:p>
        </w:tc>
        <w:tc>
          <w:tcPr>
            <w:tcW w:w="8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(10.9)</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Basic earnings (loss) per common share</w:t>
            </w:r>
          </w:p>
        </w:tc>
        <w:tc>
          <w:tcPr>
            <w:tcW w:w="96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 (0.89)</w:t>
            </w:r>
          </w:p>
        </w:tc>
        <w:tc>
          <w:tcPr>
            <w:tcW w:w="3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0.90</w:t>
            </w: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0.35</w:t>
            </w:r>
          </w:p>
        </w:tc>
        <w:tc>
          <w:tcPr>
            <w:tcW w:w="114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 (0.54)</w:t>
            </w: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(0.17)</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460" w:type="dxa"/>
            <w:vAlign w:val="bottom"/>
          </w:tcPr>
          <w:p>
            <w:pPr>
              <w:spacing w:after="0" w:line="202" w:lineRule="exact"/>
              <w:rPr>
                <w:sz w:val="20"/>
                <w:szCs w:val="20"/>
                <w:color w:val="auto"/>
              </w:rPr>
            </w:pPr>
            <w:r>
              <w:rPr>
                <w:rFonts w:ascii="Arial" w:cs="Arial" w:eastAsia="Arial" w:hAnsi="Arial"/>
                <w:sz w:val="18"/>
                <w:szCs w:val="18"/>
                <w:color w:val="auto"/>
              </w:rPr>
              <w:t>Common shares used in basic EPS calculation</w:t>
            </w:r>
          </w:p>
        </w:tc>
        <w:tc>
          <w:tcPr>
            <w:tcW w:w="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64.2</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64.4</w:t>
            </w:r>
          </w:p>
        </w:tc>
        <w:tc>
          <w:tcPr>
            <w:tcW w:w="340" w:type="dxa"/>
            <w:vAlign w:val="bottom"/>
          </w:tcPr>
          <w:p>
            <w:pPr>
              <w:spacing w:after="0"/>
              <w:rPr>
                <w:sz w:val="17"/>
                <w:szCs w:val="17"/>
                <w:color w:val="auto"/>
              </w:rPr>
            </w:pPr>
          </w:p>
        </w:tc>
        <w:tc>
          <w:tcPr>
            <w:tcW w:w="8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64.6</w:t>
            </w:r>
          </w:p>
        </w:tc>
        <w:tc>
          <w:tcPr>
            <w:tcW w:w="114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64.7</w:t>
            </w:r>
          </w:p>
        </w:tc>
        <w:tc>
          <w:tcPr>
            <w:tcW w:w="340" w:type="dxa"/>
            <w:vAlign w:val="bottom"/>
          </w:tcPr>
          <w:p>
            <w:pPr>
              <w:spacing w:after="0"/>
              <w:rPr>
                <w:sz w:val="17"/>
                <w:szCs w:val="17"/>
                <w:color w:val="auto"/>
              </w:rPr>
            </w:pPr>
          </w:p>
        </w:tc>
        <w:tc>
          <w:tcPr>
            <w:tcW w:w="8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64.5</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Diluted earnings (loss) per common share</w:t>
            </w:r>
          </w:p>
        </w:tc>
        <w:tc>
          <w:tcPr>
            <w:tcW w:w="96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 (0.89)</w:t>
            </w:r>
          </w:p>
        </w:tc>
        <w:tc>
          <w:tcPr>
            <w:tcW w:w="3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0.88</w:t>
            </w: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0.35</w:t>
            </w:r>
          </w:p>
        </w:tc>
        <w:tc>
          <w:tcPr>
            <w:tcW w:w="114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 (0.54)</w:t>
            </w: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(0.17)</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4460" w:type="dxa"/>
            <w:vAlign w:val="bottom"/>
          </w:tcPr>
          <w:p>
            <w:pPr>
              <w:spacing w:after="0" w:line="180" w:lineRule="exact"/>
              <w:rPr>
                <w:sz w:val="20"/>
                <w:szCs w:val="20"/>
                <w:color w:val="auto"/>
              </w:rPr>
            </w:pPr>
            <w:r>
              <w:rPr>
                <w:rFonts w:ascii="Arial" w:cs="Arial" w:eastAsia="Arial" w:hAnsi="Arial"/>
                <w:sz w:val="18"/>
                <w:szCs w:val="18"/>
                <w:color w:val="auto"/>
              </w:rPr>
              <w:t>Common shares and dilutive potential common shares</w:t>
            </w: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00" w:type="dxa"/>
            <w:vAlign w:val="bottom"/>
          </w:tcPr>
          <w:p>
            <w:pPr>
              <w:spacing w:after="0"/>
              <w:rPr>
                <w:sz w:val="21"/>
                <w:szCs w:val="21"/>
                <w:color w:val="auto"/>
              </w:rPr>
            </w:pPr>
          </w:p>
        </w:tc>
        <w:tc>
          <w:tcPr>
            <w:tcW w:w="4460" w:type="dxa"/>
            <w:vAlign w:val="bottom"/>
          </w:tcPr>
          <w:p>
            <w:pPr>
              <w:ind w:left="180"/>
              <w:spacing w:after="0"/>
              <w:rPr>
                <w:sz w:val="20"/>
                <w:szCs w:val="20"/>
                <w:color w:val="auto"/>
              </w:rPr>
            </w:pPr>
            <w:r>
              <w:rPr>
                <w:rFonts w:ascii="Arial" w:cs="Arial" w:eastAsia="Arial" w:hAnsi="Arial"/>
                <w:sz w:val="18"/>
                <w:szCs w:val="18"/>
                <w:color w:val="auto"/>
              </w:rPr>
              <w:t>used in diluted EPS calculation</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64.2</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jc w:val="right"/>
              <w:ind w:right="230"/>
              <w:spacing w:after="0"/>
              <w:rPr>
                <w:sz w:val="20"/>
                <w:szCs w:val="20"/>
                <w:color w:val="auto"/>
              </w:rPr>
            </w:pPr>
            <w:r>
              <w:rPr>
                <w:rFonts w:ascii="Arial" w:cs="Arial" w:eastAsia="Arial" w:hAnsi="Arial"/>
                <w:sz w:val="18"/>
                <w:szCs w:val="18"/>
                <w:color w:val="auto"/>
              </w:rPr>
              <w:t>65.6</w:t>
            </w:r>
          </w:p>
        </w:tc>
        <w:tc>
          <w:tcPr>
            <w:tcW w:w="340" w:type="dxa"/>
            <w:vAlign w:val="bottom"/>
          </w:tcPr>
          <w:p>
            <w:pPr>
              <w:spacing w:after="0"/>
              <w:rPr>
                <w:sz w:val="21"/>
                <w:szCs w:val="21"/>
                <w:color w:val="auto"/>
              </w:rPr>
            </w:pPr>
          </w:p>
        </w:tc>
        <w:tc>
          <w:tcPr>
            <w:tcW w:w="880" w:type="dxa"/>
            <w:vAlign w:val="bottom"/>
          </w:tcPr>
          <w:p>
            <w:pPr>
              <w:jc w:val="right"/>
              <w:ind w:right="190"/>
              <w:spacing w:after="0"/>
              <w:rPr>
                <w:sz w:val="20"/>
                <w:szCs w:val="20"/>
                <w:color w:val="auto"/>
              </w:rPr>
            </w:pPr>
            <w:r>
              <w:rPr>
                <w:rFonts w:ascii="Arial" w:cs="Arial" w:eastAsia="Arial" w:hAnsi="Arial"/>
                <w:sz w:val="18"/>
                <w:szCs w:val="18"/>
                <w:color w:val="auto"/>
              </w:rPr>
              <w:t>65.3</w:t>
            </w:r>
          </w:p>
        </w:tc>
        <w:tc>
          <w:tcPr>
            <w:tcW w:w="1140" w:type="dxa"/>
            <w:vAlign w:val="bottom"/>
          </w:tcPr>
          <w:p>
            <w:pPr>
              <w:jc w:val="right"/>
              <w:ind w:right="230"/>
              <w:spacing w:after="0"/>
              <w:rPr>
                <w:sz w:val="20"/>
                <w:szCs w:val="20"/>
                <w:color w:val="auto"/>
              </w:rPr>
            </w:pPr>
            <w:r>
              <w:rPr>
                <w:rFonts w:ascii="Arial" w:cs="Arial" w:eastAsia="Arial" w:hAnsi="Arial"/>
                <w:sz w:val="18"/>
                <w:szCs w:val="18"/>
                <w:color w:val="auto"/>
              </w:rPr>
              <w:t>64.7</w:t>
            </w:r>
          </w:p>
        </w:tc>
        <w:tc>
          <w:tcPr>
            <w:tcW w:w="340" w:type="dxa"/>
            <w:vAlign w:val="bottom"/>
          </w:tcPr>
          <w:p>
            <w:pPr>
              <w:spacing w:after="0"/>
              <w:rPr>
                <w:sz w:val="21"/>
                <w:szCs w:val="21"/>
                <w:color w:val="auto"/>
              </w:rPr>
            </w:pP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64.5</w:t>
            </w: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5"/>
        </w:trPr>
        <w:tc>
          <w:tcPr>
            <w:tcW w:w="70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960" w:type="dxa"/>
            <w:vAlign w:val="bottom"/>
            <w:gridSpan w:val="3"/>
          </w:tcPr>
          <w:p>
            <w:pPr>
              <w:jc w:val="center"/>
              <w:ind w:right="60"/>
              <w:spacing w:after="0"/>
              <w:rPr>
                <w:sz w:val="20"/>
                <w:szCs w:val="20"/>
                <w:color w:val="auto"/>
              </w:rPr>
            </w:pPr>
            <w:r>
              <w:rPr>
                <w:rFonts w:ascii="Arial" w:cs="Arial" w:eastAsia="Arial" w:hAnsi="Arial"/>
                <w:sz w:val="18"/>
                <w:szCs w:val="18"/>
                <w:color w:val="auto"/>
                <w:w w:val="97"/>
              </w:rPr>
              <w:t>First</w:t>
            </w:r>
          </w:p>
        </w:tc>
        <w:tc>
          <w:tcPr>
            <w:tcW w:w="1060" w:type="dxa"/>
            <w:vAlign w:val="bottom"/>
            <w:gridSpan w:val="2"/>
          </w:tcPr>
          <w:p>
            <w:pPr>
              <w:ind w:left="200"/>
              <w:spacing w:after="0"/>
              <w:rPr>
                <w:sz w:val="20"/>
                <w:szCs w:val="20"/>
                <w:color w:val="auto"/>
              </w:rPr>
            </w:pPr>
            <w:r>
              <w:rPr>
                <w:rFonts w:ascii="Arial" w:cs="Arial" w:eastAsia="Arial" w:hAnsi="Arial"/>
                <w:sz w:val="18"/>
                <w:szCs w:val="18"/>
                <w:color w:val="auto"/>
              </w:rPr>
              <w:t>Second</w:t>
            </w:r>
          </w:p>
        </w:tc>
        <w:tc>
          <w:tcPr>
            <w:tcW w:w="340" w:type="dxa"/>
            <w:vAlign w:val="bottom"/>
          </w:tcPr>
          <w:p>
            <w:pPr>
              <w:spacing w:after="0"/>
              <w:rPr>
                <w:sz w:val="24"/>
                <w:szCs w:val="24"/>
                <w:color w:val="auto"/>
              </w:rPr>
            </w:pPr>
          </w:p>
        </w:tc>
        <w:tc>
          <w:tcPr>
            <w:tcW w:w="880" w:type="dxa"/>
            <w:vAlign w:val="bottom"/>
          </w:tcPr>
          <w:p>
            <w:pPr>
              <w:jc w:val="center"/>
              <w:ind w:right="210"/>
              <w:spacing w:after="0"/>
              <w:rPr>
                <w:sz w:val="20"/>
                <w:szCs w:val="20"/>
                <w:color w:val="auto"/>
              </w:rPr>
            </w:pPr>
            <w:r>
              <w:rPr>
                <w:rFonts w:ascii="Arial" w:cs="Arial" w:eastAsia="Arial" w:hAnsi="Arial"/>
                <w:sz w:val="18"/>
                <w:szCs w:val="18"/>
                <w:color w:val="auto"/>
              </w:rPr>
              <w:t>Third</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Fourth</w:t>
            </w: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700" w:type="dxa"/>
            <w:vAlign w:val="bottom"/>
          </w:tcPr>
          <w:p>
            <w:pPr>
              <w:spacing w:after="0"/>
              <w:rPr>
                <w:sz w:val="20"/>
                <w:szCs w:val="20"/>
                <w:color w:val="auto"/>
              </w:rPr>
            </w:pPr>
          </w:p>
        </w:tc>
        <w:tc>
          <w:tcPr>
            <w:tcW w:w="44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8"/>
                <w:szCs w:val="18"/>
                <w:color w:val="auto"/>
              </w:rPr>
              <w:t>Quarter</w:t>
            </w:r>
          </w:p>
        </w:tc>
        <w:tc>
          <w:tcPr>
            <w:tcW w:w="106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color w:val="auto"/>
              </w:rPr>
              <w:t>Quarter</w:t>
            </w: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Quarter</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Quarter</w:t>
            </w:r>
          </w:p>
        </w:tc>
        <w:tc>
          <w:tcPr>
            <w:tcW w:w="120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Full Year</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700" w:type="dxa"/>
            <w:vAlign w:val="bottom"/>
            <w:vMerge w:val="restart"/>
          </w:tcPr>
          <w:p>
            <w:pPr>
              <w:spacing w:after="0"/>
              <w:rPr>
                <w:sz w:val="2"/>
                <w:szCs w:val="2"/>
                <w:color w:val="auto"/>
              </w:rPr>
            </w:pPr>
          </w:p>
        </w:tc>
        <w:tc>
          <w:tcPr>
            <w:tcW w:w="4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00" w:type="dxa"/>
            <w:vAlign w:val="bottom"/>
            <w:vMerge w:val="continue"/>
          </w:tcPr>
          <w:p>
            <w:pPr>
              <w:spacing w:after="0"/>
              <w:rPr>
                <w:sz w:val="17"/>
                <w:szCs w:val="17"/>
                <w:color w:val="auto"/>
              </w:rPr>
            </w:pPr>
          </w:p>
        </w:tc>
        <w:tc>
          <w:tcPr>
            <w:tcW w:w="4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FISCAL 2007</w:t>
            </w:r>
          </w:p>
        </w:tc>
        <w:tc>
          <w:tcPr>
            <w:tcW w:w="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460" w:type="dxa"/>
            <w:vAlign w:val="bottom"/>
          </w:tcPr>
          <w:p>
            <w:pPr>
              <w:spacing w:after="0" w:line="202" w:lineRule="exact"/>
              <w:rPr>
                <w:sz w:val="20"/>
                <w:szCs w:val="20"/>
                <w:color w:val="auto"/>
              </w:rPr>
            </w:pPr>
            <w:r>
              <w:rPr>
                <w:rFonts w:ascii="Arial" w:cs="Arial" w:eastAsia="Arial" w:hAnsi="Arial"/>
                <w:sz w:val="18"/>
                <w:szCs w:val="18"/>
                <w:color w:val="auto"/>
              </w:rPr>
              <w:t>Net sales</w:t>
            </w:r>
          </w:p>
        </w:tc>
        <w:tc>
          <w:tcPr>
            <w:tcW w:w="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$ 271.2</w:t>
            </w:r>
          </w:p>
        </w:tc>
        <w:tc>
          <w:tcPr>
            <w:tcW w:w="260" w:type="dxa"/>
            <w:vAlign w:val="bottom"/>
          </w:tcPr>
          <w:p>
            <w:pPr>
              <w:spacing w:after="0"/>
              <w:rPr>
                <w:sz w:val="17"/>
                <w:szCs w:val="17"/>
                <w:color w:val="auto"/>
              </w:rPr>
            </w:pPr>
          </w:p>
        </w:tc>
        <w:tc>
          <w:tcPr>
            <w:tcW w:w="1060" w:type="dxa"/>
            <w:vAlign w:val="bottom"/>
            <w:gridSpan w:val="2"/>
          </w:tcPr>
          <w:p>
            <w:pPr>
              <w:jc w:val="right"/>
              <w:ind w:right="230"/>
              <w:spacing w:after="0" w:line="202" w:lineRule="exact"/>
              <w:rPr>
                <w:sz w:val="20"/>
                <w:szCs w:val="20"/>
                <w:color w:val="auto"/>
              </w:rPr>
            </w:pPr>
            <w:r>
              <w:rPr>
                <w:rFonts w:ascii="Arial" w:cs="Arial" w:eastAsia="Arial" w:hAnsi="Arial"/>
                <w:sz w:val="18"/>
                <w:szCs w:val="18"/>
                <w:color w:val="auto"/>
              </w:rPr>
              <w:t>$ 993.3</w:t>
            </w: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96"/>
              </w:rPr>
              <w:t>1,098.4</w:t>
            </w:r>
          </w:p>
        </w:tc>
        <w:tc>
          <w:tcPr>
            <w:tcW w:w="114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$ 508.9</w:t>
            </w:r>
          </w:p>
        </w:tc>
        <w:tc>
          <w:tcPr>
            <w:tcW w:w="120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$ 2,871.8</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profit</w:t>
            </w:r>
          </w:p>
        </w:tc>
        <w:tc>
          <w:tcPr>
            <w:tcW w:w="7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55.3</w:t>
            </w: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w w:val="93"/>
              </w:rPr>
              <w:t>368.4</w:t>
            </w: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422.7</w:t>
            </w:r>
          </w:p>
        </w:tc>
        <w:tc>
          <w:tcPr>
            <w:tcW w:w="114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158.1</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w w:val="96"/>
              </w:rPr>
              <w:t>1,004.5</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460" w:type="dxa"/>
            <w:vAlign w:val="bottom"/>
          </w:tcPr>
          <w:p>
            <w:pPr>
              <w:spacing w:after="0" w:line="202" w:lineRule="exact"/>
              <w:rPr>
                <w:sz w:val="20"/>
                <w:szCs w:val="20"/>
                <w:color w:val="auto"/>
              </w:rPr>
            </w:pPr>
            <w:r>
              <w:rPr>
                <w:rFonts w:ascii="Arial" w:cs="Arial" w:eastAsia="Arial" w:hAnsi="Arial"/>
                <w:sz w:val="18"/>
                <w:szCs w:val="18"/>
                <w:color w:val="auto"/>
              </w:rPr>
              <w:t>Net income (loss)</w:t>
            </w:r>
          </w:p>
        </w:tc>
        <w:tc>
          <w:tcPr>
            <w:tcW w:w="96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(59.4)</w:t>
            </w:r>
          </w:p>
        </w:tc>
        <w:tc>
          <w:tcPr>
            <w:tcW w:w="300" w:type="dxa"/>
            <w:vAlign w:val="bottom"/>
          </w:tcPr>
          <w:p>
            <w:pPr>
              <w:spacing w:after="0"/>
              <w:rPr>
                <w:sz w:val="17"/>
                <w:szCs w:val="17"/>
                <w:color w:val="auto"/>
              </w:rPr>
            </w:pPr>
          </w:p>
        </w:tc>
        <w:tc>
          <w:tcPr>
            <w:tcW w:w="76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83.4</w:t>
            </w:r>
          </w:p>
        </w:tc>
        <w:tc>
          <w:tcPr>
            <w:tcW w:w="340" w:type="dxa"/>
            <w:vAlign w:val="bottom"/>
          </w:tcPr>
          <w:p>
            <w:pPr>
              <w:spacing w:after="0"/>
              <w:rPr>
                <w:sz w:val="17"/>
                <w:szCs w:val="17"/>
                <w:color w:val="auto"/>
              </w:rPr>
            </w:pPr>
          </w:p>
        </w:tc>
        <w:tc>
          <w:tcPr>
            <w:tcW w:w="8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129.7</w:t>
            </w:r>
          </w:p>
        </w:tc>
        <w:tc>
          <w:tcPr>
            <w:tcW w:w="114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(40.3)</w:t>
            </w:r>
          </w:p>
        </w:tc>
        <w:tc>
          <w:tcPr>
            <w:tcW w:w="340" w:type="dxa"/>
            <w:vAlign w:val="bottom"/>
          </w:tcPr>
          <w:p>
            <w:pPr>
              <w:spacing w:after="0"/>
              <w:rPr>
                <w:sz w:val="17"/>
                <w:szCs w:val="17"/>
                <w:color w:val="auto"/>
              </w:rPr>
            </w:pPr>
          </w:p>
        </w:tc>
        <w:tc>
          <w:tcPr>
            <w:tcW w:w="8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113.4</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Basic earnings (loss) per common share</w:t>
            </w:r>
          </w:p>
        </w:tc>
        <w:tc>
          <w:tcPr>
            <w:tcW w:w="96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 (0.88)</w:t>
            </w:r>
          </w:p>
        </w:tc>
        <w:tc>
          <w:tcPr>
            <w:tcW w:w="3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1.26</w:t>
            </w: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2.04</w:t>
            </w:r>
          </w:p>
        </w:tc>
        <w:tc>
          <w:tcPr>
            <w:tcW w:w="114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 (0.63)</w:t>
            </w: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1.74</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460" w:type="dxa"/>
            <w:vAlign w:val="bottom"/>
          </w:tcPr>
          <w:p>
            <w:pPr>
              <w:spacing w:after="0" w:line="202" w:lineRule="exact"/>
              <w:rPr>
                <w:sz w:val="20"/>
                <w:szCs w:val="20"/>
                <w:color w:val="auto"/>
              </w:rPr>
            </w:pPr>
            <w:r>
              <w:rPr>
                <w:rFonts w:ascii="Arial" w:cs="Arial" w:eastAsia="Arial" w:hAnsi="Arial"/>
                <w:sz w:val="18"/>
                <w:szCs w:val="18"/>
                <w:color w:val="auto"/>
              </w:rPr>
              <w:t>Common shares used in basic EPS calculation</w:t>
            </w:r>
          </w:p>
        </w:tc>
        <w:tc>
          <w:tcPr>
            <w:tcW w:w="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67.2</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66.1</w:t>
            </w:r>
          </w:p>
        </w:tc>
        <w:tc>
          <w:tcPr>
            <w:tcW w:w="340" w:type="dxa"/>
            <w:vAlign w:val="bottom"/>
          </w:tcPr>
          <w:p>
            <w:pPr>
              <w:spacing w:after="0"/>
              <w:rPr>
                <w:sz w:val="17"/>
                <w:szCs w:val="17"/>
                <w:color w:val="auto"/>
              </w:rPr>
            </w:pPr>
          </w:p>
        </w:tc>
        <w:tc>
          <w:tcPr>
            <w:tcW w:w="8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63.6</w:t>
            </w:r>
          </w:p>
        </w:tc>
        <w:tc>
          <w:tcPr>
            <w:tcW w:w="114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63.9</w:t>
            </w:r>
          </w:p>
        </w:tc>
        <w:tc>
          <w:tcPr>
            <w:tcW w:w="340" w:type="dxa"/>
            <w:vAlign w:val="bottom"/>
          </w:tcPr>
          <w:p>
            <w:pPr>
              <w:spacing w:after="0"/>
              <w:rPr>
                <w:sz w:val="17"/>
                <w:szCs w:val="17"/>
                <w:color w:val="auto"/>
              </w:rPr>
            </w:pPr>
          </w:p>
        </w:tc>
        <w:tc>
          <w:tcPr>
            <w:tcW w:w="8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65.2</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Diluted earnings (loss) per common share</w:t>
            </w:r>
          </w:p>
        </w:tc>
        <w:tc>
          <w:tcPr>
            <w:tcW w:w="96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 (0.88)</w:t>
            </w:r>
          </w:p>
        </w:tc>
        <w:tc>
          <w:tcPr>
            <w:tcW w:w="3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1.23</w:t>
            </w: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1.98</w:t>
            </w:r>
          </w:p>
        </w:tc>
        <w:tc>
          <w:tcPr>
            <w:tcW w:w="114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 (0.63)</w:t>
            </w: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1.69</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4460" w:type="dxa"/>
            <w:vAlign w:val="bottom"/>
          </w:tcPr>
          <w:p>
            <w:pPr>
              <w:spacing w:after="0" w:line="180" w:lineRule="exact"/>
              <w:rPr>
                <w:sz w:val="20"/>
                <w:szCs w:val="20"/>
                <w:color w:val="auto"/>
              </w:rPr>
            </w:pPr>
            <w:r>
              <w:rPr>
                <w:rFonts w:ascii="Arial" w:cs="Arial" w:eastAsia="Arial" w:hAnsi="Arial"/>
                <w:sz w:val="18"/>
                <w:szCs w:val="18"/>
                <w:color w:val="auto"/>
              </w:rPr>
              <w:t>Common shares and dilutive potential common shares</w:t>
            </w: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00" w:type="dxa"/>
            <w:vAlign w:val="bottom"/>
          </w:tcPr>
          <w:p>
            <w:pPr>
              <w:spacing w:after="0"/>
              <w:rPr>
                <w:sz w:val="21"/>
                <w:szCs w:val="21"/>
                <w:color w:val="auto"/>
              </w:rPr>
            </w:pPr>
          </w:p>
        </w:tc>
        <w:tc>
          <w:tcPr>
            <w:tcW w:w="4460" w:type="dxa"/>
            <w:vAlign w:val="bottom"/>
          </w:tcPr>
          <w:p>
            <w:pPr>
              <w:ind w:left="180"/>
              <w:spacing w:after="0"/>
              <w:rPr>
                <w:sz w:val="20"/>
                <w:szCs w:val="20"/>
                <w:color w:val="auto"/>
              </w:rPr>
            </w:pPr>
            <w:r>
              <w:rPr>
                <w:rFonts w:ascii="Arial" w:cs="Arial" w:eastAsia="Arial" w:hAnsi="Arial"/>
                <w:sz w:val="18"/>
                <w:szCs w:val="18"/>
                <w:color w:val="auto"/>
              </w:rPr>
              <w:t>used in diluted EPS calculation</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67.2</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jc w:val="right"/>
              <w:ind w:right="230"/>
              <w:spacing w:after="0"/>
              <w:rPr>
                <w:sz w:val="20"/>
                <w:szCs w:val="20"/>
                <w:color w:val="auto"/>
              </w:rPr>
            </w:pPr>
            <w:r>
              <w:rPr>
                <w:rFonts w:ascii="Arial" w:cs="Arial" w:eastAsia="Arial" w:hAnsi="Arial"/>
                <w:sz w:val="18"/>
                <w:szCs w:val="18"/>
                <w:color w:val="auto"/>
              </w:rPr>
              <w:t>67.8</w:t>
            </w:r>
          </w:p>
        </w:tc>
        <w:tc>
          <w:tcPr>
            <w:tcW w:w="340" w:type="dxa"/>
            <w:vAlign w:val="bottom"/>
          </w:tcPr>
          <w:p>
            <w:pPr>
              <w:spacing w:after="0"/>
              <w:rPr>
                <w:sz w:val="21"/>
                <w:szCs w:val="21"/>
                <w:color w:val="auto"/>
              </w:rPr>
            </w:pPr>
          </w:p>
        </w:tc>
        <w:tc>
          <w:tcPr>
            <w:tcW w:w="880" w:type="dxa"/>
            <w:vAlign w:val="bottom"/>
          </w:tcPr>
          <w:p>
            <w:pPr>
              <w:jc w:val="right"/>
              <w:ind w:right="190"/>
              <w:spacing w:after="0"/>
              <w:rPr>
                <w:sz w:val="20"/>
                <w:szCs w:val="20"/>
                <w:color w:val="auto"/>
              </w:rPr>
            </w:pPr>
            <w:r>
              <w:rPr>
                <w:rFonts w:ascii="Arial" w:cs="Arial" w:eastAsia="Arial" w:hAnsi="Arial"/>
                <w:sz w:val="18"/>
                <w:szCs w:val="18"/>
                <w:color w:val="auto"/>
              </w:rPr>
              <w:t>65.4</w:t>
            </w:r>
          </w:p>
        </w:tc>
        <w:tc>
          <w:tcPr>
            <w:tcW w:w="1140" w:type="dxa"/>
            <w:vAlign w:val="bottom"/>
          </w:tcPr>
          <w:p>
            <w:pPr>
              <w:jc w:val="right"/>
              <w:ind w:right="230"/>
              <w:spacing w:after="0"/>
              <w:rPr>
                <w:sz w:val="20"/>
                <w:szCs w:val="20"/>
                <w:color w:val="auto"/>
              </w:rPr>
            </w:pPr>
            <w:r>
              <w:rPr>
                <w:rFonts w:ascii="Arial" w:cs="Arial" w:eastAsia="Arial" w:hAnsi="Arial"/>
                <w:sz w:val="18"/>
                <w:szCs w:val="18"/>
                <w:color w:val="auto"/>
              </w:rPr>
              <w:t>63.9</w:t>
            </w:r>
          </w:p>
        </w:tc>
        <w:tc>
          <w:tcPr>
            <w:tcW w:w="340" w:type="dxa"/>
            <w:vAlign w:val="bottom"/>
          </w:tcPr>
          <w:p>
            <w:pPr>
              <w:spacing w:after="0"/>
              <w:rPr>
                <w:sz w:val="21"/>
                <w:szCs w:val="21"/>
                <w:color w:val="auto"/>
              </w:rPr>
            </w:pP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67.0</w:t>
            </w: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70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400" w:type="dxa"/>
            <w:vAlign w:val="bottom"/>
            <w:vMerge w:val="restart"/>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700" w:type="dxa"/>
            <w:vAlign w:val="bottom"/>
          </w:tcPr>
          <w:p>
            <w:pPr>
              <w:spacing w:after="0"/>
              <w:rPr>
                <w:sz w:val="11"/>
                <w:szCs w:val="11"/>
                <w:color w:val="auto"/>
              </w:rPr>
            </w:pPr>
          </w:p>
        </w:tc>
        <w:tc>
          <w:tcPr>
            <w:tcW w:w="446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30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110</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700" w:type="dxa"/>
            <w:vAlign w:val="bottom"/>
            <w:tcBorders>
              <w:bottom w:val="single" w:sz="8" w:color="808080"/>
            </w:tcBorders>
          </w:tcPr>
          <w:p>
            <w:pPr>
              <w:spacing w:after="0"/>
              <w:rPr>
                <w:sz w:val="17"/>
                <w:szCs w:val="17"/>
                <w:color w:val="auto"/>
              </w:rPr>
            </w:pPr>
          </w:p>
        </w:tc>
        <w:tc>
          <w:tcPr>
            <w:tcW w:w="4460" w:type="dxa"/>
            <w:vAlign w:val="bottom"/>
            <w:tcBorders>
              <w:bottom w:val="single" w:sz="8" w:color="808080"/>
            </w:tcBorders>
          </w:tcPr>
          <w:p>
            <w:pPr>
              <w:spacing w:after="0"/>
              <w:rPr>
                <w:sz w:val="17"/>
                <w:szCs w:val="17"/>
                <w:color w:val="auto"/>
              </w:rPr>
            </w:pPr>
          </w:p>
        </w:tc>
        <w:tc>
          <w:tcPr>
            <w:tcW w:w="40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26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760" w:type="dxa"/>
            <w:vAlign w:val="bottom"/>
            <w:tcBorders>
              <w:bottom w:val="single" w:sz="8" w:color="808080"/>
            </w:tcBorders>
          </w:tcPr>
          <w:p>
            <w:pPr>
              <w:spacing w:after="0"/>
              <w:rPr>
                <w:sz w:val="17"/>
                <w:szCs w:val="17"/>
                <w:color w:val="auto"/>
              </w:rPr>
            </w:pPr>
          </w:p>
        </w:tc>
        <w:tc>
          <w:tcPr>
            <w:tcW w:w="340" w:type="dxa"/>
            <w:vAlign w:val="bottom"/>
            <w:tcBorders>
              <w:bottom w:val="single" w:sz="8" w:color="808080"/>
            </w:tcBorders>
          </w:tcPr>
          <w:p>
            <w:pPr>
              <w:spacing w:after="0"/>
              <w:rPr>
                <w:sz w:val="17"/>
                <w:szCs w:val="17"/>
                <w:color w:val="auto"/>
              </w:rPr>
            </w:pPr>
          </w:p>
        </w:tc>
        <w:tc>
          <w:tcPr>
            <w:tcW w:w="880" w:type="dxa"/>
            <w:vAlign w:val="bottom"/>
            <w:tcBorders>
              <w:bottom w:val="single" w:sz="8" w:color="808080"/>
            </w:tcBorders>
          </w:tcPr>
          <w:p>
            <w:pPr>
              <w:spacing w:after="0"/>
              <w:rPr>
                <w:sz w:val="17"/>
                <w:szCs w:val="17"/>
                <w:color w:val="auto"/>
              </w:rPr>
            </w:pPr>
          </w:p>
        </w:tc>
        <w:tc>
          <w:tcPr>
            <w:tcW w:w="1140" w:type="dxa"/>
            <w:vAlign w:val="bottom"/>
            <w:tcBorders>
              <w:bottom w:val="single" w:sz="8" w:color="808080"/>
            </w:tcBorders>
          </w:tcPr>
          <w:p>
            <w:pPr>
              <w:spacing w:after="0"/>
              <w:rPr>
                <w:sz w:val="17"/>
                <w:szCs w:val="17"/>
                <w:color w:val="auto"/>
              </w:rPr>
            </w:pPr>
          </w:p>
        </w:tc>
        <w:tc>
          <w:tcPr>
            <w:tcW w:w="340" w:type="dxa"/>
            <w:vAlign w:val="bottom"/>
            <w:tcBorders>
              <w:bottom w:val="single" w:sz="8" w:color="808080"/>
            </w:tcBorders>
          </w:tcPr>
          <w:p>
            <w:pPr>
              <w:spacing w:after="0"/>
              <w:rPr>
                <w:sz w:val="17"/>
                <w:szCs w:val="17"/>
                <w:color w:val="auto"/>
              </w:rPr>
            </w:pPr>
          </w:p>
        </w:tc>
        <w:tc>
          <w:tcPr>
            <w:tcW w:w="86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12" w:name="page113"/>
    <w:bookmarkEnd w:id="112"/>
    <w:p>
      <w:pPr>
        <w:spacing w:after="0"/>
        <w:rPr>
          <w:rFonts w:ascii="Times New Roman" w:cs="Times New Roman" w:eastAsia="Times New Roman" w:hAnsi="Times New Roman"/>
          <w:sz w:val="18"/>
          <w:szCs w:val="18"/>
          <w:b w:val="1"/>
          <w:bCs w:val="1"/>
          <w:u w:val="single" w:color="auto"/>
          <w:color w:val="0000EE"/>
        </w:rPr>
      </w:pPr>
      <w:hyperlink w:anchor="page64">
        <w:r>
          <w:rPr>
            <w:rFonts w:ascii="Times New Roman" w:cs="Times New Roman" w:eastAsia="Times New Roman" w:hAnsi="Times New Roman"/>
            <w:sz w:val="18"/>
            <w:szCs w:val="18"/>
            <w:b w:val="1"/>
            <w:bCs w:val="1"/>
            <w:u w:val="single" w:color="auto"/>
            <w:color w:val="0000EE"/>
          </w:rPr>
          <w:t>Table of Contents</w:t>
        </w:r>
      </w:hyperlink>
    </w:p>
    <w:p>
      <w:pPr>
        <w:spacing w:after="0" w:line="317"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5" w:lineRule="exact"/>
        <w:rPr>
          <w:sz w:val="20"/>
          <w:szCs w:val="20"/>
          <w:color w:val="auto"/>
        </w:rPr>
      </w:pPr>
    </w:p>
    <w:p>
      <w:pPr>
        <w:ind w:left="700" w:right="60" w:firstLine="402"/>
        <w:spacing w:after="0" w:line="276" w:lineRule="auto"/>
        <w:rPr>
          <w:sz w:val="20"/>
          <w:szCs w:val="20"/>
          <w:color w:val="auto"/>
        </w:rPr>
      </w:pPr>
      <w:r>
        <w:rPr>
          <w:rFonts w:ascii="Arial" w:cs="Arial" w:eastAsia="Arial" w:hAnsi="Arial"/>
          <w:sz w:val="18"/>
          <w:szCs w:val="18"/>
          <w:color w:val="auto"/>
        </w:rPr>
        <w:t>Common share equivalents, such as stock awards, are excluded from the diluted loss per share calculation in periods where there is a net loss because their effect is anti-dilutive.</w:t>
      </w:r>
    </w:p>
    <w:p>
      <w:pPr>
        <w:spacing w:after="0" w:line="51" w:lineRule="exact"/>
        <w:rPr>
          <w:sz w:val="20"/>
          <w:szCs w:val="20"/>
          <w:color w:val="auto"/>
        </w:rPr>
      </w:pPr>
    </w:p>
    <w:p>
      <w:pPr>
        <w:ind w:left="700" w:right="380" w:firstLine="402"/>
        <w:spacing w:after="0" w:line="276" w:lineRule="auto"/>
        <w:rPr>
          <w:sz w:val="20"/>
          <w:szCs w:val="20"/>
          <w:color w:val="auto"/>
        </w:rPr>
      </w:pPr>
      <w:r>
        <w:rPr>
          <w:rFonts w:ascii="Arial" w:cs="Arial" w:eastAsia="Arial" w:hAnsi="Arial"/>
          <w:sz w:val="18"/>
          <w:szCs w:val="18"/>
          <w:color w:val="auto"/>
        </w:rPr>
        <w:t>The Company’s business is highly seasonal, with 70% to 75% of net sales occurring in the second and third fiscal quarters combined.</w:t>
      </w:r>
    </w:p>
    <w:p>
      <w:pPr>
        <w:spacing w:after="0" w:line="51" w:lineRule="exact"/>
        <w:rPr>
          <w:sz w:val="20"/>
          <w:szCs w:val="20"/>
          <w:color w:val="auto"/>
        </w:rPr>
      </w:pPr>
    </w:p>
    <w:p>
      <w:pPr>
        <w:ind w:left="700" w:firstLine="402"/>
        <w:spacing w:after="0" w:line="247" w:lineRule="auto"/>
        <w:rPr>
          <w:sz w:val="20"/>
          <w:szCs w:val="20"/>
          <w:color w:val="auto"/>
        </w:rPr>
      </w:pPr>
      <w:r>
        <w:rPr>
          <w:rFonts w:ascii="Arial" w:cs="Arial" w:eastAsia="Arial" w:hAnsi="Arial"/>
          <w:sz w:val="18"/>
          <w:szCs w:val="18"/>
          <w:color w:val="auto"/>
        </w:rPr>
        <w:t>Unusual items during fiscal 2008 consisted of impairment and product registration and recall charges. These items are reflected in the quarterly financial information as follows: second quarter product registration and recall charges of</w:t>
      </w:r>
    </w:p>
    <w:p>
      <w:pPr>
        <w:spacing w:after="0" w:line="1" w:lineRule="exact"/>
        <w:rPr>
          <w:sz w:val="20"/>
          <w:szCs w:val="20"/>
          <w:color w:val="auto"/>
        </w:rPr>
      </w:pPr>
    </w:p>
    <w:p>
      <w:pPr>
        <w:ind w:left="700" w:right="120"/>
        <w:spacing w:after="0" w:line="242" w:lineRule="auto"/>
        <w:rPr>
          <w:sz w:val="20"/>
          <w:szCs w:val="20"/>
          <w:color w:val="auto"/>
        </w:rPr>
      </w:pPr>
      <w:r>
        <w:rPr>
          <w:rFonts w:ascii="Arial" w:cs="Arial" w:eastAsia="Arial" w:hAnsi="Arial"/>
          <w:sz w:val="18"/>
          <w:szCs w:val="18"/>
          <w:color w:val="auto"/>
        </w:rPr>
        <w:t>$30.8 million, third quarter product registration and recall charges of $10.2 million and impairment of intangible assets and goodwill of $123.3 million and fourth quarter product registration and recall charges of $10.1 million and impairment of intangible assets and goodwill of $13.5 million.</w:t>
      </w:r>
    </w:p>
    <w:p>
      <w:pPr>
        <w:spacing w:after="0" w:line="81" w:lineRule="exact"/>
        <w:rPr>
          <w:sz w:val="20"/>
          <w:szCs w:val="20"/>
          <w:color w:val="auto"/>
        </w:rPr>
      </w:pPr>
    </w:p>
    <w:p>
      <w:pPr>
        <w:ind w:left="700" w:right="60" w:firstLine="402"/>
        <w:spacing w:after="0" w:line="248" w:lineRule="auto"/>
        <w:rPr>
          <w:sz w:val="20"/>
          <w:szCs w:val="20"/>
          <w:color w:val="auto"/>
        </w:rPr>
      </w:pPr>
      <w:r>
        <w:rPr>
          <w:rFonts w:ascii="Arial" w:cs="Arial" w:eastAsia="Arial" w:hAnsi="Arial"/>
          <w:sz w:val="18"/>
          <w:szCs w:val="18"/>
          <w:color w:val="auto"/>
        </w:rPr>
        <w:t>Unusual items during fiscal 2007 consisted of impairment, restructuring and other charges and charges incurred to execute the Company’s recapitalization plan. These items are reflected in the quarterly financial information as follows: second quarter refinancing expense due to the recapitalization plan of $18.3 million, fourth quarter impairment of intangible assets and goodwill of $35.3 million and restructuring and other charges of $2.7 million.</w:t>
      </w:r>
    </w:p>
    <w:p>
      <w:pPr>
        <w:spacing w:after="0" w:line="11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1"/>
          <w:szCs w:val="11"/>
          <w:b w:val="1"/>
          <w:bCs w:val="1"/>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-78105</wp:posOffset>
            </wp:positionV>
            <wp:extent cx="19748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00"/>
          </w:cols>
          <w:pgMar w:left="240" w:top="415" w:right="1159" w:bottom="1440" w:gutter="0" w:footer="0" w:header="0"/>
        </w:sectPr>
      </w:pPr>
    </w:p>
    <w:bookmarkStart w:id="113" w:name="page114"/>
    <w:bookmarkEnd w:id="113"/>
    <w:p>
      <w:pPr>
        <w:spacing w:after="0"/>
        <w:rPr>
          <w:rFonts w:ascii="Times New Roman" w:cs="Times New Roman" w:eastAsia="Times New Roman" w:hAnsi="Times New Roman"/>
          <w:sz w:val="18"/>
          <w:szCs w:val="18"/>
          <w:b w:val="1"/>
          <w:bCs w:val="1"/>
          <w:u w:val="single" w:color="auto"/>
          <w:color w:val="0000EE"/>
        </w:rPr>
      </w:pPr>
      <w:hyperlink w:anchor="page64">
        <w:r>
          <w:rPr>
            <w:rFonts w:ascii="Times New Roman" w:cs="Times New Roman" w:eastAsia="Times New Roman" w:hAnsi="Times New Roman"/>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Scotts Miracle-Gro Company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 — Valuation and Qualifying Accounts</w:t>
      </w:r>
    </w:p>
    <w:p>
      <w:pPr>
        <w:jc w:val="center"/>
        <w:spacing w:after="0" w:line="234" w:lineRule="auto"/>
        <w:rPr>
          <w:sz w:val="20"/>
          <w:szCs w:val="20"/>
          <w:color w:val="auto"/>
        </w:rPr>
      </w:pPr>
      <w:r>
        <w:rPr>
          <w:rFonts w:ascii="Arial" w:cs="Arial" w:eastAsia="Arial" w:hAnsi="Arial"/>
          <w:sz w:val="18"/>
          <w:szCs w:val="18"/>
          <w:b w:val="1"/>
          <w:bCs w:val="1"/>
          <w:color w:val="auto"/>
        </w:rPr>
        <w:t>for the fiscal year ended September 30, 2008</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580" w:type="dxa"/>
            <w:vAlign w:val="bottom"/>
            <w:gridSpan w:val="2"/>
          </w:tcPr>
          <w:p>
            <w:pPr>
              <w:ind w:left="700"/>
              <w:spacing w:after="0"/>
              <w:rPr>
                <w:sz w:val="20"/>
                <w:szCs w:val="20"/>
                <w:color w:val="auto"/>
              </w:rPr>
            </w:pPr>
            <w:r>
              <w:rPr>
                <w:rFonts w:ascii="Arial" w:cs="Arial" w:eastAsia="Arial" w:hAnsi="Arial"/>
                <w:sz w:val="18"/>
                <w:szCs w:val="18"/>
                <w:color w:val="auto"/>
              </w:rPr>
              <w:t>Column A</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6"/>
          </w:tcPr>
          <w:p>
            <w:pPr>
              <w:jc w:val="center"/>
              <w:ind w:right="260"/>
              <w:spacing w:after="0"/>
              <w:rPr>
                <w:sz w:val="20"/>
                <w:szCs w:val="20"/>
                <w:color w:val="auto"/>
              </w:rPr>
            </w:pPr>
            <w:r>
              <w:rPr>
                <w:rFonts w:ascii="Arial" w:cs="Arial" w:eastAsia="Arial" w:hAnsi="Arial"/>
                <w:sz w:val="18"/>
                <w:szCs w:val="18"/>
                <w:color w:val="auto"/>
                <w:w w:val="98"/>
              </w:rPr>
              <w:t>Column B</w:t>
            </w:r>
          </w:p>
        </w:tc>
        <w:tc>
          <w:tcPr>
            <w:tcW w:w="1040" w:type="dxa"/>
            <w:vAlign w:val="bottom"/>
            <w:gridSpan w:val="6"/>
          </w:tcPr>
          <w:p>
            <w:pPr>
              <w:jc w:val="center"/>
              <w:ind w:right="160"/>
              <w:spacing w:after="0"/>
              <w:rPr>
                <w:sz w:val="20"/>
                <w:szCs w:val="20"/>
                <w:color w:val="auto"/>
              </w:rPr>
            </w:pPr>
            <w:r>
              <w:rPr>
                <w:rFonts w:ascii="Arial" w:cs="Arial" w:eastAsia="Arial" w:hAnsi="Arial"/>
                <w:sz w:val="18"/>
                <w:szCs w:val="18"/>
                <w:color w:val="auto"/>
                <w:w w:val="99"/>
              </w:rPr>
              <w:t>Column C</w:t>
            </w:r>
          </w:p>
        </w:tc>
        <w:tc>
          <w:tcPr>
            <w:tcW w:w="1100" w:type="dxa"/>
            <w:vAlign w:val="bottom"/>
            <w:gridSpan w:val="7"/>
          </w:tcPr>
          <w:p>
            <w:pPr>
              <w:jc w:val="center"/>
              <w:ind w:right="180"/>
              <w:spacing w:after="0"/>
              <w:rPr>
                <w:sz w:val="20"/>
                <w:szCs w:val="20"/>
                <w:color w:val="auto"/>
              </w:rPr>
            </w:pPr>
            <w:r>
              <w:rPr>
                <w:rFonts w:ascii="Arial" w:cs="Arial" w:eastAsia="Arial" w:hAnsi="Arial"/>
                <w:sz w:val="18"/>
                <w:szCs w:val="18"/>
                <w:color w:val="auto"/>
                <w:w w:val="99"/>
              </w:rPr>
              <w:t>Column D</w:t>
            </w:r>
          </w:p>
        </w:tc>
        <w:tc>
          <w:tcPr>
            <w:tcW w:w="80" w:type="dxa"/>
            <w:vAlign w:val="bottom"/>
          </w:tcPr>
          <w:p>
            <w:pPr>
              <w:spacing w:after="0"/>
              <w:rPr>
                <w:sz w:val="20"/>
                <w:szCs w:val="20"/>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8"/>
                <w:szCs w:val="18"/>
                <w:color w:val="auto"/>
              </w:rPr>
              <w:t>Column E</w:t>
            </w:r>
          </w:p>
        </w:tc>
        <w:tc>
          <w:tcPr>
            <w:tcW w:w="16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Column F</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70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gridSpan w:val="3"/>
          </w:tcPr>
          <w:p>
            <w:pPr>
              <w:jc w:val="center"/>
              <w:ind w:right="160"/>
              <w:spacing w:after="0" w:line="173" w:lineRule="exact"/>
              <w:rPr>
                <w:sz w:val="20"/>
                <w:szCs w:val="20"/>
                <w:color w:val="auto"/>
              </w:rPr>
            </w:pPr>
            <w:r>
              <w:rPr>
                <w:rFonts w:ascii="Arial" w:cs="Arial" w:eastAsia="Arial" w:hAnsi="Arial"/>
                <w:sz w:val="18"/>
                <w:szCs w:val="18"/>
                <w:color w:val="auto"/>
              </w:rPr>
              <w:t>Balance</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gridSpan w:val="3"/>
          </w:tcPr>
          <w:p>
            <w:pPr>
              <w:jc w:val="center"/>
              <w:ind w:right="80"/>
              <w:spacing w:after="0" w:line="173" w:lineRule="exact"/>
              <w:rPr>
                <w:sz w:val="20"/>
                <w:szCs w:val="20"/>
                <w:color w:val="auto"/>
              </w:rPr>
            </w:pPr>
            <w:r>
              <w:rPr>
                <w:rFonts w:ascii="Arial" w:cs="Arial" w:eastAsia="Arial" w:hAnsi="Arial"/>
                <w:sz w:val="18"/>
                <w:szCs w:val="18"/>
                <w:color w:val="auto"/>
                <w:w w:val="99"/>
              </w:rPr>
              <w:t>Additions</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gridSpan w:val="2"/>
          </w:tcPr>
          <w:p>
            <w:pPr>
              <w:jc w:val="center"/>
              <w:ind w:right="100"/>
              <w:spacing w:after="0" w:line="173" w:lineRule="exact"/>
              <w:rPr>
                <w:sz w:val="20"/>
                <w:szCs w:val="20"/>
                <w:color w:val="auto"/>
              </w:rPr>
            </w:pPr>
            <w:r>
              <w:rPr>
                <w:rFonts w:ascii="Arial" w:cs="Arial" w:eastAsia="Arial" w:hAnsi="Arial"/>
                <w:sz w:val="18"/>
                <w:szCs w:val="18"/>
                <w:color w:val="auto"/>
                <w:w w:val="99"/>
              </w:rPr>
              <w:t>Deductions</w:t>
            </w:r>
          </w:p>
        </w:tc>
        <w:tc>
          <w:tcPr>
            <w:tcW w:w="16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gridSpan w:val="5"/>
          </w:tcPr>
          <w:p>
            <w:pPr>
              <w:jc w:val="center"/>
              <w:ind w:right="320"/>
              <w:spacing w:after="0" w:line="202" w:lineRule="exact"/>
              <w:rPr>
                <w:sz w:val="20"/>
                <w:szCs w:val="20"/>
                <w:color w:val="auto"/>
              </w:rPr>
            </w:pPr>
            <w:r>
              <w:rPr>
                <w:rFonts w:ascii="Arial" w:cs="Arial" w:eastAsia="Arial" w:hAnsi="Arial"/>
                <w:sz w:val="18"/>
                <w:szCs w:val="18"/>
                <w:color w:val="auto"/>
                <w:w w:val="92"/>
              </w:rPr>
              <w:t>at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6"/>
          </w:tcPr>
          <w:p>
            <w:pPr>
              <w:jc w:val="center"/>
              <w:ind w:right="240"/>
              <w:spacing w:after="0" w:line="202" w:lineRule="exact"/>
              <w:rPr>
                <w:sz w:val="20"/>
                <w:szCs w:val="20"/>
                <w:color w:val="auto"/>
              </w:rPr>
            </w:pPr>
            <w:r>
              <w:rPr>
                <w:rFonts w:ascii="Arial" w:cs="Arial" w:eastAsia="Arial" w:hAnsi="Arial"/>
                <w:sz w:val="18"/>
                <w:szCs w:val="18"/>
                <w:color w:val="auto"/>
              </w:rPr>
              <w:t>Charged</w:t>
            </w:r>
          </w:p>
        </w:tc>
        <w:tc>
          <w:tcPr>
            <w:tcW w:w="80" w:type="dxa"/>
            <w:vAlign w:val="bottom"/>
          </w:tcPr>
          <w:p>
            <w:pPr>
              <w:spacing w:after="0"/>
              <w:rPr>
                <w:sz w:val="17"/>
                <w:szCs w:val="17"/>
                <w:color w:val="auto"/>
              </w:rPr>
            </w:pPr>
          </w:p>
        </w:tc>
        <w:tc>
          <w:tcPr>
            <w:tcW w:w="1120" w:type="dxa"/>
            <w:vAlign w:val="bottom"/>
            <w:gridSpan w:val="2"/>
          </w:tcPr>
          <w:p>
            <w:pPr>
              <w:jc w:val="center"/>
              <w:ind w:right="80"/>
              <w:spacing w:after="0" w:line="202" w:lineRule="exact"/>
              <w:rPr>
                <w:sz w:val="20"/>
                <w:szCs w:val="20"/>
                <w:color w:val="auto"/>
              </w:rPr>
            </w:pPr>
            <w:r>
              <w:rPr>
                <w:rFonts w:ascii="Arial" w:cs="Arial" w:eastAsia="Arial" w:hAnsi="Arial"/>
                <w:sz w:val="18"/>
                <w:szCs w:val="18"/>
                <w:color w:val="auto"/>
                <w:w w:val="99"/>
              </w:rPr>
              <w:t>Credited</w:t>
            </w:r>
          </w:p>
        </w:tc>
        <w:tc>
          <w:tcPr>
            <w:tcW w:w="160" w:type="dxa"/>
            <w:vAlign w:val="bottom"/>
          </w:tcPr>
          <w:p>
            <w:pPr>
              <w:spacing w:after="0"/>
              <w:rPr>
                <w:sz w:val="17"/>
                <w:szCs w:val="17"/>
                <w:color w:val="auto"/>
              </w:rPr>
            </w:pPr>
          </w:p>
        </w:tc>
        <w:tc>
          <w:tcPr>
            <w:tcW w:w="920" w:type="dxa"/>
            <w:vAlign w:val="bottom"/>
          </w:tcPr>
          <w:p>
            <w:pPr>
              <w:jc w:val="center"/>
              <w:spacing w:after="0" w:line="202" w:lineRule="exact"/>
              <w:rPr>
                <w:sz w:val="20"/>
                <w:szCs w:val="20"/>
                <w:color w:val="auto"/>
              </w:rPr>
            </w:pPr>
            <w:r>
              <w:rPr>
                <w:rFonts w:ascii="Arial" w:cs="Arial" w:eastAsia="Arial" w:hAnsi="Arial"/>
                <w:sz w:val="18"/>
                <w:szCs w:val="18"/>
                <w:color w:val="auto"/>
              </w:rPr>
              <w:t>Balance</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6"/>
          </w:tcPr>
          <w:p>
            <w:pPr>
              <w:jc w:val="center"/>
              <w:ind w:right="240"/>
              <w:spacing w:after="0" w:line="202" w:lineRule="exact"/>
              <w:rPr>
                <w:sz w:val="20"/>
                <w:szCs w:val="20"/>
                <w:color w:val="auto"/>
              </w:rPr>
            </w:pPr>
            <w:r>
              <w:rPr>
                <w:rFonts w:ascii="Arial" w:cs="Arial" w:eastAsia="Arial" w:hAnsi="Arial"/>
                <w:sz w:val="18"/>
                <w:szCs w:val="18"/>
                <w:color w:val="auto"/>
                <w:w w:val="99"/>
              </w:rPr>
              <w:t>Beginning</w:t>
            </w:r>
          </w:p>
        </w:tc>
        <w:tc>
          <w:tcPr>
            <w:tcW w:w="1040" w:type="dxa"/>
            <w:vAlign w:val="bottom"/>
            <w:gridSpan w:val="6"/>
          </w:tcPr>
          <w:p>
            <w:pPr>
              <w:jc w:val="center"/>
              <w:ind w:right="160"/>
              <w:spacing w:after="0" w:line="202" w:lineRule="exact"/>
              <w:rPr>
                <w:sz w:val="20"/>
                <w:szCs w:val="20"/>
                <w:color w:val="auto"/>
              </w:rPr>
            </w:pPr>
            <w:r>
              <w:rPr>
                <w:rFonts w:ascii="Arial" w:cs="Arial" w:eastAsia="Arial" w:hAnsi="Arial"/>
                <w:sz w:val="18"/>
                <w:szCs w:val="18"/>
                <w:color w:val="auto"/>
                <w:w w:val="99"/>
              </w:rPr>
              <w:t>Reserves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5"/>
          </w:tcPr>
          <w:p>
            <w:pPr>
              <w:jc w:val="center"/>
              <w:ind w:right="320"/>
              <w:spacing w:after="0" w:line="202" w:lineRule="exact"/>
              <w:rPr>
                <w:sz w:val="20"/>
                <w:szCs w:val="20"/>
                <w:color w:val="auto"/>
              </w:rPr>
            </w:pPr>
            <w:r>
              <w:rPr>
                <w:rFonts w:ascii="Arial" w:cs="Arial" w:eastAsia="Arial" w:hAnsi="Arial"/>
                <w:sz w:val="18"/>
                <w:szCs w:val="18"/>
                <w:color w:val="auto"/>
                <w:w w:val="92"/>
              </w:rPr>
              <w:t>to</w:t>
            </w:r>
          </w:p>
        </w:tc>
        <w:tc>
          <w:tcPr>
            <w:tcW w:w="80" w:type="dxa"/>
            <w:vAlign w:val="bottom"/>
          </w:tcPr>
          <w:p>
            <w:pPr>
              <w:spacing w:after="0"/>
              <w:rPr>
                <w:sz w:val="17"/>
                <w:szCs w:val="17"/>
                <w:color w:val="auto"/>
              </w:rPr>
            </w:pPr>
          </w:p>
        </w:tc>
        <w:tc>
          <w:tcPr>
            <w:tcW w:w="1120" w:type="dxa"/>
            <w:vAlign w:val="bottom"/>
            <w:gridSpan w:val="2"/>
          </w:tcPr>
          <w:p>
            <w:pPr>
              <w:jc w:val="center"/>
              <w:ind w:right="100"/>
              <w:spacing w:after="0" w:line="202" w:lineRule="exact"/>
              <w:rPr>
                <w:sz w:val="20"/>
                <w:szCs w:val="20"/>
                <w:color w:val="auto"/>
              </w:rPr>
            </w:pPr>
            <w:r>
              <w:rPr>
                <w:rFonts w:ascii="Arial" w:cs="Arial" w:eastAsia="Arial" w:hAnsi="Arial"/>
                <w:sz w:val="18"/>
                <w:szCs w:val="18"/>
                <w:color w:val="auto"/>
                <w:w w:val="99"/>
              </w:rPr>
              <w:t>and</w:t>
            </w:r>
          </w:p>
        </w:tc>
        <w:tc>
          <w:tcPr>
            <w:tcW w:w="160" w:type="dxa"/>
            <w:vAlign w:val="bottom"/>
          </w:tcPr>
          <w:p>
            <w:pPr>
              <w:spacing w:after="0"/>
              <w:rPr>
                <w:sz w:val="17"/>
                <w:szCs w:val="17"/>
                <w:color w:val="auto"/>
              </w:rPr>
            </w:pPr>
          </w:p>
        </w:tc>
        <w:tc>
          <w:tcPr>
            <w:tcW w:w="920" w:type="dxa"/>
            <w:vAlign w:val="bottom"/>
          </w:tcPr>
          <w:p>
            <w:pPr>
              <w:jc w:val="center"/>
              <w:spacing w:after="0" w:line="202" w:lineRule="exact"/>
              <w:rPr>
                <w:sz w:val="20"/>
                <w:szCs w:val="20"/>
                <w:color w:val="auto"/>
              </w:rPr>
            </w:pPr>
            <w:r>
              <w:rPr>
                <w:rFonts w:ascii="Arial" w:cs="Arial" w:eastAsia="Arial" w:hAnsi="Arial"/>
                <w:sz w:val="18"/>
                <w:szCs w:val="18"/>
                <w:color w:val="auto"/>
                <w:w w:val="99"/>
              </w:rPr>
              <w:t>at End of</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580" w:type="dxa"/>
            <w:vAlign w:val="bottom"/>
            <w:gridSpan w:val="2"/>
          </w:tcPr>
          <w:p>
            <w:pPr>
              <w:ind w:left="700"/>
              <w:spacing w:after="0"/>
              <w:rPr>
                <w:sz w:val="20"/>
                <w:szCs w:val="20"/>
                <w:color w:val="auto"/>
              </w:rPr>
            </w:pPr>
            <w:r>
              <w:rPr>
                <w:rFonts w:ascii="Arial" w:cs="Arial" w:eastAsia="Arial" w:hAnsi="Arial"/>
                <w:sz w:val="18"/>
                <w:szCs w:val="18"/>
                <w:color w:val="auto"/>
              </w:rPr>
              <w:t>Classification</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gridSpan w:val="5"/>
          </w:tcPr>
          <w:p>
            <w:pPr>
              <w:jc w:val="center"/>
              <w:ind w:right="300"/>
              <w:spacing w:after="0"/>
              <w:rPr>
                <w:sz w:val="20"/>
                <w:szCs w:val="20"/>
                <w:color w:val="auto"/>
              </w:rPr>
            </w:pPr>
            <w:r>
              <w:rPr>
                <w:rFonts w:ascii="Arial" w:cs="Arial" w:eastAsia="Arial" w:hAnsi="Arial"/>
                <w:sz w:val="18"/>
                <w:szCs w:val="18"/>
                <w:color w:val="auto"/>
                <w:w w:val="99"/>
              </w:rPr>
              <w:t>of Period</w:t>
            </w:r>
          </w:p>
        </w:tc>
        <w:tc>
          <w:tcPr>
            <w:tcW w:w="1040" w:type="dxa"/>
            <w:vAlign w:val="bottom"/>
            <w:gridSpan w:val="6"/>
          </w:tcPr>
          <w:p>
            <w:pPr>
              <w:jc w:val="center"/>
              <w:ind w:right="160"/>
              <w:spacing w:after="0"/>
              <w:rPr>
                <w:sz w:val="20"/>
                <w:szCs w:val="20"/>
                <w:color w:val="auto"/>
              </w:rPr>
            </w:pPr>
            <w:r>
              <w:rPr>
                <w:rFonts w:ascii="Arial" w:cs="Arial" w:eastAsia="Arial" w:hAnsi="Arial"/>
                <w:sz w:val="18"/>
                <w:szCs w:val="18"/>
                <w:color w:val="auto"/>
              </w:rPr>
              <w:t>Acquired</w:t>
            </w:r>
          </w:p>
        </w:tc>
        <w:tc>
          <w:tcPr>
            <w:tcW w:w="80" w:type="dxa"/>
            <w:vAlign w:val="bottom"/>
          </w:tcPr>
          <w:p>
            <w:pPr>
              <w:spacing w:after="0"/>
              <w:rPr>
                <w:sz w:val="20"/>
                <w:szCs w:val="20"/>
                <w:color w:val="auto"/>
              </w:rPr>
            </w:pPr>
          </w:p>
        </w:tc>
        <w:tc>
          <w:tcPr>
            <w:tcW w:w="1020" w:type="dxa"/>
            <w:vAlign w:val="bottom"/>
            <w:gridSpan w:val="6"/>
          </w:tcPr>
          <w:p>
            <w:pPr>
              <w:jc w:val="center"/>
              <w:ind w:right="240"/>
              <w:spacing w:after="0"/>
              <w:rPr>
                <w:sz w:val="20"/>
                <w:szCs w:val="20"/>
                <w:color w:val="auto"/>
              </w:rPr>
            </w:pPr>
            <w:r>
              <w:rPr>
                <w:rFonts w:ascii="Arial" w:cs="Arial" w:eastAsia="Arial" w:hAnsi="Arial"/>
                <w:sz w:val="18"/>
                <w:szCs w:val="18"/>
                <w:color w:val="auto"/>
                <w:w w:val="99"/>
              </w:rPr>
              <w:t>Expense</w:t>
            </w:r>
          </w:p>
        </w:tc>
        <w:tc>
          <w:tcPr>
            <w:tcW w:w="80" w:type="dxa"/>
            <w:vAlign w:val="bottom"/>
          </w:tcPr>
          <w:p>
            <w:pPr>
              <w:spacing w:after="0"/>
              <w:rPr>
                <w:sz w:val="20"/>
                <w:szCs w:val="20"/>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8"/>
                <w:szCs w:val="18"/>
                <w:color w:val="auto"/>
                <w:w w:val="98"/>
              </w:rPr>
              <w:t>Write-Offs</w:t>
            </w:r>
          </w:p>
        </w:tc>
        <w:tc>
          <w:tcPr>
            <w:tcW w:w="16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Period</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700" w:type="dxa"/>
            <w:vAlign w:val="bottom"/>
            <w:vMerge w:val="restart"/>
          </w:tcPr>
          <w:p>
            <w:pPr>
              <w:spacing w:after="0"/>
              <w:rPr>
                <w:sz w:val="4"/>
                <w:szCs w:val="4"/>
                <w:color w:val="auto"/>
              </w:rPr>
            </w:pPr>
          </w:p>
        </w:tc>
        <w:tc>
          <w:tcPr>
            <w:tcW w:w="2880" w:type="dxa"/>
            <w:vAlign w:val="bottom"/>
            <w:tcBorders>
              <w:top w:val="single" w:sz="8" w:color="auto"/>
            </w:tcBorders>
          </w:tcPr>
          <w:p>
            <w:pPr>
              <w:spacing w:after="0"/>
              <w:rPr>
                <w:sz w:val="4"/>
                <w:szCs w:val="4"/>
                <w:color w:val="auto"/>
              </w:rPr>
            </w:pPr>
          </w:p>
        </w:tc>
        <w:tc>
          <w:tcPr>
            <w:tcW w:w="148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1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700" w:type="dxa"/>
            <w:vAlign w:val="bottom"/>
            <w:vMerge w:val="continue"/>
          </w:tcPr>
          <w:p>
            <w:pPr>
              <w:spacing w:after="0"/>
              <w:rPr>
                <w:sz w:val="15"/>
                <w:szCs w:val="15"/>
                <w:color w:val="auto"/>
              </w:rPr>
            </w:pPr>
          </w:p>
        </w:tc>
        <w:tc>
          <w:tcPr>
            <w:tcW w:w="5620" w:type="dxa"/>
            <w:vAlign w:val="bottom"/>
            <w:gridSpan w:val="9"/>
            <w:shd w:val="clear" w:color="auto" w:fill="CCEEFF"/>
          </w:tcPr>
          <w:p>
            <w:pPr>
              <w:spacing w:after="0" w:line="180" w:lineRule="exact"/>
              <w:rPr>
                <w:sz w:val="20"/>
                <w:szCs w:val="20"/>
                <w:color w:val="auto"/>
              </w:rPr>
            </w:pPr>
            <w:r>
              <w:rPr>
                <w:rFonts w:ascii="Arial" w:cs="Arial" w:eastAsia="Arial" w:hAnsi="Arial"/>
                <w:sz w:val="18"/>
                <w:szCs w:val="18"/>
                <w:color w:val="auto"/>
              </w:rPr>
              <w:t>Valuation and qualifying accounts deducted from the</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700" w:type="dxa"/>
            <w:vAlign w:val="bottom"/>
          </w:tcPr>
          <w:p>
            <w:pPr>
              <w:spacing w:after="0"/>
              <w:rPr>
                <w:sz w:val="19"/>
                <w:szCs w:val="19"/>
                <w:color w:val="auto"/>
              </w:rPr>
            </w:pPr>
          </w:p>
        </w:tc>
        <w:tc>
          <w:tcPr>
            <w:tcW w:w="2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assets to which they apply:</w:t>
            </w: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2880" w:type="dxa"/>
            <w:vAlign w:val="bottom"/>
          </w:tcPr>
          <w:p>
            <w:pPr>
              <w:spacing w:after="0" w:line="202" w:lineRule="exact"/>
              <w:rPr>
                <w:sz w:val="20"/>
                <w:szCs w:val="20"/>
                <w:color w:val="auto"/>
              </w:rPr>
            </w:pPr>
            <w:r>
              <w:rPr>
                <w:rFonts w:ascii="Arial" w:cs="Arial" w:eastAsia="Arial" w:hAnsi="Arial"/>
                <w:sz w:val="18"/>
                <w:szCs w:val="18"/>
                <w:color w:val="auto"/>
              </w:rPr>
              <w:t>Inventory reserve</w:t>
            </w:r>
          </w:p>
        </w:tc>
        <w:tc>
          <w:tcPr>
            <w:tcW w:w="2280" w:type="dxa"/>
            <w:vAlign w:val="bottom"/>
            <w:gridSpan w:val="5"/>
          </w:tcPr>
          <w:p>
            <w:pPr>
              <w:jc w:val="right"/>
              <w:spacing w:after="0" w:line="202" w:lineRule="exact"/>
              <w:rPr>
                <w:sz w:val="20"/>
                <w:szCs w:val="20"/>
                <w:color w:val="auto"/>
              </w:rPr>
            </w:pPr>
            <w:r>
              <w:rPr>
                <w:rFonts w:ascii="Arial" w:cs="Arial" w:eastAsia="Arial" w:hAnsi="Arial"/>
                <w:sz w:val="18"/>
                <w:szCs w:val="18"/>
                <w:color w:val="auto"/>
              </w:rPr>
              <w:t>$ 15.6</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4"/>
          </w:tcPr>
          <w:p>
            <w:pPr>
              <w:jc w:val="right"/>
              <w:ind w:right="500"/>
              <w:spacing w:after="0" w:line="202" w:lineRule="exact"/>
              <w:rPr>
                <w:sz w:val="20"/>
                <w:szCs w:val="20"/>
                <w:color w:val="auto"/>
              </w:rPr>
            </w:pPr>
            <w:r>
              <w:rPr>
                <w:rFonts w:ascii="Arial" w:cs="Arial" w:eastAsia="Arial" w:hAnsi="Arial"/>
                <w:sz w:val="18"/>
                <w:szCs w:val="18"/>
                <w:color w:val="auto"/>
              </w:rPr>
              <w:t>$ —</w:t>
            </w:r>
          </w:p>
        </w:tc>
        <w:tc>
          <w:tcPr>
            <w:tcW w:w="920" w:type="dxa"/>
            <w:vAlign w:val="bottom"/>
            <w:gridSpan w:val="3"/>
          </w:tcPr>
          <w:p>
            <w:pPr>
              <w:jc w:val="right"/>
              <w:ind w:right="190"/>
              <w:spacing w:after="0" w:line="202" w:lineRule="exact"/>
              <w:rPr>
                <w:sz w:val="20"/>
                <w:szCs w:val="20"/>
                <w:color w:val="auto"/>
              </w:rPr>
            </w:pPr>
            <w:r>
              <w:rPr>
                <w:rFonts w:ascii="Arial" w:cs="Arial" w:eastAsia="Arial" w:hAnsi="Arial"/>
                <w:sz w:val="18"/>
                <w:szCs w:val="18"/>
                <w:color w:val="auto"/>
              </w:rPr>
              <w:t>$ 13.3</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gridSpan w:val="2"/>
          </w:tcPr>
          <w:p>
            <w:pPr>
              <w:jc w:val="right"/>
              <w:ind w:right="230"/>
              <w:spacing w:after="0" w:line="202" w:lineRule="exact"/>
              <w:rPr>
                <w:sz w:val="20"/>
                <w:szCs w:val="20"/>
                <w:color w:val="auto"/>
              </w:rPr>
            </w:pPr>
            <w:r>
              <w:rPr>
                <w:rFonts w:ascii="Arial" w:cs="Arial" w:eastAsia="Arial" w:hAnsi="Arial"/>
                <w:sz w:val="18"/>
                <w:szCs w:val="18"/>
                <w:color w:val="auto"/>
              </w:rPr>
              <w:t>$ (11.4)</w:t>
            </w:r>
          </w:p>
        </w:tc>
        <w:tc>
          <w:tcPr>
            <w:tcW w:w="20" w:type="dxa"/>
            <w:vAlign w:val="bottom"/>
          </w:tcPr>
          <w:p>
            <w:pPr>
              <w:spacing w:after="0"/>
              <w:rPr>
                <w:sz w:val="17"/>
                <w:szCs w:val="17"/>
                <w:color w:val="auto"/>
              </w:rPr>
            </w:pPr>
          </w:p>
        </w:tc>
        <w:tc>
          <w:tcPr>
            <w:tcW w:w="1080" w:type="dxa"/>
            <w:vAlign w:val="bottom"/>
            <w:gridSpan w:val="2"/>
          </w:tcPr>
          <w:p>
            <w:pPr>
              <w:jc w:val="right"/>
              <w:ind w:right="210"/>
              <w:spacing w:after="0" w:line="202" w:lineRule="exact"/>
              <w:rPr>
                <w:sz w:val="20"/>
                <w:szCs w:val="20"/>
                <w:color w:val="auto"/>
              </w:rPr>
            </w:pPr>
            <w:r>
              <w:rPr>
                <w:rFonts w:ascii="Arial" w:cs="Arial" w:eastAsia="Arial" w:hAnsi="Arial"/>
                <w:sz w:val="18"/>
                <w:szCs w:val="18"/>
                <w:color w:val="auto"/>
              </w:rPr>
              <w:t>$ 17.5</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2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Inventory reserve — product recalls</w:t>
            </w: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gridSpan w:val="4"/>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4"/>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16.7</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(8.0)</w:t>
            </w:r>
          </w:p>
        </w:tc>
        <w:tc>
          <w:tcPr>
            <w:tcW w:w="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8.7</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2880" w:type="dxa"/>
            <w:vAlign w:val="bottom"/>
          </w:tcPr>
          <w:p>
            <w:pPr>
              <w:spacing w:after="0" w:line="202" w:lineRule="exact"/>
              <w:rPr>
                <w:sz w:val="20"/>
                <w:szCs w:val="20"/>
                <w:color w:val="auto"/>
              </w:rPr>
            </w:pPr>
            <w:r>
              <w:rPr>
                <w:rFonts w:ascii="Arial" w:cs="Arial" w:eastAsia="Arial" w:hAnsi="Arial"/>
                <w:sz w:val="18"/>
                <w:szCs w:val="18"/>
                <w:color w:val="auto"/>
              </w:rPr>
              <w:t>Allowance for doubtful accounts</w:t>
            </w:r>
          </w:p>
        </w:tc>
        <w:tc>
          <w:tcPr>
            <w:tcW w:w="2280" w:type="dxa"/>
            <w:vAlign w:val="bottom"/>
            <w:gridSpan w:val="5"/>
          </w:tcPr>
          <w:p>
            <w:pPr>
              <w:jc w:val="right"/>
              <w:spacing w:after="0" w:line="202" w:lineRule="exact"/>
              <w:rPr>
                <w:sz w:val="20"/>
                <w:szCs w:val="20"/>
                <w:color w:val="auto"/>
              </w:rPr>
            </w:pPr>
            <w:r>
              <w:rPr>
                <w:rFonts w:ascii="Arial" w:cs="Arial" w:eastAsia="Arial" w:hAnsi="Arial"/>
                <w:sz w:val="18"/>
                <w:szCs w:val="18"/>
                <w:color w:val="auto"/>
              </w:rPr>
              <w:t>11.4</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4"/>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190"/>
              <w:spacing w:after="0" w:line="202" w:lineRule="exact"/>
              <w:rPr>
                <w:sz w:val="20"/>
                <w:szCs w:val="20"/>
                <w:color w:val="auto"/>
              </w:rPr>
            </w:pPr>
            <w:r>
              <w:rPr>
                <w:rFonts w:ascii="Arial" w:cs="Arial" w:eastAsia="Arial" w:hAnsi="Arial"/>
                <w:sz w:val="18"/>
                <w:szCs w:val="18"/>
                <w:color w:val="auto"/>
              </w:rPr>
              <w:t>4.7</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gridSpan w:val="2"/>
          </w:tcPr>
          <w:p>
            <w:pPr>
              <w:jc w:val="right"/>
              <w:ind w:right="230"/>
              <w:spacing w:after="0" w:line="202" w:lineRule="exact"/>
              <w:rPr>
                <w:sz w:val="20"/>
                <w:szCs w:val="20"/>
                <w:color w:val="auto"/>
              </w:rPr>
            </w:pPr>
            <w:r>
              <w:rPr>
                <w:rFonts w:ascii="Arial" w:cs="Arial" w:eastAsia="Arial" w:hAnsi="Arial"/>
                <w:sz w:val="18"/>
                <w:szCs w:val="18"/>
                <w:color w:val="auto"/>
              </w:rPr>
              <w:t>(5.5)</w:t>
            </w:r>
          </w:p>
        </w:tc>
        <w:tc>
          <w:tcPr>
            <w:tcW w:w="20" w:type="dxa"/>
            <w:vAlign w:val="bottom"/>
          </w:tcPr>
          <w:p>
            <w:pPr>
              <w:spacing w:after="0"/>
              <w:rPr>
                <w:sz w:val="17"/>
                <w:szCs w:val="17"/>
                <w:color w:val="auto"/>
              </w:rPr>
            </w:pPr>
          </w:p>
        </w:tc>
        <w:tc>
          <w:tcPr>
            <w:tcW w:w="1080" w:type="dxa"/>
            <w:vAlign w:val="bottom"/>
            <w:gridSpan w:val="2"/>
          </w:tcPr>
          <w:p>
            <w:pPr>
              <w:jc w:val="right"/>
              <w:ind w:right="210"/>
              <w:spacing w:after="0" w:line="202" w:lineRule="exact"/>
              <w:rPr>
                <w:sz w:val="20"/>
                <w:szCs w:val="20"/>
                <w:color w:val="auto"/>
              </w:rPr>
            </w:pPr>
            <w:r>
              <w:rPr>
                <w:rFonts w:ascii="Arial" w:cs="Arial" w:eastAsia="Arial" w:hAnsi="Arial"/>
                <w:sz w:val="18"/>
                <w:szCs w:val="18"/>
                <w:color w:val="auto"/>
              </w:rPr>
              <w:t>10.6</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2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 valuation allowance</w:t>
            </w:r>
          </w:p>
        </w:tc>
        <w:tc>
          <w:tcPr>
            <w:tcW w:w="2280" w:type="dxa"/>
            <w:vAlign w:val="bottom"/>
            <w:gridSpan w:val="5"/>
            <w:shd w:val="clear" w:color="auto" w:fill="CCEEFF"/>
          </w:tcPr>
          <w:p>
            <w:pPr>
              <w:jc w:val="right"/>
              <w:spacing w:after="0" w:line="202" w:lineRule="exact"/>
              <w:rPr>
                <w:sz w:val="20"/>
                <w:szCs w:val="20"/>
                <w:color w:val="auto"/>
              </w:rPr>
            </w:pPr>
            <w:r>
              <w:rPr>
                <w:rFonts w:ascii="Arial" w:cs="Arial" w:eastAsia="Arial" w:hAnsi="Arial"/>
                <w:sz w:val="18"/>
                <w:szCs w:val="18"/>
                <w:color w:val="auto"/>
              </w:rPr>
              <w:t>41.0</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4"/>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27.0</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(2.2)</w:t>
            </w:r>
          </w:p>
        </w:tc>
        <w:tc>
          <w:tcPr>
            <w:tcW w:w="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65.8</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7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880" w:type="dxa"/>
            <w:vAlign w:val="bottom"/>
            <w:gridSpan w:val="21"/>
          </w:tcPr>
          <w:p>
            <w:pPr>
              <w:jc w:val="center"/>
              <w:ind w:right="600"/>
              <w:spacing w:after="0"/>
              <w:rPr>
                <w:sz w:val="20"/>
                <w:szCs w:val="20"/>
                <w:color w:val="auto"/>
              </w:rPr>
            </w:pPr>
            <w:r>
              <w:rPr>
                <w:rFonts w:ascii="Arial" w:cs="Arial" w:eastAsia="Arial" w:hAnsi="Arial"/>
                <w:sz w:val="18"/>
                <w:szCs w:val="18"/>
                <w:b w:val="1"/>
                <w:bCs w:val="1"/>
                <w:color w:val="auto"/>
                <w:w w:val="99"/>
              </w:rPr>
              <w:t>Schedule II — Valuation and Qualifying Accounts</w:t>
            </w: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4880" w:type="dxa"/>
            <w:vAlign w:val="bottom"/>
            <w:gridSpan w:val="21"/>
          </w:tcPr>
          <w:p>
            <w:pPr>
              <w:jc w:val="center"/>
              <w:ind w:right="600"/>
              <w:spacing w:after="0" w:line="202" w:lineRule="exact"/>
              <w:rPr>
                <w:sz w:val="20"/>
                <w:szCs w:val="20"/>
                <w:color w:val="auto"/>
              </w:rPr>
            </w:pPr>
            <w:r>
              <w:rPr>
                <w:rFonts w:ascii="Arial" w:cs="Arial" w:eastAsia="Arial" w:hAnsi="Arial"/>
                <w:sz w:val="18"/>
                <w:szCs w:val="18"/>
                <w:b w:val="1"/>
                <w:bCs w:val="1"/>
                <w:color w:val="auto"/>
                <w:w w:val="99"/>
              </w:rPr>
              <w:t>for the fiscal year ended September 30, 2007</w:t>
            </w: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70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6"/>
          </w:tcPr>
          <w:p>
            <w:pPr>
              <w:jc w:val="center"/>
              <w:ind w:right="60"/>
              <w:spacing w:after="0"/>
              <w:rPr>
                <w:sz w:val="20"/>
                <w:szCs w:val="20"/>
                <w:color w:val="auto"/>
              </w:rPr>
            </w:pPr>
            <w:r>
              <w:rPr>
                <w:rFonts w:ascii="Arial" w:cs="Arial" w:eastAsia="Arial" w:hAnsi="Arial"/>
                <w:sz w:val="18"/>
                <w:szCs w:val="18"/>
                <w:b w:val="1"/>
                <w:bCs w:val="1"/>
                <w:color w:val="auto"/>
              </w:rPr>
              <w:t>(in millions)</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4"/>
        </w:trPr>
        <w:tc>
          <w:tcPr>
            <w:tcW w:w="3580" w:type="dxa"/>
            <w:vAlign w:val="bottom"/>
            <w:gridSpan w:val="2"/>
          </w:tcPr>
          <w:p>
            <w:pPr>
              <w:ind w:left="700"/>
              <w:spacing w:after="0"/>
              <w:rPr>
                <w:sz w:val="20"/>
                <w:szCs w:val="20"/>
                <w:color w:val="auto"/>
              </w:rPr>
            </w:pPr>
            <w:r>
              <w:rPr>
                <w:rFonts w:ascii="Arial" w:cs="Arial" w:eastAsia="Arial" w:hAnsi="Arial"/>
                <w:sz w:val="18"/>
                <w:szCs w:val="18"/>
                <w:color w:val="auto"/>
              </w:rPr>
              <w:t>Column A</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gridSpan w:val="5"/>
          </w:tcPr>
          <w:p>
            <w:pPr>
              <w:jc w:val="center"/>
              <w:spacing w:after="0"/>
              <w:rPr>
                <w:sz w:val="20"/>
                <w:szCs w:val="20"/>
                <w:color w:val="auto"/>
              </w:rPr>
            </w:pPr>
            <w:r>
              <w:rPr>
                <w:rFonts w:ascii="Arial" w:cs="Arial" w:eastAsia="Arial" w:hAnsi="Arial"/>
                <w:sz w:val="18"/>
                <w:szCs w:val="18"/>
                <w:color w:val="auto"/>
                <w:w w:val="98"/>
              </w:rPr>
              <w:t>Column B</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4"/>
          </w:tcPr>
          <w:p>
            <w:pPr>
              <w:ind w:left="20"/>
              <w:spacing w:after="0"/>
              <w:rPr>
                <w:sz w:val="20"/>
                <w:szCs w:val="20"/>
                <w:color w:val="auto"/>
              </w:rPr>
            </w:pPr>
            <w:r>
              <w:rPr>
                <w:rFonts w:ascii="Arial" w:cs="Arial" w:eastAsia="Arial" w:hAnsi="Arial"/>
                <w:sz w:val="18"/>
                <w:szCs w:val="18"/>
                <w:color w:val="auto"/>
              </w:rPr>
              <w:t>Column C</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gridSpan w:val="5"/>
          </w:tcPr>
          <w:p>
            <w:pPr>
              <w:jc w:val="center"/>
              <w:ind w:right="100"/>
              <w:spacing w:after="0"/>
              <w:rPr>
                <w:sz w:val="20"/>
                <w:szCs w:val="20"/>
                <w:color w:val="auto"/>
              </w:rPr>
            </w:pPr>
            <w:r>
              <w:rPr>
                <w:rFonts w:ascii="Arial" w:cs="Arial" w:eastAsia="Arial" w:hAnsi="Arial"/>
                <w:sz w:val="18"/>
                <w:szCs w:val="18"/>
                <w:color w:val="auto"/>
                <w:w w:val="99"/>
              </w:rPr>
              <w:t>Column D</w:t>
            </w:r>
          </w:p>
        </w:tc>
        <w:tc>
          <w:tcPr>
            <w:tcW w:w="80" w:type="dxa"/>
            <w:vAlign w:val="bottom"/>
          </w:tcPr>
          <w:p>
            <w:pPr>
              <w:spacing w:after="0"/>
              <w:rPr>
                <w:sz w:val="24"/>
                <w:szCs w:val="24"/>
                <w:color w:val="auto"/>
              </w:rPr>
            </w:pPr>
          </w:p>
        </w:tc>
        <w:tc>
          <w:tcPr>
            <w:tcW w:w="1120" w:type="dxa"/>
            <w:vAlign w:val="bottom"/>
            <w:gridSpan w:val="2"/>
          </w:tcPr>
          <w:p>
            <w:pPr>
              <w:jc w:val="center"/>
              <w:ind w:right="20"/>
              <w:spacing w:after="0"/>
              <w:rPr>
                <w:sz w:val="20"/>
                <w:szCs w:val="20"/>
                <w:color w:val="auto"/>
              </w:rPr>
            </w:pPr>
            <w:r>
              <w:rPr>
                <w:rFonts w:ascii="Arial" w:cs="Arial" w:eastAsia="Arial" w:hAnsi="Arial"/>
                <w:sz w:val="18"/>
                <w:szCs w:val="18"/>
                <w:color w:val="auto"/>
                <w:w w:val="98"/>
              </w:rPr>
              <w:t>Column E</w:t>
            </w:r>
          </w:p>
        </w:tc>
        <w:tc>
          <w:tcPr>
            <w:tcW w:w="16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Column F</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70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tcBorders>
              <w:top w:val="single" w:sz="8" w:color="auto"/>
            </w:tcBorders>
            <w:gridSpan w:val="5"/>
          </w:tcPr>
          <w:p>
            <w:pPr>
              <w:jc w:val="center"/>
              <w:spacing w:after="0" w:line="173" w:lineRule="exact"/>
              <w:rPr>
                <w:sz w:val="20"/>
                <w:szCs w:val="20"/>
                <w:color w:val="auto"/>
              </w:rPr>
            </w:pPr>
            <w:r>
              <w:rPr>
                <w:rFonts w:ascii="Arial" w:cs="Arial" w:eastAsia="Arial" w:hAnsi="Arial"/>
                <w:sz w:val="18"/>
                <w:szCs w:val="18"/>
                <w:color w:val="auto"/>
              </w:rPr>
              <w:t>Balance</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Borders>
              <w:top w:val="single" w:sz="8" w:color="auto"/>
            </w:tcBorders>
            <w:gridSpan w:val="3"/>
          </w:tcPr>
          <w:p>
            <w:pPr>
              <w:jc w:val="center"/>
              <w:spacing w:after="0" w:line="173" w:lineRule="exact"/>
              <w:rPr>
                <w:sz w:val="20"/>
                <w:szCs w:val="20"/>
                <w:color w:val="auto"/>
              </w:rPr>
            </w:pPr>
            <w:r>
              <w:rPr>
                <w:rFonts w:ascii="Arial" w:cs="Arial" w:eastAsia="Arial" w:hAnsi="Arial"/>
                <w:sz w:val="18"/>
                <w:szCs w:val="18"/>
                <w:color w:val="auto"/>
                <w:w w:val="99"/>
              </w:rPr>
              <w:t>Additions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8"/>
                <w:szCs w:val="18"/>
                <w:color w:val="auto"/>
                <w:w w:val="99"/>
              </w:rPr>
              <w:t>Deductions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gridSpan w:val="4"/>
          </w:tcPr>
          <w:p>
            <w:pPr>
              <w:jc w:val="center"/>
              <w:ind w:right="340"/>
              <w:spacing w:after="0" w:line="202" w:lineRule="exact"/>
              <w:rPr>
                <w:sz w:val="20"/>
                <w:szCs w:val="20"/>
                <w:color w:val="auto"/>
              </w:rPr>
            </w:pPr>
            <w:r>
              <w:rPr>
                <w:rFonts w:ascii="Arial" w:cs="Arial" w:eastAsia="Arial" w:hAnsi="Arial"/>
                <w:sz w:val="18"/>
                <w:szCs w:val="18"/>
                <w:color w:val="auto"/>
                <w:w w:val="92"/>
              </w:rPr>
              <w:t>at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5"/>
          </w:tcPr>
          <w:p>
            <w:pPr>
              <w:jc w:val="center"/>
              <w:ind w:right="100"/>
              <w:spacing w:after="0" w:line="202" w:lineRule="exact"/>
              <w:rPr>
                <w:sz w:val="20"/>
                <w:szCs w:val="20"/>
                <w:color w:val="auto"/>
              </w:rPr>
            </w:pPr>
            <w:r>
              <w:rPr>
                <w:rFonts w:ascii="Arial" w:cs="Arial" w:eastAsia="Arial" w:hAnsi="Arial"/>
                <w:sz w:val="18"/>
                <w:szCs w:val="18"/>
                <w:color w:val="auto"/>
                <w:w w:val="98"/>
              </w:rPr>
              <w:t>Charged</w:t>
            </w:r>
          </w:p>
        </w:tc>
        <w:tc>
          <w:tcPr>
            <w:tcW w:w="80" w:type="dxa"/>
            <w:vAlign w:val="bottom"/>
          </w:tcPr>
          <w:p>
            <w:pPr>
              <w:spacing w:after="0"/>
              <w:rPr>
                <w:sz w:val="17"/>
                <w:szCs w:val="17"/>
                <w:color w:val="auto"/>
              </w:rPr>
            </w:pPr>
          </w:p>
        </w:tc>
        <w:tc>
          <w:tcPr>
            <w:tcW w:w="112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Credited</w:t>
            </w:r>
          </w:p>
        </w:tc>
        <w:tc>
          <w:tcPr>
            <w:tcW w:w="160" w:type="dxa"/>
            <w:vAlign w:val="bottom"/>
          </w:tcPr>
          <w:p>
            <w:pPr>
              <w:spacing w:after="0"/>
              <w:rPr>
                <w:sz w:val="17"/>
                <w:szCs w:val="17"/>
                <w:color w:val="auto"/>
              </w:rPr>
            </w:pPr>
          </w:p>
        </w:tc>
        <w:tc>
          <w:tcPr>
            <w:tcW w:w="920" w:type="dxa"/>
            <w:vAlign w:val="bottom"/>
          </w:tcPr>
          <w:p>
            <w:pPr>
              <w:jc w:val="center"/>
              <w:spacing w:after="0" w:line="202" w:lineRule="exact"/>
              <w:rPr>
                <w:sz w:val="20"/>
                <w:szCs w:val="20"/>
                <w:color w:val="auto"/>
              </w:rPr>
            </w:pPr>
            <w:r>
              <w:rPr>
                <w:rFonts w:ascii="Arial" w:cs="Arial" w:eastAsia="Arial" w:hAnsi="Arial"/>
                <w:sz w:val="18"/>
                <w:szCs w:val="18"/>
                <w:color w:val="auto"/>
              </w:rPr>
              <w:t>Balance</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gridSpan w:val="5"/>
          </w:tcPr>
          <w:p>
            <w:pPr>
              <w:jc w:val="center"/>
              <w:spacing w:after="0" w:line="202" w:lineRule="exact"/>
              <w:rPr>
                <w:sz w:val="20"/>
                <w:szCs w:val="20"/>
                <w:color w:val="auto"/>
              </w:rPr>
            </w:pPr>
            <w:r>
              <w:rPr>
                <w:rFonts w:ascii="Arial" w:cs="Arial" w:eastAsia="Arial" w:hAnsi="Arial"/>
                <w:sz w:val="18"/>
                <w:szCs w:val="18"/>
                <w:color w:val="auto"/>
                <w:w w:val="99"/>
              </w:rPr>
              <w:t>Beginning</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Reserves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5"/>
          </w:tcPr>
          <w:p>
            <w:pPr>
              <w:jc w:val="center"/>
              <w:ind w:right="100"/>
              <w:spacing w:after="0" w:line="202" w:lineRule="exact"/>
              <w:rPr>
                <w:sz w:val="20"/>
                <w:szCs w:val="20"/>
                <w:color w:val="auto"/>
              </w:rPr>
            </w:pPr>
            <w:r>
              <w:rPr>
                <w:rFonts w:ascii="Arial" w:cs="Arial" w:eastAsia="Arial" w:hAnsi="Arial"/>
                <w:sz w:val="18"/>
                <w:szCs w:val="18"/>
                <w:color w:val="auto"/>
              </w:rPr>
              <w:t>to</w:t>
            </w:r>
          </w:p>
        </w:tc>
        <w:tc>
          <w:tcPr>
            <w:tcW w:w="80" w:type="dxa"/>
            <w:vAlign w:val="bottom"/>
          </w:tcPr>
          <w:p>
            <w:pPr>
              <w:spacing w:after="0"/>
              <w:rPr>
                <w:sz w:val="17"/>
                <w:szCs w:val="17"/>
                <w:color w:val="auto"/>
              </w:rPr>
            </w:pPr>
          </w:p>
        </w:tc>
        <w:tc>
          <w:tcPr>
            <w:tcW w:w="1120" w:type="dxa"/>
            <w:vAlign w:val="bottom"/>
            <w:gridSpan w:val="2"/>
          </w:tcPr>
          <w:p>
            <w:pPr>
              <w:jc w:val="center"/>
              <w:ind w:right="20"/>
              <w:spacing w:after="0" w:line="202" w:lineRule="exact"/>
              <w:rPr>
                <w:sz w:val="20"/>
                <w:szCs w:val="20"/>
                <w:color w:val="auto"/>
              </w:rPr>
            </w:pPr>
            <w:r>
              <w:rPr>
                <w:rFonts w:ascii="Arial" w:cs="Arial" w:eastAsia="Arial" w:hAnsi="Arial"/>
                <w:sz w:val="18"/>
                <w:szCs w:val="18"/>
                <w:color w:val="auto"/>
                <w:w w:val="99"/>
              </w:rPr>
              <w:t>and</w:t>
            </w:r>
          </w:p>
        </w:tc>
        <w:tc>
          <w:tcPr>
            <w:tcW w:w="160" w:type="dxa"/>
            <w:vAlign w:val="bottom"/>
          </w:tcPr>
          <w:p>
            <w:pPr>
              <w:spacing w:after="0"/>
              <w:rPr>
                <w:sz w:val="17"/>
                <w:szCs w:val="17"/>
                <w:color w:val="auto"/>
              </w:rPr>
            </w:pPr>
          </w:p>
        </w:tc>
        <w:tc>
          <w:tcPr>
            <w:tcW w:w="920" w:type="dxa"/>
            <w:vAlign w:val="bottom"/>
          </w:tcPr>
          <w:p>
            <w:pPr>
              <w:jc w:val="center"/>
              <w:spacing w:after="0" w:line="202" w:lineRule="exact"/>
              <w:rPr>
                <w:sz w:val="20"/>
                <w:szCs w:val="20"/>
                <w:color w:val="auto"/>
              </w:rPr>
            </w:pPr>
            <w:r>
              <w:rPr>
                <w:rFonts w:ascii="Arial" w:cs="Arial" w:eastAsia="Arial" w:hAnsi="Arial"/>
                <w:sz w:val="18"/>
                <w:szCs w:val="18"/>
                <w:color w:val="auto"/>
                <w:w w:val="99"/>
              </w:rPr>
              <w:t>at End of</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580" w:type="dxa"/>
            <w:vAlign w:val="bottom"/>
            <w:gridSpan w:val="2"/>
          </w:tcPr>
          <w:p>
            <w:pPr>
              <w:ind w:left="700"/>
              <w:spacing w:after="0"/>
              <w:rPr>
                <w:sz w:val="20"/>
                <w:szCs w:val="20"/>
                <w:color w:val="auto"/>
              </w:rPr>
            </w:pPr>
            <w:r>
              <w:rPr>
                <w:rFonts w:ascii="Arial" w:cs="Arial" w:eastAsia="Arial" w:hAnsi="Arial"/>
                <w:sz w:val="18"/>
                <w:szCs w:val="18"/>
                <w:color w:val="auto"/>
              </w:rPr>
              <w:t>Classification</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gridSpan w:val="5"/>
          </w:tcPr>
          <w:p>
            <w:pPr>
              <w:jc w:val="center"/>
              <w:spacing w:after="0"/>
              <w:rPr>
                <w:sz w:val="20"/>
                <w:szCs w:val="20"/>
                <w:color w:val="auto"/>
              </w:rPr>
            </w:pPr>
            <w:r>
              <w:rPr>
                <w:rFonts w:ascii="Arial" w:cs="Arial" w:eastAsia="Arial" w:hAnsi="Arial"/>
                <w:sz w:val="18"/>
                <w:szCs w:val="18"/>
                <w:color w:val="auto"/>
                <w:w w:val="99"/>
              </w:rPr>
              <w:t>of Period</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4"/>
          </w:tcPr>
          <w:p>
            <w:pPr>
              <w:ind w:left="60"/>
              <w:spacing w:after="0"/>
              <w:rPr>
                <w:sz w:val="20"/>
                <w:szCs w:val="20"/>
                <w:color w:val="auto"/>
              </w:rPr>
            </w:pPr>
            <w:r>
              <w:rPr>
                <w:rFonts w:ascii="Arial" w:cs="Arial" w:eastAsia="Arial" w:hAnsi="Arial"/>
                <w:sz w:val="18"/>
                <w:szCs w:val="18"/>
                <w:color w:val="auto"/>
              </w:rPr>
              <w:t>Acquired</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5"/>
          </w:tcPr>
          <w:p>
            <w:pPr>
              <w:jc w:val="center"/>
              <w:ind w:right="80"/>
              <w:spacing w:after="0"/>
              <w:rPr>
                <w:sz w:val="20"/>
                <w:szCs w:val="20"/>
                <w:color w:val="auto"/>
              </w:rPr>
            </w:pPr>
            <w:r>
              <w:rPr>
                <w:rFonts w:ascii="Arial" w:cs="Arial" w:eastAsia="Arial" w:hAnsi="Arial"/>
                <w:sz w:val="18"/>
                <w:szCs w:val="18"/>
                <w:color w:val="auto"/>
                <w:w w:val="99"/>
              </w:rPr>
              <w:t>Expense</w:t>
            </w:r>
          </w:p>
        </w:tc>
        <w:tc>
          <w:tcPr>
            <w:tcW w:w="80" w:type="dxa"/>
            <w:vAlign w:val="bottom"/>
          </w:tcPr>
          <w:p>
            <w:pPr>
              <w:spacing w:after="0"/>
              <w:rPr>
                <w:sz w:val="20"/>
                <w:szCs w:val="20"/>
                <w:color w:val="auto"/>
              </w:rPr>
            </w:pPr>
          </w:p>
        </w:tc>
        <w:tc>
          <w:tcPr>
            <w:tcW w:w="1120" w:type="dxa"/>
            <w:vAlign w:val="bottom"/>
            <w:gridSpan w:val="2"/>
          </w:tcPr>
          <w:p>
            <w:pPr>
              <w:jc w:val="center"/>
              <w:ind w:right="20"/>
              <w:spacing w:after="0"/>
              <w:rPr>
                <w:sz w:val="20"/>
                <w:szCs w:val="20"/>
                <w:color w:val="auto"/>
              </w:rPr>
            </w:pPr>
            <w:r>
              <w:rPr>
                <w:rFonts w:ascii="Arial" w:cs="Arial" w:eastAsia="Arial" w:hAnsi="Arial"/>
                <w:sz w:val="18"/>
                <w:szCs w:val="18"/>
                <w:color w:val="auto"/>
              </w:rPr>
              <w:t>Write-Offs</w:t>
            </w:r>
          </w:p>
        </w:tc>
        <w:tc>
          <w:tcPr>
            <w:tcW w:w="16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Period</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700" w:type="dxa"/>
            <w:vAlign w:val="bottom"/>
            <w:vMerge w:val="restart"/>
          </w:tcPr>
          <w:p>
            <w:pPr>
              <w:spacing w:after="0"/>
              <w:rPr>
                <w:sz w:val="4"/>
                <w:szCs w:val="4"/>
                <w:color w:val="auto"/>
              </w:rPr>
            </w:pPr>
          </w:p>
        </w:tc>
        <w:tc>
          <w:tcPr>
            <w:tcW w:w="2880" w:type="dxa"/>
            <w:vAlign w:val="bottom"/>
            <w:tcBorders>
              <w:top w:val="single" w:sz="8" w:color="auto"/>
            </w:tcBorders>
          </w:tcPr>
          <w:p>
            <w:pPr>
              <w:spacing w:after="0"/>
              <w:rPr>
                <w:sz w:val="4"/>
                <w:szCs w:val="4"/>
                <w:color w:val="auto"/>
              </w:rPr>
            </w:pPr>
          </w:p>
        </w:tc>
        <w:tc>
          <w:tcPr>
            <w:tcW w:w="148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1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700" w:type="dxa"/>
            <w:vAlign w:val="bottom"/>
            <w:vMerge w:val="continue"/>
          </w:tcPr>
          <w:p>
            <w:pPr>
              <w:spacing w:after="0"/>
              <w:rPr>
                <w:sz w:val="15"/>
                <w:szCs w:val="15"/>
                <w:color w:val="auto"/>
              </w:rPr>
            </w:pPr>
          </w:p>
        </w:tc>
        <w:tc>
          <w:tcPr>
            <w:tcW w:w="5620" w:type="dxa"/>
            <w:vAlign w:val="bottom"/>
            <w:gridSpan w:val="9"/>
            <w:shd w:val="clear" w:color="auto" w:fill="CCEEFF"/>
          </w:tcPr>
          <w:p>
            <w:pPr>
              <w:spacing w:after="0" w:line="180" w:lineRule="exact"/>
              <w:rPr>
                <w:sz w:val="20"/>
                <w:szCs w:val="20"/>
                <w:color w:val="auto"/>
              </w:rPr>
            </w:pPr>
            <w:r>
              <w:rPr>
                <w:rFonts w:ascii="Arial" w:cs="Arial" w:eastAsia="Arial" w:hAnsi="Arial"/>
                <w:sz w:val="18"/>
                <w:szCs w:val="18"/>
                <w:color w:val="auto"/>
              </w:rPr>
              <w:t>Valuation and qualifying accounts deducted from the</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700" w:type="dxa"/>
            <w:vAlign w:val="bottom"/>
          </w:tcPr>
          <w:p>
            <w:pPr>
              <w:spacing w:after="0"/>
              <w:rPr>
                <w:sz w:val="19"/>
                <w:szCs w:val="19"/>
                <w:color w:val="auto"/>
              </w:rPr>
            </w:pPr>
          </w:p>
        </w:tc>
        <w:tc>
          <w:tcPr>
            <w:tcW w:w="2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assets to which they apply:</w:t>
            </w: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2880" w:type="dxa"/>
            <w:vAlign w:val="bottom"/>
          </w:tcPr>
          <w:p>
            <w:pPr>
              <w:spacing w:after="0" w:line="202" w:lineRule="exact"/>
              <w:rPr>
                <w:sz w:val="20"/>
                <w:szCs w:val="20"/>
                <w:color w:val="auto"/>
              </w:rPr>
            </w:pPr>
            <w:r>
              <w:rPr>
                <w:rFonts w:ascii="Arial" w:cs="Arial" w:eastAsia="Arial" w:hAnsi="Arial"/>
                <w:sz w:val="18"/>
                <w:szCs w:val="18"/>
                <w:color w:val="auto"/>
              </w:rPr>
              <w:t>Inventory reserve</w:t>
            </w:r>
          </w:p>
        </w:tc>
        <w:tc>
          <w:tcPr>
            <w:tcW w:w="2580" w:type="dxa"/>
            <w:vAlign w:val="bottom"/>
            <w:gridSpan w:val="6"/>
          </w:tcPr>
          <w:p>
            <w:pPr>
              <w:jc w:val="right"/>
              <w:ind w:right="200"/>
              <w:spacing w:after="0" w:line="202" w:lineRule="exact"/>
              <w:rPr>
                <w:sz w:val="20"/>
                <w:szCs w:val="20"/>
                <w:color w:val="auto"/>
              </w:rPr>
            </w:pPr>
            <w:r>
              <w:rPr>
                <w:rFonts w:ascii="Arial" w:cs="Arial" w:eastAsia="Arial" w:hAnsi="Arial"/>
                <w:sz w:val="18"/>
                <w:szCs w:val="18"/>
                <w:color w:val="auto"/>
              </w:rPr>
              <w:t>$ 15.1</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4"/>
          </w:tcPr>
          <w:p>
            <w:pPr>
              <w:jc w:val="right"/>
              <w:ind w:right="320"/>
              <w:spacing w:after="0" w:line="202" w:lineRule="exact"/>
              <w:rPr>
                <w:sz w:val="20"/>
                <w:szCs w:val="20"/>
                <w:color w:val="auto"/>
              </w:rPr>
            </w:pPr>
            <w:r>
              <w:rPr>
                <w:rFonts w:ascii="Arial" w:cs="Arial" w:eastAsia="Arial" w:hAnsi="Arial"/>
                <w:sz w:val="18"/>
                <w:szCs w:val="18"/>
                <w:color w:val="auto"/>
              </w:rPr>
              <w:t>$ —</w:t>
            </w:r>
          </w:p>
        </w:tc>
        <w:tc>
          <w:tcPr>
            <w:tcW w:w="920" w:type="dxa"/>
            <w:vAlign w:val="bottom"/>
            <w:gridSpan w:val="3"/>
          </w:tcPr>
          <w:p>
            <w:pPr>
              <w:jc w:val="right"/>
              <w:ind w:right="110"/>
              <w:spacing w:after="0" w:line="202" w:lineRule="exact"/>
              <w:rPr>
                <w:sz w:val="20"/>
                <w:szCs w:val="20"/>
                <w:color w:val="auto"/>
              </w:rPr>
            </w:pPr>
            <w:r>
              <w:rPr>
                <w:rFonts w:ascii="Arial" w:cs="Arial" w:eastAsia="Arial" w:hAnsi="Arial"/>
                <w:sz w:val="18"/>
                <w:szCs w:val="18"/>
                <w:color w:val="auto"/>
              </w:rPr>
              <w:t>$ 9.6</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gridSpan w:val="2"/>
          </w:tcPr>
          <w:p>
            <w:pPr>
              <w:jc w:val="right"/>
              <w:ind w:right="250"/>
              <w:spacing w:after="0" w:line="202" w:lineRule="exact"/>
              <w:rPr>
                <w:sz w:val="20"/>
                <w:szCs w:val="20"/>
                <w:color w:val="auto"/>
              </w:rPr>
            </w:pPr>
            <w:r>
              <w:rPr>
                <w:rFonts w:ascii="Arial" w:cs="Arial" w:eastAsia="Arial" w:hAnsi="Arial"/>
                <w:sz w:val="18"/>
                <w:szCs w:val="18"/>
                <w:color w:val="auto"/>
              </w:rPr>
              <w:t>$ (9.1)</w:t>
            </w:r>
          </w:p>
        </w:tc>
        <w:tc>
          <w:tcPr>
            <w:tcW w:w="20" w:type="dxa"/>
            <w:vAlign w:val="bottom"/>
          </w:tcPr>
          <w:p>
            <w:pPr>
              <w:spacing w:after="0"/>
              <w:rPr>
                <w:sz w:val="17"/>
                <w:szCs w:val="17"/>
                <w:color w:val="auto"/>
              </w:rPr>
            </w:pPr>
          </w:p>
        </w:tc>
        <w:tc>
          <w:tcPr>
            <w:tcW w:w="1080" w:type="dxa"/>
            <w:vAlign w:val="bottom"/>
            <w:gridSpan w:val="2"/>
          </w:tcPr>
          <w:p>
            <w:pPr>
              <w:jc w:val="right"/>
              <w:ind w:right="210"/>
              <w:spacing w:after="0" w:line="202" w:lineRule="exact"/>
              <w:rPr>
                <w:sz w:val="20"/>
                <w:szCs w:val="20"/>
                <w:color w:val="auto"/>
              </w:rPr>
            </w:pPr>
            <w:r>
              <w:rPr>
                <w:rFonts w:ascii="Arial" w:cs="Arial" w:eastAsia="Arial" w:hAnsi="Arial"/>
                <w:sz w:val="18"/>
                <w:szCs w:val="18"/>
                <w:color w:val="auto"/>
              </w:rPr>
              <w:t>$ 15.6</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2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Allowance for doubtful accounts</w:t>
            </w:r>
          </w:p>
        </w:tc>
        <w:tc>
          <w:tcPr>
            <w:tcW w:w="2580" w:type="dxa"/>
            <w:vAlign w:val="bottom"/>
            <w:gridSpan w:val="6"/>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1.3</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(5.3)</w:t>
            </w:r>
          </w:p>
        </w:tc>
        <w:tc>
          <w:tcPr>
            <w:tcW w:w="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11.4</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00" w:type="dxa"/>
            <w:vAlign w:val="bottom"/>
          </w:tcPr>
          <w:p>
            <w:pPr>
              <w:spacing w:after="0"/>
              <w:rPr>
                <w:sz w:val="21"/>
                <w:szCs w:val="21"/>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Income tax valuation allowance</w:t>
            </w:r>
          </w:p>
        </w:tc>
        <w:tc>
          <w:tcPr>
            <w:tcW w:w="2580" w:type="dxa"/>
            <w:vAlign w:val="bottom"/>
            <w:gridSpan w:val="6"/>
          </w:tcPr>
          <w:p>
            <w:pPr>
              <w:jc w:val="right"/>
              <w:ind w:right="200"/>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gridSpan w:val="4"/>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110"/>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gridSpan w:val="2"/>
          </w:tcPr>
          <w:p>
            <w:pPr>
              <w:jc w:val="right"/>
              <w:ind w:right="250"/>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21"/>
                <w:szCs w:val="21"/>
                <w:color w:val="auto"/>
              </w:rPr>
            </w:pPr>
          </w:p>
        </w:tc>
        <w:tc>
          <w:tcPr>
            <w:tcW w:w="1080" w:type="dxa"/>
            <w:vAlign w:val="bottom"/>
            <w:gridSpan w:val="2"/>
          </w:tcPr>
          <w:p>
            <w:pPr>
              <w:jc w:val="right"/>
              <w:ind w:right="210"/>
              <w:spacing w:after="0"/>
              <w:rPr>
                <w:sz w:val="20"/>
                <w:szCs w:val="20"/>
                <w:color w:val="auto"/>
              </w:rPr>
            </w:pPr>
            <w:r>
              <w:rPr>
                <w:rFonts w:ascii="Arial" w:cs="Arial" w:eastAsia="Arial" w:hAnsi="Arial"/>
                <w:sz w:val="18"/>
                <w:szCs w:val="18"/>
                <w:color w:val="auto"/>
              </w:rPr>
              <w:t>41.0</w:t>
            </w: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5"/>
        </w:trPr>
        <w:tc>
          <w:tcPr>
            <w:tcW w:w="7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880" w:type="dxa"/>
            <w:vAlign w:val="bottom"/>
            <w:gridSpan w:val="21"/>
          </w:tcPr>
          <w:p>
            <w:pPr>
              <w:jc w:val="center"/>
              <w:ind w:right="600"/>
              <w:spacing w:after="0"/>
              <w:rPr>
                <w:sz w:val="20"/>
                <w:szCs w:val="20"/>
                <w:color w:val="auto"/>
              </w:rPr>
            </w:pPr>
            <w:r>
              <w:rPr>
                <w:rFonts w:ascii="Arial" w:cs="Arial" w:eastAsia="Arial" w:hAnsi="Arial"/>
                <w:sz w:val="18"/>
                <w:szCs w:val="18"/>
                <w:b w:val="1"/>
                <w:bCs w:val="1"/>
                <w:color w:val="auto"/>
                <w:w w:val="99"/>
              </w:rPr>
              <w:t>Schedule II — Valuation and Qualifying Accounts</w:t>
            </w: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4880" w:type="dxa"/>
            <w:vAlign w:val="bottom"/>
            <w:gridSpan w:val="21"/>
          </w:tcPr>
          <w:p>
            <w:pPr>
              <w:jc w:val="center"/>
              <w:ind w:right="600"/>
              <w:spacing w:after="0" w:line="202" w:lineRule="exact"/>
              <w:rPr>
                <w:sz w:val="20"/>
                <w:szCs w:val="20"/>
                <w:color w:val="auto"/>
              </w:rPr>
            </w:pPr>
            <w:r>
              <w:rPr>
                <w:rFonts w:ascii="Arial" w:cs="Arial" w:eastAsia="Arial" w:hAnsi="Arial"/>
                <w:sz w:val="18"/>
                <w:szCs w:val="18"/>
                <w:b w:val="1"/>
                <w:bCs w:val="1"/>
                <w:color w:val="auto"/>
                <w:w w:val="99"/>
              </w:rPr>
              <w:t>for the fiscal year ended September 30, 2006</w:t>
            </w: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70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6"/>
          </w:tcPr>
          <w:p>
            <w:pPr>
              <w:jc w:val="center"/>
              <w:ind w:right="60"/>
              <w:spacing w:after="0"/>
              <w:rPr>
                <w:sz w:val="20"/>
                <w:szCs w:val="20"/>
                <w:color w:val="auto"/>
              </w:rPr>
            </w:pPr>
            <w:r>
              <w:rPr>
                <w:rFonts w:ascii="Arial" w:cs="Arial" w:eastAsia="Arial" w:hAnsi="Arial"/>
                <w:sz w:val="18"/>
                <w:szCs w:val="18"/>
                <w:b w:val="1"/>
                <w:bCs w:val="1"/>
                <w:color w:val="auto"/>
              </w:rPr>
              <w:t>(in millions)</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4"/>
        </w:trPr>
        <w:tc>
          <w:tcPr>
            <w:tcW w:w="3580" w:type="dxa"/>
            <w:vAlign w:val="bottom"/>
            <w:gridSpan w:val="2"/>
          </w:tcPr>
          <w:p>
            <w:pPr>
              <w:ind w:left="700"/>
              <w:spacing w:after="0"/>
              <w:rPr>
                <w:sz w:val="20"/>
                <w:szCs w:val="20"/>
                <w:color w:val="auto"/>
              </w:rPr>
            </w:pPr>
            <w:r>
              <w:rPr>
                <w:rFonts w:ascii="Arial" w:cs="Arial" w:eastAsia="Arial" w:hAnsi="Arial"/>
                <w:sz w:val="18"/>
                <w:szCs w:val="18"/>
                <w:color w:val="auto"/>
              </w:rPr>
              <w:t>Column A</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gridSpan w:val="5"/>
          </w:tcPr>
          <w:p>
            <w:pPr>
              <w:jc w:val="center"/>
              <w:ind w:right="120"/>
              <w:spacing w:after="0"/>
              <w:rPr>
                <w:sz w:val="20"/>
                <w:szCs w:val="20"/>
                <w:color w:val="auto"/>
              </w:rPr>
            </w:pPr>
            <w:r>
              <w:rPr>
                <w:rFonts w:ascii="Arial" w:cs="Arial" w:eastAsia="Arial" w:hAnsi="Arial"/>
                <w:sz w:val="18"/>
                <w:szCs w:val="18"/>
                <w:color w:val="auto"/>
                <w:w w:val="98"/>
              </w:rPr>
              <w:t>Column B</w:t>
            </w:r>
          </w:p>
        </w:tc>
        <w:tc>
          <w:tcPr>
            <w:tcW w:w="100" w:type="dxa"/>
            <w:vAlign w:val="bottom"/>
          </w:tcPr>
          <w:p>
            <w:pPr>
              <w:spacing w:after="0"/>
              <w:rPr>
                <w:sz w:val="24"/>
                <w:szCs w:val="24"/>
                <w:color w:val="auto"/>
              </w:rPr>
            </w:pPr>
          </w:p>
        </w:tc>
        <w:tc>
          <w:tcPr>
            <w:tcW w:w="940" w:type="dxa"/>
            <w:vAlign w:val="bottom"/>
            <w:gridSpan w:val="5"/>
          </w:tcPr>
          <w:p>
            <w:pPr>
              <w:ind w:left="20"/>
              <w:spacing w:after="0"/>
              <w:rPr>
                <w:sz w:val="20"/>
                <w:szCs w:val="20"/>
                <w:color w:val="auto"/>
              </w:rPr>
            </w:pPr>
            <w:r>
              <w:rPr>
                <w:rFonts w:ascii="Arial" w:cs="Arial" w:eastAsia="Arial" w:hAnsi="Arial"/>
                <w:sz w:val="18"/>
                <w:szCs w:val="18"/>
                <w:color w:val="auto"/>
              </w:rPr>
              <w:t>Column C</w:t>
            </w:r>
          </w:p>
        </w:tc>
        <w:tc>
          <w:tcPr>
            <w:tcW w:w="80" w:type="dxa"/>
            <w:vAlign w:val="bottom"/>
          </w:tcPr>
          <w:p>
            <w:pPr>
              <w:spacing w:after="0"/>
              <w:rPr>
                <w:sz w:val="24"/>
                <w:szCs w:val="24"/>
                <w:color w:val="auto"/>
              </w:rPr>
            </w:pPr>
          </w:p>
        </w:tc>
        <w:tc>
          <w:tcPr>
            <w:tcW w:w="1020" w:type="dxa"/>
            <w:vAlign w:val="bottom"/>
            <w:gridSpan w:val="6"/>
          </w:tcPr>
          <w:p>
            <w:pPr>
              <w:jc w:val="center"/>
              <w:ind w:right="180"/>
              <w:spacing w:after="0"/>
              <w:rPr>
                <w:sz w:val="20"/>
                <w:szCs w:val="20"/>
                <w:color w:val="auto"/>
              </w:rPr>
            </w:pPr>
            <w:r>
              <w:rPr>
                <w:rFonts w:ascii="Arial" w:cs="Arial" w:eastAsia="Arial" w:hAnsi="Arial"/>
                <w:sz w:val="18"/>
                <w:szCs w:val="18"/>
                <w:color w:val="auto"/>
                <w:w w:val="99"/>
              </w:rPr>
              <w:t>Column D</w:t>
            </w:r>
          </w:p>
        </w:tc>
        <w:tc>
          <w:tcPr>
            <w:tcW w:w="80" w:type="dxa"/>
            <w:vAlign w:val="bottom"/>
          </w:tcPr>
          <w:p>
            <w:pPr>
              <w:spacing w:after="0"/>
              <w:rPr>
                <w:sz w:val="24"/>
                <w:szCs w:val="24"/>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Column E</w:t>
            </w:r>
          </w:p>
        </w:tc>
        <w:tc>
          <w:tcPr>
            <w:tcW w:w="16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Column F</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70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gridSpan w:val="4"/>
          </w:tcPr>
          <w:p>
            <w:pPr>
              <w:jc w:val="center"/>
              <w:ind w:right="60"/>
              <w:spacing w:after="0" w:line="173" w:lineRule="exact"/>
              <w:rPr>
                <w:sz w:val="20"/>
                <w:szCs w:val="20"/>
                <w:color w:val="auto"/>
              </w:rPr>
            </w:pPr>
            <w:r>
              <w:rPr>
                <w:rFonts w:ascii="Arial" w:cs="Arial" w:eastAsia="Arial" w:hAnsi="Arial"/>
                <w:sz w:val="18"/>
                <w:szCs w:val="18"/>
                <w:color w:val="auto"/>
              </w:rPr>
              <w:t>Balance</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Borders>
              <w:top w:val="single" w:sz="8" w:color="auto"/>
            </w:tcBorders>
            <w:gridSpan w:val="2"/>
          </w:tcPr>
          <w:p>
            <w:pPr>
              <w:jc w:val="center"/>
              <w:spacing w:after="0" w:line="173" w:lineRule="exact"/>
              <w:rPr>
                <w:sz w:val="20"/>
                <w:szCs w:val="20"/>
                <w:color w:val="auto"/>
              </w:rPr>
            </w:pPr>
            <w:r>
              <w:rPr>
                <w:rFonts w:ascii="Arial" w:cs="Arial" w:eastAsia="Arial" w:hAnsi="Arial"/>
                <w:sz w:val="18"/>
                <w:szCs w:val="18"/>
                <w:color w:val="auto"/>
                <w:w w:val="99"/>
              </w:rPr>
              <w:t>Additions</w:t>
            </w:r>
          </w:p>
        </w:tc>
        <w:tc>
          <w:tcPr>
            <w:tcW w:w="160" w:type="dxa"/>
            <w:vAlign w:val="bottom"/>
            <w:gridSpan w:val="3"/>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gridSpan w:val="2"/>
          </w:tcPr>
          <w:p>
            <w:pPr>
              <w:jc w:val="center"/>
              <w:ind w:right="100"/>
              <w:spacing w:after="0" w:line="173" w:lineRule="exact"/>
              <w:rPr>
                <w:sz w:val="20"/>
                <w:szCs w:val="20"/>
                <w:color w:val="auto"/>
              </w:rPr>
            </w:pPr>
            <w:r>
              <w:rPr>
                <w:rFonts w:ascii="Arial" w:cs="Arial" w:eastAsia="Arial" w:hAnsi="Arial"/>
                <w:sz w:val="18"/>
                <w:szCs w:val="18"/>
                <w:color w:val="auto"/>
                <w:w w:val="99"/>
              </w:rPr>
              <w:t>Deductions</w:t>
            </w:r>
          </w:p>
        </w:tc>
        <w:tc>
          <w:tcPr>
            <w:tcW w:w="16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gridSpan w:val="4"/>
          </w:tcPr>
          <w:p>
            <w:pPr>
              <w:jc w:val="center"/>
              <w:ind w:right="460"/>
              <w:spacing w:after="0" w:line="202" w:lineRule="exact"/>
              <w:rPr>
                <w:sz w:val="20"/>
                <w:szCs w:val="20"/>
                <w:color w:val="auto"/>
              </w:rPr>
            </w:pPr>
            <w:r>
              <w:rPr>
                <w:rFonts w:ascii="Arial" w:cs="Arial" w:eastAsia="Arial" w:hAnsi="Arial"/>
                <w:sz w:val="18"/>
                <w:szCs w:val="18"/>
                <w:color w:val="auto"/>
                <w:w w:val="92"/>
              </w:rPr>
              <w:t>at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6"/>
          </w:tcPr>
          <w:p>
            <w:pPr>
              <w:jc w:val="center"/>
              <w:ind w:right="180"/>
              <w:spacing w:after="0" w:line="202" w:lineRule="exact"/>
              <w:rPr>
                <w:sz w:val="20"/>
                <w:szCs w:val="20"/>
                <w:color w:val="auto"/>
              </w:rPr>
            </w:pPr>
            <w:r>
              <w:rPr>
                <w:rFonts w:ascii="Arial" w:cs="Arial" w:eastAsia="Arial" w:hAnsi="Arial"/>
                <w:sz w:val="18"/>
                <w:szCs w:val="18"/>
                <w:color w:val="auto"/>
                <w:w w:val="98"/>
              </w:rPr>
              <w:t>Charged</w:t>
            </w:r>
          </w:p>
        </w:tc>
        <w:tc>
          <w:tcPr>
            <w:tcW w:w="80" w:type="dxa"/>
            <w:vAlign w:val="bottom"/>
          </w:tcPr>
          <w:p>
            <w:pPr>
              <w:spacing w:after="0"/>
              <w:rPr>
                <w:sz w:val="17"/>
                <w:szCs w:val="17"/>
                <w:color w:val="auto"/>
              </w:rPr>
            </w:pPr>
          </w:p>
        </w:tc>
        <w:tc>
          <w:tcPr>
            <w:tcW w:w="1120" w:type="dxa"/>
            <w:vAlign w:val="bottom"/>
            <w:gridSpan w:val="2"/>
          </w:tcPr>
          <w:p>
            <w:pPr>
              <w:jc w:val="center"/>
              <w:ind w:right="120"/>
              <w:spacing w:after="0" w:line="202" w:lineRule="exact"/>
              <w:rPr>
                <w:sz w:val="20"/>
                <w:szCs w:val="20"/>
                <w:color w:val="auto"/>
              </w:rPr>
            </w:pPr>
            <w:r>
              <w:rPr>
                <w:rFonts w:ascii="Arial" w:cs="Arial" w:eastAsia="Arial" w:hAnsi="Arial"/>
                <w:sz w:val="18"/>
                <w:szCs w:val="18"/>
                <w:color w:val="auto"/>
                <w:w w:val="99"/>
              </w:rPr>
              <w:t>Credited</w:t>
            </w:r>
          </w:p>
        </w:tc>
        <w:tc>
          <w:tcPr>
            <w:tcW w:w="160" w:type="dxa"/>
            <w:vAlign w:val="bottom"/>
          </w:tcPr>
          <w:p>
            <w:pPr>
              <w:spacing w:after="0"/>
              <w:rPr>
                <w:sz w:val="17"/>
                <w:szCs w:val="17"/>
                <w:color w:val="auto"/>
              </w:rPr>
            </w:pPr>
          </w:p>
        </w:tc>
        <w:tc>
          <w:tcPr>
            <w:tcW w:w="920" w:type="dxa"/>
            <w:vAlign w:val="bottom"/>
          </w:tcPr>
          <w:p>
            <w:pPr>
              <w:jc w:val="center"/>
              <w:spacing w:after="0" w:line="202" w:lineRule="exact"/>
              <w:rPr>
                <w:sz w:val="20"/>
                <w:szCs w:val="20"/>
                <w:color w:val="auto"/>
              </w:rPr>
            </w:pPr>
            <w:r>
              <w:rPr>
                <w:rFonts w:ascii="Arial" w:cs="Arial" w:eastAsia="Arial" w:hAnsi="Arial"/>
                <w:sz w:val="18"/>
                <w:szCs w:val="18"/>
                <w:color w:val="auto"/>
              </w:rPr>
              <w:t>Balance</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gridSpan w:val="5"/>
          </w:tcPr>
          <w:p>
            <w:pPr>
              <w:jc w:val="center"/>
              <w:ind w:right="140"/>
              <w:spacing w:after="0" w:line="202" w:lineRule="exact"/>
              <w:rPr>
                <w:sz w:val="20"/>
                <w:szCs w:val="20"/>
                <w:color w:val="auto"/>
              </w:rPr>
            </w:pPr>
            <w:r>
              <w:rPr>
                <w:rFonts w:ascii="Arial" w:cs="Arial" w:eastAsia="Arial" w:hAnsi="Arial"/>
                <w:sz w:val="18"/>
                <w:szCs w:val="18"/>
                <w:color w:val="auto"/>
                <w:w w:val="99"/>
              </w:rPr>
              <w:t>Beginning</w:t>
            </w:r>
          </w:p>
        </w:tc>
        <w:tc>
          <w:tcPr>
            <w:tcW w:w="100" w:type="dxa"/>
            <w:vAlign w:val="bottom"/>
          </w:tcPr>
          <w:p>
            <w:pPr>
              <w:spacing w:after="0"/>
              <w:rPr>
                <w:sz w:val="17"/>
                <w:szCs w:val="17"/>
                <w:color w:val="auto"/>
              </w:rPr>
            </w:pPr>
          </w:p>
        </w:tc>
        <w:tc>
          <w:tcPr>
            <w:tcW w:w="940" w:type="dxa"/>
            <w:vAlign w:val="bottom"/>
            <w:gridSpan w:val="5"/>
          </w:tcPr>
          <w:p>
            <w:pPr>
              <w:ind w:left="40"/>
              <w:spacing w:after="0" w:line="202" w:lineRule="exact"/>
              <w:rPr>
                <w:sz w:val="20"/>
                <w:szCs w:val="20"/>
                <w:color w:val="auto"/>
              </w:rPr>
            </w:pPr>
            <w:r>
              <w:rPr>
                <w:rFonts w:ascii="Arial" w:cs="Arial" w:eastAsia="Arial" w:hAnsi="Arial"/>
                <w:sz w:val="18"/>
                <w:szCs w:val="18"/>
                <w:color w:val="auto"/>
              </w:rPr>
              <w:t>Reserves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5"/>
          </w:tcPr>
          <w:p>
            <w:pPr>
              <w:jc w:val="center"/>
              <w:ind w:right="260"/>
              <w:spacing w:after="0" w:line="202" w:lineRule="exact"/>
              <w:rPr>
                <w:sz w:val="20"/>
                <w:szCs w:val="20"/>
                <w:color w:val="auto"/>
              </w:rPr>
            </w:pPr>
            <w:r>
              <w:rPr>
                <w:rFonts w:ascii="Arial" w:cs="Arial" w:eastAsia="Arial" w:hAnsi="Arial"/>
                <w:sz w:val="18"/>
                <w:szCs w:val="18"/>
                <w:color w:val="auto"/>
              </w:rPr>
              <w:t>to</w:t>
            </w:r>
          </w:p>
        </w:tc>
        <w:tc>
          <w:tcPr>
            <w:tcW w:w="80" w:type="dxa"/>
            <w:vAlign w:val="bottom"/>
          </w:tcPr>
          <w:p>
            <w:pPr>
              <w:spacing w:after="0"/>
              <w:rPr>
                <w:sz w:val="17"/>
                <w:szCs w:val="17"/>
                <w:color w:val="auto"/>
              </w:rPr>
            </w:pPr>
          </w:p>
        </w:tc>
        <w:tc>
          <w:tcPr>
            <w:tcW w:w="1120" w:type="dxa"/>
            <w:vAlign w:val="bottom"/>
            <w:gridSpan w:val="2"/>
          </w:tcPr>
          <w:p>
            <w:pPr>
              <w:jc w:val="center"/>
              <w:ind w:right="100"/>
              <w:spacing w:after="0" w:line="202" w:lineRule="exact"/>
              <w:rPr>
                <w:sz w:val="20"/>
                <w:szCs w:val="20"/>
                <w:color w:val="auto"/>
              </w:rPr>
            </w:pPr>
            <w:r>
              <w:rPr>
                <w:rFonts w:ascii="Arial" w:cs="Arial" w:eastAsia="Arial" w:hAnsi="Arial"/>
                <w:sz w:val="18"/>
                <w:szCs w:val="18"/>
                <w:color w:val="auto"/>
                <w:w w:val="99"/>
              </w:rPr>
              <w:t>and</w:t>
            </w:r>
          </w:p>
        </w:tc>
        <w:tc>
          <w:tcPr>
            <w:tcW w:w="160" w:type="dxa"/>
            <w:vAlign w:val="bottom"/>
          </w:tcPr>
          <w:p>
            <w:pPr>
              <w:spacing w:after="0"/>
              <w:rPr>
                <w:sz w:val="17"/>
                <w:szCs w:val="17"/>
                <w:color w:val="auto"/>
              </w:rPr>
            </w:pPr>
          </w:p>
        </w:tc>
        <w:tc>
          <w:tcPr>
            <w:tcW w:w="920" w:type="dxa"/>
            <w:vAlign w:val="bottom"/>
          </w:tcPr>
          <w:p>
            <w:pPr>
              <w:jc w:val="center"/>
              <w:spacing w:after="0" w:line="202" w:lineRule="exact"/>
              <w:rPr>
                <w:sz w:val="20"/>
                <w:szCs w:val="20"/>
                <w:color w:val="auto"/>
              </w:rPr>
            </w:pPr>
            <w:r>
              <w:rPr>
                <w:rFonts w:ascii="Arial" w:cs="Arial" w:eastAsia="Arial" w:hAnsi="Arial"/>
                <w:sz w:val="18"/>
                <w:szCs w:val="18"/>
                <w:color w:val="auto"/>
                <w:w w:val="99"/>
              </w:rPr>
              <w:t>at End of</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580" w:type="dxa"/>
            <w:vAlign w:val="bottom"/>
            <w:gridSpan w:val="2"/>
          </w:tcPr>
          <w:p>
            <w:pPr>
              <w:ind w:left="700"/>
              <w:spacing w:after="0"/>
              <w:rPr>
                <w:sz w:val="20"/>
                <w:szCs w:val="20"/>
                <w:color w:val="auto"/>
              </w:rPr>
            </w:pPr>
            <w:r>
              <w:rPr>
                <w:rFonts w:ascii="Arial" w:cs="Arial" w:eastAsia="Arial" w:hAnsi="Arial"/>
                <w:sz w:val="18"/>
                <w:szCs w:val="18"/>
                <w:color w:val="auto"/>
              </w:rPr>
              <w:t>Classification</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gridSpan w:val="5"/>
          </w:tcPr>
          <w:p>
            <w:pPr>
              <w:jc w:val="center"/>
              <w:ind w:right="140"/>
              <w:spacing w:after="0"/>
              <w:rPr>
                <w:sz w:val="20"/>
                <w:szCs w:val="20"/>
                <w:color w:val="auto"/>
              </w:rPr>
            </w:pPr>
            <w:r>
              <w:rPr>
                <w:rFonts w:ascii="Arial" w:cs="Arial" w:eastAsia="Arial" w:hAnsi="Arial"/>
                <w:sz w:val="18"/>
                <w:szCs w:val="18"/>
                <w:color w:val="auto"/>
                <w:w w:val="99"/>
              </w:rPr>
              <w:t>of Period</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4"/>
          </w:tcPr>
          <w:p>
            <w:pPr>
              <w:spacing w:after="0"/>
              <w:rPr>
                <w:sz w:val="20"/>
                <w:szCs w:val="20"/>
                <w:color w:val="auto"/>
              </w:rPr>
            </w:pPr>
            <w:r>
              <w:rPr>
                <w:rFonts w:ascii="Arial" w:cs="Arial" w:eastAsia="Arial" w:hAnsi="Arial"/>
                <w:sz w:val="18"/>
                <w:szCs w:val="18"/>
                <w:color w:val="auto"/>
              </w:rPr>
              <w:t>Acquired</w:t>
            </w:r>
          </w:p>
        </w:tc>
        <w:tc>
          <w:tcPr>
            <w:tcW w:w="80" w:type="dxa"/>
            <w:vAlign w:val="bottom"/>
          </w:tcPr>
          <w:p>
            <w:pPr>
              <w:spacing w:after="0"/>
              <w:rPr>
                <w:sz w:val="20"/>
                <w:szCs w:val="20"/>
                <w:color w:val="auto"/>
              </w:rPr>
            </w:pPr>
          </w:p>
        </w:tc>
        <w:tc>
          <w:tcPr>
            <w:tcW w:w="1020" w:type="dxa"/>
            <w:vAlign w:val="bottom"/>
            <w:gridSpan w:val="6"/>
          </w:tcPr>
          <w:p>
            <w:pPr>
              <w:jc w:val="center"/>
              <w:ind w:right="160"/>
              <w:spacing w:after="0"/>
              <w:rPr>
                <w:sz w:val="20"/>
                <w:szCs w:val="20"/>
                <w:color w:val="auto"/>
              </w:rPr>
            </w:pPr>
            <w:r>
              <w:rPr>
                <w:rFonts w:ascii="Arial" w:cs="Arial" w:eastAsia="Arial" w:hAnsi="Arial"/>
                <w:sz w:val="18"/>
                <w:szCs w:val="18"/>
                <w:color w:val="auto"/>
                <w:w w:val="99"/>
              </w:rPr>
              <w:t>Expense</w:t>
            </w:r>
          </w:p>
        </w:tc>
        <w:tc>
          <w:tcPr>
            <w:tcW w:w="80" w:type="dxa"/>
            <w:vAlign w:val="bottom"/>
          </w:tcPr>
          <w:p>
            <w:pPr>
              <w:spacing w:after="0"/>
              <w:rPr>
                <w:sz w:val="20"/>
                <w:szCs w:val="20"/>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color w:val="auto"/>
              </w:rPr>
              <w:t>Write-Offs</w:t>
            </w:r>
          </w:p>
        </w:tc>
        <w:tc>
          <w:tcPr>
            <w:tcW w:w="16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Period</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700" w:type="dxa"/>
            <w:vAlign w:val="bottom"/>
            <w:vMerge w:val="restart"/>
          </w:tcPr>
          <w:p>
            <w:pPr>
              <w:spacing w:after="0"/>
              <w:rPr>
                <w:sz w:val="4"/>
                <w:szCs w:val="4"/>
                <w:color w:val="auto"/>
              </w:rPr>
            </w:pPr>
          </w:p>
        </w:tc>
        <w:tc>
          <w:tcPr>
            <w:tcW w:w="2880" w:type="dxa"/>
            <w:vAlign w:val="bottom"/>
            <w:tcBorders>
              <w:top w:val="single" w:sz="8" w:color="auto"/>
            </w:tcBorders>
          </w:tcPr>
          <w:p>
            <w:pPr>
              <w:spacing w:after="0"/>
              <w:rPr>
                <w:sz w:val="4"/>
                <w:szCs w:val="4"/>
                <w:color w:val="auto"/>
              </w:rPr>
            </w:pPr>
          </w:p>
        </w:tc>
        <w:tc>
          <w:tcPr>
            <w:tcW w:w="148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1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700" w:type="dxa"/>
            <w:vAlign w:val="bottom"/>
            <w:vMerge w:val="continue"/>
          </w:tcPr>
          <w:p>
            <w:pPr>
              <w:spacing w:after="0"/>
              <w:rPr>
                <w:sz w:val="15"/>
                <w:szCs w:val="15"/>
                <w:color w:val="auto"/>
              </w:rPr>
            </w:pPr>
          </w:p>
        </w:tc>
        <w:tc>
          <w:tcPr>
            <w:tcW w:w="5620" w:type="dxa"/>
            <w:vAlign w:val="bottom"/>
            <w:gridSpan w:val="9"/>
            <w:shd w:val="clear" w:color="auto" w:fill="CCEEFF"/>
          </w:tcPr>
          <w:p>
            <w:pPr>
              <w:spacing w:after="0" w:line="180" w:lineRule="exact"/>
              <w:rPr>
                <w:sz w:val="20"/>
                <w:szCs w:val="20"/>
                <w:color w:val="auto"/>
              </w:rPr>
            </w:pPr>
            <w:r>
              <w:rPr>
                <w:rFonts w:ascii="Arial" w:cs="Arial" w:eastAsia="Arial" w:hAnsi="Arial"/>
                <w:sz w:val="18"/>
                <w:szCs w:val="18"/>
                <w:color w:val="auto"/>
              </w:rPr>
              <w:t>Valuation and qualifying accounts deducted from the</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700" w:type="dxa"/>
            <w:vAlign w:val="bottom"/>
          </w:tcPr>
          <w:p>
            <w:pPr>
              <w:spacing w:after="0"/>
              <w:rPr>
                <w:sz w:val="19"/>
                <w:szCs w:val="19"/>
                <w:color w:val="auto"/>
              </w:rPr>
            </w:pPr>
          </w:p>
        </w:tc>
        <w:tc>
          <w:tcPr>
            <w:tcW w:w="2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assets to which they apply:</w:t>
            </w: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2880" w:type="dxa"/>
            <w:vAlign w:val="bottom"/>
          </w:tcPr>
          <w:p>
            <w:pPr>
              <w:spacing w:after="0" w:line="202" w:lineRule="exact"/>
              <w:rPr>
                <w:sz w:val="20"/>
                <w:szCs w:val="20"/>
                <w:color w:val="auto"/>
              </w:rPr>
            </w:pPr>
            <w:r>
              <w:rPr>
                <w:rFonts w:ascii="Arial" w:cs="Arial" w:eastAsia="Arial" w:hAnsi="Arial"/>
                <w:sz w:val="18"/>
                <w:szCs w:val="18"/>
                <w:color w:val="auto"/>
              </w:rPr>
              <w:t>Inventory reserve</w:t>
            </w:r>
          </w:p>
        </w:tc>
        <w:tc>
          <w:tcPr>
            <w:tcW w:w="2580" w:type="dxa"/>
            <w:vAlign w:val="bottom"/>
            <w:gridSpan w:val="6"/>
          </w:tcPr>
          <w:p>
            <w:pPr>
              <w:jc w:val="right"/>
              <w:ind w:right="280"/>
              <w:spacing w:after="0" w:line="202" w:lineRule="exact"/>
              <w:rPr>
                <w:sz w:val="20"/>
                <w:szCs w:val="20"/>
                <w:color w:val="auto"/>
              </w:rPr>
            </w:pPr>
            <w:r>
              <w:rPr>
                <w:rFonts w:ascii="Arial" w:cs="Arial" w:eastAsia="Arial" w:hAnsi="Arial"/>
                <w:sz w:val="18"/>
                <w:szCs w:val="18"/>
                <w:color w:val="auto"/>
              </w:rPr>
              <w:t>$ 16.3</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gridSpan w:val="3"/>
          </w:tcPr>
          <w:p>
            <w:pPr>
              <w:jc w:val="right"/>
              <w:ind w:right="130"/>
              <w:spacing w:after="0" w:line="202" w:lineRule="exact"/>
              <w:rPr>
                <w:sz w:val="20"/>
                <w:szCs w:val="20"/>
                <w:color w:val="auto"/>
              </w:rPr>
            </w:pPr>
            <w:r>
              <w:rPr>
                <w:rFonts w:ascii="Arial" w:cs="Arial" w:eastAsia="Arial" w:hAnsi="Arial"/>
                <w:sz w:val="18"/>
                <w:szCs w:val="18"/>
                <w:color w:val="auto"/>
              </w:rPr>
              <w:t>$ 0.3</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gridSpan w:val="3"/>
          </w:tcPr>
          <w:p>
            <w:pPr>
              <w:jc w:val="right"/>
              <w:ind w:right="210"/>
              <w:spacing w:after="0" w:line="202" w:lineRule="exact"/>
              <w:rPr>
                <w:sz w:val="20"/>
                <w:szCs w:val="20"/>
                <w:color w:val="auto"/>
              </w:rPr>
            </w:pPr>
            <w:r>
              <w:rPr>
                <w:rFonts w:ascii="Arial" w:cs="Arial" w:eastAsia="Arial" w:hAnsi="Arial"/>
                <w:sz w:val="18"/>
                <w:szCs w:val="18"/>
                <w:color w:val="auto"/>
              </w:rPr>
              <w:t>$ 9.4</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gridSpan w:val="2"/>
          </w:tcPr>
          <w:p>
            <w:pPr>
              <w:jc w:val="right"/>
              <w:ind w:right="230"/>
              <w:spacing w:after="0" w:line="202" w:lineRule="exact"/>
              <w:rPr>
                <w:sz w:val="20"/>
                <w:szCs w:val="20"/>
                <w:color w:val="auto"/>
              </w:rPr>
            </w:pPr>
            <w:r>
              <w:rPr>
                <w:rFonts w:ascii="Arial" w:cs="Arial" w:eastAsia="Arial" w:hAnsi="Arial"/>
                <w:sz w:val="18"/>
                <w:szCs w:val="18"/>
                <w:color w:val="auto"/>
              </w:rPr>
              <w:t>$ (10.9)</w:t>
            </w:r>
          </w:p>
        </w:tc>
        <w:tc>
          <w:tcPr>
            <w:tcW w:w="20" w:type="dxa"/>
            <w:vAlign w:val="bottom"/>
          </w:tcPr>
          <w:p>
            <w:pPr>
              <w:spacing w:after="0"/>
              <w:rPr>
                <w:sz w:val="17"/>
                <w:szCs w:val="17"/>
                <w:color w:val="auto"/>
              </w:rPr>
            </w:pPr>
          </w:p>
        </w:tc>
        <w:tc>
          <w:tcPr>
            <w:tcW w:w="1080" w:type="dxa"/>
            <w:vAlign w:val="bottom"/>
            <w:gridSpan w:val="2"/>
          </w:tcPr>
          <w:p>
            <w:pPr>
              <w:jc w:val="right"/>
              <w:ind w:right="210"/>
              <w:spacing w:after="0" w:line="202" w:lineRule="exact"/>
              <w:rPr>
                <w:sz w:val="20"/>
                <w:szCs w:val="20"/>
                <w:color w:val="auto"/>
              </w:rPr>
            </w:pPr>
            <w:r>
              <w:rPr>
                <w:rFonts w:ascii="Arial" w:cs="Arial" w:eastAsia="Arial" w:hAnsi="Arial"/>
                <w:sz w:val="18"/>
                <w:szCs w:val="18"/>
                <w:color w:val="auto"/>
              </w:rPr>
              <w:t>$ 15.1</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2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Allowance for doubtful accounts</w:t>
            </w:r>
          </w:p>
        </w:tc>
        <w:tc>
          <w:tcPr>
            <w:tcW w:w="2580" w:type="dxa"/>
            <w:vAlign w:val="bottom"/>
            <w:gridSpan w:val="6"/>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0.5</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3.5</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(4.1)</w:t>
            </w:r>
          </w:p>
        </w:tc>
        <w:tc>
          <w:tcPr>
            <w:tcW w:w="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11.3</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00" w:type="dxa"/>
            <w:vAlign w:val="bottom"/>
          </w:tcPr>
          <w:p>
            <w:pPr>
              <w:spacing w:after="0"/>
              <w:rPr>
                <w:sz w:val="21"/>
                <w:szCs w:val="21"/>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Income tax valuation allowance</w:t>
            </w:r>
          </w:p>
        </w:tc>
        <w:tc>
          <w:tcPr>
            <w:tcW w:w="2580" w:type="dxa"/>
            <w:vAlign w:val="bottom"/>
            <w:gridSpan w:val="6"/>
          </w:tcPr>
          <w:p>
            <w:pPr>
              <w:jc w:val="right"/>
              <w:ind w:right="280"/>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gridSpan w:val="4"/>
          </w:tcPr>
          <w:p>
            <w:pPr>
              <w:jc w:val="right"/>
              <w:ind w:right="38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210"/>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gridSpan w:val="2"/>
          </w:tcPr>
          <w:p>
            <w:pPr>
              <w:jc w:val="right"/>
              <w:ind w:right="230"/>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1"/>
                <w:szCs w:val="21"/>
                <w:color w:val="auto"/>
              </w:rPr>
            </w:pPr>
          </w:p>
        </w:tc>
        <w:tc>
          <w:tcPr>
            <w:tcW w:w="1080" w:type="dxa"/>
            <w:vAlign w:val="bottom"/>
            <w:gridSpan w:val="2"/>
          </w:tcPr>
          <w:p>
            <w:pPr>
              <w:jc w:val="right"/>
              <w:ind w:right="210"/>
              <w:spacing w:after="0"/>
              <w:rPr>
                <w:sz w:val="20"/>
                <w:szCs w:val="20"/>
                <w:color w:val="auto"/>
              </w:rPr>
            </w:pPr>
            <w:r>
              <w:rPr>
                <w:rFonts w:ascii="Arial" w:cs="Arial" w:eastAsia="Arial" w:hAnsi="Arial"/>
                <w:sz w:val="18"/>
                <w:szCs w:val="18"/>
                <w:color w:val="auto"/>
              </w:rPr>
              <w:t>35.4</w:t>
            </w: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5"/>
        </w:trPr>
        <w:tc>
          <w:tcPr>
            <w:tcW w:w="700" w:type="dxa"/>
            <w:vAlign w:val="bottom"/>
          </w:tcPr>
          <w:p>
            <w:pPr>
              <w:spacing w:after="0"/>
              <w:rPr>
                <w:sz w:val="8"/>
                <w:szCs w:val="8"/>
                <w:color w:val="auto"/>
              </w:rPr>
            </w:pPr>
          </w:p>
        </w:tc>
        <w:tc>
          <w:tcPr>
            <w:tcW w:w="2880" w:type="dxa"/>
            <w:vAlign w:val="bottom"/>
          </w:tcPr>
          <w:p>
            <w:pPr>
              <w:spacing w:after="0"/>
              <w:rPr>
                <w:sz w:val="8"/>
                <w:szCs w:val="8"/>
                <w:color w:val="auto"/>
              </w:rPr>
            </w:pPr>
          </w:p>
        </w:tc>
        <w:tc>
          <w:tcPr>
            <w:tcW w:w="1980" w:type="dxa"/>
            <w:vAlign w:val="bottom"/>
            <w:gridSpan w:val="4"/>
            <w:vMerge w:val="restart"/>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70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980" w:type="dxa"/>
            <w:vAlign w:val="bottom"/>
            <w:gridSpan w:val="4"/>
            <w:vMerge w:val="continue"/>
          </w:tcPr>
          <w:p>
            <w:pPr>
              <w:spacing w:after="0"/>
              <w:rPr>
                <w:sz w:val="11"/>
                <w:szCs w:val="1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112</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700" w:type="dxa"/>
            <w:vAlign w:val="bottom"/>
            <w:tcBorders>
              <w:bottom w:val="single" w:sz="8" w:color="808080"/>
            </w:tcBorders>
          </w:tcPr>
          <w:p>
            <w:pPr>
              <w:spacing w:after="0"/>
              <w:rPr>
                <w:sz w:val="17"/>
                <w:szCs w:val="17"/>
                <w:color w:val="auto"/>
              </w:rPr>
            </w:pPr>
          </w:p>
        </w:tc>
        <w:tc>
          <w:tcPr>
            <w:tcW w:w="2880" w:type="dxa"/>
            <w:vAlign w:val="bottom"/>
            <w:tcBorders>
              <w:bottom w:val="single" w:sz="8" w:color="808080"/>
            </w:tcBorders>
          </w:tcPr>
          <w:p>
            <w:pPr>
              <w:spacing w:after="0"/>
              <w:rPr>
                <w:sz w:val="17"/>
                <w:szCs w:val="17"/>
                <w:color w:val="auto"/>
              </w:rPr>
            </w:pPr>
          </w:p>
        </w:tc>
        <w:tc>
          <w:tcPr>
            <w:tcW w:w="1480" w:type="dxa"/>
            <w:vAlign w:val="bottom"/>
            <w:tcBorders>
              <w:bottom w:val="single" w:sz="8" w:color="808080"/>
            </w:tcBorders>
          </w:tcPr>
          <w:p>
            <w:pPr>
              <w:spacing w:after="0"/>
              <w:rPr>
                <w:sz w:val="17"/>
                <w:szCs w:val="17"/>
                <w:color w:val="auto"/>
              </w:rPr>
            </w:pPr>
          </w:p>
        </w:tc>
        <w:tc>
          <w:tcPr>
            <w:tcW w:w="10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34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10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100" w:type="dxa"/>
            <w:vAlign w:val="bottom"/>
            <w:tcBorders>
              <w:bottom w:val="single" w:sz="8" w:color="808080"/>
            </w:tcBorders>
          </w:tcPr>
          <w:p>
            <w:pPr>
              <w:spacing w:after="0"/>
              <w:rPr>
                <w:sz w:val="17"/>
                <w:szCs w:val="17"/>
                <w:color w:val="auto"/>
              </w:rPr>
            </w:pPr>
          </w:p>
        </w:tc>
        <w:tc>
          <w:tcPr>
            <w:tcW w:w="80" w:type="dxa"/>
            <w:vAlign w:val="bottom"/>
            <w:tcBorders>
              <w:bottom w:val="single" w:sz="8" w:color="808080"/>
            </w:tcBorders>
          </w:tcPr>
          <w:p>
            <w:pPr>
              <w:spacing w:after="0"/>
              <w:rPr>
                <w:sz w:val="17"/>
                <w:szCs w:val="17"/>
                <w:color w:val="auto"/>
              </w:rPr>
            </w:pPr>
          </w:p>
        </w:tc>
        <w:tc>
          <w:tcPr>
            <w:tcW w:w="700" w:type="dxa"/>
            <w:vAlign w:val="bottom"/>
            <w:tcBorders>
              <w:bottom w:val="single" w:sz="8" w:color="808080"/>
            </w:tcBorders>
          </w:tcPr>
          <w:p>
            <w:pPr>
              <w:spacing w:after="0"/>
              <w:rPr>
                <w:sz w:val="17"/>
                <w:szCs w:val="17"/>
                <w:color w:val="auto"/>
              </w:rPr>
            </w:pPr>
          </w:p>
        </w:tc>
        <w:tc>
          <w:tcPr>
            <w:tcW w:w="8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20" w:type="dxa"/>
            <w:vAlign w:val="bottom"/>
            <w:tcBorders>
              <w:bottom w:val="single" w:sz="8" w:color="808080"/>
            </w:tcBorders>
          </w:tcPr>
          <w:p>
            <w:pPr>
              <w:spacing w:after="0"/>
              <w:rPr>
                <w:sz w:val="17"/>
                <w:szCs w:val="17"/>
                <w:color w:val="auto"/>
              </w:rPr>
            </w:pPr>
          </w:p>
        </w:tc>
        <w:tc>
          <w:tcPr>
            <w:tcW w:w="80" w:type="dxa"/>
            <w:vAlign w:val="bottom"/>
            <w:tcBorders>
              <w:bottom w:val="single" w:sz="8" w:color="808080"/>
            </w:tcBorders>
          </w:tcPr>
          <w:p>
            <w:pPr>
              <w:spacing w:after="0"/>
              <w:rPr>
                <w:sz w:val="17"/>
                <w:szCs w:val="17"/>
                <w:color w:val="auto"/>
              </w:rPr>
            </w:pPr>
          </w:p>
        </w:tc>
        <w:tc>
          <w:tcPr>
            <w:tcW w:w="80" w:type="dxa"/>
            <w:vAlign w:val="bottom"/>
            <w:tcBorders>
              <w:bottom w:val="single" w:sz="8" w:color="808080"/>
            </w:tcBorders>
          </w:tcPr>
          <w:p>
            <w:pPr>
              <w:spacing w:after="0"/>
              <w:rPr>
                <w:sz w:val="17"/>
                <w:szCs w:val="17"/>
                <w:color w:val="auto"/>
              </w:rPr>
            </w:pPr>
          </w:p>
        </w:tc>
        <w:tc>
          <w:tcPr>
            <w:tcW w:w="760" w:type="dxa"/>
            <w:vAlign w:val="bottom"/>
            <w:tcBorders>
              <w:bottom w:val="single" w:sz="8" w:color="808080"/>
            </w:tcBorders>
          </w:tcPr>
          <w:p>
            <w:pPr>
              <w:spacing w:after="0"/>
              <w:rPr>
                <w:sz w:val="17"/>
                <w:szCs w:val="17"/>
                <w:color w:val="auto"/>
              </w:rPr>
            </w:pPr>
          </w:p>
        </w:tc>
        <w:tc>
          <w:tcPr>
            <w:tcW w:w="2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80" w:type="dxa"/>
            <w:vAlign w:val="bottom"/>
            <w:tcBorders>
              <w:bottom w:val="single" w:sz="8" w:color="808080"/>
            </w:tcBorders>
          </w:tcPr>
          <w:p>
            <w:pPr>
              <w:spacing w:after="0"/>
              <w:rPr>
                <w:sz w:val="17"/>
                <w:szCs w:val="17"/>
                <w:color w:val="auto"/>
              </w:rPr>
            </w:pPr>
          </w:p>
        </w:tc>
        <w:tc>
          <w:tcPr>
            <w:tcW w:w="20" w:type="dxa"/>
            <w:vAlign w:val="bottom"/>
            <w:tcBorders>
              <w:bottom w:val="single" w:sz="8" w:color="808080"/>
            </w:tcBorders>
          </w:tcPr>
          <w:p>
            <w:pPr>
              <w:spacing w:after="0"/>
              <w:rPr>
                <w:sz w:val="17"/>
                <w:szCs w:val="17"/>
                <w:color w:val="auto"/>
              </w:rPr>
            </w:pPr>
          </w:p>
        </w:tc>
        <w:tc>
          <w:tcPr>
            <w:tcW w:w="80" w:type="dxa"/>
            <w:vAlign w:val="bottom"/>
            <w:tcBorders>
              <w:bottom w:val="single" w:sz="8" w:color="808080"/>
            </w:tcBorders>
          </w:tcPr>
          <w:p>
            <w:pPr>
              <w:spacing w:after="0"/>
              <w:rPr>
                <w:sz w:val="17"/>
                <w:szCs w:val="17"/>
                <w:color w:val="auto"/>
              </w:rPr>
            </w:pPr>
          </w:p>
        </w:tc>
        <w:tc>
          <w:tcPr>
            <w:tcW w:w="1100" w:type="dxa"/>
            <w:vAlign w:val="bottom"/>
            <w:tcBorders>
              <w:bottom w:val="single" w:sz="8" w:color="808080"/>
            </w:tcBorders>
          </w:tcPr>
          <w:p>
            <w:pPr>
              <w:spacing w:after="0"/>
              <w:rPr>
                <w:sz w:val="17"/>
                <w:szCs w:val="17"/>
                <w:color w:val="auto"/>
              </w:rPr>
            </w:pPr>
          </w:p>
        </w:tc>
        <w:tc>
          <w:tcPr>
            <w:tcW w:w="2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92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-5892800</wp:posOffset>
            </wp:positionV>
            <wp:extent cx="2603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-3654425</wp:posOffset>
            </wp:positionV>
            <wp:extent cx="2603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-1544955</wp:posOffset>
            </wp:positionV>
            <wp:extent cx="2603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14" w:name="page115"/>
    <w:bookmarkEnd w:id="114"/>
    <w:p>
      <w:pPr>
        <w:spacing w:after="0"/>
        <w:rPr>
          <w:rFonts w:ascii="Times New Roman" w:cs="Times New Roman" w:eastAsia="Times New Roman" w:hAnsi="Times New Roman"/>
          <w:sz w:val="18"/>
          <w:szCs w:val="18"/>
          <w:b w:val="1"/>
          <w:bCs w:val="1"/>
          <w:u w:val="single" w:color="auto"/>
          <w:color w:val="0000EE"/>
        </w:rPr>
      </w:pPr>
      <w:hyperlink w:anchor="page64">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jc w:val="center"/>
        <w:ind w:right="-679"/>
        <w:spacing w:after="0"/>
        <w:rPr>
          <w:sz w:val="20"/>
          <w:szCs w:val="20"/>
          <w:color w:val="auto"/>
        </w:rPr>
      </w:pPr>
      <w:r>
        <w:rPr>
          <w:rFonts w:ascii="Arial" w:cs="Arial" w:eastAsia="Arial" w:hAnsi="Arial"/>
          <w:sz w:val="20"/>
          <w:szCs w:val="20"/>
          <w:b w:val="1"/>
          <w:bCs w:val="1"/>
          <w:color w:val="auto"/>
        </w:rPr>
        <w:t>The Scotts Miracle-Gro Company</w:t>
      </w:r>
    </w:p>
    <w:p>
      <w:pPr>
        <w:spacing w:after="0" w:line="114"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Index to Exhibits</w:t>
      </w:r>
    </w:p>
    <w:p>
      <w:pPr>
        <w:spacing w:after="0" w:line="236"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1140" w:type="dxa"/>
            <w:vAlign w:val="bottom"/>
          </w:tcPr>
          <w:p>
            <w:pPr>
              <w:jc w:val="center"/>
              <w:spacing w:after="0"/>
              <w:rPr>
                <w:sz w:val="20"/>
                <w:szCs w:val="20"/>
                <w:color w:val="auto"/>
              </w:rPr>
            </w:pPr>
            <w:r>
              <w:rPr>
                <w:rFonts w:ascii="Arial" w:cs="Arial" w:eastAsia="Arial" w:hAnsi="Arial"/>
                <w:sz w:val="18"/>
                <w:szCs w:val="18"/>
                <w:color w:val="auto"/>
                <w:w w:val="99"/>
              </w:rPr>
              <w:t>Exhibit</w:t>
            </w:r>
          </w:p>
        </w:tc>
        <w:tc>
          <w:tcPr>
            <w:tcW w:w="5260" w:type="dxa"/>
            <w:vAlign w:val="bottom"/>
          </w:tcPr>
          <w:p>
            <w:pPr>
              <w:spacing w:after="0"/>
              <w:rPr>
                <w:sz w:val="17"/>
                <w:szCs w:val="17"/>
                <w:color w:val="auto"/>
              </w:rPr>
            </w:pPr>
          </w:p>
        </w:tc>
        <w:tc>
          <w:tcPr>
            <w:tcW w:w="3640" w:type="dxa"/>
            <w:vAlign w:val="bottom"/>
          </w:tcPr>
          <w:p>
            <w:pPr>
              <w:spacing w:after="0"/>
              <w:rPr>
                <w:sz w:val="17"/>
                <w:szCs w:val="17"/>
                <w:color w:val="auto"/>
              </w:rPr>
            </w:pPr>
          </w:p>
        </w:tc>
      </w:tr>
      <w:tr>
        <w:trPr>
          <w:trHeight w:val="239"/>
        </w:trPr>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No.</w:t>
            </w:r>
          </w:p>
        </w:tc>
        <w:tc>
          <w:tcPr>
            <w:tcW w:w="5260" w:type="dxa"/>
            <w:vAlign w:val="bottom"/>
            <w:tcBorders>
              <w:bottom w:val="single" w:sz="8" w:color="auto"/>
            </w:tcBorders>
          </w:tcPr>
          <w:p>
            <w:pPr>
              <w:ind w:left="2280"/>
              <w:spacing w:after="0"/>
              <w:rPr>
                <w:sz w:val="20"/>
                <w:szCs w:val="20"/>
                <w:color w:val="auto"/>
              </w:rPr>
            </w:pPr>
            <w:r>
              <w:rPr>
                <w:rFonts w:ascii="Arial" w:cs="Arial" w:eastAsia="Arial" w:hAnsi="Arial"/>
                <w:sz w:val="18"/>
                <w:szCs w:val="18"/>
                <w:color w:val="auto"/>
              </w:rPr>
              <w:t>Description</w:t>
            </w:r>
          </w:p>
        </w:tc>
        <w:tc>
          <w:tcPr>
            <w:tcW w:w="3640" w:type="dxa"/>
            <w:vAlign w:val="bottom"/>
            <w:tcBorders>
              <w:bottom w:val="single" w:sz="8" w:color="auto"/>
            </w:tcBorders>
          </w:tcPr>
          <w:p>
            <w:pPr>
              <w:ind w:left="1540"/>
              <w:spacing w:after="0"/>
              <w:rPr>
                <w:sz w:val="20"/>
                <w:szCs w:val="20"/>
                <w:color w:val="auto"/>
              </w:rPr>
            </w:pPr>
            <w:r>
              <w:rPr>
                <w:rFonts w:ascii="Arial" w:cs="Arial" w:eastAsia="Arial" w:hAnsi="Arial"/>
                <w:sz w:val="18"/>
                <w:szCs w:val="18"/>
                <w:color w:val="auto"/>
              </w:rPr>
              <w:t>Location</w:t>
            </w:r>
          </w:p>
        </w:tc>
      </w:tr>
      <w:tr>
        <w:trPr>
          <w:trHeight w:val="227"/>
        </w:trPr>
        <w:tc>
          <w:tcPr>
            <w:tcW w:w="1140" w:type="dxa"/>
            <w:vAlign w:val="bottom"/>
          </w:tcPr>
          <w:p>
            <w:pPr>
              <w:spacing w:after="0"/>
              <w:rPr>
                <w:sz w:val="20"/>
                <w:szCs w:val="20"/>
                <w:color w:val="auto"/>
              </w:rPr>
            </w:pPr>
            <w:r>
              <w:rPr>
                <w:rFonts w:ascii="Arial" w:cs="Arial" w:eastAsia="Arial" w:hAnsi="Arial"/>
                <w:sz w:val="18"/>
                <w:szCs w:val="18"/>
                <w:color w:val="auto"/>
              </w:rPr>
              <w:t>2.1(a)</w:t>
            </w:r>
          </w:p>
        </w:tc>
        <w:tc>
          <w:tcPr>
            <w:tcW w:w="5260" w:type="dxa"/>
            <w:vAlign w:val="bottom"/>
          </w:tcPr>
          <w:p>
            <w:pPr>
              <w:ind w:left="280"/>
              <w:spacing w:after="0"/>
              <w:rPr>
                <w:sz w:val="20"/>
                <w:szCs w:val="20"/>
                <w:color w:val="auto"/>
              </w:rPr>
            </w:pPr>
            <w:r>
              <w:rPr>
                <w:rFonts w:ascii="Arial" w:cs="Arial" w:eastAsia="Arial" w:hAnsi="Arial"/>
                <w:sz w:val="18"/>
                <w:szCs w:val="18"/>
                <w:color w:val="auto"/>
              </w:rPr>
              <w:t>Amended and Restated Agreement and Plan of Merger,</w:t>
            </w:r>
          </w:p>
        </w:tc>
        <w:tc>
          <w:tcPr>
            <w:tcW w:w="3640" w:type="dxa"/>
            <w:vAlign w:val="bottom"/>
          </w:tcPr>
          <w:p>
            <w:pPr>
              <w:ind w:left="120"/>
              <w:spacing w:after="0"/>
              <w:rPr>
                <w:sz w:val="20"/>
                <w:szCs w:val="20"/>
                <w:color w:val="auto"/>
              </w:rPr>
            </w:pPr>
            <w:r>
              <w:rPr>
                <w:rFonts w:ascii="Arial" w:cs="Arial" w:eastAsia="Arial" w:hAnsi="Arial"/>
                <w:sz w:val="18"/>
                <w:szCs w:val="18"/>
                <w:color w:val="auto"/>
              </w:rPr>
              <w:t>Incorporated herein by reference to the</w:t>
            </w:r>
          </w:p>
        </w:tc>
      </w:tr>
      <w:tr>
        <w:trPr>
          <w:trHeight w:val="203"/>
        </w:trPr>
        <w:tc>
          <w:tcPr>
            <w:tcW w:w="1140" w:type="dxa"/>
            <w:vAlign w:val="bottom"/>
          </w:tcPr>
          <w:p>
            <w:pPr>
              <w:spacing w:after="0"/>
              <w:rPr>
                <w:sz w:val="17"/>
                <w:szCs w:val="17"/>
                <w:color w:val="auto"/>
              </w:rPr>
            </w:pPr>
          </w:p>
        </w:tc>
        <w:tc>
          <w:tcPr>
            <w:tcW w:w="5260" w:type="dxa"/>
            <w:vAlign w:val="bottom"/>
          </w:tcPr>
          <w:p>
            <w:pPr>
              <w:ind w:left="280"/>
              <w:spacing w:after="0" w:line="202" w:lineRule="exact"/>
              <w:rPr>
                <w:sz w:val="20"/>
                <w:szCs w:val="20"/>
                <w:color w:val="auto"/>
              </w:rPr>
            </w:pPr>
            <w:r>
              <w:rPr>
                <w:rFonts w:ascii="Arial" w:cs="Arial" w:eastAsia="Arial" w:hAnsi="Arial"/>
                <w:sz w:val="18"/>
                <w:szCs w:val="18"/>
                <w:color w:val="auto"/>
              </w:rPr>
              <w:t>dated as of May 19, 1995, among Stern’s Miracle-Gro</w:t>
            </w:r>
          </w:p>
        </w:tc>
        <w:tc>
          <w:tcPr>
            <w:tcW w:w="3640" w:type="dxa"/>
            <w:vAlign w:val="bottom"/>
          </w:tcPr>
          <w:p>
            <w:pPr>
              <w:ind w:left="120"/>
              <w:spacing w:after="0" w:line="202" w:lineRule="exact"/>
              <w:rPr>
                <w:sz w:val="20"/>
                <w:szCs w:val="20"/>
                <w:color w:val="auto"/>
              </w:rPr>
            </w:pPr>
            <w:r>
              <w:rPr>
                <w:rFonts w:ascii="Arial" w:cs="Arial" w:eastAsia="Arial" w:hAnsi="Arial"/>
                <w:sz w:val="18"/>
                <w:szCs w:val="18"/>
                <w:color w:val="auto"/>
              </w:rPr>
              <w:t>Current Report on Form 8-K of The Scotts</w:t>
            </w:r>
          </w:p>
        </w:tc>
      </w:tr>
      <w:tr>
        <w:trPr>
          <w:trHeight w:val="203"/>
        </w:trPr>
        <w:tc>
          <w:tcPr>
            <w:tcW w:w="1140" w:type="dxa"/>
            <w:vAlign w:val="bottom"/>
          </w:tcPr>
          <w:p>
            <w:pPr>
              <w:spacing w:after="0"/>
              <w:rPr>
                <w:sz w:val="17"/>
                <w:szCs w:val="17"/>
                <w:color w:val="auto"/>
              </w:rPr>
            </w:pPr>
          </w:p>
        </w:tc>
        <w:tc>
          <w:tcPr>
            <w:tcW w:w="5260" w:type="dxa"/>
            <w:vAlign w:val="bottom"/>
          </w:tcPr>
          <w:p>
            <w:pPr>
              <w:ind w:left="280"/>
              <w:spacing w:after="0" w:line="202" w:lineRule="exact"/>
              <w:rPr>
                <w:sz w:val="20"/>
                <w:szCs w:val="20"/>
                <w:color w:val="auto"/>
              </w:rPr>
            </w:pPr>
            <w:r>
              <w:rPr>
                <w:rFonts w:ascii="Arial" w:cs="Arial" w:eastAsia="Arial" w:hAnsi="Arial"/>
                <w:sz w:val="18"/>
                <w:szCs w:val="18"/>
                <w:color w:val="auto"/>
              </w:rPr>
              <w:t>Products, Inc., Stern’s Nurseries, Inc., Miracle-Gro Lawn</w:t>
            </w:r>
          </w:p>
        </w:tc>
        <w:tc>
          <w:tcPr>
            <w:tcW w:w="3640" w:type="dxa"/>
            <w:vAlign w:val="bottom"/>
          </w:tcPr>
          <w:p>
            <w:pPr>
              <w:ind w:left="120"/>
              <w:spacing w:after="0" w:line="202" w:lineRule="exact"/>
              <w:rPr>
                <w:sz w:val="20"/>
                <w:szCs w:val="20"/>
                <w:color w:val="auto"/>
              </w:rPr>
            </w:pPr>
            <w:r>
              <w:rPr>
                <w:rFonts w:ascii="Arial" w:cs="Arial" w:eastAsia="Arial" w:hAnsi="Arial"/>
                <w:sz w:val="18"/>
                <w:szCs w:val="18"/>
                <w:color w:val="auto"/>
              </w:rPr>
              <w:t>Company, a Delaware corporation, filed</w:t>
            </w:r>
          </w:p>
        </w:tc>
      </w:tr>
      <w:tr>
        <w:trPr>
          <w:trHeight w:val="203"/>
        </w:trPr>
        <w:tc>
          <w:tcPr>
            <w:tcW w:w="1140" w:type="dxa"/>
            <w:vAlign w:val="bottom"/>
          </w:tcPr>
          <w:p>
            <w:pPr>
              <w:spacing w:after="0"/>
              <w:rPr>
                <w:sz w:val="17"/>
                <w:szCs w:val="17"/>
                <w:color w:val="auto"/>
              </w:rPr>
            </w:pPr>
          </w:p>
        </w:tc>
        <w:tc>
          <w:tcPr>
            <w:tcW w:w="5260" w:type="dxa"/>
            <w:vAlign w:val="bottom"/>
          </w:tcPr>
          <w:p>
            <w:pPr>
              <w:ind w:left="280"/>
              <w:spacing w:after="0" w:line="202" w:lineRule="exact"/>
              <w:rPr>
                <w:sz w:val="20"/>
                <w:szCs w:val="20"/>
                <w:color w:val="auto"/>
              </w:rPr>
            </w:pPr>
            <w:r>
              <w:rPr>
                <w:rFonts w:ascii="Arial" w:cs="Arial" w:eastAsia="Arial" w:hAnsi="Arial"/>
                <w:sz w:val="18"/>
                <w:szCs w:val="18"/>
                <w:color w:val="auto"/>
              </w:rPr>
              <w:t>Products Inc., Miracle-Gro Products Limited, Hagedorn</w:t>
            </w:r>
          </w:p>
        </w:tc>
        <w:tc>
          <w:tcPr>
            <w:tcW w:w="3640" w:type="dxa"/>
            <w:vAlign w:val="bottom"/>
          </w:tcPr>
          <w:p>
            <w:pPr>
              <w:ind w:left="120"/>
              <w:spacing w:after="0" w:line="202" w:lineRule="exact"/>
              <w:rPr>
                <w:sz w:val="20"/>
                <w:szCs w:val="20"/>
                <w:color w:val="auto"/>
              </w:rPr>
            </w:pPr>
            <w:r>
              <w:rPr>
                <w:rFonts w:ascii="Arial" w:cs="Arial" w:eastAsia="Arial" w:hAnsi="Arial"/>
                <w:sz w:val="18"/>
                <w:szCs w:val="18"/>
                <w:color w:val="auto"/>
              </w:rPr>
              <w:t>June 2, 1995 (File No. 0-19768) [Exhibit</w:t>
            </w:r>
          </w:p>
        </w:tc>
      </w:tr>
      <w:tr>
        <w:trPr>
          <w:trHeight w:val="203"/>
        </w:trPr>
        <w:tc>
          <w:tcPr>
            <w:tcW w:w="1140" w:type="dxa"/>
            <w:vAlign w:val="bottom"/>
          </w:tcPr>
          <w:p>
            <w:pPr>
              <w:spacing w:after="0"/>
              <w:rPr>
                <w:sz w:val="17"/>
                <w:szCs w:val="17"/>
                <w:color w:val="auto"/>
              </w:rPr>
            </w:pPr>
          </w:p>
        </w:tc>
        <w:tc>
          <w:tcPr>
            <w:tcW w:w="5260" w:type="dxa"/>
            <w:vAlign w:val="bottom"/>
          </w:tcPr>
          <w:p>
            <w:pPr>
              <w:ind w:left="280"/>
              <w:spacing w:after="0" w:line="202" w:lineRule="exact"/>
              <w:rPr>
                <w:sz w:val="20"/>
                <w:szCs w:val="20"/>
                <w:color w:val="auto"/>
              </w:rPr>
            </w:pPr>
            <w:r>
              <w:rPr>
                <w:rFonts w:ascii="Arial" w:cs="Arial" w:eastAsia="Arial" w:hAnsi="Arial"/>
                <w:sz w:val="18"/>
                <w:szCs w:val="18"/>
                <w:color w:val="auto"/>
              </w:rPr>
              <w:t>Partnership, L.P., the general partners of Hagedorn</w:t>
            </w:r>
          </w:p>
        </w:tc>
        <w:tc>
          <w:tcPr>
            <w:tcW w:w="3640" w:type="dxa"/>
            <w:vAlign w:val="bottom"/>
          </w:tcPr>
          <w:p>
            <w:pPr>
              <w:ind w:left="120"/>
              <w:spacing w:after="0" w:line="202" w:lineRule="exact"/>
              <w:rPr>
                <w:sz w:val="20"/>
                <w:szCs w:val="20"/>
                <w:color w:val="auto"/>
              </w:rPr>
            </w:pPr>
            <w:r>
              <w:rPr>
                <w:rFonts w:ascii="Arial" w:cs="Arial" w:eastAsia="Arial" w:hAnsi="Arial"/>
                <w:sz w:val="18"/>
                <w:szCs w:val="18"/>
                <w:color w:val="auto"/>
              </w:rPr>
              <w:t>2(b)]</w:t>
            </w:r>
          </w:p>
        </w:tc>
      </w:tr>
      <w:tr>
        <w:trPr>
          <w:trHeight w:val="203"/>
        </w:trPr>
        <w:tc>
          <w:tcPr>
            <w:tcW w:w="1140" w:type="dxa"/>
            <w:vAlign w:val="bottom"/>
          </w:tcPr>
          <w:p>
            <w:pPr>
              <w:spacing w:after="0"/>
              <w:rPr>
                <w:sz w:val="17"/>
                <w:szCs w:val="17"/>
                <w:color w:val="auto"/>
              </w:rPr>
            </w:pPr>
          </w:p>
        </w:tc>
        <w:tc>
          <w:tcPr>
            <w:tcW w:w="5260" w:type="dxa"/>
            <w:vAlign w:val="bottom"/>
          </w:tcPr>
          <w:p>
            <w:pPr>
              <w:ind w:left="280"/>
              <w:spacing w:after="0" w:line="202" w:lineRule="exact"/>
              <w:rPr>
                <w:sz w:val="20"/>
                <w:szCs w:val="20"/>
                <w:color w:val="auto"/>
              </w:rPr>
            </w:pPr>
            <w:r>
              <w:rPr>
                <w:rFonts w:ascii="Arial" w:cs="Arial" w:eastAsia="Arial" w:hAnsi="Arial"/>
                <w:sz w:val="18"/>
                <w:szCs w:val="18"/>
                <w:color w:val="auto"/>
              </w:rPr>
              <w:t>Partnership, L.P., Horace Hagedorn, Community Funds, Inc.,</w:t>
            </w:r>
          </w:p>
        </w:tc>
        <w:tc>
          <w:tcPr>
            <w:tcW w:w="3640" w:type="dxa"/>
            <w:vAlign w:val="bottom"/>
          </w:tcPr>
          <w:p>
            <w:pPr>
              <w:spacing w:after="0"/>
              <w:rPr>
                <w:sz w:val="17"/>
                <w:szCs w:val="17"/>
                <w:color w:val="auto"/>
              </w:rPr>
            </w:pPr>
          </w:p>
        </w:tc>
      </w:tr>
      <w:tr>
        <w:trPr>
          <w:trHeight w:val="243"/>
        </w:trPr>
        <w:tc>
          <w:tcPr>
            <w:tcW w:w="1140" w:type="dxa"/>
            <w:vAlign w:val="bottom"/>
          </w:tcPr>
          <w:p>
            <w:pPr>
              <w:spacing w:after="0"/>
              <w:rPr>
                <w:sz w:val="21"/>
                <w:szCs w:val="21"/>
                <w:color w:val="auto"/>
              </w:rPr>
            </w:pPr>
          </w:p>
        </w:tc>
        <w:tc>
          <w:tcPr>
            <w:tcW w:w="5260" w:type="dxa"/>
            <w:vAlign w:val="bottom"/>
          </w:tcPr>
          <w:p>
            <w:pPr>
              <w:ind w:left="280"/>
              <w:spacing w:after="0"/>
              <w:rPr>
                <w:sz w:val="20"/>
                <w:szCs w:val="20"/>
                <w:color w:val="auto"/>
              </w:rPr>
            </w:pPr>
            <w:r>
              <w:rPr>
                <w:rFonts w:ascii="Arial" w:cs="Arial" w:eastAsia="Arial" w:hAnsi="Arial"/>
                <w:sz w:val="18"/>
                <w:szCs w:val="18"/>
                <w:color w:val="auto"/>
              </w:rPr>
              <w:t>and John Kenlon, The Scotts Company and ZYX Corporation</w:t>
            </w:r>
          </w:p>
        </w:tc>
        <w:tc>
          <w:tcPr>
            <w:tcW w:w="3640" w:type="dxa"/>
            <w:vAlign w:val="bottom"/>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0740"/>
          </w:cols>
          <w:pgMar w:left="240" w:top="415" w:right="919" w:bottom="1440" w:gutter="0" w:footer="0" w:header="0"/>
        </w:sectPr>
      </w:pPr>
    </w:p>
    <w:p>
      <w:pPr>
        <w:spacing w:after="0" w:line="133"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940" w:type="dxa"/>
            <w:vAlign w:val="bottom"/>
          </w:tcPr>
          <w:p>
            <w:pPr>
              <w:spacing w:after="0"/>
              <w:rPr>
                <w:sz w:val="20"/>
                <w:szCs w:val="20"/>
                <w:color w:val="auto"/>
              </w:rPr>
            </w:pPr>
            <w:r>
              <w:rPr>
                <w:rFonts w:ascii="Arial" w:cs="Arial" w:eastAsia="Arial" w:hAnsi="Arial"/>
                <w:sz w:val="18"/>
                <w:szCs w:val="18"/>
                <w:color w:val="auto"/>
              </w:rPr>
              <w:t>2.1(b)</w:t>
            </w:r>
          </w:p>
        </w:tc>
        <w:tc>
          <w:tcPr>
            <w:tcW w:w="5380" w:type="dxa"/>
            <w:vAlign w:val="bottom"/>
          </w:tcPr>
          <w:p>
            <w:pPr>
              <w:ind w:left="480"/>
              <w:spacing w:after="0"/>
              <w:rPr>
                <w:sz w:val="20"/>
                <w:szCs w:val="20"/>
                <w:color w:val="auto"/>
              </w:rPr>
            </w:pPr>
            <w:r>
              <w:rPr>
                <w:rFonts w:ascii="Arial" w:cs="Arial" w:eastAsia="Arial" w:hAnsi="Arial"/>
                <w:sz w:val="18"/>
                <w:szCs w:val="18"/>
                <w:color w:val="auto"/>
              </w:rPr>
              <w:t>First Amendment to Amended and Restated Agreement and</w:t>
            </w:r>
          </w:p>
        </w:tc>
      </w:tr>
      <w:tr>
        <w:trPr>
          <w:trHeight w:val="203"/>
        </w:trPr>
        <w:tc>
          <w:tcPr>
            <w:tcW w:w="940" w:type="dxa"/>
            <w:vAlign w:val="bottom"/>
          </w:tcPr>
          <w:p>
            <w:pPr>
              <w:spacing w:after="0"/>
              <w:rPr>
                <w:sz w:val="17"/>
                <w:szCs w:val="17"/>
                <w:color w:val="auto"/>
              </w:rPr>
            </w:pPr>
          </w:p>
        </w:tc>
        <w:tc>
          <w:tcPr>
            <w:tcW w:w="5380" w:type="dxa"/>
            <w:vAlign w:val="bottom"/>
          </w:tcPr>
          <w:p>
            <w:pPr>
              <w:ind w:left="480"/>
              <w:spacing w:after="0" w:line="202" w:lineRule="exact"/>
              <w:rPr>
                <w:sz w:val="20"/>
                <w:szCs w:val="20"/>
                <w:color w:val="auto"/>
              </w:rPr>
            </w:pPr>
            <w:r>
              <w:rPr>
                <w:rFonts w:ascii="Arial" w:cs="Arial" w:eastAsia="Arial" w:hAnsi="Arial"/>
                <w:sz w:val="18"/>
                <w:szCs w:val="18"/>
                <w:color w:val="auto"/>
                <w:w w:val="99"/>
              </w:rPr>
              <w:t>Plan of Merger, made and entered into as of October 1, 1999,</w:t>
            </w:r>
          </w:p>
        </w:tc>
      </w:tr>
      <w:tr>
        <w:trPr>
          <w:trHeight w:val="225"/>
        </w:trPr>
        <w:tc>
          <w:tcPr>
            <w:tcW w:w="940" w:type="dxa"/>
            <w:vAlign w:val="bottom"/>
          </w:tcPr>
          <w:p>
            <w:pPr>
              <w:spacing w:after="0"/>
              <w:rPr>
                <w:sz w:val="19"/>
                <w:szCs w:val="19"/>
                <w:color w:val="auto"/>
              </w:rPr>
            </w:pPr>
          </w:p>
        </w:tc>
        <w:tc>
          <w:tcPr>
            <w:tcW w:w="5380" w:type="dxa"/>
            <w:vAlign w:val="bottom"/>
          </w:tcPr>
          <w:p>
            <w:pPr>
              <w:ind w:left="480"/>
              <w:spacing w:after="0"/>
              <w:rPr>
                <w:sz w:val="20"/>
                <w:szCs w:val="20"/>
                <w:color w:val="auto"/>
              </w:rPr>
            </w:pPr>
            <w:r>
              <w:rPr>
                <w:rFonts w:ascii="Arial" w:cs="Arial" w:eastAsia="Arial" w:hAnsi="Arial"/>
                <w:sz w:val="18"/>
                <w:szCs w:val="18"/>
                <w:color w:val="auto"/>
              </w:rPr>
              <w:t>among The Scotts Company, Scotts’ Miracle-Gro Products,</w:t>
            </w:r>
          </w:p>
        </w:tc>
      </w:tr>
    </w:tbl>
    <w:p>
      <w:pPr>
        <w:ind w:left="2120" w:right="40"/>
        <w:spacing w:after="0" w:line="237" w:lineRule="auto"/>
        <w:rPr>
          <w:sz w:val="20"/>
          <w:szCs w:val="20"/>
          <w:color w:val="auto"/>
        </w:rPr>
      </w:pPr>
      <w:r>
        <w:rPr>
          <w:rFonts w:ascii="Arial" w:cs="Arial" w:eastAsia="Arial" w:hAnsi="Arial"/>
          <w:sz w:val="18"/>
          <w:szCs w:val="18"/>
          <w:color w:val="auto"/>
        </w:rPr>
        <w:t>Inc. (as successor to ZYX Corporation and Stern’s Miracle-Gro Products, Inc.), Miracle-Gro Lawn Products Inc., Miracle-Gro Products Limited, Hagedorn Partnership, L.P., Community Funds, Inc., Horace Hagedorn and John Kenlon, and James Hagedorn, Katherine Hagedorn Littlefield, Paul Hagedorn, Peter Hagedorn, Robert Hagedorn and Susan Hagedorn</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ind w:right="160"/>
        <w:spacing w:after="0" w:line="245" w:lineRule="auto"/>
        <w:rPr>
          <w:sz w:val="20"/>
          <w:szCs w:val="20"/>
          <w:color w:val="auto"/>
        </w:rPr>
      </w:pPr>
      <w:r>
        <w:rPr>
          <w:rFonts w:ascii="Arial" w:cs="Arial" w:eastAsia="Arial" w:hAnsi="Arial"/>
          <w:sz w:val="18"/>
          <w:szCs w:val="18"/>
          <w:color w:val="auto"/>
        </w:rPr>
        <w:t>Incorporated herein by reference to the Current Report on Form 8-K of The Scotts Company, an Ohio corporation (“Scotts”), filed October 5, 1999 (File No. 1-11593) [Exhibit 2]</w:t>
      </w:r>
    </w:p>
    <w:p>
      <w:pPr>
        <w:spacing w:after="0" w:line="1204" w:lineRule="exact"/>
        <w:rPr>
          <w:sz w:val="20"/>
          <w:szCs w:val="20"/>
          <w:color w:val="auto"/>
        </w:rPr>
      </w:pPr>
    </w:p>
    <w:p>
      <w:pPr>
        <w:sectPr>
          <w:pgSz w:w="11900" w:h="16838" w:orient="portrait"/>
          <w:cols w:equalWidth="0" w:num="2">
            <w:col w:w="7020" w:space="200"/>
            <w:col w:w="3520"/>
          </w:cols>
          <w:pgMar w:left="240" w:top="415" w:right="919" w:bottom="1440" w:gutter="0" w:footer="0" w:header="0"/>
          <w:type w:val="continuous"/>
        </w:sectPr>
      </w:pPr>
    </w:p>
    <w:p>
      <w:pPr>
        <w:spacing w:after="0" w:line="139"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940" w:type="dxa"/>
            <w:vAlign w:val="bottom"/>
          </w:tcPr>
          <w:p>
            <w:pPr>
              <w:spacing w:after="0"/>
              <w:rPr>
                <w:sz w:val="20"/>
                <w:szCs w:val="20"/>
                <w:color w:val="auto"/>
              </w:rPr>
            </w:pPr>
            <w:r>
              <w:rPr>
                <w:rFonts w:ascii="Arial" w:cs="Arial" w:eastAsia="Arial" w:hAnsi="Arial"/>
                <w:sz w:val="18"/>
                <w:szCs w:val="18"/>
                <w:color w:val="auto"/>
              </w:rPr>
              <w:t>2.2</w:t>
            </w:r>
          </w:p>
        </w:tc>
        <w:tc>
          <w:tcPr>
            <w:tcW w:w="5100" w:type="dxa"/>
            <w:vAlign w:val="bottom"/>
          </w:tcPr>
          <w:p>
            <w:pPr>
              <w:ind w:left="480"/>
              <w:spacing w:after="0"/>
              <w:rPr>
                <w:sz w:val="20"/>
                <w:szCs w:val="20"/>
                <w:color w:val="auto"/>
              </w:rPr>
            </w:pPr>
            <w:r>
              <w:rPr>
                <w:rFonts w:ascii="Arial" w:cs="Arial" w:eastAsia="Arial" w:hAnsi="Arial"/>
                <w:sz w:val="18"/>
                <w:szCs w:val="18"/>
                <w:color w:val="auto"/>
                <w:w w:val="99"/>
              </w:rPr>
              <w:t>Agreement and Plan of Merger, dated as of December 13,</w:t>
            </w:r>
          </w:p>
        </w:tc>
      </w:tr>
      <w:tr>
        <w:trPr>
          <w:trHeight w:val="203"/>
        </w:trPr>
        <w:tc>
          <w:tcPr>
            <w:tcW w:w="940" w:type="dxa"/>
            <w:vAlign w:val="bottom"/>
          </w:tcPr>
          <w:p>
            <w:pPr>
              <w:spacing w:after="0"/>
              <w:rPr>
                <w:sz w:val="17"/>
                <w:szCs w:val="17"/>
                <w:color w:val="auto"/>
              </w:rPr>
            </w:pPr>
          </w:p>
        </w:tc>
        <w:tc>
          <w:tcPr>
            <w:tcW w:w="5100" w:type="dxa"/>
            <w:vAlign w:val="bottom"/>
          </w:tcPr>
          <w:p>
            <w:pPr>
              <w:ind w:left="480"/>
              <w:spacing w:after="0" w:line="202" w:lineRule="exact"/>
              <w:rPr>
                <w:sz w:val="20"/>
                <w:szCs w:val="20"/>
                <w:color w:val="auto"/>
              </w:rPr>
            </w:pPr>
            <w:r>
              <w:rPr>
                <w:rFonts w:ascii="Arial" w:cs="Arial" w:eastAsia="Arial" w:hAnsi="Arial"/>
                <w:sz w:val="18"/>
                <w:szCs w:val="18"/>
                <w:color w:val="auto"/>
              </w:rPr>
              <w:t>2004, by and among The Scotts Company, The Scotts</w:t>
            </w:r>
          </w:p>
        </w:tc>
      </w:tr>
      <w:tr>
        <w:trPr>
          <w:trHeight w:val="243"/>
        </w:trPr>
        <w:tc>
          <w:tcPr>
            <w:tcW w:w="940" w:type="dxa"/>
            <w:vAlign w:val="bottom"/>
          </w:tcPr>
          <w:p>
            <w:pPr>
              <w:spacing w:after="0"/>
              <w:rPr>
                <w:sz w:val="21"/>
                <w:szCs w:val="21"/>
                <w:color w:val="auto"/>
              </w:rPr>
            </w:pPr>
          </w:p>
        </w:tc>
        <w:tc>
          <w:tcPr>
            <w:tcW w:w="5100" w:type="dxa"/>
            <w:vAlign w:val="bottom"/>
          </w:tcPr>
          <w:p>
            <w:pPr>
              <w:ind w:left="480"/>
              <w:spacing w:after="0"/>
              <w:rPr>
                <w:sz w:val="20"/>
                <w:szCs w:val="20"/>
                <w:color w:val="auto"/>
              </w:rPr>
            </w:pPr>
            <w:r>
              <w:rPr>
                <w:rFonts w:ascii="Arial" w:cs="Arial" w:eastAsia="Arial" w:hAnsi="Arial"/>
                <w:sz w:val="18"/>
                <w:szCs w:val="18"/>
                <w:color w:val="auto"/>
              </w:rPr>
              <w:t>Company LLC and The Scotts Miracle-Gro Company</w:t>
            </w:r>
          </w:p>
        </w:tc>
      </w:tr>
      <w:tr>
        <w:trPr>
          <w:trHeight w:val="540"/>
        </w:trPr>
        <w:tc>
          <w:tcPr>
            <w:tcW w:w="940" w:type="dxa"/>
            <w:vAlign w:val="bottom"/>
          </w:tcPr>
          <w:p>
            <w:pPr>
              <w:spacing w:after="0"/>
              <w:rPr>
                <w:sz w:val="20"/>
                <w:szCs w:val="20"/>
                <w:color w:val="auto"/>
              </w:rPr>
            </w:pPr>
            <w:r>
              <w:rPr>
                <w:rFonts w:ascii="Arial" w:cs="Arial" w:eastAsia="Arial" w:hAnsi="Arial"/>
                <w:sz w:val="18"/>
                <w:szCs w:val="18"/>
                <w:color w:val="auto"/>
              </w:rPr>
              <w:t>3.1(a)</w:t>
            </w:r>
          </w:p>
        </w:tc>
        <w:tc>
          <w:tcPr>
            <w:tcW w:w="5100" w:type="dxa"/>
            <w:vAlign w:val="bottom"/>
          </w:tcPr>
          <w:p>
            <w:pPr>
              <w:ind w:left="480"/>
              <w:spacing w:after="0"/>
              <w:rPr>
                <w:sz w:val="20"/>
                <w:szCs w:val="20"/>
                <w:color w:val="auto"/>
              </w:rPr>
            </w:pPr>
            <w:r>
              <w:rPr>
                <w:rFonts w:ascii="Arial" w:cs="Arial" w:eastAsia="Arial" w:hAnsi="Arial"/>
                <w:sz w:val="18"/>
                <w:szCs w:val="18"/>
                <w:color w:val="auto"/>
              </w:rPr>
              <w:t>Initial Articles of Incorporation of The Scotts Miracle-Gro</w:t>
            </w:r>
          </w:p>
        </w:tc>
      </w:tr>
      <w:tr>
        <w:trPr>
          <w:trHeight w:val="203"/>
        </w:trPr>
        <w:tc>
          <w:tcPr>
            <w:tcW w:w="940" w:type="dxa"/>
            <w:vAlign w:val="bottom"/>
          </w:tcPr>
          <w:p>
            <w:pPr>
              <w:spacing w:after="0"/>
              <w:rPr>
                <w:sz w:val="17"/>
                <w:szCs w:val="17"/>
                <w:color w:val="auto"/>
              </w:rPr>
            </w:pPr>
          </w:p>
        </w:tc>
        <w:tc>
          <w:tcPr>
            <w:tcW w:w="5100" w:type="dxa"/>
            <w:vAlign w:val="bottom"/>
          </w:tcPr>
          <w:p>
            <w:pPr>
              <w:ind w:left="480"/>
              <w:spacing w:after="0" w:line="202" w:lineRule="exact"/>
              <w:rPr>
                <w:sz w:val="20"/>
                <w:szCs w:val="20"/>
                <w:color w:val="auto"/>
              </w:rPr>
            </w:pPr>
            <w:r>
              <w:rPr>
                <w:rFonts w:ascii="Arial" w:cs="Arial" w:eastAsia="Arial" w:hAnsi="Arial"/>
                <w:sz w:val="18"/>
                <w:szCs w:val="18"/>
                <w:color w:val="auto"/>
              </w:rPr>
              <w:t>Company as filed with the Ohio Secretary of State on</w:t>
            </w:r>
          </w:p>
        </w:tc>
      </w:tr>
      <w:tr>
        <w:trPr>
          <w:trHeight w:val="243"/>
        </w:trPr>
        <w:tc>
          <w:tcPr>
            <w:tcW w:w="940" w:type="dxa"/>
            <w:vAlign w:val="bottom"/>
          </w:tcPr>
          <w:p>
            <w:pPr>
              <w:spacing w:after="0"/>
              <w:rPr>
                <w:sz w:val="21"/>
                <w:szCs w:val="21"/>
                <w:color w:val="auto"/>
              </w:rPr>
            </w:pPr>
          </w:p>
        </w:tc>
        <w:tc>
          <w:tcPr>
            <w:tcW w:w="5100" w:type="dxa"/>
            <w:vAlign w:val="bottom"/>
          </w:tcPr>
          <w:p>
            <w:pPr>
              <w:ind w:left="480"/>
              <w:spacing w:after="0"/>
              <w:rPr>
                <w:sz w:val="20"/>
                <w:szCs w:val="20"/>
                <w:color w:val="auto"/>
              </w:rPr>
            </w:pPr>
            <w:r>
              <w:rPr>
                <w:rFonts w:ascii="Arial" w:cs="Arial" w:eastAsia="Arial" w:hAnsi="Arial"/>
                <w:sz w:val="18"/>
                <w:szCs w:val="18"/>
                <w:color w:val="auto"/>
              </w:rPr>
              <w:t>November 22, 2004</w:t>
            </w:r>
          </w:p>
        </w:tc>
      </w:tr>
      <w:tr>
        <w:trPr>
          <w:trHeight w:val="946"/>
        </w:trPr>
        <w:tc>
          <w:tcPr>
            <w:tcW w:w="940" w:type="dxa"/>
            <w:vAlign w:val="bottom"/>
          </w:tcPr>
          <w:p>
            <w:pPr>
              <w:spacing w:after="0"/>
              <w:rPr>
                <w:sz w:val="20"/>
                <w:szCs w:val="20"/>
                <w:color w:val="auto"/>
              </w:rPr>
            </w:pPr>
            <w:r>
              <w:rPr>
                <w:rFonts w:ascii="Arial" w:cs="Arial" w:eastAsia="Arial" w:hAnsi="Arial"/>
                <w:sz w:val="18"/>
                <w:szCs w:val="18"/>
                <w:color w:val="auto"/>
              </w:rPr>
              <w:t>3.1(b)</w:t>
            </w:r>
          </w:p>
        </w:tc>
        <w:tc>
          <w:tcPr>
            <w:tcW w:w="5100" w:type="dxa"/>
            <w:vAlign w:val="bottom"/>
          </w:tcPr>
          <w:p>
            <w:pPr>
              <w:ind w:left="480"/>
              <w:spacing w:after="0"/>
              <w:rPr>
                <w:sz w:val="20"/>
                <w:szCs w:val="20"/>
                <w:color w:val="auto"/>
              </w:rPr>
            </w:pPr>
            <w:r>
              <w:rPr>
                <w:rFonts w:ascii="Arial" w:cs="Arial" w:eastAsia="Arial" w:hAnsi="Arial"/>
                <w:sz w:val="18"/>
                <w:szCs w:val="18"/>
                <w:color w:val="auto"/>
              </w:rPr>
              <w:t>Certificate of Amendment by Shareholders to Articles of</w:t>
            </w:r>
          </w:p>
        </w:tc>
      </w:tr>
      <w:tr>
        <w:trPr>
          <w:trHeight w:val="203"/>
        </w:trPr>
        <w:tc>
          <w:tcPr>
            <w:tcW w:w="940" w:type="dxa"/>
            <w:vAlign w:val="bottom"/>
          </w:tcPr>
          <w:p>
            <w:pPr>
              <w:spacing w:after="0"/>
              <w:rPr>
                <w:sz w:val="17"/>
                <w:szCs w:val="17"/>
                <w:color w:val="auto"/>
              </w:rPr>
            </w:pPr>
          </w:p>
        </w:tc>
        <w:tc>
          <w:tcPr>
            <w:tcW w:w="5100" w:type="dxa"/>
            <w:vAlign w:val="bottom"/>
          </w:tcPr>
          <w:p>
            <w:pPr>
              <w:ind w:left="480"/>
              <w:spacing w:after="0" w:line="202" w:lineRule="exact"/>
              <w:rPr>
                <w:sz w:val="20"/>
                <w:szCs w:val="20"/>
                <w:color w:val="auto"/>
              </w:rPr>
            </w:pPr>
            <w:r>
              <w:rPr>
                <w:rFonts w:ascii="Arial" w:cs="Arial" w:eastAsia="Arial" w:hAnsi="Arial"/>
                <w:sz w:val="18"/>
                <w:szCs w:val="18"/>
                <w:color w:val="auto"/>
              </w:rPr>
              <w:t>Incorporation of The Scotts Miracle-Gro Company as filed</w:t>
            </w:r>
          </w:p>
        </w:tc>
      </w:tr>
      <w:tr>
        <w:trPr>
          <w:trHeight w:val="243"/>
        </w:trPr>
        <w:tc>
          <w:tcPr>
            <w:tcW w:w="940" w:type="dxa"/>
            <w:vAlign w:val="bottom"/>
          </w:tcPr>
          <w:p>
            <w:pPr>
              <w:spacing w:after="0"/>
              <w:rPr>
                <w:sz w:val="21"/>
                <w:szCs w:val="21"/>
                <w:color w:val="auto"/>
              </w:rPr>
            </w:pPr>
          </w:p>
        </w:tc>
        <w:tc>
          <w:tcPr>
            <w:tcW w:w="5100" w:type="dxa"/>
            <w:vAlign w:val="bottom"/>
          </w:tcPr>
          <w:p>
            <w:pPr>
              <w:ind w:left="480"/>
              <w:spacing w:after="0"/>
              <w:rPr>
                <w:sz w:val="20"/>
                <w:szCs w:val="20"/>
                <w:color w:val="auto"/>
              </w:rPr>
            </w:pPr>
            <w:r>
              <w:rPr>
                <w:rFonts w:ascii="Arial" w:cs="Arial" w:eastAsia="Arial" w:hAnsi="Arial"/>
                <w:sz w:val="18"/>
                <w:szCs w:val="18"/>
                <w:color w:val="auto"/>
              </w:rPr>
              <w:t>with the Ohio Secretary of State on March 18, 2005</w:t>
            </w:r>
          </w:p>
        </w:tc>
      </w:tr>
      <w:tr>
        <w:trPr>
          <w:trHeight w:val="783"/>
        </w:trPr>
        <w:tc>
          <w:tcPr>
            <w:tcW w:w="940" w:type="dxa"/>
            <w:vAlign w:val="bottom"/>
          </w:tcPr>
          <w:p>
            <w:pPr>
              <w:spacing w:after="0"/>
              <w:rPr>
                <w:sz w:val="20"/>
                <w:szCs w:val="20"/>
                <w:color w:val="auto"/>
              </w:rPr>
            </w:pPr>
            <w:r>
              <w:rPr>
                <w:rFonts w:ascii="Arial" w:cs="Arial" w:eastAsia="Arial" w:hAnsi="Arial"/>
                <w:sz w:val="18"/>
                <w:szCs w:val="18"/>
                <w:color w:val="auto"/>
              </w:rPr>
              <w:t>3.2</w:t>
            </w:r>
          </w:p>
        </w:tc>
        <w:tc>
          <w:tcPr>
            <w:tcW w:w="5100" w:type="dxa"/>
            <w:vAlign w:val="bottom"/>
          </w:tcPr>
          <w:p>
            <w:pPr>
              <w:ind w:left="480"/>
              <w:spacing w:after="0"/>
              <w:rPr>
                <w:sz w:val="20"/>
                <w:szCs w:val="20"/>
                <w:color w:val="auto"/>
              </w:rPr>
            </w:pPr>
            <w:r>
              <w:rPr>
                <w:rFonts w:ascii="Arial" w:cs="Arial" w:eastAsia="Arial" w:hAnsi="Arial"/>
                <w:sz w:val="18"/>
                <w:szCs w:val="18"/>
                <w:color w:val="auto"/>
              </w:rPr>
              <w:t>Code of Regulations of The Scotts Miracle-Gro Company</w:t>
            </w:r>
          </w:p>
        </w:tc>
      </w:tr>
    </w:tbl>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jc w:val="both"/>
        <w:ind w:right="120"/>
        <w:spacing w:after="0" w:line="277" w:lineRule="auto"/>
        <w:rPr>
          <w:sz w:val="20"/>
          <w:szCs w:val="20"/>
          <w:color w:val="auto"/>
        </w:rPr>
      </w:pPr>
      <w:r>
        <w:rPr>
          <w:rFonts w:ascii="Arial" w:cs="Arial" w:eastAsia="Arial" w:hAnsi="Arial"/>
          <w:sz w:val="17"/>
          <w:szCs w:val="17"/>
          <w:color w:val="auto"/>
        </w:rPr>
        <w:t>Incorporated herein by reference to Scotts’ Current Report on Form 8-K filed February 2, 2005 (File No. 1-13292) [Exhibit 2.1]</w:t>
      </w:r>
    </w:p>
    <w:p>
      <w:pPr>
        <w:spacing w:after="0" w:line="309" w:lineRule="exact"/>
        <w:rPr>
          <w:sz w:val="20"/>
          <w:szCs w:val="20"/>
          <w:color w:val="auto"/>
        </w:rPr>
      </w:pPr>
    </w:p>
    <w:p>
      <w:pPr>
        <w:ind w:right="160"/>
        <w:spacing w:after="0" w:line="245" w:lineRule="auto"/>
        <w:rPr>
          <w:sz w:val="20"/>
          <w:szCs w:val="20"/>
          <w:color w:val="auto"/>
        </w:rPr>
      </w:pPr>
      <w:r>
        <w:rPr>
          <w:rFonts w:ascii="Arial" w:cs="Arial" w:eastAsia="Arial" w:hAnsi="Arial"/>
          <w:sz w:val="18"/>
          <w:szCs w:val="18"/>
          <w:color w:val="auto"/>
        </w:rPr>
        <w:t>Incorporated herein by reference to the Current Report on Form 8-K of The Scotts Miracle-Gro Company (the “Registrant”) filed March 24, 2005 (File No. 1-13292) [Exhibit 3.1]</w:t>
      </w:r>
    </w:p>
    <w:p>
      <w:pPr>
        <w:spacing w:after="0" w:line="335" w:lineRule="exact"/>
        <w:rPr>
          <w:sz w:val="20"/>
          <w:szCs w:val="20"/>
          <w:color w:val="auto"/>
        </w:rPr>
      </w:pPr>
    </w:p>
    <w:p>
      <w:pPr>
        <w:ind w:right="280"/>
        <w:spacing w:after="0" w:line="248" w:lineRule="auto"/>
        <w:rPr>
          <w:sz w:val="20"/>
          <w:szCs w:val="20"/>
          <w:color w:val="auto"/>
        </w:rPr>
      </w:pPr>
      <w:r>
        <w:rPr>
          <w:rFonts w:ascii="Arial" w:cs="Arial" w:eastAsia="Arial" w:hAnsi="Arial"/>
          <w:sz w:val="18"/>
          <w:szCs w:val="18"/>
          <w:color w:val="auto"/>
        </w:rPr>
        <w:t>Incorporated herein by reference to the Registrant’s Current Report on Form 8-K filed March 24, 2005 (File No. 1-13292) [Exhibit 3.2]</w:t>
      </w:r>
    </w:p>
    <w:p>
      <w:pPr>
        <w:spacing w:after="0" w:line="333" w:lineRule="exact"/>
        <w:rPr>
          <w:sz w:val="20"/>
          <w:szCs w:val="20"/>
          <w:color w:val="auto"/>
        </w:rPr>
      </w:pPr>
    </w:p>
    <w:p>
      <w:pPr>
        <w:ind w:right="280"/>
        <w:spacing w:after="0" w:line="248" w:lineRule="auto"/>
        <w:rPr>
          <w:sz w:val="20"/>
          <w:szCs w:val="20"/>
          <w:color w:val="auto"/>
        </w:rPr>
      </w:pPr>
      <w:r>
        <w:rPr>
          <w:rFonts w:ascii="Arial" w:cs="Arial" w:eastAsia="Arial" w:hAnsi="Arial"/>
          <w:sz w:val="18"/>
          <w:szCs w:val="18"/>
          <w:color w:val="auto"/>
        </w:rPr>
        <w:t>Incorporated herein by reference to the Registrant’s Current Report on Form 8-K filed March 24, 2005 (File No. 1-13292) [Exhibit 3.3]</w:t>
      </w:r>
    </w:p>
    <w:p>
      <w:pPr>
        <w:spacing w:after="0" w:line="200" w:lineRule="exact"/>
        <w:rPr>
          <w:sz w:val="20"/>
          <w:szCs w:val="20"/>
          <w:color w:val="auto"/>
        </w:rPr>
      </w:pPr>
    </w:p>
    <w:p>
      <w:pPr>
        <w:sectPr>
          <w:pgSz w:w="11900" w:h="16838" w:orient="portrait"/>
          <w:cols w:equalWidth="0" w:num="2">
            <w:col w:w="6740" w:space="480"/>
            <w:col w:w="3520"/>
          </w:cols>
          <w:pgMar w:left="240" w:top="415" w:right="919" w:bottom="1440" w:gutter="0" w:footer="0" w:header="0"/>
          <w:type w:val="continuous"/>
        </w:sectPr>
      </w:pPr>
    </w:p>
    <w:p>
      <w:pPr>
        <w:spacing w:after="0" w:line="11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0"/>
          <w:szCs w:val="10"/>
          <w:b w:val="1"/>
          <w:bCs w:val="1"/>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-71120</wp:posOffset>
            </wp:positionV>
            <wp:extent cx="19748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149225</wp:posOffset>
            </wp:positionV>
            <wp:extent cx="7250430" cy="215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240" w:top="415" w:right="919" w:bottom="1440" w:gutter="0" w:footer="0" w:header="0"/>
          <w:type w:val="continuous"/>
        </w:sectPr>
      </w:pPr>
    </w:p>
    <w:bookmarkStart w:id="115" w:name="page116"/>
    <w:bookmarkEnd w:id="115"/>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Times New Roman" w:cs="Times New Roman" w:eastAsia="Times New Roman" w:hAnsi="Times New Roman"/>
                <w:sz w:val="18"/>
                <w:szCs w:val="18"/>
                <w:b w:val="1"/>
                <w:bCs w:val="1"/>
                <w:color w:val="0000EE"/>
                <w:w w:val="97"/>
              </w:rPr>
            </w:pPr>
            <w:hyperlink w:anchor="page64">
              <w:r>
                <w:rPr>
                  <w:rFonts w:ascii="Times New Roman" w:cs="Times New Roman" w:eastAsia="Times New Roman" w:hAnsi="Times New Roman"/>
                  <w:sz w:val="18"/>
                  <w:szCs w:val="18"/>
                  <w:b w:val="1"/>
                  <w:bCs w:val="1"/>
                  <w:color w:val="0000EE"/>
                  <w:w w:val="97"/>
                </w:rPr>
                <w:t>Table of Contents</w:t>
              </w:r>
            </w:hyperlink>
          </w:p>
        </w:tc>
        <w:tc>
          <w:tcPr>
            <w:tcW w:w="480" w:type="dxa"/>
            <w:vAlign w:val="bottom"/>
          </w:tcPr>
          <w:p>
            <w:pPr>
              <w:spacing w:after="0"/>
              <w:rPr>
                <w:sz w:val="17"/>
                <w:szCs w:val="17"/>
                <w:color w:val="auto"/>
              </w:rPr>
            </w:pPr>
          </w:p>
        </w:tc>
        <w:tc>
          <w:tcPr>
            <w:tcW w:w="5280" w:type="dxa"/>
            <w:vAlign w:val="bottom"/>
          </w:tcPr>
          <w:p>
            <w:pPr>
              <w:spacing w:after="0"/>
              <w:rPr>
                <w:sz w:val="17"/>
                <w:szCs w:val="17"/>
                <w:color w:val="auto"/>
              </w:rPr>
            </w:pPr>
          </w:p>
        </w:tc>
        <w:tc>
          <w:tcPr>
            <w:tcW w:w="3620" w:type="dxa"/>
            <w:vAlign w:val="bottom"/>
          </w:tcPr>
          <w:p>
            <w:pPr>
              <w:spacing w:after="0"/>
              <w:rPr>
                <w:sz w:val="17"/>
                <w:szCs w:val="17"/>
                <w:color w:val="auto"/>
              </w:rPr>
            </w:pPr>
          </w:p>
        </w:tc>
      </w:tr>
      <w:tr>
        <w:trPr>
          <w:trHeight w:val="511"/>
        </w:trPr>
        <w:tc>
          <w:tcPr>
            <w:tcW w:w="700" w:type="dxa"/>
            <w:vAlign w:val="bottom"/>
          </w:tcPr>
          <w:p>
            <w:pPr>
              <w:spacing w:after="0"/>
              <w:rPr>
                <w:sz w:val="24"/>
                <w:szCs w:val="24"/>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9"/>
              </w:rPr>
              <w:t>Exhibit</w:t>
            </w:r>
          </w:p>
        </w:tc>
        <w:tc>
          <w:tcPr>
            <w:tcW w:w="528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239"/>
        </w:trPr>
        <w:tc>
          <w:tcPr>
            <w:tcW w:w="700" w:type="dxa"/>
            <w:vAlign w:val="bottom"/>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9"/>
              </w:rPr>
              <w:t>No.</w:t>
            </w:r>
          </w:p>
        </w:tc>
        <w:tc>
          <w:tcPr>
            <w:tcW w:w="5280" w:type="dxa"/>
            <w:vAlign w:val="bottom"/>
            <w:tcBorders>
              <w:bottom w:val="single" w:sz="8" w:color="auto"/>
            </w:tcBorders>
          </w:tcPr>
          <w:p>
            <w:pPr>
              <w:ind w:left="2280"/>
              <w:spacing w:after="0"/>
              <w:rPr>
                <w:sz w:val="20"/>
                <w:szCs w:val="20"/>
                <w:color w:val="auto"/>
              </w:rPr>
            </w:pPr>
            <w:r>
              <w:rPr>
                <w:rFonts w:ascii="Arial" w:cs="Arial" w:eastAsia="Arial" w:hAnsi="Arial"/>
                <w:sz w:val="18"/>
                <w:szCs w:val="18"/>
                <w:color w:val="auto"/>
              </w:rPr>
              <w:t>Description</w:t>
            </w:r>
          </w:p>
        </w:tc>
        <w:tc>
          <w:tcPr>
            <w:tcW w:w="3620" w:type="dxa"/>
            <w:vAlign w:val="bottom"/>
            <w:tcBorders>
              <w:bottom w:val="single" w:sz="8" w:color="auto"/>
            </w:tcBorders>
          </w:tcPr>
          <w:p>
            <w:pPr>
              <w:ind w:left="1520"/>
              <w:spacing w:after="0"/>
              <w:rPr>
                <w:sz w:val="20"/>
                <w:szCs w:val="20"/>
                <w:color w:val="auto"/>
              </w:rPr>
            </w:pPr>
            <w:r>
              <w:rPr>
                <w:rFonts w:ascii="Arial" w:cs="Arial" w:eastAsia="Arial" w:hAnsi="Arial"/>
                <w:sz w:val="18"/>
                <w:szCs w:val="18"/>
                <w:color w:val="auto"/>
              </w:rPr>
              <w:t>Location</w:t>
            </w:r>
          </w:p>
        </w:tc>
      </w:tr>
      <w:tr>
        <w:trPr>
          <w:trHeight w:val="227"/>
        </w:trPr>
        <w:tc>
          <w:tcPr>
            <w:tcW w:w="1840" w:type="dxa"/>
            <w:vAlign w:val="bottom"/>
            <w:gridSpan w:val="3"/>
          </w:tcPr>
          <w:p>
            <w:pPr>
              <w:ind w:left="700"/>
              <w:spacing w:after="0"/>
              <w:rPr>
                <w:sz w:val="20"/>
                <w:szCs w:val="20"/>
                <w:color w:val="auto"/>
              </w:rPr>
            </w:pPr>
            <w:r>
              <w:rPr>
                <w:rFonts w:ascii="Arial" w:cs="Arial" w:eastAsia="Arial" w:hAnsi="Arial"/>
                <w:sz w:val="18"/>
                <w:szCs w:val="18"/>
                <w:color w:val="auto"/>
              </w:rPr>
              <w:t>4.1(a)</w:t>
            </w:r>
          </w:p>
        </w:tc>
        <w:tc>
          <w:tcPr>
            <w:tcW w:w="5280" w:type="dxa"/>
            <w:vAlign w:val="bottom"/>
          </w:tcPr>
          <w:p>
            <w:pPr>
              <w:ind w:left="280"/>
              <w:spacing w:after="0"/>
              <w:rPr>
                <w:sz w:val="20"/>
                <w:szCs w:val="20"/>
                <w:color w:val="auto"/>
              </w:rPr>
            </w:pPr>
            <w:r>
              <w:rPr>
                <w:rFonts w:ascii="Arial" w:cs="Arial" w:eastAsia="Arial" w:hAnsi="Arial"/>
                <w:sz w:val="18"/>
                <w:szCs w:val="18"/>
                <w:color w:val="auto"/>
              </w:rPr>
              <w:t>Amended and Restated Credit Agreement, dated as of</w:t>
            </w:r>
          </w:p>
        </w:tc>
        <w:tc>
          <w:tcPr>
            <w:tcW w:w="3620" w:type="dxa"/>
            <w:vAlign w:val="bottom"/>
          </w:tcPr>
          <w:p>
            <w:pPr>
              <w:ind w:left="100"/>
              <w:spacing w:after="0"/>
              <w:rPr>
                <w:sz w:val="20"/>
                <w:szCs w:val="20"/>
                <w:color w:val="auto"/>
              </w:rPr>
            </w:pPr>
            <w:r>
              <w:rPr>
                <w:rFonts w:ascii="Arial" w:cs="Arial" w:eastAsia="Arial" w:hAnsi="Arial"/>
                <w:sz w:val="18"/>
                <w:szCs w:val="18"/>
                <w:color w:val="auto"/>
              </w:rPr>
              <w:t>Incorporated herein by reference to the</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80" w:type="dxa"/>
            <w:vAlign w:val="bottom"/>
          </w:tcPr>
          <w:p>
            <w:pPr>
              <w:ind w:left="280"/>
              <w:spacing w:after="0" w:line="202" w:lineRule="exact"/>
              <w:rPr>
                <w:sz w:val="20"/>
                <w:szCs w:val="20"/>
                <w:color w:val="auto"/>
              </w:rPr>
            </w:pPr>
            <w:r>
              <w:rPr>
                <w:rFonts w:ascii="Arial" w:cs="Arial" w:eastAsia="Arial" w:hAnsi="Arial"/>
                <w:sz w:val="18"/>
                <w:szCs w:val="18"/>
                <w:color w:val="auto"/>
              </w:rPr>
              <w:t>February 7, 2007, by and among The Scotts Miracle-Gro</w:t>
            </w:r>
          </w:p>
        </w:tc>
        <w:tc>
          <w:tcPr>
            <w:tcW w:w="3620" w:type="dxa"/>
            <w:vAlign w:val="bottom"/>
          </w:tcPr>
          <w:p>
            <w:pPr>
              <w:ind w:left="100"/>
              <w:spacing w:after="0" w:line="202" w:lineRule="exact"/>
              <w:rPr>
                <w:sz w:val="20"/>
                <w:szCs w:val="20"/>
                <w:color w:val="auto"/>
              </w:rPr>
            </w:pPr>
            <w:r>
              <w:rPr>
                <w:rFonts w:ascii="Arial" w:cs="Arial" w:eastAsia="Arial" w:hAnsi="Arial"/>
                <w:sz w:val="18"/>
                <w:szCs w:val="18"/>
                <w:color w:val="auto"/>
                <w:w w:val="99"/>
              </w:rPr>
              <w:t>Registrant’s Quarterly Report on Form 10-Q</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80" w:type="dxa"/>
            <w:vAlign w:val="bottom"/>
          </w:tcPr>
          <w:p>
            <w:pPr>
              <w:ind w:left="280"/>
              <w:spacing w:after="0" w:line="202" w:lineRule="exact"/>
              <w:rPr>
                <w:sz w:val="20"/>
                <w:szCs w:val="20"/>
                <w:color w:val="auto"/>
              </w:rPr>
            </w:pPr>
            <w:r>
              <w:rPr>
                <w:rFonts w:ascii="Arial" w:cs="Arial" w:eastAsia="Arial" w:hAnsi="Arial"/>
                <w:sz w:val="18"/>
                <w:szCs w:val="18"/>
                <w:color w:val="auto"/>
              </w:rPr>
              <w:t>Company as the “Borrower”; the Subsidiary Borrowers (as</w:t>
            </w:r>
          </w:p>
        </w:tc>
        <w:tc>
          <w:tcPr>
            <w:tcW w:w="3620" w:type="dxa"/>
            <w:vAlign w:val="bottom"/>
          </w:tcPr>
          <w:p>
            <w:pPr>
              <w:ind w:left="100"/>
              <w:spacing w:after="0" w:line="202" w:lineRule="exact"/>
              <w:rPr>
                <w:sz w:val="20"/>
                <w:szCs w:val="20"/>
                <w:color w:val="auto"/>
              </w:rPr>
            </w:pPr>
            <w:r>
              <w:rPr>
                <w:rFonts w:ascii="Arial" w:cs="Arial" w:eastAsia="Arial" w:hAnsi="Arial"/>
                <w:sz w:val="18"/>
                <w:szCs w:val="18"/>
                <w:color w:val="auto"/>
              </w:rPr>
              <w:t>for the quarterly period ended March 31,</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80" w:type="dxa"/>
            <w:vAlign w:val="bottom"/>
          </w:tcPr>
          <w:p>
            <w:pPr>
              <w:ind w:left="280"/>
              <w:spacing w:after="0" w:line="202" w:lineRule="exact"/>
              <w:rPr>
                <w:sz w:val="20"/>
                <w:szCs w:val="20"/>
                <w:color w:val="auto"/>
              </w:rPr>
            </w:pPr>
            <w:r>
              <w:rPr>
                <w:rFonts w:ascii="Arial" w:cs="Arial" w:eastAsia="Arial" w:hAnsi="Arial"/>
                <w:sz w:val="18"/>
                <w:szCs w:val="18"/>
                <w:color w:val="auto"/>
              </w:rPr>
              <w:t>defined in the Amended and Restated Credit Agreement); the</w:t>
            </w:r>
          </w:p>
        </w:tc>
        <w:tc>
          <w:tcPr>
            <w:tcW w:w="3620" w:type="dxa"/>
            <w:vAlign w:val="bottom"/>
          </w:tcPr>
          <w:p>
            <w:pPr>
              <w:ind w:left="100"/>
              <w:spacing w:after="0" w:line="202" w:lineRule="exact"/>
              <w:rPr>
                <w:sz w:val="20"/>
                <w:szCs w:val="20"/>
                <w:color w:val="auto"/>
              </w:rPr>
            </w:pPr>
            <w:r>
              <w:rPr>
                <w:rFonts w:ascii="Arial" w:cs="Arial" w:eastAsia="Arial" w:hAnsi="Arial"/>
                <w:sz w:val="18"/>
                <w:szCs w:val="18"/>
                <w:color w:val="auto"/>
              </w:rPr>
              <w:t>2007 (File No. 1-13292) [Exhibit 4(a)]</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80" w:type="dxa"/>
            <w:vAlign w:val="bottom"/>
          </w:tcPr>
          <w:p>
            <w:pPr>
              <w:ind w:left="280"/>
              <w:spacing w:after="0" w:line="202" w:lineRule="exact"/>
              <w:rPr>
                <w:sz w:val="20"/>
                <w:szCs w:val="20"/>
                <w:color w:val="auto"/>
              </w:rPr>
            </w:pPr>
            <w:r>
              <w:rPr>
                <w:rFonts w:ascii="Arial" w:cs="Arial" w:eastAsia="Arial" w:hAnsi="Arial"/>
                <w:sz w:val="18"/>
                <w:szCs w:val="18"/>
                <w:color w:val="auto"/>
              </w:rPr>
              <w:t>several banks and other financial institutions from time to</w:t>
            </w:r>
          </w:p>
        </w:tc>
        <w:tc>
          <w:tcPr>
            <w:tcW w:w="362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80" w:type="dxa"/>
            <w:vAlign w:val="bottom"/>
          </w:tcPr>
          <w:p>
            <w:pPr>
              <w:ind w:left="280"/>
              <w:spacing w:after="0" w:line="202" w:lineRule="exact"/>
              <w:rPr>
                <w:sz w:val="20"/>
                <w:szCs w:val="20"/>
                <w:color w:val="auto"/>
              </w:rPr>
            </w:pPr>
            <w:r>
              <w:rPr>
                <w:rFonts w:ascii="Arial" w:cs="Arial" w:eastAsia="Arial" w:hAnsi="Arial"/>
                <w:sz w:val="18"/>
                <w:szCs w:val="18"/>
                <w:color w:val="auto"/>
              </w:rPr>
              <w:t>time parties to the Amended and Restated Credit Agreement;</w:t>
            </w:r>
          </w:p>
        </w:tc>
        <w:tc>
          <w:tcPr>
            <w:tcW w:w="362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80" w:type="dxa"/>
            <w:vAlign w:val="bottom"/>
          </w:tcPr>
          <w:p>
            <w:pPr>
              <w:ind w:left="280"/>
              <w:spacing w:after="0" w:line="202" w:lineRule="exact"/>
              <w:rPr>
                <w:sz w:val="20"/>
                <w:szCs w:val="20"/>
                <w:color w:val="auto"/>
              </w:rPr>
            </w:pPr>
            <w:r>
              <w:rPr>
                <w:rFonts w:ascii="Arial" w:cs="Arial" w:eastAsia="Arial" w:hAnsi="Arial"/>
                <w:sz w:val="18"/>
                <w:szCs w:val="18"/>
                <w:color w:val="auto"/>
              </w:rPr>
              <w:t>Bank of America, N.A., as Syndication Agent; The Bank of</w:t>
            </w:r>
          </w:p>
        </w:tc>
        <w:tc>
          <w:tcPr>
            <w:tcW w:w="362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80" w:type="dxa"/>
            <w:vAlign w:val="bottom"/>
          </w:tcPr>
          <w:p>
            <w:pPr>
              <w:ind w:left="280"/>
              <w:spacing w:after="0" w:line="202" w:lineRule="exact"/>
              <w:rPr>
                <w:sz w:val="20"/>
                <w:szCs w:val="20"/>
                <w:color w:val="auto"/>
              </w:rPr>
            </w:pPr>
            <w:r>
              <w:rPr>
                <w:rFonts w:ascii="Arial" w:cs="Arial" w:eastAsia="Arial" w:hAnsi="Arial"/>
                <w:sz w:val="18"/>
                <w:szCs w:val="18"/>
                <w:color w:val="auto"/>
              </w:rPr>
              <w:t>Tokyo-Mitsubushi UFJ. Ltd, BNP Paribas, CoBank, ACB,</w:t>
            </w:r>
          </w:p>
        </w:tc>
        <w:tc>
          <w:tcPr>
            <w:tcW w:w="362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80" w:type="dxa"/>
            <w:vAlign w:val="bottom"/>
          </w:tcPr>
          <w:p>
            <w:pPr>
              <w:ind w:left="280"/>
              <w:spacing w:after="0" w:line="202" w:lineRule="exact"/>
              <w:rPr>
                <w:sz w:val="20"/>
                <w:szCs w:val="20"/>
                <w:color w:val="auto"/>
              </w:rPr>
            </w:pPr>
            <w:r>
              <w:rPr>
                <w:rFonts w:ascii="Arial" w:cs="Arial" w:eastAsia="Arial" w:hAnsi="Arial"/>
                <w:sz w:val="18"/>
                <w:szCs w:val="18"/>
                <w:color w:val="auto"/>
              </w:rPr>
              <w:t>BMO Capital Markets Financing, Inc., LaSalle Bank N.A.,</w:t>
            </w:r>
          </w:p>
        </w:tc>
        <w:tc>
          <w:tcPr>
            <w:tcW w:w="362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80" w:type="dxa"/>
            <w:vAlign w:val="bottom"/>
          </w:tcPr>
          <w:p>
            <w:pPr>
              <w:ind w:left="280"/>
              <w:spacing w:after="0" w:line="202" w:lineRule="exact"/>
              <w:rPr>
                <w:sz w:val="20"/>
                <w:szCs w:val="20"/>
                <w:color w:val="auto"/>
              </w:rPr>
            </w:pPr>
            <w:r>
              <w:rPr>
                <w:rFonts w:ascii="Arial" w:cs="Arial" w:eastAsia="Arial" w:hAnsi="Arial"/>
                <w:sz w:val="18"/>
                <w:szCs w:val="18"/>
                <w:color w:val="auto"/>
              </w:rPr>
              <w:t>Cooperatieve Centrale Raiffeisen Boerenleenbank, B.A.</w:t>
            </w:r>
          </w:p>
        </w:tc>
        <w:tc>
          <w:tcPr>
            <w:tcW w:w="362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80" w:type="dxa"/>
            <w:vAlign w:val="bottom"/>
          </w:tcPr>
          <w:p>
            <w:pPr>
              <w:ind w:left="280"/>
              <w:spacing w:after="0" w:line="202" w:lineRule="exact"/>
              <w:rPr>
                <w:sz w:val="20"/>
                <w:szCs w:val="20"/>
                <w:color w:val="auto"/>
              </w:rPr>
            </w:pPr>
            <w:r>
              <w:rPr>
                <w:rFonts w:ascii="Arial" w:cs="Arial" w:eastAsia="Arial" w:hAnsi="Arial"/>
                <w:sz w:val="18"/>
                <w:szCs w:val="18"/>
                <w:color w:val="auto"/>
              </w:rPr>
              <w:t>“Rabobank Nederland”, New York Branch, Citicorp North</w:t>
            </w:r>
          </w:p>
        </w:tc>
        <w:tc>
          <w:tcPr>
            <w:tcW w:w="362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80" w:type="dxa"/>
            <w:vAlign w:val="bottom"/>
          </w:tcPr>
          <w:p>
            <w:pPr>
              <w:ind w:left="280"/>
              <w:spacing w:after="0" w:line="202" w:lineRule="exact"/>
              <w:rPr>
                <w:sz w:val="20"/>
                <w:szCs w:val="20"/>
                <w:color w:val="auto"/>
              </w:rPr>
            </w:pPr>
            <w:r>
              <w:rPr>
                <w:rFonts w:ascii="Arial" w:cs="Arial" w:eastAsia="Arial" w:hAnsi="Arial"/>
                <w:sz w:val="18"/>
                <w:szCs w:val="18"/>
                <w:color w:val="auto"/>
              </w:rPr>
              <w:t>America, Inc. and The Bank of Nova Scotia, as</w:t>
            </w:r>
          </w:p>
        </w:tc>
        <w:tc>
          <w:tcPr>
            <w:tcW w:w="362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80" w:type="dxa"/>
            <w:vAlign w:val="bottom"/>
          </w:tcPr>
          <w:p>
            <w:pPr>
              <w:ind w:left="280"/>
              <w:spacing w:after="0" w:line="202" w:lineRule="exact"/>
              <w:rPr>
                <w:sz w:val="20"/>
                <w:szCs w:val="20"/>
                <w:color w:val="auto"/>
              </w:rPr>
            </w:pPr>
            <w:r>
              <w:rPr>
                <w:rFonts w:ascii="Arial" w:cs="Arial" w:eastAsia="Arial" w:hAnsi="Arial"/>
                <w:sz w:val="18"/>
                <w:szCs w:val="18"/>
                <w:color w:val="auto"/>
              </w:rPr>
              <w:t>Documentation Agents; and JPMorgan Chase Bank, N.A., as</w:t>
            </w:r>
          </w:p>
        </w:tc>
        <w:tc>
          <w:tcPr>
            <w:tcW w:w="3620" w:type="dxa"/>
            <w:vAlign w:val="bottom"/>
          </w:tcPr>
          <w:p>
            <w:pPr>
              <w:spacing w:after="0"/>
              <w:rPr>
                <w:sz w:val="17"/>
                <w:szCs w:val="17"/>
                <w:color w:val="auto"/>
              </w:rPr>
            </w:pPr>
          </w:p>
        </w:tc>
      </w:tr>
      <w:tr>
        <w:trPr>
          <w:trHeight w:val="243"/>
        </w:trPr>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280" w:type="dxa"/>
            <w:vAlign w:val="bottom"/>
          </w:tcPr>
          <w:p>
            <w:pPr>
              <w:ind w:left="280"/>
              <w:spacing w:after="0"/>
              <w:rPr>
                <w:sz w:val="20"/>
                <w:szCs w:val="20"/>
                <w:color w:val="auto"/>
              </w:rPr>
            </w:pPr>
            <w:r>
              <w:rPr>
                <w:rFonts w:ascii="Arial" w:cs="Arial" w:eastAsia="Arial" w:hAnsi="Arial"/>
                <w:sz w:val="18"/>
                <w:szCs w:val="18"/>
                <w:color w:val="auto"/>
              </w:rPr>
              <w:t>Administrative Agent</w:t>
            </w:r>
          </w:p>
        </w:tc>
        <w:tc>
          <w:tcPr>
            <w:tcW w:w="3620" w:type="dxa"/>
            <w:vAlign w:val="bottom"/>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0740"/>
          </w:cols>
          <w:pgMar w:left="240" w:top="405" w:right="919" w:bottom="1440" w:gutter="0" w:footer="0" w:header="0"/>
        </w:sectPr>
      </w:pPr>
    </w:p>
    <w:p>
      <w:pPr>
        <w:spacing w:after="0" w:line="133"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940" w:type="dxa"/>
            <w:vAlign w:val="bottom"/>
          </w:tcPr>
          <w:p>
            <w:pPr>
              <w:spacing w:after="0"/>
              <w:rPr>
                <w:sz w:val="20"/>
                <w:szCs w:val="20"/>
                <w:color w:val="auto"/>
              </w:rPr>
            </w:pPr>
            <w:r>
              <w:rPr>
                <w:rFonts w:ascii="Arial" w:cs="Arial" w:eastAsia="Arial" w:hAnsi="Arial"/>
                <w:sz w:val="18"/>
                <w:szCs w:val="18"/>
                <w:color w:val="auto"/>
              </w:rPr>
              <w:t>4.1(b)</w:t>
            </w:r>
          </w:p>
        </w:tc>
        <w:tc>
          <w:tcPr>
            <w:tcW w:w="5380" w:type="dxa"/>
            <w:vAlign w:val="bottom"/>
          </w:tcPr>
          <w:p>
            <w:pPr>
              <w:ind w:left="480"/>
              <w:spacing w:after="0"/>
              <w:rPr>
                <w:sz w:val="20"/>
                <w:szCs w:val="20"/>
                <w:color w:val="auto"/>
              </w:rPr>
            </w:pPr>
            <w:r>
              <w:rPr>
                <w:rFonts w:ascii="Arial" w:cs="Arial" w:eastAsia="Arial" w:hAnsi="Arial"/>
                <w:sz w:val="18"/>
                <w:szCs w:val="18"/>
                <w:color w:val="auto"/>
                <w:w w:val="99"/>
              </w:rPr>
              <w:t>First Amendment, dated as of April 10, 2007, to the Amended</w:t>
            </w:r>
          </w:p>
        </w:tc>
      </w:tr>
      <w:tr>
        <w:trPr>
          <w:trHeight w:val="203"/>
        </w:trPr>
        <w:tc>
          <w:tcPr>
            <w:tcW w:w="940" w:type="dxa"/>
            <w:vAlign w:val="bottom"/>
          </w:tcPr>
          <w:p>
            <w:pPr>
              <w:spacing w:after="0"/>
              <w:rPr>
                <w:sz w:val="17"/>
                <w:szCs w:val="17"/>
                <w:color w:val="auto"/>
              </w:rPr>
            </w:pPr>
          </w:p>
        </w:tc>
        <w:tc>
          <w:tcPr>
            <w:tcW w:w="5380" w:type="dxa"/>
            <w:vAlign w:val="bottom"/>
          </w:tcPr>
          <w:p>
            <w:pPr>
              <w:ind w:left="480"/>
              <w:spacing w:after="0" w:line="202" w:lineRule="exact"/>
              <w:rPr>
                <w:sz w:val="20"/>
                <w:szCs w:val="20"/>
                <w:color w:val="auto"/>
              </w:rPr>
            </w:pPr>
            <w:r>
              <w:rPr>
                <w:rFonts w:ascii="Arial" w:cs="Arial" w:eastAsia="Arial" w:hAnsi="Arial"/>
                <w:sz w:val="18"/>
                <w:szCs w:val="18"/>
                <w:color w:val="auto"/>
              </w:rPr>
              <w:t>and Restated Credit Agreement, dated as of February 7,</w:t>
            </w:r>
          </w:p>
        </w:tc>
      </w:tr>
      <w:tr>
        <w:trPr>
          <w:trHeight w:val="203"/>
        </w:trPr>
        <w:tc>
          <w:tcPr>
            <w:tcW w:w="940" w:type="dxa"/>
            <w:vAlign w:val="bottom"/>
          </w:tcPr>
          <w:p>
            <w:pPr>
              <w:spacing w:after="0"/>
              <w:rPr>
                <w:sz w:val="17"/>
                <w:szCs w:val="17"/>
                <w:color w:val="auto"/>
              </w:rPr>
            </w:pPr>
          </w:p>
        </w:tc>
        <w:tc>
          <w:tcPr>
            <w:tcW w:w="5380" w:type="dxa"/>
            <w:vAlign w:val="bottom"/>
          </w:tcPr>
          <w:p>
            <w:pPr>
              <w:ind w:left="480"/>
              <w:spacing w:after="0" w:line="202" w:lineRule="exact"/>
              <w:rPr>
                <w:sz w:val="20"/>
                <w:szCs w:val="20"/>
                <w:color w:val="auto"/>
              </w:rPr>
            </w:pPr>
            <w:r>
              <w:rPr>
                <w:rFonts w:ascii="Arial" w:cs="Arial" w:eastAsia="Arial" w:hAnsi="Arial"/>
                <w:sz w:val="18"/>
                <w:szCs w:val="18"/>
                <w:color w:val="auto"/>
                <w:w w:val="99"/>
              </w:rPr>
              <w:t>2007, by and among The Scotts Miracle-Gro Company as the</w:t>
            </w:r>
          </w:p>
        </w:tc>
      </w:tr>
      <w:tr>
        <w:trPr>
          <w:trHeight w:val="203"/>
        </w:trPr>
        <w:tc>
          <w:tcPr>
            <w:tcW w:w="940" w:type="dxa"/>
            <w:vAlign w:val="bottom"/>
          </w:tcPr>
          <w:p>
            <w:pPr>
              <w:spacing w:after="0"/>
              <w:rPr>
                <w:sz w:val="17"/>
                <w:szCs w:val="17"/>
                <w:color w:val="auto"/>
              </w:rPr>
            </w:pPr>
          </w:p>
        </w:tc>
        <w:tc>
          <w:tcPr>
            <w:tcW w:w="5380" w:type="dxa"/>
            <w:vAlign w:val="bottom"/>
          </w:tcPr>
          <w:p>
            <w:pPr>
              <w:ind w:left="480"/>
              <w:spacing w:after="0" w:line="202" w:lineRule="exact"/>
              <w:rPr>
                <w:sz w:val="20"/>
                <w:szCs w:val="20"/>
                <w:color w:val="auto"/>
              </w:rPr>
            </w:pPr>
            <w:r>
              <w:rPr>
                <w:rFonts w:ascii="Arial" w:cs="Arial" w:eastAsia="Arial" w:hAnsi="Arial"/>
                <w:sz w:val="18"/>
                <w:szCs w:val="18"/>
                <w:color w:val="auto"/>
              </w:rPr>
              <w:t>“Borrower”; the Subsidiary Borrowers (as defined in the</w:t>
            </w:r>
          </w:p>
        </w:tc>
      </w:tr>
      <w:tr>
        <w:trPr>
          <w:trHeight w:val="203"/>
        </w:trPr>
        <w:tc>
          <w:tcPr>
            <w:tcW w:w="940" w:type="dxa"/>
            <w:vAlign w:val="bottom"/>
          </w:tcPr>
          <w:p>
            <w:pPr>
              <w:spacing w:after="0"/>
              <w:rPr>
                <w:sz w:val="17"/>
                <w:szCs w:val="17"/>
                <w:color w:val="auto"/>
              </w:rPr>
            </w:pPr>
          </w:p>
        </w:tc>
        <w:tc>
          <w:tcPr>
            <w:tcW w:w="5380" w:type="dxa"/>
            <w:vAlign w:val="bottom"/>
          </w:tcPr>
          <w:p>
            <w:pPr>
              <w:ind w:left="480"/>
              <w:spacing w:after="0" w:line="202" w:lineRule="exact"/>
              <w:rPr>
                <w:sz w:val="20"/>
                <w:szCs w:val="20"/>
                <w:color w:val="auto"/>
              </w:rPr>
            </w:pPr>
            <w:r>
              <w:rPr>
                <w:rFonts w:ascii="Arial" w:cs="Arial" w:eastAsia="Arial" w:hAnsi="Arial"/>
                <w:sz w:val="18"/>
                <w:szCs w:val="18"/>
                <w:color w:val="auto"/>
              </w:rPr>
              <w:t>Amended and Restated Credit Agreement); the several</w:t>
            </w:r>
          </w:p>
        </w:tc>
      </w:tr>
      <w:tr>
        <w:trPr>
          <w:trHeight w:val="225"/>
        </w:trPr>
        <w:tc>
          <w:tcPr>
            <w:tcW w:w="940" w:type="dxa"/>
            <w:vAlign w:val="bottom"/>
          </w:tcPr>
          <w:p>
            <w:pPr>
              <w:spacing w:after="0"/>
              <w:rPr>
                <w:sz w:val="19"/>
                <w:szCs w:val="19"/>
                <w:color w:val="auto"/>
              </w:rPr>
            </w:pPr>
          </w:p>
        </w:tc>
        <w:tc>
          <w:tcPr>
            <w:tcW w:w="5380" w:type="dxa"/>
            <w:vAlign w:val="bottom"/>
          </w:tcPr>
          <w:p>
            <w:pPr>
              <w:ind w:left="480"/>
              <w:spacing w:after="0"/>
              <w:rPr>
                <w:sz w:val="20"/>
                <w:szCs w:val="20"/>
                <w:color w:val="auto"/>
              </w:rPr>
            </w:pPr>
            <w:r>
              <w:rPr>
                <w:rFonts w:ascii="Arial" w:cs="Arial" w:eastAsia="Arial" w:hAnsi="Arial"/>
                <w:sz w:val="18"/>
                <w:szCs w:val="18"/>
                <w:color w:val="auto"/>
                <w:w w:val="99"/>
              </w:rPr>
              <w:t>banks and other financial institutions from time to time parties</w:t>
            </w:r>
          </w:p>
        </w:tc>
      </w:tr>
    </w:tbl>
    <w:p>
      <w:pPr>
        <w:ind w:left="2120" w:right="140"/>
        <w:spacing w:after="0"/>
        <w:rPr>
          <w:sz w:val="20"/>
          <w:szCs w:val="20"/>
          <w:color w:val="auto"/>
        </w:rPr>
      </w:pPr>
      <w:r>
        <w:rPr>
          <w:rFonts w:ascii="Arial" w:cs="Arial" w:eastAsia="Arial" w:hAnsi="Arial"/>
          <w:sz w:val="18"/>
          <w:szCs w:val="18"/>
          <w:color w:val="auto"/>
        </w:rPr>
        <w:t>to the Amended and Restated Credit Agreement; the Syndication Agent and the Documentation Agents named in the Amended and Restated Credit Agreement; and JPMorgan Chase Bank, N.A., as Administrative Agent</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March 31, 2007 (File No. 1-13292) [Exhibit 4(b)]</w:t>
      </w:r>
    </w:p>
    <w:p>
      <w:pPr>
        <w:spacing w:after="0" w:line="1409" w:lineRule="exact"/>
        <w:rPr>
          <w:sz w:val="20"/>
          <w:szCs w:val="20"/>
          <w:color w:val="auto"/>
        </w:rPr>
      </w:pPr>
    </w:p>
    <w:p>
      <w:pPr>
        <w:sectPr>
          <w:pgSz w:w="11900" w:h="16838" w:orient="portrait"/>
          <w:cols w:equalWidth="0" w:num="2">
            <w:col w:w="7020" w:space="200"/>
            <w:col w:w="3520"/>
          </w:cols>
          <w:pgMar w:left="240" w:top="405" w:right="919" w:bottom="1440" w:gutter="0" w:footer="0" w:header="0"/>
          <w:type w:val="continuous"/>
        </w:sectPr>
      </w:pPr>
    </w:p>
    <w:p>
      <w:pPr>
        <w:spacing w:after="0" w:line="134"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840" w:type="dxa"/>
            <w:vAlign w:val="bottom"/>
          </w:tcPr>
          <w:p>
            <w:pPr>
              <w:jc w:val="right"/>
              <w:ind w:right="510"/>
              <w:spacing w:after="0"/>
              <w:rPr>
                <w:sz w:val="20"/>
                <w:szCs w:val="20"/>
                <w:color w:val="auto"/>
              </w:rPr>
            </w:pPr>
            <w:r>
              <w:rPr>
                <w:rFonts w:ascii="Arial" w:cs="Arial" w:eastAsia="Arial" w:hAnsi="Arial"/>
                <w:sz w:val="18"/>
                <w:szCs w:val="18"/>
                <w:color w:val="auto"/>
                <w:w w:val="87"/>
              </w:rPr>
              <w:t>4.2</w:t>
            </w:r>
          </w:p>
        </w:tc>
        <w:tc>
          <w:tcPr>
            <w:tcW w:w="5020" w:type="dxa"/>
            <w:vAlign w:val="bottom"/>
          </w:tcPr>
          <w:p>
            <w:pPr>
              <w:ind w:left="580"/>
              <w:spacing w:after="0"/>
              <w:rPr>
                <w:sz w:val="20"/>
                <w:szCs w:val="20"/>
                <w:color w:val="auto"/>
              </w:rPr>
            </w:pPr>
            <w:r>
              <w:rPr>
                <w:rFonts w:ascii="Arial" w:cs="Arial" w:eastAsia="Arial" w:hAnsi="Arial"/>
                <w:sz w:val="18"/>
                <w:szCs w:val="18"/>
                <w:color w:val="auto"/>
              </w:rPr>
              <w:t>Amended and Restated Guarantee and Collateral</w:t>
            </w:r>
          </w:p>
        </w:tc>
      </w:tr>
      <w:tr>
        <w:trPr>
          <w:trHeight w:val="225"/>
        </w:trPr>
        <w:tc>
          <w:tcPr>
            <w:tcW w:w="840" w:type="dxa"/>
            <w:vAlign w:val="bottom"/>
          </w:tcPr>
          <w:p>
            <w:pPr>
              <w:spacing w:after="0"/>
              <w:rPr>
                <w:sz w:val="19"/>
                <w:szCs w:val="19"/>
                <w:color w:val="auto"/>
              </w:rPr>
            </w:pPr>
          </w:p>
        </w:tc>
        <w:tc>
          <w:tcPr>
            <w:tcW w:w="5020" w:type="dxa"/>
            <w:vAlign w:val="bottom"/>
          </w:tcPr>
          <w:p>
            <w:pPr>
              <w:ind w:left="580"/>
              <w:spacing w:after="0"/>
              <w:rPr>
                <w:sz w:val="20"/>
                <w:szCs w:val="20"/>
                <w:color w:val="auto"/>
              </w:rPr>
            </w:pPr>
            <w:r>
              <w:rPr>
                <w:rFonts w:ascii="Arial" w:cs="Arial" w:eastAsia="Arial" w:hAnsi="Arial"/>
                <w:sz w:val="18"/>
                <w:szCs w:val="18"/>
                <w:color w:val="auto"/>
                <w:w w:val="99"/>
              </w:rPr>
              <w:t>Agreement, dated as of February 7, 2007, made by The</w:t>
            </w:r>
          </w:p>
        </w:tc>
      </w:tr>
    </w:tbl>
    <w:p>
      <w:pPr>
        <w:ind w:left="2120"/>
        <w:spacing w:after="0" w:line="239" w:lineRule="auto"/>
        <w:rPr>
          <w:sz w:val="20"/>
          <w:szCs w:val="20"/>
          <w:color w:val="auto"/>
        </w:rPr>
      </w:pPr>
      <w:r>
        <w:rPr>
          <w:rFonts w:ascii="Arial" w:cs="Arial" w:eastAsia="Arial" w:hAnsi="Arial"/>
          <w:sz w:val="18"/>
          <w:szCs w:val="18"/>
          <w:color w:val="auto"/>
        </w:rPr>
        <w:t>Scotts Miracle-Gro Company and each Domestic Subsidiary Borrower (and certain of the Subsidiary Borrowers’ domestic subsidiaries) under the Amended and Restated Credit Agreement in favor of JPMorgan Chase Bank, N.A., as Administrative Agent</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March 31, 2007 (File No. 1-13292) [Exhibit 4(c)]</w:t>
      </w:r>
    </w:p>
    <w:p>
      <w:pPr>
        <w:spacing w:after="0" w:line="802" w:lineRule="exact"/>
        <w:rPr>
          <w:sz w:val="20"/>
          <w:szCs w:val="20"/>
          <w:color w:val="auto"/>
        </w:rPr>
      </w:pPr>
    </w:p>
    <w:p>
      <w:pPr>
        <w:sectPr>
          <w:pgSz w:w="11900" w:h="16838" w:orient="portrait"/>
          <w:cols w:equalWidth="0" w:num="2">
            <w:col w:w="6920" w:space="300"/>
            <w:col w:w="3520"/>
          </w:cols>
          <w:pgMar w:left="240" w:top="405" w:right="919" w:bottom="1440" w:gutter="0" w:footer="0" w:header="0"/>
          <w:type w:val="continuous"/>
        </w:sectPr>
      </w:pPr>
    </w:p>
    <w:p>
      <w:pPr>
        <w:spacing w:after="0" w:line="134"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840" w:type="dxa"/>
            <w:vAlign w:val="bottom"/>
          </w:tcPr>
          <w:p>
            <w:pPr>
              <w:jc w:val="right"/>
              <w:ind w:right="510"/>
              <w:spacing w:after="0"/>
              <w:rPr>
                <w:sz w:val="20"/>
                <w:szCs w:val="20"/>
                <w:color w:val="auto"/>
              </w:rPr>
            </w:pPr>
            <w:r>
              <w:rPr>
                <w:rFonts w:ascii="Arial" w:cs="Arial" w:eastAsia="Arial" w:hAnsi="Arial"/>
                <w:sz w:val="18"/>
                <w:szCs w:val="18"/>
                <w:color w:val="auto"/>
                <w:w w:val="87"/>
              </w:rPr>
              <w:t>4.3</w:t>
            </w:r>
          </w:p>
        </w:tc>
        <w:tc>
          <w:tcPr>
            <w:tcW w:w="5420" w:type="dxa"/>
            <w:vAlign w:val="bottom"/>
          </w:tcPr>
          <w:p>
            <w:pPr>
              <w:ind w:left="580"/>
              <w:spacing w:after="0"/>
              <w:rPr>
                <w:sz w:val="20"/>
                <w:szCs w:val="20"/>
                <w:color w:val="auto"/>
              </w:rPr>
            </w:pPr>
            <w:r>
              <w:rPr>
                <w:rFonts w:ascii="Arial" w:cs="Arial" w:eastAsia="Arial" w:hAnsi="Arial"/>
                <w:sz w:val="18"/>
                <w:szCs w:val="18"/>
                <w:color w:val="auto"/>
              </w:rPr>
              <w:t>Foreign Pledge Agreement Acknowledgement and</w:t>
            </w:r>
          </w:p>
        </w:tc>
      </w:tr>
      <w:tr>
        <w:trPr>
          <w:trHeight w:val="203"/>
        </w:trPr>
        <w:tc>
          <w:tcPr>
            <w:tcW w:w="840" w:type="dxa"/>
            <w:vAlign w:val="bottom"/>
          </w:tcPr>
          <w:p>
            <w:pPr>
              <w:spacing w:after="0"/>
              <w:rPr>
                <w:sz w:val="17"/>
                <w:szCs w:val="17"/>
                <w:color w:val="auto"/>
              </w:rPr>
            </w:pPr>
          </w:p>
        </w:tc>
        <w:tc>
          <w:tcPr>
            <w:tcW w:w="5420" w:type="dxa"/>
            <w:vAlign w:val="bottom"/>
          </w:tcPr>
          <w:p>
            <w:pPr>
              <w:ind w:left="580"/>
              <w:spacing w:after="0" w:line="202" w:lineRule="exact"/>
              <w:rPr>
                <w:sz w:val="20"/>
                <w:szCs w:val="20"/>
                <w:color w:val="auto"/>
              </w:rPr>
            </w:pPr>
            <w:r>
              <w:rPr>
                <w:rFonts w:ascii="Arial" w:cs="Arial" w:eastAsia="Arial" w:hAnsi="Arial"/>
                <w:sz w:val="18"/>
                <w:szCs w:val="18"/>
                <w:color w:val="auto"/>
              </w:rPr>
              <w:t>Confirmation, dated as of March 30, 2007, entered into by</w:t>
            </w:r>
          </w:p>
        </w:tc>
      </w:tr>
      <w:tr>
        <w:trPr>
          <w:trHeight w:val="225"/>
        </w:trPr>
        <w:tc>
          <w:tcPr>
            <w:tcW w:w="840" w:type="dxa"/>
            <w:vAlign w:val="bottom"/>
          </w:tcPr>
          <w:p>
            <w:pPr>
              <w:spacing w:after="0"/>
              <w:rPr>
                <w:sz w:val="19"/>
                <w:szCs w:val="19"/>
                <w:color w:val="auto"/>
              </w:rPr>
            </w:pPr>
          </w:p>
        </w:tc>
        <w:tc>
          <w:tcPr>
            <w:tcW w:w="5420" w:type="dxa"/>
            <w:vAlign w:val="bottom"/>
          </w:tcPr>
          <w:p>
            <w:pPr>
              <w:ind w:left="580"/>
              <w:spacing w:after="0"/>
              <w:rPr>
                <w:sz w:val="20"/>
                <w:szCs w:val="20"/>
                <w:color w:val="auto"/>
              </w:rPr>
            </w:pPr>
            <w:r>
              <w:rPr>
                <w:rFonts w:ascii="Arial" w:cs="Arial" w:eastAsia="Arial" w:hAnsi="Arial"/>
                <w:sz w:val="18"/>
                <w:szCs w:val="18"/>
                <w:color w:val="auto"/>
                <w:w w:val="99"/>
              </w:rPr>
              <w:t>Scotts Sierra Investments, Inc. and OMS Investments, Inc. in</w:t>
            </w:r>
          </w:p>
        </w:tc>
      </w:tr>
    </w:tbl>
    <w:p>
      <w:pPr>
        <w:ind w:left="2120" w:right="420"/>
        <w:spacing w:after="0" w:line="251" w:lineRule="auto"/>
        <w:rPr>
          <w:sz w:val="20"/>
          <w:szCs w:val="20"/>
          <w:color w:val="auto"/>
        </w:rPr>
      </w:pPr>
      <w:r>
        <w:rPr>
          <w:rFonts w:ascii="Arial" w:cs="Arial" w:eastAsia="Arial" w:hAnsi="Arial"/>
          <w:sz w:val="18"/>
          <w:szCs w:val="18"/>
          <w:color w:val="auto"/>
        </w:rPr>
        <w:t>favor of JPMorgan Chase Bank, N.A., as Administrative Agent</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March 31, 2007 (File No. 1-13292) [Exhibit 4(d)]</w:t>
      </w:r>
    </w:p>
    <w:p>
      <w:pPr>
        <w:spacing w:after="0" w:line="407" w:lineRule="exact"/>
        <w:rPr>
          <w:sz w:val="20"/>
          <w:szCs w:val="20"/>
          <w:color w:val="auto"/>
        </w:rPr>
      </w:pPr>
    </w:p>
    <w:p>
      <w:pPr>
        <w:sectPr>
          <w:pgSz w:w="11900" w:h="16838" w:orient="portrait"/>
          <w:cols w:equalWidth="0" w:num="2">
            <w:col w:w="6960" w:space="260"/>
            <w:col w:w="3520"/>
          </w:cols>
          <w:pgMar w:left="240" w:top="405" w:right="919" w:bottom="1440" w:gutter="0" w:footer="0" w:header="0"/>
          <w:type w:val="continuous"/>
        </w:sectPr>
      </w:pPr>
    </w:p>
    <w:p>
      <w:pPr>
        <w:spacing w:after="0" w:line="124"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840" w:type="dxa"/>
            <w:vAlign w:val="bottom"/>
          </w:tcPr>
          <w:p>
            <w:pPr>
              <w:jc w:val="right"/>
              <w:ind w:right="510"/>
              <w:spacing w:after="0"/>
              <w:rPr>
                <w:sz w:val="20"/>
                <w:szCs w:val="20"/>
                <w:color w:val="auto"/>
              </w:rPr>
            </w:pPr>
            <w:r>
              <w:rPr>
                <w:rFonts w:ascii="Arial" w:cs="Arial" w:eastAsia="Arial" w:hAnsi="Arial"/>
                <w:sz w:val="18"/>
                <w:szCs w:val="18"/>
                <w:color w:val="auto"/>
                <w:w w:val="87"/>
              </w:rPr>
              <w:t>4.4</w:t>
            </w:r>
          </w:p>
        </w:tc>
        <w:tc>
          <w:tcPr>
            <w:tcW w:w="5340" w:type="dxa"/>
            <w:vAlign w:val="bottom"/>
          </w:tcPr>
          <w:p>
            <w:pPr>
              <w:ind w:left="580"/>
              <w:spacing w:after="0"/>
              <w:rPr>
                <w:sz w:val="20"/>
                <w:szCs w:val="20"/>
                <w:color w:val="auto"/>
              </w:rPr>
            </w:pPr>
            <w:r>
              <w:rPr>
                <w:rFonts w:ascii="Arial" w:cs="Arial" w:eastAsia="Arial" w:hAnsi="Arial"/>
                <w:sz w:val="18"/>
                <w:szCs w:val="18"/>
                <w:color w:val="auto"/>
                <w:w w:val="99"/>
              </w:rPr>
              <w:t>Agreement to furnish copies of instruments and agreements</w:t>
            </w:r>
          </w:p>
        </w:tc>
      </w:tr>
      <w:tr>
        <w:trPr>
          <w:trHeight w:val="243"/>
        </w:trPr>
        <w:tc>
          <w:tcPr>
            <w:tcW w:w="840" w:type="dxa"/>
            <w:vAlign w:val="bottom"/>
          </w:tcPr>
          <w:p>
            <w:pPr>
              <w:spacing w:after="0"/>
              <w:rPr>
                <w:sz w:val="21"/>
                <w:szCs w:val="21"/>
                <w:color w:val="auto"/>
              </w:rPr>
            </w:pPr>
          </w:p>
        </w:tc>
        <w:tc>
          <w:tcPr>
            <w:tcW w:w="5340" w:type="dxa"/>
            <w:vAlign w:val="bottom"/>
          </w:tcPr>
          <w:p>
            <w:pPr>
              <w:ind w:left="580"/>
              <w:spacing w:after="0"/>
              <w:rPr>
                <w:sz w:val="20"/>
                <w:szCs w:val="20"/>
                <w:color w:val="auto"/>
              </w:rPr>
            </w:pPr>
            <w:r>
              <w:rPr>
                <w:rFonts w:ascii="Arial" w:cs="Arial" w:eastAsia="Arial" w:hAnsi="Arial"/>
                <w:sz w:val="18"/>
                <w:szCs w:val="18"/>
                <w:color w:val="auto"/>
              </w:rPr>
              <w:t>defining rights of holders of long-term debt</w:t>
            </w:r>
          </w:p>
        </w:tc>
      </w:tr>
    </w:tbl>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ind w:right="220"/>
        <w:spacing w:after="0" w:line="245"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2008 (which was filed on November 25, 2008) (File No. 1-13292) [Exhibit 4.4]</w:t>
      </w:r>
    </w:p>
    <w:p>
      <w:pPr>
        <w:spacing w:after="0" w:line="200" w:lineRule="exact"/>
        <w:rPr>
          <w:sz w:val="20"/>
          <w:szCs w:val="20"/>
          <w:color w:val="auto"/>
        </w:rPr>
      </w:pPr>
    </w:p>
    <w:p>
      <w:pPr>
        <w:sectPr>
          <w:pgSz w:w="11900" w:h="16838" w:orient="portrait"/>
          <w:cols w:equalWidth="0" w:num="2">
            <w:col w:w="6880" w:space="340"/>
            <w:col w:w="3520"/>
          </w:cols>
          <w:pgMar w:left="240" w:top="405" w:right="919" w:bottom="1440" w:gutter="0" w:footer="0" w:header="0"/>
          <w:type w:val="continuous"/>
        </w:sectPr>
      </w:pPr>
    </w:p>
    <w:p>
      <w:pPr>
        <w:spacing w:after="0" w:line="130"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Arial" w:cs="Arial" w:eastAsia="Arial" w:hAnsi="Arial"/>
                <w:sz w:val="18"/>
                <w:szCs w:val="18"/>
                <w:color w:val="auto"/>
              </w:rPr>
              <w:t>10.1(a)</w:t>
            </w:r>
          </w:p>
        </w:tc>
        <w:tc>
          <w:tcPr>
            <w:tcW w:w="5120" w:type="dxa"/>
            <w:vAlign w:val="bottom"/>
          </w:tcPr>
          <w:p>
            <w:pPr>
              <w:ind w:left="420"/>
              <w:spacing w:after="0"/>
              <w:rPr>
                <w:sz w:val="20"/>
                <w:szCs w:val="20"/>
                <w:color w:val="auto"/>
              </w:rPr>
            </w:pPr>
            <w:r>
              <w:rPr>
                <w:rFonts w:ascii="Arial" w:cs="Arial" w:eastAsia="Arial" w:hAnsi="Arial"/>
                <w:sz w:val="18"/>
                <w:szCs w:val="18"/>
                <w:color w:val="auto"/>
              </w:rPr>
              <w:t>The Scotts Company LLC Excess Benefit Plan for</w:t>
            </w:r>
          </w:p>
        </w:tc>
      </w:tr>
      <w:tr>
        <w:trPr>
          <w:trHeight w:val="203"/>
        </w:trPr>
        <w:tc>
          <w:tcPr>
            <w:tcW w:w="1000" w:type="dxa"/>
            <w:vAlign w:val="bottom"/>
          </w:tcPr>
          <w:p>
            <w:pPr>
              <w:spacing w:after="0"/>
              <w:rPr>
                <w:sz w:val="17"/>
                <w:szCs w:val="17"/>
                <w:color w:val="auto"/>
              </w:rPr>
            </w:pPr>
          </w:p>
        </w:tc>
        <w:tc>
          <w:tcPr>
            <w:tcW w:w="5120" w:type="dxa"/>
            <w:vAlign w:val="bottom"/>
          </w:tcPr>
          <w:p>
            <w:pPr>
              <w:ind w:left="420"/>
              <w:spacing w:after="0" w:line="202" w:lineRule="exact"/>
              <w:rPr>
                <w:sz w:val="20"/>
                <w:szCs w:val="20"/>
                <w:color w:val="auto"/>
              </w:rPr>
            </w:pPr>
            <w:r>
              <w:rPr>
                <w:rFonts w:ascii="Arial" w:cs="Arial" w:eastAsia="Arial" w:hAnsi="Arial"/>
                <w:sz w:val="18"/>
                <w:szCs w:val="18"/>
                <w:color w:val="auto"/>
                <w:w w:val="99"/>
              </w:rPr>
              <w:t>Grandfathered Associates as of January 1, 2005 (executed</w:t>
            </w:r>
          </w:p>
        </w:tc>
      </w:tr>
      <w:tr>
        <w:trPr>
          <w:trHeight w:val="243"/>
        </w:trPr>
        <w:tc>
          <w:tcPr>
            <w:tcW w:w="1000" w:type="dxa"/>
            <w:vAlign w:val="bottom"/>
          </w:tcPr>
          <w:p>
            <w:pPr>
              <w:spacing w:after="0"/>
              <w:rPr>
                <w:sz w:val="21"/>
                <w:szCs w:val="21"/>
                <w:color w:val="auto"/>
              </w:rPr>
            </w:pPr>
          </w:p>
        </w:tc>
        <w:tc>
          <w:tcPr>
            <w:tcW w:w="5120" w:type="dxa"/>
            <w:vAlign w:val="bottom"/>
          </w:tcPr>
          <w:p>
            <w:pPr>
              <w:ind w:left="420"/>
              <w:spacing w:after="0"/>
              <w:rPr>
                <w:sz w:val="20"/>
                <w:szCs w:val="20"/>
                <w:color w:val="auto"/>
              </w:rPr>
            </w:pPr>
            <w:r>
              <w:rPr>
                <w:rFonts w:ascii="Arial" w:cs="Arial" w:eastAsia="Arial" w:hAnsi="Arial"/>
                <w:sz w:val="18"/>
                <w:szCs w:val="18"/>
                <w:color w:val="auto"/>
              </w:rPr>
              <w:t>as of September 30, 2008)</w:t>
            </w:r>
          </w:p>
        </w:tc>
      </w:tr>
    </w:tbl>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ind w:right="220"/>
        <w:spacing w:after="0" w:line="263" w:lineRule="auto"/>
        <w:rPr>
          <w:sz w:val="20"/>
          <w:szCs w:val="20"/>
          <w:color w:val="auto"/>
        </w:rPr>
      </w:pPr>
      <w:r>
        <w:rPr>
          <w:rFonts w:ascii="Arial" w:cs="Arial" w:eastAsia="Arial" w:hAnsi="Arial"/>
          <w:sz w:val="17"/>
          <w:szCs w:val="17"/>
          <w:color w:val="auto"/>
        </w:rPr>
        <w:t>Incorporated herein by reference to the Registrant’s Annual Report on Form 10-K for the fiscal year ended September 30, 2008 (which was filed on November 25, 2008) (File No. 1-13292) [Exhibit 10.1(a)]</w:t>
      </w:r>
    </w:p>
    <w:p>
      <w:pPr>
        <w:spacing w:after="0" w:line="200" w:lineRule="exact"/>
        <w:rPr>
          <w:sz w:val="20"/>
          <w:szCs w:val="20"/>
          <w:color w:val="auto"/>
        </w:rPr>
      </w:pPr>
    </w:p>
    <w:p>
      <w:pPr>
        <w:sectPr>
          <w:pgSz w:w="11900" w:h="16838" w:orient="portrait"/>
          <w:cols w:equalWidth="0" w:num="2">
            <w:col w:w="6820" w:space="400"/>
            <w:col w:w="3520"/>
          </w:cols>
          <w:pgMar w:left="240" w:top="405" w:right="919" w:bottom="1440" w:gutter="0" w:footer="0" w:header="0"/>
          <w:type w:val="continuous"/>
        </w:sectPr>
      </w:pPr>
    </w:p>
    <w:p>
      <w:pPr>
        <w:spacing w:after="0" w:line="10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0"/>
          <w:szCs w:val="10"/>
          <w:b w:val="1"/>
          <w:bCs w:val="1"/>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-71120</wp:posOffset>
            </wp:positionV>
            <wp:extent cx="19748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149225</wp:posOffset>
            </wp:positionV>
            <wp:extent cx="7250430" cy="215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240" w:top="405" w:right="919" w:bottom="1440" w:gutter="0" w:footer="0" w:header="0"/>
          <w:type w:val="continuous"/>
        </w:sectPr>
      </w:pPr>
    </w:p>
    <w:bookmarkStart w:id="116" w:name="page117"/>
    <w:bookmarkEnd w:id="116"/>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Times New Roman" w:cs="Times New Roman" w:eastAsia="Times New Roman" w:hAnsi="Times New Roman"/>
                <w:sz w:val="18"/>
                <w:szCs w:val="18"/>
                <w:b w:val="1"/>
                <w:bCs w:val="1"/>
                <w:color w:val="0000EE"/>
                <w:w w:val="97"/>
              </w:rPr>
            </w:pPr>
            <w:hyperlink w:anchor="page64">
              <w:r>
                <w:rPr>
                  <w:rFonts w:ascii="Times New Roman" w:cs="Times New Roman" w:eastAsia="Times New Roman" w:hAnsi="Times New Roman"/>
                  <w:sz w:val="18"/>
                  <w:szCs w:val="18"/>
                  <w:b w:val="1"/>
                  <w:bCs w:val="1"/>
                  <w:color w:val="0000EE"/>
                  <w:w w:val="97"/>
                </w:rPr>
                <w:t>Table of Contents</w:t>
              </w:r>
            </w:hyperlink>
          </w:p>
        </w:tc>
        <w:tc>
          <w:tcPr>
            <w:tcW w:w="48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3720" w:type="dxa"/>
            <w:vAlign w:val="bottom"/>
          </w:tcPr>
          <w:p>
            <w:pPr>
              <w:spacing w:after="0"/>
              <w:rPr>
                <w:sz w:val="17"/>
                <w:szCs w:val="17"/>
                <w:color w:val="auto"/>
              </w:rPr>
            </w:pPr>
          </w:p>
        </w:tc>
      </w:tr>
      <w:tr>
        <w:trPr>
          <w:trHeight w:val="511"/>
        </w:trPr>
        <w:tc>
          <w:tcPr>
            <w:tcW w:w="700" w:type="dxa"/>
            <w:vAlign w:val="bottom"/>
          </w:tcPr>
          <w:p>
            <w:pPr>
              <w:spacing w:after="0"/>
              <w:rPr>
                <w:sz w:val="24"/>
                <w:szCs w:val="24"/>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9"/>
              </w:rPr>
              <w:t>Exhibit</w:t>
            </w:r>
          </w:p>
        </w:tc>
        <w:tc>
          <w:tcPr>
            <w:tcW w:w="518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239"/>
        </w:trPr>
        <w:tc>
          <w:tcPr>
            <w:tcW w:w="700" w:type="dxa"/>
            <w:vAlign w:val="bottom"/>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9"/>
              </w:rPr>
              <w:t>No.</w:t>
            </w:r>
          </w:p>
        </w:tc>
        <w:tc>
          <w:tcPr>
            <w:tcW w:w="5180" w:type="dxa"/>
            <w:vAlign w:val="bottom"/>
            <w:tcBorders>
              <w:bottom w:val="single" w:sz="8" w:color="auto"/>
            </w:tcBorders>
          </w:tcPr>
          <w:p>
            <w:pPr>
              <w:ind w:left="2280"/>
              <w:spacing w:after="0"/>
              <w:rPr>
                <w:sz w:val="20"/>
                <w:szCs w:val="20"/>
                <w:color w:val="auto"/>
              </w:rPr>
            </w:pPr>
            <w:r>
              <w:rPr>
                <w:rFonts w:ascii="Arial" w:cs="Arial" w:eastAsia="Arial" w:hAnsi="Arial"/>
                <w:sz w:val="18"/>
                <w:szCs w:val="18"/>
                <w:color w:val="auto"/>
              </w:rPr>
              <w:t>Description</w:t>
            </w:r>
          </w:p>
        </w:tc>
        <w:tc>
          <w:tcPr>
            <w:tcW w:w="3720" w:type="dxa"/>
            <w:vAlign w:val="bottom"/>
            <w:tcBorders>
              <w:bottom w:val="single" w:sz="8" w:color="auto"/>
            </w:tcBorders>
          </w:tcPr>
          <w:p>
            <w:pPr>
              <w:ind w:left="1620"/>
              <w:spacing w:after="0"/>
              <w:rPr>
                <w:sz w:val="20"/>
                <w:szCs w:val="20"/>
                <w:color w:val="auto"/>
              </w:rPr>
            </w:pPr>
            <w:r>
              <w:rPr>
                <w:rFonts w:ascii="Arial" w:cs="Arial" w:eastAsia="Arial" w:hAnsi="Arial"/>
                <w:sz w:val="18"/>
                <w:szCs w:val="18"/>
                <w:color w:val="auto"/>
              </w:rPr>
              <w:t>Location</w:t>
            </w:r>
          </w:p>
        </w:tc>
      </w:tr>
      <w:tr>
        <w:trPr>
          <w:trHeight w:val="227"/>
        </w:trPr>
        <w:tc>
          <w:tcPr>
            <w:tcW w:w="1840" w:type="dxa"/>
            <w:vAlign w:val="bottom"/>
            <w:gridSpan w:val="3"/>
          </w:tcPr>
          <w:p>
            <w:pPr>
              <w:ind w:left="700"/>
              <w:spacing w:after="0"/>
              <w:rPr>
                <w:sz w:val="20"/>
                <w:szCs w:val="20"/>
                <w:color w:val="auto"/>
              </w:rPr>
            </w:pPr>
            <w:r>
              <w:rPr>
                <w:rFonts w:ascii="Arial" w:cs="Arial" w:eastAsia="Arial" w:hAnsi="Arial"/>
                <w:sz w:val="18"/>
                <w:szCs w:val="18"/>
                <w:color w:val="auto"/>
              </w:rPr>
              <w:t>10.1(b)</w:t>
            </w:r>
          </w:p>
        </w:tc>
        <w:tc>
          <w:tcPr>
            <w:tcW w:w="5180" w:type="dxa"/>
            <w:vAlign w:val="bottom"/>
          </w:tcPr>
          <w:p>
            <w:pPr>
              <w:ind w:left="280"/>
              <w:spacing w:after="0"/>
              <w:rPr>
                <w:sz w:val="20"/>
                <w:szCs w:val="20"/>
                <w:color w:val="auto"/>
              </w:rPr>
            </w:pPr>
            <w:r>
              <w:rPr>
                <w:rFonts w:ascii="Arial" w:cs="Arial" w:eastAsia="Arial" w:hAnsi="Arial"/>
                <w:sz w:val="18"/>
                <w:szCs w:val="18"/>
                <w:color w:val="auto"/>
              </w:rPr>
              <w:t>The Scotts Company LLC Excess Benefit Plan for Non</w:t>
            </w:r>
          </w:p>
        </w:tc>
        <w:tc>
          <w:tcPr>
            <w:tcW w:w="3720" w:type="dxa"/>
            <w:vAlign w:val="bottom"/>
          </w:tcPr>
          <w:p>
            <w:pPr>
              <w:ind w:left="200"/>
              <w:spacing w:after="0"/>
              <w:rPr>
                <w:sz w:val="20"/>
                <w:szCs w:val="20"/>
                <w:color w:val="auto"/>
              </w:rPr>
            </w:pPr>
            <w:r>
              <w:rPr>
                <w:rFonts w:ascii="Arial" w:cs="Arial" w:eastAsia="Arial" w:hAnsi="Arial"/>
                <w:sz w:val="18"/>
                <w:szCs w:val="18"/>
                <w:color w:val="auto"/>
              </w:rPr>
              <w:t>Incorporated herein by reference to the</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tcPr>
          <w:p>
            <w:pPr>
              <w:ind w:left="280"/>
              <w:spacing w:after="0" w:line="202" w:lineRule="exact"/>
              <w:rPr>
                <w:sz w:val="20"/>
                <w:szCs w:val="20"/>
                <w:color w:val="auto"/>
              </w:rPr>
            </w:pPr>
            <w:r>
              <w:rPr>
                <w:rFonts w:ascii="Arial" w:cs="Arial" w:eastAsia="Arial" w:hAnsi="Arial"/>
                <w:sz w:val="18"/>
                <w:szCs w:val="18"/>
                <w:color w:val="auto"/>
              </w:rPr>
              <w:t>Grandfathered Associates as of January 1, 2005 (executed</w:t>
            </w:r>
          </w:p>
        </w:tc>
        <w:tc>
          <w:tcPr>
            <w:tcW w:w="3720" w:type="dxa"/>
            <w:vAlign w:val="bottom"/>
          </w:tcPr>
          <w:p>
            <w:pPr>
              <w:ind w:left="200"/>
              <w:spacing w:after="0" w:line="202" w:lineRule="exact"/>
              <w:rPr>
                <w:sz w:val="20"/>
                <w:szCs w:val="20"/>
                <w:color w:val="auto"/>
              </w:rPr>
            </w:pPr>
            <w:r>
              <w:rPr>
                <w:rFonts w:ascii="Arial" w:cs="Arial" w:eastAsia="Arial" w:hAnsi="Arial"/>
                <w:sz w:val="18"/>
                <w:szCs w:val="18"/>
                <w:color w:val="auto"/>
              </w:rPr>
              <w:t>Registrant’s Annual Report on Form 10-K</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tcPr>
          <w:p>
            <w:pPr>
              <w:ind w:left="280"/>
              <w:spacing w:after="0" w:line="202" w:lineRule="exact"/>
              <w:rPr>
                <w:sz w:val="20"/>
                <w:szCs w:val="20"/>
                <w:color w:val="auto"/>
              </w:rPr>
            </w:pPr>
            <w:r>
              <w:rPr>
                <w:rFonts w:ascii="Arial" w:cs="Arial" w:eastAsia="Arial" w:hAnsi="Arial"/>
                <w:sz w:val="18"/>
                <w:szCs w:val="18"/>
                <w:color w:val="auto"/>
              </w:rPr>
              <w:t>as of November 20, 2008)</w:t>
            </w:r>
          </w:p>
        </w:tc>
        <w:tc>
          <w:tcPr>
            <w:tcW w:w="3720" w:type="dxa"/>
            <w:vAlign w:val="bottom"/>
          </w:tcPr>
          <w:p>
            <w:pPr>
              <w:ind w:left="200"/>
              <w:spacing w:after="0" w:line="202" w:lineRule="exact"/>
              <w:rPr>
                <w:sz w:val="20"/>
                <w:szCs w:val="20"/>
                <w:color w:val="auto"/>
              </w:rPr>
            </w:pPr>
            <w:r>
              <w:rPr>
                <w:rFonts w:ascii="Arial" w:cs="Arial" w:eastAsia="Arial" w:hAnsi="Arial"/>
                <w:sz w:val="18"/>
                <w:szCs w:val="18"/>
                <w:color w:val="auto"/>
              </w:rPr>
              <w:t>for the fiscal year ended September 30,</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3720" w:type="dxa"/>
            <w:vAlign w:val="bottom"/>
          </w:tcPr>
          <w:p>
            <w:pPr>
              <w:ind w:left="200"/>
              <w:spacing w:after="0" w:line="202" w:lineRule="exact"/>
              <w:rPr>
                <w:sz w:val="20"/>
                <w:szCs w:val="20"/>
                <w:color w:val="auto"/>
              </w:rPr>
            </w:pPr>
            <w:r>
              <w:rPr>
                <w:rFonts w:ascii="Arial" w:cs="Arial" w:eastAsia="Arial" w:hAnsi="Arial"/>
                <w:sz w:val="18"/>
                <w:szCs w:val="18"/>
                <w:color w:val="auto"/>
              </w:rPr>
              <w:t>2008 (which was filed on November 25,</w:t>
            </w:r>
          </w:p>
        </w:tc>
      </w:tr>
      <w:tr>
        <w:trPr>
          <w:trHeight w:val="243"/>
        </w:trPr>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180" w:type="dxa"/>
            <w:vAlign w:val="bottom"/>
          </w:tcPr>
          <w:p>
            <w:pPr>
              <w:spacing w:after="0"/>
              <w:rPr>
                <w:sz w:val="21"/>
                <w:szCs w:val="21"/>
                <w:color w:val="auto"/>
              </w:rPr>
            </w:pPr>
          </w:p>
        </w:tc>
        <w:tc>
          <w:tcPr>
            <w:tcW w:w="3720" w:type="dxa"/>
            <w:vAlign w:val="bottom"/>
          </w:tcPr>
          <w:p>
            <w:pPr>
              <w:ind w:left="200"/>
              <w:spacing w:after="0"/>
              <w:rPr>
                <w:sz w:val="20"/>
                <w:szCs w:val="20"/>
                <w:color w:val="auto"/>
              </w:rPr>
            </w:pPr>
            <w:r>
              <w:rPr>
                <w:rFonts w:ascii="Arial" w:cs="Arial" w:eastAsia="Arial" w:hAnsi="Arial"/>
                <w:sz w:val="18"/>
                <w:szCs w:val="18"/>
                <w:color w:val="auto"/>
              </w:rPr>
              <w:t>2008) (File No. 1-13292) [Exhibit 10.1(b)]</w:t>
            </w:r>
          </w:p>
        </w:tc>
      </w:tr>
    </w:tbl>
    <w:p>
      <w:pPr>
        <w:spacing w:after="0" w:line="200" w:lineRule="exact"/>
        <w:rPr>
          <w:sz w:val="20"/>
          <w:szCs w:val="20"/>
          <w:color w:val="auto"/>
        </w:rPr>
      </w:pPr>
    </w:p>
    <w:p>
      <w:pPr>
        <w:sectPr>
          <w:pgSz w:w="11900" w:h="16838" w:orient="portrait"/>
          <w:cols w:equalWidth="0" w:num="1">
            <w:col w:w="10740"/>
          </w:cols>
          <w:pgMar w:left="240" w:top="405" w:right="919" w:bottom="1440" w:gutter="0" w:footer="0" w:header="0"/>
        </w:sectPr>
      </w:pPr>
    </w:p>
    <w:p>
      <w:pPr>
        <w:spacing w:after="0" w:line="133"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1080" w:type="dxa"/>
            <w:vAlign w:val="bottom"/>
          </w:tcPr>
          <w:p>
            <w:pPr>
              <w:spacing w:after="0"/>
              <w:rPr>
                <w:sz w:val="20"/>
                <w:szCs w:val="20"/>
                <w:color w:val="auto"/>
              </w:rPr>
            </w:pPr>
            <w:r>
              <w:rPr>
                <w:rFonts w:ascii="Arial" w:cs="Arial" w:eastAsia="Arial" w:hAnsi="Arial"/>
                <w:sz w:val="18"/>
                <w:szCs w:val="18"/>
                <w:color w:val="auto"/>
              </w:rPr>
              <w:t>10.2(a)(i)</w:t>
            </w:r>
          </w:p>
        </w:tc>
        <w:tc>
          <w:tcPr>
            <w:tcW w:w="4820" w:type="dxa"/>
            <w:vAlign w:val="bottom"/>
          </w:tcPr>
          <w:p>
            <w:pPr>
              <w:ind w:left="340"/>
              <w:spacing w:after="0"/>
              <w:rPr>
                <w:sz w:val="20"/>
                <w:szCs w:val="20"/>
                <w:color w:val="auto"/>
              </w:rPr>
            </w:pPr>
            <w:r>
              <w:rPr>
                <w:rFonts w:ascii="Arial" w:cs="Arial" w:eastAsia="Arial" w:hAnsi="Arial"/>
                <w:sz w:val="18"/>
                <w:szCs w:val="18"/>
                <w:color w:val="auto"/>
              </w:rPr>
              <w:t>The Scotts Company LLC Amended and Restated</w:t>
            </w:r>
          </w:p>
        </w:tc>
      </w:tr>
      <w:tr>
        <w:trPr>
          <w:trHeight w:val="203"/>
        </w:trPr>
        <w:tc>
          <w:tcPr>
            <w:tcW w:w="1080" w:type="dxa"/>
            <w:vAlign w:val="bottom"/>
          </w:tcPr>
          <w:p>
            <w:pPr>
              <w:spacing w:after="0"/>
              <w:rPr>
                <w:sz w:val="17"/>
                <w:szCs w:val="17"/>
                <w:color w:val="auto"/>
              </w:rPr>
            </w:pPr>
          </w:p>
        </w:tc>
        <w:tc>
          <w:tcPr>
            <w:tcW w:w="4820" w:type="dxa"/>
            <w:vAlign w:val="bottom"/>
          </w:tcPr>
          <w:p>
            <w:pPr>
              <w:ind w:left="340"/>
              <w:spacing w:after="0" w:line="202" w:lineRule="exact"/>
              <w:rPr>
                <w:sz w:val="20"/>
                <w:szCs w:val="20"/>
                <w:color w:val="auto"/>
              </w:rPr>
            </w:pPr>
            <w:r>
              <w:rPr>
                <w:rFonts w:ascii="Arial" w:cs="Arial" w:eastAsia="Arial" w:hAnsi="Arial"/>
                <w:sz w:val="18"/>
                <w:szCs w:val="18"/>
                <w:color w:val="auto"/>
              </w:rPr>
              <w:t>Executive/Management Incentive Plan (approved on</w:t>
            </w:r>
          </w:p>
        </w:tc>
      </w:tr>
      <w:tr>
        <w:trPr>
          <w:trHeight w:val="243"/>
        </w:trPr>
        <w:tc>
          <w:tcPr>
            <w:tcW w:w="1080" w:type="dxa"/>
            <w:vAlign w:val="bottom"/>
          </w:tcPr>
          <w:p>
            <w:pPr>
              <w:spacing w:after="0"/>
              <w:rPr>
                <w:sz w:val="21"/>
                <w:szCs w:val="21"/>
                <w:color w:val="auto"/>
              </w:rPr>
            </w:pPr>
          </w:p>
        </w:tc>
        <w:tc>
          <w:tcPr>
            <w:tcW w:w="4820" w:type="dxa"/>
            <w:vAlign w:val="bottom"/>
          </w:tcPr>
          <w:p>
            <w:pPr>
              <w:ind w:left="340"/>
              <w:spacing w:after="0"/>
              <w:rPr>
                <w:sz w:val="20"/>
                <w:szCs w:val="20"/>
                <w:color w:val="auto"/>
              </w:rPr>
            </w:pPr>
            <w:r>
              <w:rPr>
                <w:rFonts w:ascii="Arial" w:cs="Arial" w:eastAsia="Arial" w:hAnsi="Arial"/>
                <w:sz w:val="18"/>
                <w:szCs w:val="18"/>
                <w:color w:val="auto"/>
                <w:w w:val="99"/>
              </w:rPr>
              <w:t>November 7, 2007 and effective as of October 30, 2007)</w:t>
            </w:r>
          </w:p>
        </w:tc>
      </w:tr>
    </w:tbl>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ind w:right="220"/>
        <w:spacing w:after="0" w:line="268" w:lineRule="auto"/>
        <w:rPr>
          <w:sz w:val="20"/>
          <w:szCs w:val="20"/>
          <w:color w:val="auto"/>
        </w:rPr>
      </w:pPr>
      <w:r>
        <w:rPr>
          <w:rFonts w:ascii="Arial" w:cs="Arial" w:eastAsia="Arial" w:hAnsi="Arial"/>
          <w:sz w:val="17"/>
          <w:szCs w:val="17"/>
          <w:color w:val="auto"/>
        </w:rPr>
        <w:t>Incorporated herein by reference to the Registrant’s Annual Report on Form 10-K for the fiscal year ended September 30, 2007 (File No. 1-13292) [Exhibit 10(b)(2)]</w:t>
      </w:r>
    </w:p>
    <w:p>
      <w:pPr>
        <w:spacing w:after="0" w:line="200" w:lineRule="exact"/>
        <w:rPr>
          <w:sz w:val="20"/>
          <w:szCs w:val="20"/>
          <w:color w:val="auto"/>
        </w:rPr>
      </w:pPr>
    </w:p>
    <w:p>
      <w:pPr>
        <w:sectPr>
          <w:pgSz w:w="11900" w:h="16838" w:orient="portrait"/>
          <w:cols w:equalWidth="0" w:num="2">
            <w:col w:w="6600" w:space="620"/>
            <w:col w:w="3520"/>
          </w:cols>
          <w:pgMar w:left="240" w:top="405" w:right="919" w:bottom="1440" w:gutter="0" w:footer="0" w:header="0"/>
          <w:type w:val="continuous"/>
        </w:sectPr>
      </w:pPr>
    </w:p>
    <w:p>
      <w:pPr>
        <w:spacing w:after="0" w:line="111"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Arial" w:cs="Arial" w:eastAsia="Arial" w:hAnsi="Arial"/>
                <w:sz w:val="18"/>
                <w:szCs w:val="18"/>
                <w:color w:val="auto"/>
              </w:rPr>
              <w:t>10.2(a)(ii)</w:t>
            </w:r>
          </w:p>
        </w:tc>
        <w:tc>
          <w:tcPr>
            <w:tcW w:w="5160" w:type="dxa"/>
            <w:vAlign w:val="bottom"/>
          </w:tcPr>
          <w:p>
            <w:pPr>
              <w:ind w:left="320"/>
              <w:spacing w:after="0"/>
              <w:rPr>
                <w:sz w:val="20"/>
                <w:szCs w:val="20"/>
                <w:color w:val="auto"/>
              </w:rPr>
            </w:pPr>
            <w:r>
              <w:rPr>
                <w:rFonts w:ascii="Arial" w:cs="Arial" w:eastAsia="Arial" w:hAnsi="Arial"/>
                <w:sz w:val="18"/>
                <w:szCs w:val="18"/>
                <w:color w:val="auto"/>
              </w:rPr>
              <w:t>Amendment to The Scotts Company LLC Amended and</w:t>
            </w:r>
          </w:p>
        </w:tc>
      </w:tr>
      <w:tr>
        <w:trPr>
          <w:trHeight w:val="225"/>
        </w:trPr>
        <w:tc>
          <w:tcPr>
            <w:tcW w:w="1100" w:type="dxa"/>
            <w:vAlign w:val="bottom"/>
          </w:tcPr>
          <w:p>
            <w:pPr>
              <w:spacing w:after="0"/>
              <w:rPr>
                <w:sz w:val="19"/>
                <w:szCs w:val="19"/>
                <w:color w:val="auto"/>
              </w:rPr>
            </w:pPr>
          </w:p>
        </w:tc>
        <w:tc>
          <w:tcPr>
            <w:tcW w:w="5160" w:type="dxa"/>
            <w:vAlign w:val="bottom"/>
          </w:tcPr>
          <w:p>
            <w:pPr>
              <w:ind w:left="320"/>
              <w:spacing w:after="0"/>
              <w:rPr>
                <w:sz w:val="20"/>
                <w:szCs w:val="20"/>
                <w:color w:val="auto"/>
              </w:rPr>
            </w:pPr>
            <w:r>
              <w:rPr>
                <w:rFonts w:ascii="Arial" w:cs="Arial" w:eastAsia="Arial" w:hAnsi="Arial"/>
                <w:sz w:val="18"/>
                <w:szCs w:val="18"/>
                <w:color w:val="auto"/>
                <w:w w:val="99"/>
              </w:rPr>
              <w:t>Restated Executive/Management Incentive Plan (effective as</w:t>
            </w:r>
          </w:p>
        </w:tc>
      </w:tr>
    </w:tbl>
    <w:p>
      <w:pPr>
        <w:ind w:left="2120" w:right="20"/>
        <w:spacing w:after="0" w:line="242" w:lineRule="auto"/>
        <w:rPr>
          <w:sz w:val="20"/>
          <w:szCs w:val="20"/>
          <w:color w:val="auto"/>
        </w:rPr>
      </w:pPr>
      <w:r>
        <w:rPr>
          <w:rFonts w:ascii="Arial" w:cs="Arial" w:eastAsia="Arial" w:hAnsi="Arial"/>
          <w:sz w:val="18"/>
          <w:szCs w:val="18"/>
          <w:color w:val="auto"/>
        </w:rPr>
        <w:t>of November 5, 2008) [amended the name of the plan to be The Scotts Company LLC Amended and Restated Executive Incentive Plan]</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Incorporated herein by reference to the Registrant’s Current Report on Form 8-K filed November 12, 2008 (File No. 1-13292) [Exhibit 10.2]</w:t>
      </w:r>
    </w:p>
    <w:p>
      <w:pPr>
        <w:spacing w:after="0" w:line="397" w:lineRule="exact"/>
        <w:rPr>
          <w:sz w:val="20"/>
          <w:szCs w:val="20"/>
          <w:color w:val="auto"/>
        </w:rPr>
      </w:pPr>
    </w:p>
    <w:p>
      <w:pPr>
        <w:sectPr>
          <w:pgSz w:w="11900" w:h="16838" w:orient="portrait"/>
          <w:cols w:equalWidth="0" w:num="2">
            <w:col w:w="6960" w:space="260"/>
            <w:col w:w="3520"/>
          </w:cols>
          <w:pgMar w:left="240" w:top="405" w:right="919" w:bottom="1440" w:gutter="0" w:footer="0" w:header="0"/>
          <w:type w:val="continuous"/>
        </w:sectPr>
      </w:pPr>
    </w:p>
    <w:p>
      <w:pPr>
        <w:spacing w:after="0" w:line="133"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1080" w:type="dxa"/>
            <w:vAlign w:val="bottom"/>
          </w:tcPr>
          <w:p>
            <w:pPr>
              <w:spacing w:after="0"/>
              <w:rPr>
                <w:sz w:val="20"/>
                <w:szCs w:val="20"/>
                <w:color w:val="auto"/>
              </w:rPr>
            </w:pPr>
            <w:r>
              <w:rPr>
                <w:rFonts w:ascii="Arial" w:cs="Arial" w:eastAsia="Arial" w:hAnsi="Arial"/>
                <w:sz w:val="18"/>
                <w:szCs w:val="18"/>
                <w:color w:val="auto"/>
              </w:rPr>
              <w:t>10.2(b)(i)</w:t>
            </w:r>
          </w:p>
        </w:tc>
        <w:tc>
          <w:tcPr>
            <w:tcW w:w="5200" w:type="dxa"/>
            <w:vAlign w:val="bottom"/>
          </w:tcPr>
          <w:p>
            <w:pPr>
              <w:ind w:left="340"/>
              <w:spacing w:after="0"/>
              <w:rPr>
                <w:sz w:val="20"/>
                <w:szCs w:val="20"/>
                <w:color w:val="auto"/>
              </w:rPr>
            </w:pPr>
            <w:r>
              <w:rPr>
                <w:rFonts w:ascii="Arial" w:cs="Arial" w:eastAsia="Arial" w:hAnsi="Arial"/>
                <w:sz w:val="18"/>
                <w:szCs w:val="18"/>
                <w:color w:val="auto"/>
                <w:w w:val="99"/>
              </w:rPr>
              <w:t>Specimen form of Employee Confidentiality, Noncompetition,</w:t>
            </w:r>
          </w:p>
        </w:tc>
      </w:tr>
      <w:tr>
        <w:trPr>
          <w:trHeight w:val="203"/>
        </w:trPr>
        <w:tc>
          <w:tcPr>
            <w:tcW w:w="1080" w:type="dxa"/>
            <w:vAlign w:val="bottom"/>
          </w:tcPr>
          <w:p>
            <w:pPr>
              <w:spacing w:after="0"/>
              <w:rPr>
                <w:sz w:val="17"/>
                <w:szCs w:val="17"/>
                <w:color w:val="auto"/>
              </w:rPr>
            </w:pPr>
          </w:p>
        </w:tc>
        <w:tc>
          <w:tcPr>
            <w:tcW w:w="5200" w:type="dxa"/>
            <w:vAlign w:val="bottom"/>
          </w:tcPr>
          <w:p>
            <w:pPr>
              <w:ind w:left="340"/>
              <w:spacing w:after="0" w:line="202" w:lineRule="exact"/>
              <w:rPr>
                <w:sz w:val="20"/>
                <w:szCs w:val="20"/>
                <w:color w:val="auto"/>
              </w:rPr>
            </w:pPr>
            <w:r>
              <w:rPr>
                <w:rFonts w:ascii="Arial" w:cs="Arial" w:eastAsia="Arial" w:hAnsi="Arial"/>
                <w:sz w:val="18"/>
                <w:szCs w:val="18"/>
                <w:color w:val="auto"/>
                <w:w w:val="99"/>
              </w:rPr>
              <w:t>Nonsolicitation Agreement for employees participating in The</w:t>
            </w:r>
          </w:p>
        </w:tc>
      </w:tr>
      <w:tr>
        <w:trPr>
          <w:trHeight w:val="203"/>
        </w:trPr>
        <w:tc>
          <w:tcPr>
            <w:tcW w:w="1080" w:type="dxa"/>
            <w:vAlign w:val="bottom"/>
          </w:tcPr>
          <w:p>
            <w:pPr>
              <w:spacing w:after="0"/>
              <w:rPr>
                <w:sz w:val="17"/>
                <w:szCs w:val="17"/>
                <w:color w:val="auto"/>
              </w:rPr>
            </w:pPr>
          </w:p>
        </w:tc>
        <w:tc>
          <w:tcPr>
            <w:tcW w:w="5200" w:type="dxa"/>
            <w:vAlign w:val="bottom"/>
          </w:tcPr>
          <w:p>
            <w:pPr>
              <w:ind w:left="340"/>
              <w:spacing w:after="0" w:line="202" w:lineRule="exact"/>
              <w:rPr>
                <w:sz w:val="20"/>
                <w:szCs w:val="20"/>
                <w:color w:val="auto"/>
              </w:rPr>
            </w:pPr>
            <w:r>
              <w:rPr>
                <w:rFonts w:ascii="Arial" w:cs="Arial" w:eastAsia="Arial" w:hAnsi="Arial"/>
                <w:sz w:val="18"/>
                <w:szCs w:val="18"/>
                <w:color w:val="auto"/>
                <w:w w:val="99"/>
              </w:rPr>
              <w:t>Scotts Company Executive/Management Incentive Plan (now</w:t>
            </w:r>
          </w:p>
        </w:tc>
      </w:tr>
      <w:tr>
        <w:trPr>
          <w:trHeight w:val="203"/>
        </w:trPr>
        <w:tc>
          <w:tcPr>
            <w:tcW w:w="1080" w:type="dxa"/>
            <w:vAlign w:val="bottom"/>
          </w:tcPr>
          <w:p>
            <w:pPr>
              <w:spacing w:after="0"/>
              <w:rPr>
                <w:sz w:val="17"/>
                <w:szCs w:val="17"/>
                <w:color w:val="auto"/>
              </w:rPr>
            </w:pPr>
          </w:p>
        </w:tc>
        <w:tc>
          <w:tcPr>
            <w:tcW w:w="5200" w:type="dxa"/>
            <w:vAlign w:val="bottom"/>
          </w:tcPr>
          <w:p>
            <w:pPr>
              <w:ind w:left="340"/>
              <w:spacing w:after="0" w:line="202" w:lineRule="exact"/>
              <w:rPr>
                <w:sz w:val="20"/>
                <w:szCs w:val="20"/>
                <w:color w:val="auto"/>
              </w:rPr>
            </w:pPr>
            <w:r>
              <w:rPr>
                <w:rFonts w:ascii="Arial" w:cs="Arial" w:eastAsia="Arial" w:hAnsi="Arial"/>
                <w:sz w:val="18"/>
                <w:szCs w:val="18"/>
                <w:color w:val="auto"/>
              </w:rPr>
              <w:t>known as The Scotts Company LLC Amended and Restated</w:t>
            </w:r>
          </w:p>
        </w:tc>
      </w:tr>
      <w:tr>
        <w:trPr>
          <w:trHeight w:val="243"/>
        </w:trPr>
        <w:tc>
          <w:tcPr>
            <w:tcW w:w="1080" w:type="dxa"/>
            <w:vAlign w:val="bottom"/>
          </w:tcPr>
          <w:p>
            <w:pPr>
              <w:spacing w:after="0"/>
              <w:rPr>
                <w:sz w:val="21"/>
                <w:szCs w:val="21"/>
                <w:color w:val="auto"/>
              </w:rPr>
            </w:pPr>
          </w:p>
        </w:tc>
        <w:tc>
          <w:tcPr>
            <w:tcW w:w="5200" w:type="dxa"/>
            <w:vAlign w:val="bottom"/>
          </w:tcPr>
          <w:p>
            <w:pPr>
              <w:ind w:left="340"/>
              <w:spacing w:after="0"/>
              <w:rPr>
                <w:sz w:val="20"/>
                <w:szCs w:val="20"/>
                <w:color w:val="auto"/>
              </w:rPr>
            </w:pPr>
            <w:r>
              <w:rPr>
                <w:rFonts w:ascii="Arial" w:cs="Arial" w:eastAsia="Arial" w:hAnsi="Arial"/>
                <w:sz w:val="18"/>
                <w:szCs w:val="18"/>
                <w:color w:val="auto"/>
              </w:rPr>
              <w:t>Executive Incentive Plan) [2005 version]</w:t>
            </w:r>
          </w:p>
        </w:tc>
      </w:tr>
    </w:tbl>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ind w:right="80"/>
        <w:spacing w:after="0" w:line="245"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2008 (which was filed on November 25, 2008) (File No. 1-13292) [Exhibit 10.2(b)(i)]</w:t>
      </w:r>
    </w:p>
    <w:p>
      <w:pPr>
        <w:spacing w:after="0" w:line="200" w:lineRule="exact"/>
        <w:rPr>
          <w:sz w:val="20"/>
          <w:szCs w:val="20"/>
          <w:color w:val="auto"/>
        </w:rPr>
      </w:pPr>
    </w:p>
    <w:p>
      <w:pPr>
        <w:sectPr>
          <w:pgSz w:w="11900" w:h="16838" w:orient="portrait"/>
          <w:cols w:equalWidth="0" w:num="2">
            <w:col w:w="6980" w:space="240"/>
            <w:col w:w="3520"/>
          </w:cols>
          <w:pgMar w:left="240" w:top="405" w:right="919" w:bottom="1440" w:gutter="0" w:footer="0" w:header="0"/>
          <w:type w:val="continuous"/>
        </w:sectPr>
      </w:pPr>
    </w:p>
    <w:p>
      <w:pPr>
        <w:spacing w:after="0" w:line="130"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Arial" w:cs="Arial" w:eastAsia="Arial" w:hAnsi="Arial"/>
                <w:sz w:val="18"/>
                <w:szCs w:val="18"/>
                <w:color w:val="auto"/>
              </w:rPr>
              <w:t>10.2(b)(ii)</w:t>
            </w:r>
          </w:p>
        </w:tc>
        <w:tc>
          <w:tcPr>
            <w:tcW w:w="5160" w:type="dxa"/>
            <w:vAlign w:val="bottom"/>
          </w:tcPr>
          <w:p>
            <w:pPr>
              <w:ind w:left="320"/>
              <w:spacing w:after="0"/>
              <w:rPr>
                <w:sz w:val="20"/>
                <w:szCs w:val="20"/>
                <w:color w:val="auto"/>
              </w:rPr>
            </w:pPr>
            <w:r>
              <w:rPr>
                <w:rFonts w:ascii="Arial" w:cs="Arial" w:eastAsia="Arial" w:hAnsi="Arial"/>
                <w:sz w:val="18"/>
                <w:szCs w:val="18"/>
                <w:color w:val="auto"/>
                <w:w w:val="99"/>
              </w:rPr>
              <w:t>Specimen form of Employee Confidentiality, Noncompetition,</w:t>
            </w:r>
          </w:p>
        </w:tc>
      </w:tr>
      <w:tr>
        <w:trPr>
          <w:trHeight w:val="225"/>
        </w:trPr>
        <w:tc>
          <w:tcPr>
            <w:tcW w:w="1100" w:type="dxa"/>
            <w:vAlign w:val="bottom"/>
          </w:tcPr>
          <w:p>
            <w:pPr>
              <w:spacing w:after="0"/>
              <w:rPr>
                <w:sz w:val="19"/>
                <w:szCs w:val="19"/>
                <w:color w:val="auto"/>
              </w:rPr>
            </w:pPr>
          </w:p>
        </w:tc>
        <w:tc>
          <w:tcPr>
            <w:tcW w:w="5160" w:type="dxa"/>
            <w:vAlign w:val="bottom"/>
          </w:tcPr>
          <w:p>
            <w:pPr>
              <w:ind w:left="320"/>
              <w:spacing w:after="0"/>
              <w:rPr>
                <w:sz w:val="20"/>
                <w:szCs w:val="20"/>
                <w:color w:val="auto"/>
              </w:rPr>
            </w:pPr>
            <w:r>
              <w:rPr>
                <w:rFonts w:ascii="Arial" w:cs="Arial" w:eastAsia="Arial" w:hAnsi="Arial"/>
                <w:sz w:val="18"/>
                <w:szCs w:val="18"/>
                <w:color w:val="auto"/>
                <w:w w:val="99"/>
              </w:rPr>
              <w:t>Nonsolicitation Agreement for employees participating in The</w:t>
            </w:r>
          </w:p>
        </w:tc>
      </w:tr>
    </w:tbl>
    <w:p>
      <w:pPr>
        <w:ind w:left="2120" w:right="40"/>
        <w:spacing w:after="0" w:line="242" w:lineRule="auto"/>
        <w:rPr>
          <w:sz w:val="20"/>
          <w:szCs w:val="20"/>
          <w:color w:val="auto"/>
        </w:rPr>
      </w:pPr>
      <w:r>
        <w:rPr>
          <w:rFonts w:ascii="Arial" w:cs="Arial" w:eastAsia="Arial" w:hAnsi="Arial"/>
          <w:sz w:val="18"/>
          <w:szCs w:val="18"/>
          <w:color w:val="auto"/>
        </w:rPr>
        <w:t>Scotts Company LLC Executive/Management Incentive Plan (now known as The Scotts Company LLC Amended and Restated Executive Incentive Plan) [post-2005 version]</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July 1, 2006 (File No. 1-13292) [Exhibit 10.1]</w:t>
      </w:r>
    </w:p>
    <w:p>
      <w:pPr>
        <w:spacing w:after="0" w:line="397" w:lineRule="exact"/>
        <w:rPr>
          <w:sz w:val="20"/>
          <w:szCs w:val="20"/>
          <w:color w:val="auto"/>
        </w:rPr>
      </w:pPr>
    </w:p>
    <w:p>
      <w:pPr>
        <w:sectPr>
          <w:pgSz w:w="11900" w:h="16838" w:orient="portrait"/>
          <w:cols w:equalWidth="0" w:num="2">
            <w:col w:w="6960" w:space="260"/>
            <w:col w:w="3520"/>
          </w:cols>
          <w:pgMar w:left="240" w:top="405" w:right="919" w:bottom="1440" w:gutter="0" w:footer="0" w:header="0"/>
          <w:type w:val="continuous"/>
        </w:sectPr>
      </w:pPr>
    </w:p>
    <w:p>
      <w:pPr>
        <w:spacing w:after="0" w:line="133"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980" w:type="dxa"/>
            <w:vAlign w:val="bottom"/>
          </w:tcPr>
          <w:p>
            <w:pPr>
              <w:spacing w:after="0"/>
              <w:rPr>
                <w:sz w:val="20"/>
                <w:szCs w:val="20"/>
                <w:color w:val="auto"/>
              </w:rPr>
            </w:pPr>
            <w:r>
              <w:rPr>
                <w:rFonts w:ascii="Arial" w:cs="Arial" w:eastAsia="Arial" w:hAnsi="Arial"/>
                <w:sz w:val="18"/>
                <w:szCs w:val="18"/>
                <w:color w:val="auto"/>
              </w:rPr>
              <w:t>10.2(c)</w:t>
            </w:r>
          </w:p>
        </w:tc>
        <w:tc>
          <w:tcPr>
            <w:tcW w:w="5180" w:type="dxa"/>
            <w:vAlign w:val="bottom"/>
          </w:tcPr>
          <w:p>
            <w:pPr>
              <w:ind w:left="440"/>
              <w:spacing w:after="0"/>
              <w:rPr>
                <w:sz w:val="20"/>
                <w:szCs w:val="20"/>
                <w:color w:val="auto"/>
              </w:rPr>
            </w:pPr>
            <w:r>
              <w:rPr>
                <w:rFonts w:ascii="Arial" w:cs="Arial" w:eastAsia="Arial" w:hAnsi="Arial"/>
                <w:sz w:val="18"/>
                <w:szCs w:val="18"/>
                <w:color w:val="auto"/>
                <w:w w:val="99"/>
              </w:rPr>
              <w:t>Executive Officers of The Scotts Miracle-Gro Company who</w:t>
            </w:r>
          </w:p>
        </w:tc>
      </w:tr>
      <w:tr>
        <w:trPr>
          <w:trHeight w:val="225"/>
        </w:trPr>
        <w:tc>
          <w:tcPr>
            <w:tcW w:w="980" w:type="dxa"/>
            <w:vAlign w:val="bottom"/>
          </w:tcPr>
          <w:p>
            <w:pPr>
              <w:spacing w:after="0"/>
              <w:rPr>
                <w:sz w:val="19"/>
                <w:szCs w:val="19"/>
                <w:color w:val="auto"/>
              </w:rPr>
            </w:pPr>
          </w:p>
        </w:tc>
        <w:tc>
          <w:tcPr>
            <w:tcW w:w="5180" w:type="dxa"/>
            <w:vAlign w:val="bottom"/>
          </w:tcPr>
          <w:p>
            <w:pPr>
              <w:ind w:left="440"/>
              <w:spacing w:after="0"/>
              <w:rPr>
                <w:sz w:val="20"/>
                <w:szCs w:val="20"/>
                <w:color w:val="auto"/>
              </w:rPr>
            </w:pPr>
            <w:r>
              <w:rPr>
                <w:rFonts w:ascii="Arial" w:cs="Arial" w:eastAsia="Arial" w:hAnsi="Arial"/>
                <w:sz w:val="18"/>
                <w:szCs w:val="18"/>
                <w:color w:val="auto"/>
              </w:rPr>
              <w:t>are parties to form of Employee Confidentiality,</w:t>
            </w:r>
          </w:p>
        </w:tc>
      </w:tr>
    </w:tbl>
    <w:p>
      <w:pPr>
        <w:ind w:left="2120" w:right="120"/>
        <w:spacing w:after="0" w:line="242" w:lineRule="auto"/>
        <w:rPr>
          <w:sz w:val="20"/>
          <w:szCs w:val="20"/>
          <w:color w:val="auto"/>
        </w:rPr>
      </w:pPr>
      <w:r>
        <w:rPr>
          <w:rFonts w:ascii="Arial" w:cs="Arial" w:eastAsia="Arial" w:hAnsi="Arial"/>
          <w:sz w:val="18"/>
          <w:szCs w:val="18"/>
          <w:color w:val="auto"/>
        </w:rPr>
        <w:t>Noncompetition, Nonsolicitation Agreement for employees participating in The Scotts Company LLC Amended and Restated Executive Incentive Plan</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ind w:right="220"/>
        <w:spacing w:after="0" w:line="263" w:lineRule="auto"/>
        <w:rPr>
          <w:sz w:val="20"/>
          <w:szCs w:val="20"/>
          <w:color w:val="auto"/>
        </w:rPr>
      </w:pPr>
      <w:r>
        <w:rPr>
          <w:rFonts w:ascii="Arial" w:cs="Arial" w:eastAsia="Arial" w:hAnsi="Arial"/>
          <w:sz w:val="17"/>
          <w:szCs w:val="17"/>
          <w:color w:val="auto"/>
        </w:rPr>
        <w:t>Incorporated herein by reference to the Registrant’s Annual Report on Form 10-K for the fiscal year ended September 30, 2008 (which was filed on November 25, 2008) (File No. 1-13292) [Exhibit 10.2(c)]</w:t>
      </w:r>
    </w:p>
    <w:p>
      <w:pPr>
        <w:spacing w:after="0" w:line="200" w:lineRule="exact"/>
        <w:rPr>
          <w:sz w:val="20"/>
          <w:szCs w:val="20"/>
          <w:color w:val="auto"/>
        </w:rPr>
      </w:pPr>
    </w:p>
    <w:p>
      <w:pPr>
        <w:sectPr>
          <w:pgSz w:w="11900" w:h="16838" w:orient="portrait"/>
          <w:cols w:equalWidth="0" w:num="2">
            <w:col w:w="6860" w:space="360"/>
            <w:col w:w="3520"/>
          </w:cols>
          <w:pgMar w:left="240" w:top="405" w:right="919" w:bottom="1440" w:gutter="0" w:footer="0" w:header="0"/>
          <w:type w:val="continuous"/>
        </w:sectPr>
      </w:pPr>
    </w:p>
    <w:p>
      <w:pPr>
        <w:spacing w:after="0" w:line="116"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880" w:type="dxa"/>
            <w:vAlign w:val="bottom"/>
          </w:tcPr>
          <w:p>
            <w:pPr>
              <w:jc w:val="right"/>
              <w:ind w:right="450"/>
              <w:spacing w:after="0"/>
              <w:rPr>
                <w:sz w:val="20"/>
                <w:szCs w:val="20"/>
                <w:color w:val="auto"/>
              </w:rPr>
            </w:pPr>
            <w:r>
              <w:rPr>
                <w:rFonts w:ascii="Arial" w:cs="Arial" w:eastAsia="Arial" w:hAnsi="Arial"/>
                <w:sz w:val="18"/>
                <w:szCs w:val="18"/>
                <w:color w:val="auto"/>
                <w:w w:val="91"/>
              </w:rPr>
              <w:t>10.3</w:t>
            </w:r>
          </w:p>
        </w:tc>
        <w:tc>
          <w:tcPr>
            <w:tcW w:w="5180" w:type="dxa"/>
            <w:vAlign w:val="bottom"/>
          </w:tcPr>
          <w:p>
            <w:pPr>
              <w:ind w:left="540"/>
              <w:spacing w:after="0"/>
              <w:rPr>
                <w:sz w:val="20"/>
                <w:szCs w:val="20"/>
                <w:color w:val="auto"/>
              </w:rPr>
            </w:pPr>
            <w:r>
              <w:rPr>
                <w:rFonts w:ascii="Arial" w:cs="Arial" w:eastAsia="Arial" w:hAnsi="Arial"/>
                <w:sz w:val="18"/>
                <w:szCs w:val="18"/>
                <w:color w:val="auto"/>
                <w:w w:val="99"/>
              </w:rPr>
              <w:t>The Scotts Company LLC Supplemental Incentive Plan for</w:t>
            </w:r>
          </w:p>
        </w:tc>
      </w:tr>
      <w:tr>
        <w:trPr>
          <w:trHeight w:val="243"/>
        </w:trPr>
        <w:tc>
          <w:tcPr>
            <w:tcW w:w="880" w:type="dxa"/>
            <w:vAlign w:val="bottom"/>
          </w:tcPr>
          <w:p>
            <w:pPr>
              <w:spacing w:after="0"/>
              <w:rPr>
                <w:sz w:val="21"/>
                <w:szCs w:val="21"/>
                <w:color w:val="auto"/>
              </w:rPr>
            </w:pPr>
          </w:p>
        </w:tc>
        <w:tc>
          <w:tcPr>
            <w:tcW w:w="5180" w:type="dxa"/>
            <w:vAlign w:val="bottom"/>
          </w:tcPr>
          <w:p>
            <w:pPr>
              <w:ind w:left="540"/>
              <w:spacing w:after="0"/>
              <w:rPr>
                <w:sz w:val="20"/>
                <w:szCs w:val="20"/>
                <w:color w:val="auto"/>
              </w:rPr>
            </w:pPr>
            <w:r>
              <w:rPr>
                <w:rFonts w:ascii="Arial" w:cs="Arial" w:eastAsia="Arial" w:hAnsi="Arial"/>
                <w:sz w:val="18"/>
                <w:szCs w:val="18"/>
                <w:color w:val="auto"/>
              </w:rPr>
              <w:t>the fiscal year ended September 30, 2008</w:t>
            </w:r>
          </w:p>
        </w:tc>
      </w:tr>
    </w:tbl>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June 28, 2008 (File No. 1-13292) [Exhibit 10(c)]</w:t>
      </w:r>
    </w:p>
    <w:p>
      <w:pPr>
        <w:spacing w:after="0" w:line="200" w:lineRule="exact"/>
        <w:rPr>
          <w:sz w:val="20"/>
          <w:szCs w:val="20"/>
          <w:color w:val="auto"/>
        </w:rPr>
      </w:pPr>
    </w:p>
    <w:p>
      <w:pPr>
        <w:sectPr>
          <w:pgSz w:w="11900" w:h="16838" w:orient="portrait"/>
          <w:cols w:equalWidth="0" w:num="2">
            <w:col w:w="6760" w:space="460"/>
            <w:col w:w="3520"/>
          </w:cols>
          <w:pgMar w:left="240" w:top="405" w:right="919" w:bottom="1440" w:gutter="0" w:footer="0" w:header="0"/>
          <w:type w:val="continuous"/>
        </w:sectPr>
      </w:pPr>
    </w:p>
    <w:p>
      <w:pPr>
        <w:spacing w:after="0" w:line="129"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Arial" w:cs="Arial" w:eastAsia="Arial" w:hAnsi="Arial"/>
                <w:sz w:val="18"/>
                <w:szCs w:val="18"/>
                <w:color w:val="auto"/>
              </w:rPr>
              <w:t>10.4(a)</w:t>
            </w:r>
          </w:p>
        </w:tc>
        <w:tc>
          <w:tcPr>
            <w:tcW w:w="5280" w:type="dxa"/>
            <w:vAlign w:val="bottom"/>
          </w:tcPr>
          <w:p>
            <w:pPr>
              <w:ind w:left="420"/>
              <w:spacing w:after="0"/>
              <w:rPr>
                <w:sz w:val="20"/>
                <w:szCs w:val="20"/>
                <w:color w:val="auto"/>
              </w:rPr>
            </w:pPr>
            <w:r>
              <w:rPr>
                <w:rFonts w:ascii="Arial" w:cs="Arial" w:eastAsia="Arial" w:hAnsi="Arial"/>
                <w:sz w:val="18"/>
                <w:szCs w:val="18"/>
                <w:color w:val="auto"/>
              </w:rPr>
              <w:t>The Scotts Miracle-Gro Company Amended and Restated</w:t>
            </w:r>
          </w:p>
        </w:tc>
        <w:tc>
          <w:tcPr>
            <w:tcW w:w="3540" w:type="dxa"/>
            <w:vAlign w:val="bottom"/>
          </w:tcPr>
          <w:p>
            <w:pPr>
              <w:ind w:left="240"/>
              <w:spacing w:after="0"/>
              <w:rPr>
                <w:sz w:val="20"/>
                <w:szCs w:val="20"/>
                <w:color w:val="auto"/>
              </w:rPr>
            </w:pPr>
            <w:r>
              <w:rPr>
                <w:rFonts w:ascii="Arial" w:cs="Arial" w:eastAsia="Arial" w:hAnsi="Arial"/>
                <w:sz w:val="18"/>
                <w:szCs w:val="18"/>
                <w:color w:val="auto"/>
              </w:rPr>
              <w:t>Incorporated herein by reference to the</w:t>
            </w:r>
          </w:p>
        </w:tc>
      </w:tr>
      <w:tr>
        <w:trPr>
          <w:trHeight w:val="203"/>
        </w:trPr>
        <w:tc>
          <w:tcPr>
            <w:tcW w:w="1000" w:type="dxa"/>
            <w:vAlign w:val="bottom"/>
          </w:tcPr>
          <w:p>
            <w:pPr>
              <w:spacing w:after="0"/>
              <w:rPr>
                <w:sz w:val="17"/>
                <w:szCs w:val="17"/>
                <w:color w:val="auto"/>
              </w:rPr>
            </w:pPr>
          </w:p>
        </w:tc>
        <w:tc>
          <w:tcPr>
            <w:tcW w:w="5280" w:type="dxa"/>
            <w:vAlign w:val="bottom"/>
          </w:tcPr>
          <w:p>
            <w:pPr>
              <w:ind w:left="420"/>
              <w:spacing w:after="0" w:line="202" w:lineRule="exact"/>
              <w:rPr>
                <w:sz w:val="20"/>
                <w:szCs w:val="20"/>
                <w:color w:val="auto"/>
              </w:rPr>
            </w:pPr>
            <w:r>
              <w:rPr>
                <w:rFonts w:ascii="Arial" w:cs="Arial" w:eastAsia="Arial" w:hAnsi="Arial"/>
                <w:sz w:val="18"/>
                <w:szCs w:val="18"/>
                <w:color w:val="auto"/>
              </w:rPr>
              <w:t>1996 Stock Option Plan (effective as of October 30, 2007)</w:t>
            </w:r>
          </w:p>
        </w:tc>
        <w:tc>
          <w:tcPr>
            <w:tcW w:w="3540" w:type="dxa"/>
            <w:vAlign w:val="bottom"/>
          </w:tcPr>
          <w:p>
            <w:pPr>
              <w:ind w:left="240"/>
              <w:spacing w:after="0" w:line="202" w:lineRule="exact"/>
              <w:rPr>
                <w:sz w:val="20"/>
                <w:szCs w:val="20"/>
                <w:color w:val="auto"/>
              </w:rPr>
            </w:pPr>
            <w:r>
              <w:rPr>
                <w:rFonts w:ascii="Arial" w:cs="Arial" w:eastAsia="Arial" w:hAnsi="Arial"/>
                <w:sz w:val="18"/>
                <w:szCs w:val="18"/>
                <w:color w:val="auto"/>
                <w:w w:val="99"/>
              </w:rPr>
              <w:t>Registrant’s Annual Report on Form 10-K</w:t>
            </w:r>
          </w:p>
        </w:tc>
      </w:tr>
      <w:tr>
        <w:trPr>
          <w:trHeight w:val="203"/>
        </w:trPr>
        <w:tc>
          <w:tcPr>
            <w:tcW w:w="1000" w:type="dxa"/>
            <w:vAlign w:val="bottom"/>
          </w:tcPr>
          <w:p>
            <w:pPr>
              <w:spacing w:after="0"/>
              <w:rPr>
                <w:sz w:val="17"/>
                <w:szCs w:val="17"/>
                <w:color w:val="auto"/>
              </w:rPr>
            </w:pPr>
          </w:p>
        </w:tc>
        <w:tc>
          <w:tcPr>
            <w:tcW w:w="5280" w:type="dxa"/>
            <w:vAlign w:val="bottom"/>
          </w:tcPr>
          <w:p>
            <w:pPr>
              <w:spacing w:after="0"/>
              <w:rPr>
                <w:sz w:val="17"/>
                <w:szCs w:val="17"/>
                <w:color w:val="auto"/>
              </w:rPr>
            </w:pPr>
          </w:p>
        </w:tc>
        <w:tc>
          <w:tcPr>
            <w:tcW w:w="3540" w:type="dxa"/>
            <w:vAlign w:val="bottom"/>
          </w:tcPr>
          <w:p>
            <w:pPr>
              <w:ind w:left="240"/>
              <w:spacing w:after="0" w:line="202" w:lineRule="exact"/>
              <w:rPr>
                <w:sz w:val="20"/>
                <w:szCs w:val="20"/>
                <w:color w:val="auto"/>
              </w:rPr>
            </w:pPr>
            <w:r>
              <w:rPr>
                <w:rFonts w:ascii="Arial" w:cs="Arial" w:eastAsia="Arial" w:hAnsi="Arial"/>
                <w:sz w:val="18"/>
                <w:szCs w:val="18"/>
                <w:color w:val="auto"/>
              </w:rPr>
              <w:t>for the fiscal year ended September 30,</w:t>
            </w:r>
          </w:p>
        </w:tc>
      </w:tr>
      <w:tr>
        <w:trPr>
          <w:trHeight w:val="243"/>
        </w:trPr>
        <w:tc>
          <w:tcPr>
            <w:tcW w:w="1000" w:type="dxa"/>
            <w:vAlign w:val="bottom"/>
          </w:tcPr>
          <w:p>
            <w:pPr>
              <w:spacing w:after="0"/>
              <w:rPr>
                <w:sz w:val="21"/>
                <w:szCs w:val="21"/>
                <w:color w:val="auto"/>
              </w:rPr>
            </w:pPr>
          </w:p>
        </w:tc>
        <w:tc>
          <w:tcPr>
            <w:tcW w:w="5280" w:type="dxa"/>
            <w:vAlign w:val="bottom"/>
          </w:tcPr>
          <w:p>
            <w:pPr>
              <w:spacing w:after="0"/>
              <w:rPr>
                <w:sz w:val="21"/>
                <w:szCs w:val="21"/>
                <w:color w:val="auto"/>
              </w:rPr>
            </w:pPr>
          </w:p>
        </w:tc>
        <w:tc>
          <w:tcPr>
            <w:tcW w:w="3540" w:type="dxa"/>
            <w:vAlign w:val="bottom"/>
          </w:tcPr>
          <w:p>
            <w:pPr>
              <w:ind w:left="240"/>
              <w:spacing w:after="0"/>
              <w:rPr>
                <w:sz w:val="20"/>
                <w:szCs w:val="20"/>
                <w:color w:val="auto"/>
              </w:rPr>
            </w:pPr>
            <w:r>
              <w:rPr>
                <w:rFonts w:ascii="Arial" w:cs="Arial" w:eastAsia="Arial" w:hAnsi="Arial"/>
                <w:sz w:val="18"/>
                <w:szCs w:val="18"/>
                <w:color w:val="auto"/>
                <w:w w:val="99"/>
              </w:rPr>
              <w:t>2007 (File No. 1-13292) [Exhibit 10(d)(4)]</w:t>
            </w:r>
          </w:p>
        </w:tc>
      </w:tr>
    </w:tbl>
    <w:p>
      <w:pPr>
        <w:spacing w:after="0" w:line="200" w:lineRule="exact"/>
        <w:rPr>
          <w:sz w:val="20"/>
          <w:szCs w:val="20"/>
          <w:color w:val="auto"/>
        </w:rPr>
      </w:pPr>
    </w:p>
    <w:p>
      <w:pPr>
        <w:sectPr>
          <w:pgSz w:w="11900" w:h="16838" w:orient="portrait"/>
          <w:cols w:equalWidth="0" w:num="1">
            <w:col w:w="10740"/>
          </w:cols>
          <w:pgMar w:left="240" w:top="405" w:right="919" w:bottom="1440" w:gutter="0" w:footer="0" w:header="0"/>
          <w:type w:val="continuous"/>
        </w:sectPr>
      </w:pPr>
    </w:p>
    <w:p>
      <w:pPr>
        <w:spacing w:after="0" w:line="133"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Arial" w:cs="Arial" w:eastAsia="Arial" w:hAnsi="Arial"/>
                <w:sz w:val="18"/>
                <w:szCs w:val="18"/>
                <w:color w:val="auto"/>
              </w:rPr>
              <w:t>10.4(b)</w:t>
            </w:r>
          </w:p>
        </w:tc>
        <w:tc>
          <w:tcPr>
            <w:tcW w:w="5280" w:type="dxa"/>
            <w:vAlign w:val="bottom"/>
          </w:tcPr>
          <w:p>
            <w:pPr>
              <w:ind w:left="420"/>
              <w:spacing w:after="0"/>
              <w:rPr>
                <w:sz w:val="20"/>
                <w:szCs w:val="20"/>
                <w:color w:val="auto"/>
              </w:rPr>
            </w:pPr>
            <w:r>
              <w:rPr>
                <w:rFonts w:ascii="Arial" w:cs="Arial" w:eastAsia="Arial" w:hAnsi="Arial"/>
                <w:sz w:val="18"/>
                <w:szCs w:val="18"/>
                <w:color w:val="auto"/>
              </w:rPr>
              <w:t>Specimen form of Stock Option Agreement for Non-Qualified</w:t>
            </w:r>
          </w:p>
        </w:tc>
      </w:tr>
      <w:tr>
        <w:trPr>
          <w:trHeight w:val="203"/>
        </w:trPr>
        <w:tc>
          <w:tcPr>
            <w:tcW w:w="1000" w:type="dxa"/>
            <w:vAlign w:val="bottom"/>
          </w:tcPr>
          <w:p>
            <w:pPr>
              <w:spacing w:after="0"/>
              <w:rPr>
                <w:sz w:val="17"/>
                <w:szCs w:val="17"/>
                <w:color w:val="auto"/>
              </w:rPr>
            </w:pPr>
          </w:p>
        </w:tc>
        <w:tc>
          <w:tcPr>
            <w:tcW w:w="5280" w:type="dxa"/>
            <w:vAlign w:val="bottom"/>
          </w:tcPr>
          <w:p>
            <w:pPr>
              <w:ind w:left="420"/>
              <w:spacing w:after="0" w:line="202" w:lineRule="exact"/>
              <w:rPr>
                <w:sz w:val="20"/>
                <w:szCs w:val="20"/>
                <w:color w:val="auto"/>
              </w:rPr>
            </w:pPr>
            <w:r>
              <w:rPr>
                <w:rFonts w:ascii="Arial" w:cs="Arial" w:eastAsia="Arial" w:hAnsi="Arial"/>
                <w:sz w:val="18"/>
                <w:szCs w:val="18"/>
                <w:color w:val="auto"/>
              </w:rPr>
              <w:t>Stock Options granted to employees under The Scotts</w:t>
            </w:r>
          </w:p>
        </w:tc>
      </w:tr>
      <w:tr>
        <w:trPr>
          <w:trHeight w:val="203"/>
        </w:trPr>
        <w:tc>
          <w:tcPr>
            <w:tcW w:w="1000" w:type="dxa"/>
            <w:vAlign w:val="bottom"/>
          </w:tcPr>
          <w:p>
            <w:pPr>
              <w:spacing w:after="0"/>
              <w:rPr>
                <w:sz w:val="17"/>
                <w:szCs w:val="17"/>
                <w:color w:val="auto"/>
              </w:rPr>
            </w:pPr>
          </w:p>
        </w:tc>
        <w:tc>
          <w:tcPr>
            <w:tcW w:w="5280" w:type="dxa"/>
            <w:vAlign w:val="bottom"/>
          </w:tcPr>
          <w:p>
            <w:pPr>
              <w:ind w:left="420"/>
              <w:spacing w:after="0" w:line="202" w:lineRule="exact"/>
              <w:rPr>
                <w:sz w:val="20"/>
                <w:szCs w:val="20"/>
                <w:color w:val="auto"/>
              </w:rPr>
            </w:pPr>
            <w:r>
              <w:rPr>
                <w:rFonts w:ascii="Arial" w:cs="Arial" w:eastAsia="Arial" w:hAnsi="Arial"/>
                <w:sz w:val="18"/>
                <w:szCs w:val="18"/>
                <w:color w:val="auto"/>
                <w:w w:val="99"/>
              </w:rPr>
              <w:t>Company 1996 Stock Option Plan (now known as The Scotts</w:t>
            </w:r>
          </w:p>
        </w:tc>
      </w:tr>
      <w:tr>
        <w:trPr>
          <w:trHeight w:val="203"/>
        </w:trPr>
        <w:tc>
          <w:tcPr>
            <w:tcW w:w="1000" w:type="dxa"/>
            <w:vAlign w:val="bottom"/>
          </w:tcPr>
          <w:p>
            <w:pPr>
              <w:spacing w:after="0"/>
              <w:rPr>
                <w:sz w:val="17"/>
                <w:szCs w:val="17"/>
                <w:color w:val="auto"/>
              </w:rPr>
            </w:pPr>
          </w:p>
        </w:tc>
        <w:tc>
          <w:tcPr>
            <w:tcW w:w="5280" w:type="dxa"/>
            <w:vAlign w:val="bottom"/>
          </w:tcPr>
          <w:p>
            <w:pPr>
              <w:ind w:left="420"/>
              <w:spacing w:after="0" w:line="202" w:lineRule="exact"/>
              <w:rPr>
                <w:sz w:val="20"/>
                <w:szCs w:val="20"/>
                <w:color w:val="auto"/>
              </w:rPr>
            </w:pPr>
            <w:r>
              <w:rPr>
                <w:rFonts w:ascii="Arial" w:cs="Arial" w:eastAsia="Arial" w:hAnsi="Arial"/>
                <w:sz w:val="18"/>
                <w:szCs w:val="18"/>
                <w:color w:val="auto"/>
              </w:rPr>
              <w:t>Miracle-Gro Company Amended and Restated 1996 Stock</w:t>
            </w:r>
          </w:p>
        </w:tc>
      </w:tr>
      <w:tr>
        <w:trPr>
          <w:trHeight w:val="243"/>
        </w:trPr>
        <w:tc>
          <w:tcPr>
            <w:tcW w:w="1000" w:type="dxa"/>
            <w:vAlign w:val="bottom"/>
          </w:tcPr>
          <w:p>
            <w:pPr>
              <w:spacing w:after="0"/>
              <w:rPr>
                <w:sz w:val="21"/>
                <w:szCs w:val="21"/>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Option Plan)</w:t>
            </w:r>
          </w:p>
        </w:tc>
      </w:tr>
    </w:tbl>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color w:val="auto"/>
        </w:rPr>
        <w:t>Incorporated herein by reference to Scotts’ Current Report on Form 8-K filed November 19, 2004 (File No. 1-13292) [Exhibit 10.7]</w:t>
      </w:r>
    </w:p>
    <w:p>
      <w:pPr>
        <w:spacing w:after="0" w:line="576" w:lineRule="exact"/>
        <w:rPr>
          <w:sz w:val="20"/>
          <w:szCs w:val="20"/>
          <w:color w:val="auto"/>
        </w:rPr>
      </w:pPr>
    </w:p>
    <w:p>
      <w:pPr>
        <w:sectPr>
          <w:pgSz w:w="11900" w:h="16838" w:orient="portrait"/>
          <w:cols w:equalWidth="0" w:num="2">
            <w:col w:w="6980" w:space="240"/>
            <w:col w:w="3520"/>
          </w:cols>
          <w:pgMar w:left="240" w:top="405" w:right="919" w:bottom="1440" w:gutter="0" w:footer="0" w:header="0"/>
          <w:type w:val="continuous"/>
        </w:sectPr>
      </w:pPr>
    </w:p>
    <w:p>
      <w:pPr>
        <w:spacing w:after="0" w:line="11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0"/>
          <w:szCs w:val="10"/>
          <w:b w:val="1"/>
          <w:bCs w:val="1"/>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-71120</wp:posOffset>
            </wp:positionV>
            <wp:extent cx="19748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149225</wp:posOffset>
            </wp:positionV>
            <wp:extent cx="7250430" cy="215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240" w:top="405" w:right="919" w:bottom="1440" w:gutter="0" w:footer="0" w:header="0"/>
          <w:type w:val="continuous"/>
        </w:sectPr>
      </w:pPr>
    </w:p>
    <w:bookmarkStart w:id="117" w:name="page118"/>
    <w:bookmarkEnd w:id="117"/>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Times New Roman" w:cs="Times New Roman" w:eastAsia="Times New Roman" w:hAnsi="Times New Roman"/>
                <w:sz w:val="18"/>
                <w:szCs w:val="18"/>
                <w:b w:val="1"/>
                <w:bCs w:val="1"/>
                <w:color w:val="0000EE"/>
                <w:w w:val="97"/>
              </w:rPr>
            </w:pPr>
            <w:hyperlink w:anchor="page64">
              <w:r>
                <w:rPr>
                  <w:rFonts w:ascii="Times New Roman" w:cs="Times New Roman" w:eastAsia="Times New Roman" w:hAnsi="Times New Roman"/>
                  <w:sz w:val="18"/>
                  <w:szCs w:val="18"/>
                  <w:b w:val="1"/>
                  <w:bCs w:val="1"/>
                  <w:color w:val="0000EE"/>
                  <w:w w:val="97"/>
                </w:rPr>
                <w:t>Table of Contents</w:t>
              </w:r>
            </w:hyperlink>
          </w:p>
        </w:tc>
        <w:tc>
          <w:tcPr>
            <w:tcW w:w="48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3640" w:type="dxa"/>
            <w:vAlign w:val="bottom"/>
          </w:tcPr>
          <w:p>
            <w:pPr>
              <w:spacing w:after="0"/>
              <w:rPr>
                <w:sz w:val="17"/>
                <w:szCs w:val="17"/>
                <w:color w:val="auto"/>
              </w:rPr>
            </w:pPr>
          </w:p>
        </w:tc>
      </w:tr>
      <w:tr>
        <w:trPr>
          <w:trHeight w:val="511"/>
        </w:trPr>
        <w:tc>
          <w:tcPr>
            <w:tcW w:w="700" w:type="dxa"/>
            <w:vAlign w:val="bottom"/>
          </w:tcPr>
          <w:p>
            <w:pPr>
              <w:spacing w:after="0"/>
              <w:rPr>
                <w:sz w:val="24"/>
                <w:szCs w:val="24"/>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9"/>
              </w:rPr>
              <w:t>Exhibit</w:t>
            </w:r>
          </w:p>
        </w:tc>
        <w:tc>
          <w:tcPr>
            <w:tcW w:w="526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39"/>
        </w:trPr>
        <w:tc>
          <w:tcPr>
            <w:tcW w:w="700" w:type="dxa"/>
            <w:vAlign w:val="bottom"/>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9"/>
              </w:rPr>
              <w:t>No.</w:t>
            </w:r>
          </w:p>
        </w:tc>
        <w:tc>
          <w:tcPr>
            <w:tcW w:w="5260" w:type="dxa"/>
            <w:vAlign w:val="bottom"/>
            <w:tcBorders>
              <w:bottom w:val="single" w:sz="8" w:color="auto"/>
            </w:tcBorders>
          </w:tcPr>
          <w:p>
            <w:pPr>
              <w:ind w:left="2280"/>
              <w:spacing w:after="0"/>
              <w:rPr>
                <w:sz w:val="20"/>
                <w:szCs w:val="20"/>
                <w:color w:val="auto"/>
              </w:rPr>
            </w:pPr>
            <w:r>
              <w:rPr>
                <w:rFonts w:ascii="Arial" w:cs="Arial" w:eastAsia="Arial" w:hAnsi="Arial"/>
                <w:sz w:val="18"/>
                <w:szCs w:val="18"/>
                <w:color w:val="auto"/>
              </w:rPr>
              <w:t>Description</w:t>
            </w:r>
          </w:p>
        </w:tc>
        <w:tc>
          <w:tcPr>
            <w:tcW w:w="3640" w:type="dxa"/>
            <w:vAlign w:val="bottom"/>
            <w:tcBorders>
              <w:bottom w:val="single" w:sz="8" w:color="auto"/>
            </w:tcBorders>
          </w:tcPr>
          <w:p>
            <w:pPr>
              <w:ind w:left="1540"/>
              <w:spacing w:after="0"/>
              <w:rPr>
                <w:sz w:val="20"/>
                <w:szCs w:val="20"/>
                <w:color w:val="auto"/>
              </w:rPr>
            </w:pPr>
            <w:r>
              <w:rPr>
                <w:rFonts w:ascii="Arial" w:cs="Arial" w:eastAsia="Arial" w:hAnsi="Arial"/>
                <w:sz w:val="18"/>
                <w:szCs w:val="18"/>
                <w:color w:val="auto"/>
              </w:rPr>
              <w:t>Location</w:t>
            </w:r>
          </w:p>
        </w:tc>
      </w:tr>
      <w:tr>
        <w:trPr>
          <w:trHeight w:val="227"/>
        </w:trPr>
        <w:tc>
          <w:tcPr>
            <w:tcW w:w="1840" w:type="dxa"/>
            <w:vAlign w:val="bottom"/>
            <w:gridSpan w:val="3"/>
          </w:tcPr>
          <w:p>
            <w:pPr>
              <w:ind w:left="700"/>
              <w:spacing w:after="0"/>
              <w:rPr>
                <w:sz w:val="20"/>
                <w:szCs w:val="20"/>
                <w:color w:val="auto"/>
              </w:rPr>
            </w:pPr>
            <w:r>
              <w:rPr>
                <w:rFonts w:ascii="Arial" w:cs="Arial" w:eastAsia="Arial" w:hAnsi="Arial"/>
                <w:sz w:val="18"/>
                <w:szCs w:val="18"/>
                <w:color w:val="auto"/>
              </w:rPr>
              <w:t>10.5(a)(i)</w:t>
            </w:r>
          </w:p>
        </w:tc>
        <w:tc>
          <w:tcPr>
            <w:tcW w:w="5260" w:type="dxa"/>
            <w:vAlign w:val="bottom"/>
          </w:tcPr>
          <w:p>
            <w:pPr>
              <w:ind w:left="280"/>
              <w:spacing w:after="0"/>
              <w:rPr>
                <w:sz w:val="20"/>
                <w:szCs w:val="20"/>
                <w:color w:val="auto"/>
              </w:rPr>
            </w:pPr>
            <w:r>
              <w:rPr>
                <w:rFonts w:ascii="Arial" w:cs="Arial" w:eastAsia="Arial" w:hAnsi="Arial"/>
                <w:sz w:val="18"/>
                <w:szCs w:val="18"/>
                <w:color w:val="auto"/>
              </w:rPr>
              <w:t>The Scotts Company Executive Retirement Plan (now known</w:t>
            </w:r>
          </w:p>
        </w:tc>
        <w:tc>
          <w:tcPr>
            <w:tcW w:w="3640" w:type="dxa"/>
            <w:vAlign w:val="bottom"/>
          </w:tcPr>
          <w:p>
            <w:pPr>
              <w:ind w:left="120"/>
              <w:spacing w:after="0"/>
              <w:rPr>
                <w:sz w:val="20"/>
                <w:szCs w:val="20"/>
                <w:color w:val="auto"/>
              </w:rPr>
            </w:pPr>
            <w:r>
              <w:rPr>
                <w:rFonts w:ascii="Arial" w:cs="Arial" w:eastAsia="Arial" w:hAnsi="Arial"/>
                <w:sz w:val="18"/>
                <w:szCs w:val="18"/>
                <w:color w:val="auto"/>
              </w:rPr>
              <w:t>Incorporated herein by reference to the</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60" w:type="dxa"/>
            <w:vAlign w:val="bottom"/>
          </w:tcPr>
          <w:p>
            <w:pPr>
              <w:ind w:left="280"/>
              <w:spacing w:after="0" w:line="202" w:lineRule="exact"/>
              <w:rPr>
                <w:sz w:val="20"/>
                <w:szCs w:val="20"/>
                <w:color w:val="auto"/>
              </w:rPr>
            </w:pPr>
            <w:r>
              <w:rPr>
                <w:rFonts w:ascii="Arial" w:cs="Arial" w:eastAsia="Arial" w:hAnsi="Arial"/>
                <w:sz w:val="18"/>
                <w:szCs w:val="18"/>
                <w:color w:val="auto"/>
              </w:rPr>
              <w:t>as The Scotts Company LLC Executive Retirement Plan)</w:t>
            </w:r>
          </w:p>
        </w:tc>
        <w:tc>
          <w:tcPr>
            <w:tcW w:w="3640" w:type="dxa"/>
            <w:vAlign w:val="bottom"/>
          </w:tcPr>
          <w:p>
            <w:pPr>
              <w:ind w:left="120"/>
              <w:spacing w:after="0" w:line="202" w:lineRule="exact"/>
              <w:rPr>
                <w:sz w:val="20"/>
                <w:szCs w:val="20"/>
                <w:color w:val="auto"/>
              </w:rPr>
            </w:pPr>
            <w:r>
              <w:rPr>
                <w:rFonts w:ascii="Arial" w:cs="Arial" w:eastAsia="Arial" w:hAnsi="Arial"/>
                <w:sz w:val="18"/>
                <w:szCs w:val="18"/>
                <w:color w:val="auto"/>
              </w:rPr>
              <w:t>Registrant’s Registration Statement on</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60" w:type="dxa"/>
            <w:vAlign w:val="bottom"/>
          </w:tcPr>
          <w:p>
            <w:pPr>
              <w:ind w:left="280"/>
              <w:spacing w:after="0" w:line="202" w:lineRule="exact"/>
              <w:rPr>
                <w:sz w:val="20"/>
                <w:szCs w:val="20"/>
                <w:color w:val="auto"/>
              </w:rPr>
            </w:pPr>
            <w:r>
              <w:rPr>
                <w:rFonts w:ascii="Arial" w:cs="Arial" w:eastAsia="Arial" w:hAnsi="Arial"/>
                <w:sz w:val="18"/>
                <w:szCs w:val="18"/>
                <w:color w:val="auto"/>
              </w:rPr>
              <w:t>[executed on November 19, 1998 and effective as of January</w:t>
            </w:r>
          </w:p>
        </w:tc>
        <w:tc>
          <w:tcPr>
            <w:tcW w:w="3640" w:type="dxa"/>
            <w:vAlign w:val="bottom"/>
          </w:tcPr>
          <w:p>
            <w:pPr>
              <w:ind w:left="120"/>
              <w:spacing w:after="0" w:line="202" w:lineRule="exact"/>
              <w:rPr>
                <w:sz w:val="20"/>
                <w:szCs w:val="20"/>
                <w:color w:val="auto"/>
              </w:rPr>
            </w:pPr>
            <w:r>
              <w:rPr>
                <w:rFonts w:ascii="Arial" w:cs="Arial" w:eastAsia="Arial" w:hAnsi="Arial"/>
                <w:sz w:val="18"/>
                <w:szCs w:val="18"/>
                <w:color w:val="auto"/>
              </w:rPr>
              <w:t>Form S-8 filed on October 9, 2008 (File No.</w:t>
            </w:r>
          </w:p>
        </w:tc>
      </w:tr>
      <w:tr>
        <w:trPr>
          <w:trHeight w:val="243"/>
        </w:trPr>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260" w:type="dxa"/>
            <w:vAlign w:val="bottom"/>
          </w:tcPr>
          <w:p>
            <w:pPr>
              <w:ind w:left="280"/>
              <w:spacing w:after="0"/>
              <w:rPr>
                <w:sz w:val="20"/>
                <w:szCs w:val="20"/>
                <w:color w:val="auto"/>
              </w:rPr>
            </w:pPr>
            <w:r>
              <w:rPr>
                <w:rFonts w:ascii="Arial" w:cs="Arial" w:eastAsia="Arial" w:hAnsi="Arial"/>
                <w:sz w:val="18"/>
                <w:szCs w:val="18"/>
                <w:color w:val="auto"/>
              </w:rPr>
              <w:t>1, 1999]</w:t>
            </w:r>
          </w:p>
        </w:tc>
        <w:tc>
          <w:tcPr>
            <w:tcW w:w="3640" w:type="dxa"/>
            <w:vAlign w:val="bottom"/>
          </w:tcPr>
          <w:p>
            <w:pPr>
              <w:ind w:left="120"/>
              <w:spacing w:after="0"/>
              <w:rPr>
                <w:sz w:val="20"/>
                <w:szCs w:val="20"/>
                <w:color w:val="auto"/>
              </w:rPr>
            </w:pPr>
            <w:r>
              <w:rPr>
                <w:rFonts w:ascii="Arial" w:cs="Arial" w:eastAsia="Arial" w:hAnsi="Arial"/>
                <w:sz w:val="18"/>
                <w:szCs w:val="18"/>
                <w:color w:val="auto"/>
              </w:rPr>
              <w:t>333-153925) [Exhibit 4.4]</w:t>
            </w:r>
          </w:p>
        </w:tc>
      </w:tr>
    </w:tbl>
    <w:p>
      <w:pPr>
        <w:spacing w:after="0" w:line="200" w:lineRule="exact"/>
        <w:rPr>
          <w:sz w:val="20"/>
          <w:szCs w:val="20"/>
          <w:color w:val="auto"/>
        </w:rPr>
      </w:pPr>
    </w:p>
    <w:p>
      <w:pPr>
        <w:sectPr>
          <w:pgSz w:w="11900" w:h="16838" w:orient="portrait"/>
          <w:cols w:equalWidth="0" w:num="1">
            <w:col w:w="10740"/>
          </w:cols>
          <w:pgMar w:left="240" w:top="405" w:right="919" w:bottom="1440" w:gutter="0" w:footer="0" w:header="0"/>
        </w:sectPr>
      </w:pPr>
    </w:p>
    <w:p>
      <w:pPr>
        <w:spacing w:after="0" w:line="133"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Arial" w:cs="Arial" w:eastAsia="Arial" w:hAnsi="Arial"/>
                <w:sz w:val="18"/>
                <w:szCs w:val="18"/>
                <w:color w:val="auto"/>
              </w:rPr>
              <w:t>10.5(a)(ii)</w:t>
            </w:r>
          </w:p>
        </w:tc>
        <w:tc>
          <w:tcPr>
            <w:tcW w:w="4960" w:type="dxa"/>
            <w:vAlign w:val="bottom"/>
          </w:tcPr>
          <w:p>
            <w:pPr>
              <w:ind w:left="320"/>
              <w:spacing w:after="0"/>
              <w:rPr>
                <w:sz w:val="20"/>
                <w:szCs w:val="20"/>
                <w:color w:val="auto"/>
              </w:rPr>
            </w:pPr>
            <w:r>
              <w:rPr>
                <w:rFonts w:ascii="Arial" w:cs="Arial" w:eastAsia="Arial" w:hAnsi="Arial"/>
                <w:sz w:val="18"/>
                <w:szCs w:val="18"/>
                <w:color w:val="auto"/>
              </w:rPr>
              <w:t>First Amendment to The Scotts Company Executive</w:t>
            </w:r>
          </w:p>
        </w:tc>
      </w:tr>
      <w:tr>
        <w:trPr>
          <w:trHeight w:val="203"/>
        </w:trPr>
        <w:tc>
          <w:tcPr>
            <w:tcW w:w="1100" w:type="dxa"/>
            <w:vAlign w:val="bottom"/>
          </w:tcPr>
          <w:p>
            <w:pPr>
              <w:spacing w:after="0"/>
              <w:rPr>
                <w:sz w:val="17"/>
                <w:szCs w:val="17"/>
                <w:color w:val="auto"/>
              </w:rPr>
            </w:pPr>
          </w:p>
        </w:tc>
        <w:tc>
          <w:tcPr>
            <w:tcW w:w="4960" w:type="dxa"/>
            <w:vAlign w:val="bottom"/>
          </w:tcPr>
          <w:p>
            <w:pPr>
              <w:ind w:left="320"/>
              <w:spacing w:after="0" w:line="202" w:lineRule="exact"/>
              <w:rPr>
                <w:sz w:val="20"/>
                <w:szCs w:val="20"/>
                <w:color w:val="auto"/>
              </w:rPr>
            </w:pPr>
            <w:r>
              <w:rPr>
                <w:rFonts w:ascii="Arial" w:cs="Arial" w:eastAsia="Arial" w:hAnsi="Arial"/>
                <w:sz w:val="18"/>
                <w:szCs w:val="18"/>
                <w:color w:val="auto"/>
                <w:w w:val="99"/>
              </w:rPr>
              <w:t>Retirement Plan (now known as The Scotts Company LLC</w:t>
            </w:r>
          </w:p>
        </w:tc>
      </w:tr>
      <w:tr>
        <w:trPr>
          <w:trHeight w:val="203"/>
        </w:trPr>
        <w:tc>
          <w:tcPr>
            <w:tcW w:w="1100" w:type="dxa"/>
            <w:vAlign w:val="bottom"/>
          </w:tcPr>
          <w:p>
            <w:pPr>
              <w:spacing w:after="0"/>
              <w:rPr>
                <w:sz w:val="17"/>
                <w:szCs w:val="17"/>
                <w:color w:val="auto"/>
              </w:rPr>
            </w:pPr>
          </w:p>
        </w:tc>
        <w:tc>
          <w:tcPr>
            <w:tcW w:w="4960" w:type="dxa"/>
            <w:vAlign w:val="bottom"/>
          </w:tcPr>
          <w:p>
            <w:pPr>
              <w:ind w:left="320"/>
              <w:spacing w:after="0" w:line="202" w:lineRule="exact"/>
              <w:rPr>
                <w:sz w:val="20"/>
                <w:szCs w:val="20"/>
                <w:color w:val="auto"/>
              </w:rPr>
            </w:pPr>
            <w:r>
              <w:rPr>
                <w:rFonts w:ascii="Arial" w:cs="Arial" w:eastAsia="Arial" w:hAnsi="Arial"/>
                <w:sz w:val="18"/>
                <w:szCs w:val="18"/>
                <w:color w:val="auto"/>
                <w:w w:val="99"/>
              </w:rPr>
              <w:t>Executive Retirement Plan) [executed as of December 23,</w:t>
            </w:r>
          </w:p>
        </w:tc>
      </w:tr>
      <w:tr>
        <w:trPr>
          <w:trHeight w:val="243"/>
        </w:trPr>
        <w:tc>
          <w:tcPr>
            <w:tcW w:w="1100" w:type="dxa"/>
            <w:vAlign w:val="bottom"/>
          </w:tcPr>
          <w:p>
            <w:pPr>
              <w:spacing w:after="0"/>
              <w:rPr>
                <w:sz w:val="21"/>
                <w:szCs w:val="21"/>
                <w:color w:val="auto"/>
              </w:rPr>
            </w:pPr>
          </w:p>
        </w:tc>
        <w:tc>
          <w:tcPr>
            <w:tcW w:w="4960" w:type="dxa"/>
            <w:vAlign w:val="bottom"/>
          </w:tcPr>
          <w:p>
            <w:pPr>
              <w:ind w:left="320"/>
              <w:spacing w:after="0"/>
              <w:rPr>
                <w:sz w:val="20"/>
                <w:szCs w:val="20"/>
                <w:color w:val="auto"/>
              </w:rPr>
            </w:pPr>
            <w:r>
              <w:rPr>
                <w:rFonts w:ascii="Arial" w:cs="Arial" w:eastAsia="Arial" w:hAnsi="Arial"/>
                <w:sz w:val="18"/>
                <w:szCs w:val="18"/>
                <w:color w:val="auto"/>
              </w:rPr>
              <w:t>1998 and effective as of January 1, 1999]</w:t>
            </w:r>
          </w:p>
        </w:tc>
      </w:tr>
    </w:tbl>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Incorporated herein by reference to the Registrant’s Registration Statement on Form S-8 filed on October 9, 2008 (File No. 333-153925) [Exhibit 4.5]</w:t>
      </w:r>
    </w:p>
    <w:p>
      <w:pPr>
        <w:spacing w:after="0" w:line="200" w:lineRule="exact"/>
        <w:rPr>
          <w:sz w:val="20"/>
          <w:szCs w:val="20"/>
          <w:color w:val="auto"/>
        </w:rPr>
      </w:pPr>
    </w:p>
    <w:p>
      <w:pPr>
        <w:sectPr>
          <w:pgSz w:w="11900" w:h="16838" w:orient="portrait"/>
          <w:cols w:equalWidth="0" w:num="2">
            <w:col w:w="6760" w:space="460"/>
            <w:col w:w="3520"/>
          </w:cols>
          <w:pgMar w:left="240" w:top="405" w:right="919" w:bottom="1440" w:gutter="0" w:footer="0" w:header="0"/>
          <w:type w:val="continuous"/>
        </w:sectPr>
      </w:pPr>
    </w:p>
    <w:p>
      <w:pPr>
        <w:spacing w:after="0" w:line="133" w:lineRule="exact"/>
        <w:rPr>
          <w:sz w:val="20"/>
          <w:szCs w:val="20"/>
          <w:color w:val="auto"/>
        </w:rPr>
      </w:pPr>
    </w:p>
    <w:p>
      <w:pPr>
        <w:ind w:left="700"/>
        <w:spacing w:after="0"/>
        <w:tabs>
          <w:tab w:leader="none" w:pos="2100" w:val="left"/>
        </w:tabs>
        <w:rPr>
          <w:sz w:val="20"/>
          <w:szCs w:val="20"/>
          <w:color w:val="auto"/>
        </w:rPr>
      </w:pPr>
      <w:r>
        <w:rPr>
          <w:rFonts w:ascii="Arial" w:cs="Arial" w:eastAsia="Arial" w:hAnsi="Arial"/>
          <w:sz w:val="18"/>
          <w:szCs w:val="18"/>
          <w:color w:val="auto"/>
        </w:rPr>
        <w:t>10.5(a)(iii)</w:t>
      </w:r>
      <w:r>
        <w:rPr>
          <w:sz w:val="20"/>
          <w:szCs w:val="20"/>
          <w:color w:val="auto"/>
        </w:rPr>
        <w:tab/>
      </w:r>
      <w:r>
        <w:rPr>
          <w:rFonts w:ascii="Arial" w:cs="Arial" w:eastAsia="Arial" w:hAnsi="Arial"/>
          <w:sz w:val="17"/>
          <w:szCs w:val="17"/>
          <w:color w:val="auto"/>
        </w:rPr>
        <w:t>Second Amendment to The Scotts Company Executive</w:t>
      </w:r>
    </w:p>
    <w:p>
      <w:pPr>
        <w:spacing w:after="0" w:line="18" w:lineRule="exact"/>
        <w:rPr>
          <w:sz w:val="20"/>
          <w:szCs w:val="20"/>
          <w:color w:val="auto"/>
        </w:rPr>
      </w:pPr>
    </w:p>
    <w:p>
      <w:pPr>
        <w:ind w:left="2120"/>
        <w:spacing w:after="0" w:line="242" w:lineRule="auto"/>
        <w:rPr>
          <w:sz w:val="20"/>
          <w:szCs w:val="20"/>
          <w:color w:val="auto"/>
        </w:rPr>
      </w:pPr>
      <w:r>
        <w:rPr>
          <w:rFonts w:ascii="Arial" w:cs="Arial" w:eastAsia="Arial" w:hAnsi="Arial"/>
          <w:sz w:val="18"/>
          <w:szCs w:val="18"/>
          <w:color w:val="auto"/>
        </w:rPr>
        <w:t>Retirement Plan (now known as The Scotts Company LLC Executive Retirement Plan) [executed as of January 14, 2000 and effective as of January 1, 2000]</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Incorporated herein by reference to the Registrant’s Registration Statement on Form S-8 filed on October 9, 2008 (File No. 333-153925) [Exhibit 4.6]</w:t>
      </w:r>
    </w:p>
    <w:p>
      <w:pPr>
        <w:spacing w:after="0" w:line="200" w:lineRule="exact"/>
        <w:rPr>
          <w:sz w:val="20"/>
          <w:szCs w:val="20"/>
          <w:color w:val="auto"/>
        </w:rPr>
      </w:pPr>
    </w:p>
    <w:p>
      <w:pPr>
        <w:sectPr>
          <w:pgSz w:w="11900" w:h="16838" w:orient="portrait"/>
          <w:cols w:equalWidth="0" w:num="2">
            <w:col w:w="7000" w:space="220"/>
            <w:col w:w="3520"/>
          </w:cols>
          <w:pgMar w:left="240" w:top="405" w:right="919" w:bottom="1440" w:gutter="0" w:footer="0" w:header="0"/>
          <w:type w:val="continuous"/>
        </w:sectPr>
      </w:pPr>
    </w:p>
    <w:p>
      <w:pPr>
        <w:spacing w:after="0" w:line="129"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1120" w:type="dxa"/>
            <w:vAlign w:val="bottom"/>
          </w:tcPr>
          <w:p>
            <w:pPr>
              <w:spacing w:after="0"/>
              <w:rPr>
                <w:sz w:val="20"/>
                <w:szCs w:val="20"/>
                <w:color w:val="auto"/>
              </w:rPr>
            </w:pPr>
            <w:r>
              <w:rPr>
                <w:rFonts w:ascii="Arial" w:cs="Arial" w:eastAsia="Arial" w:hAnsi="Arial"/>
                <w:sz w:val="18"/>
                <w:szCs w:val="18"/>
                <w:color w:val="auto"/>
              </w:rPr>
              <w:t>10.5(a)(iv)</w:t>
            </w:r>
          </w:p>
        </w:tc>
        <w:tc>
          <w:tcPr>
            <w:tcW w:w="4940" w:type="dxa"/>
            <w:vAlign w:val="bottom"/>
          </w:tcPr>
          <w:p>
            <w:pPr>
              <w:ind w:left="300"/>
              <w:spacing w:after="0"/>
              <w:rPr>
                <w:sz w:val="20"/>
                <w:szCs w:val="20"/>
                <w:color w:val="auto"/>
              </w:rPr>
            </w:pPr>
            <w:r>
              <w:rPr>
                <w:rFonts w:ascii="Arial" w:cs="Arial" w:eastAsia="Arial" w:hAnsi="Arial"/>
                <w:sz w:val="18"/>
                <w:szCs w:val="18"/>
                <w:color w:val="auto"/>
              </w:rPr>
              <w:t>Third Amendment to The Scotts Company Executive</w:t>
            </w:r>
          </w:p>
        </w:tc>
      </w:tr>
      <w:tr>
        <w:trPr>
          <w:trHeight w:val="203"/>
        </w:trPr>
        <w:tc>
          <w:tcPr>
            <w:tcW w:w="1120" w:type="dxa"/>
            <w:vAlign w:val="bottom"/>
          </w:tcPr>
          <w:p>
            <w:pPr>
              <w:spacing w:after="0"/>
              <w:rPr>
                <w:sz w:val="17"/>
                <w:szCs w:val="17"/>
                <w:color w:val="auto"/>
              </w:rPr>
            </w:pPr>
          </w:p>
        </w:tc>
        <w:tc>
          <w:tcPr>
            <w:tcW w:w="4940" w:type="dxa"/>
            <w:vAlign w:val="bottom"/>
          </w:tcPr>
          <w:p>
            <w:pPr>
              <w:ind w:left="300"/>
              <w:spacing w:after="0" w:line="202" w:lineRule="exact"/>
              <w:rPr>
                <w:sz w:val="20"/>
                <w:szCs w:val="20"/>
                <w:color w:val="auto"/>
              </w:rPr>
            </w:pPr>
            <w:r>
              <w:rPr>
                <w:rFonts w:ascii="Arial" w:cs="Arial" w:eastAsia="Arial" w:hAnsi="Arial"/>
                <w:sz w:val="18"/>
                <w:szCs w:val="18"/>
                <w:color w:val="auto"/>
                <w:w w:val="99"/>
              </w:rPr>
              <w:t>Retirement Plan (now known as The Scotts Company LLC</w:t>
            </w:r>
          </w:p>
        </w:tc>
      </w:tr>
      <w:tr>
        <w:trPr>
          <w:trHeight w:val="203"/>
        </w:trPr>
        <w:tc>
          <w:tcPr>
            <w:tcW w:w="1120" w:type="dxa"/>
            <w:vAlign w:val="bottom"/>
          </w:tcPr>
          <w:p>
            <w:pPr>
              <w:spacing w:after="0"/>
              <w:rPr>
                <w:sz w:val="17"/>
                <w:szCs w:val="17"/>
                <w:color w:val="auto"/>
              </w:rPr>
            </w:pPr>
          </w:p>
        </w:tc>
        <w:tc>
          <w:tcPr>
            <w:tcW w:w="4940" w:type="dxa"/>
            <w:vAlign w:val="bottom"/>
          </w:tcPr>
          <w:p>
            <w:pPr>
              <w:ind w:left="300"/>
              <w:spacing w:after="0" w:line="202" w:lineRule="exact"/>
              <w:rPr>
                <w:sz w:val="20"/>
                <w:szCs w:val="20"/>
                <w:color w:val="auto"/>
              </w:rPr>
            </w:pPr>
            <w:r>
              <w:rPr>
                <w:rFonts w:ascii="Arial" w:cs="Arial" w:eastAsia="Arial" w:hAnsi="Arial"/>
                <w:sz w:val="18"/>
                <w:szCs w:val="18"/>
                <w:color w:val="auto"/>
              </w:rPr>
              <w:t>Executive Retirement Plan) [executed as of December 1,</w:t>
            </w:r>
          </w:p>
        </w:tc>
      </w:tr>
      <w:tr>
        <w:trPr>
          <w:trHeight w:val="243"/>
        </w:trPr>
        <w:tc>
          <w:tcPr>
            <w:tcW w:w="1120" w:type="dxa"/>
            <w:vAlign w:val="bottom"/>
          </w:tcPr>
          <w:p>
            <w:pPr>
              <w:spacing w:after="0"/>
              <w:rPr>
                <w:sz w:val="21"/>
                <w:szCs w:val="21"/>
                <w:color w:val="auto"/>
              </w:rPr>
            </w:pPr>
          </w:p>
        </w:tc>
        <w:tc>
          <w:tcPr>
            <w:tcW w:w="4940" w:type="dxa"/>
            <w:vAlign w:val="bottom"/>
          </w:tcPr>
          <w:p>
            <w:pPr>
              <w:ind w:left="300"/>
              <w:spacing w:after="0"/>
              <w:rPr>
                <w:sz w:val="20"/>
                <w:szCs w:val="20"/>
                <w:color w:val="auto"/>
              </w:rPr>
            </w:pPr>
            <w:r>
              <w:rPr>
                <w:rFonts w:ascii="Arial" w:cs="Arial" w:eastAsia="Arial" w:hAnsi="Arial"/>
                <w:sz w:val="18"/>
                <w:szCs w:val="18"/>
                <w:color w:val="auto"/>
              </w:rPr>
              <w:t>2002 and effective as of January 1, 2003]</w:t>
            </w:r>
          </w:p>
        </w:tc>
      </w:tr>
    </w:tbl>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Incorporated herein by reference to the Registrant’s Registration Statement on Form S-8 filed on October 9, 2008 (File No. 333-153925) [Exhibit 4.7]</w:t>
      </w:r>
    </w:p>
    <w:p>
      <w:pPr>
        <w:spacing w:after="0" w:line="200" w:lineRule="exact"/>
        <w:rPr>
          <w:sz w:val="20"/>
          <w:szCs w:val="20"/>
          <w:color w:val="auto"/>
        </w:rPr>
      </w:pPr>
    </w:p>
    <w:p>
      <w:pPr>
        <w:sectPr>
          <w:pgSz w:w="11900" w:h="16838" w:orient="portrait"/>
          <w:cols w:equalWidth="0" w:num="2">
            <w:col w:w="6760" w:space="460"/>
            <w:col w:w="3520"/>
          </w:cols>
          <w:pgMar w:left="240" w:top="405" w:right="919" w:bottom="1440" w:gutter="0" w:footer="0" w:header="0"/>
          <w:type w:val="continuous"/>
        </w:sectPr>
      </w:pPr>
    </w:p>
    <w:p>
      <w:pPr>
        <w:spacing w:after="0" w:line="129"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Arial" w:cs="Arial" w:eastAsia="Arial" w:hAnsi="Arial"/>
                <w:sz w:val="18"/>
                <w:szCs w:val="18"/>
                <w:color w:val="auto"/>
              </w:rPr>
              <w:t>10.5(a)(v)</w:t>
            </w:r>
          </w:p>
        </w:tc>
        <w:tc>
          <w:tcPr>
            <w:tcW w:w="5160" w:type="dxa"/>
            <w:vAlign w:val="bottom"/>
          </w:tcPr>
          <w:p>
            <w:pPr>
              <w:ind w:left="320"/>
              <w:spacing w:after="0"/>
              <w:rPr>
                <w:sz w:val="20"/>
                <w:szCs w:val="20"/>
                <w:color w:val="auto"/>
              </w:rPr>
            </w:pPr>
            <w:r>
              <w:rPr>
                <w:rFonts w:ascii="Arial" w:cs="Arial" w:eastAsia="Arial" w:hAnsi="Arial"/>
                <w:sz w:val="18"/>
                <w:szCs w:val="18"/>
                <w:color w:val="auto"/>
              </w:rPr>
              <w:t>Fourth Amendment to The Scotts Company Executive</w:t>
            </w:r>
          </w:p>
        </w:tc>
      </w:tr>
      <w:tr>
        <w:trPr>
          <w:trHeight w:val="203"/>
        </w:trPr>
        <w:tc>
          <w:tcPr>
            <w:tcW w:w="1100" w:type="dxa"/>
            <w:vAlign w:val="bottom"/>
          </w:tcPr>
          <w:p>
            <w:pPr>
              <w:spacing w:after="0"/>
              <w:rPr>
                <w:sz w:val="17"/>
                <w:szCs w:val="17"/>
                <w:color w:val="auto"/>
              </w:rPr>
            </w:pPr>
          </w:p>
        </w:tc>
        <w:tc>
          <w:tcPr>
            <w:tcW w:w="5160" w:type="dxa"/>
            <w:vAlign w:val="bottom"/>
          </w:tcPr>
          <w:p>
            <w:pPr>
              <w:ind w:left="320"/>
              <w:spacing w:after="0" w:line="202" w:lineRule="exact"/>
              <w:rPr>
                <w:sz w:val="20"/>
                <w:szCs w:val="20"/>
                <w:color w:val="auto"/>
              </w:rPr>
            </w:pPr>
            <w:r>
              <w:rPr>
                <w:rFonts w:ascii="Arial" w:cs="Arial" w:eastAsia="Arial" w:hAnsi="Arial"/>
                <w:sz w:val="18"/>
                <w:szCs w:val="18"/>
                <w:color w:val="auto"/>
              </w:rPr>
              <w:t>Retirement Plan (now known as The Scotts Company LLC</w:t>
            </w:r>
          </w:p>
        </w:tc>
      </w:tr>
      <w:tr>
        <w:trPr>
          <w:trHeight w:val="203"/>
        </w:trPr>
        <w:tc>
          <w:tcPr>
            <w:tcW w:w="1100" w:type="dxa"/>
            <w:vAlign w:val="bottom"/>
          </w:tcPr>
          <w:p>
            <w:pPr>
              <w:spacing w:after="0"/>
              <w:rPr>
                <w:sz w:val="17"/>
                <w:szCs w:val="17"/>
                <w:color w:val="auto"/>
              </w:rPr>
            </w:pPr>
          </w:p>
        </w:tc>
        <w:tc>
          <w:tcPr>
            <w:tcW w:w="5160" w:type="dxa"/>
            <w:vAlign w:val="bottom"/>
          </w:tcPr>
          <w:p>
            <w:pPr>
              <w:ind w:left="320"/>
              <w:spacing w:after="0" w:line="202" w:lineRule="exact"/>
              <w:rPr>
                <w:sz w:val="20"/>
                <w:szCs w:val="20"/>
                <w:color w:val="auto"/>
              </w:rPr>
            </w:pPr>
            <w:r>
              <w:rPr>
                <w:rFonts w:ascii="Arial" w:cs="Arial" w:eastAsia="Arial" w:hAnsi="Arial"/>
                <w:sz w:val="18"/>
                <w:szCs w:val="18"/>
                <w:color w:val="auto"/>
                <w:w w:val="99"/>
              </w:rPr>
              <w:t>Executive Retirement Plan) [executed as of May 5, 2004 and</w:t>
            </w:r>
          </w:p>
        </w:tc>
      </w:tr>
      <w:tr>
        <w:trPr>
          <w:trHeight w:val="243"/>
        </w:trPr>
        <w:tc>
          <w:tcPr>
            <w:tcW w:w="1100" w:type="dxa"/>
            <w:vAlign w:val="bottom"/>
          </w:tcPr>
          <w:p>
            <w:pPr>
              <w:spacing w:after="0"/>
              <w:rPr>
                <w:sz w:val="21"/>
                <w:szCs w:val="21"/>
                <w:color w:val="auto"/>
              </w:rPr>
            </w:pPr>
          </w:p>
        </w:tc>
        <w:tc>
          <w:tcPr>
            <w:tcW w:w="5160" w:type="dxa"/>
            <w:vAlign w:val="bottom"/>
          </w:tcPr>
          <w:p>
            <w:pPr>
              <w:ind w:left="320"/>
              <w:spacing w:after="0"/>
              <w:rPr>
                <w:sz w:val="20"/>
                <w:szCs w:val="20"/>
                <w:color w:val="auto"/>
              </w:rPr>
            </w:pPr>
            <w:r>
              <w:rPr>
                <w:rFonts w:ascii="Arial" w:cs="Arial" w:eastAsia="Arial" w:hAnsi="Arial"/>
                <w:sz w:val="18"/>
                <w:szCs w:val="18"/>
                <w:color w:val="auto"/>
              </w:rPr>
              <w:t>effective as of January 1, 2004]</w:t>
            </w:r>
          </w:p>
        </w:tc>
      </w:tr>
    </w:tbl>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Incorporated herein by reference to the Registrant’s Registration Statement on Form S-8 filed on October 9, 2008 (File No. 333-153925) [Exhibit 4.8]</w:t>
      </w:r>
    </w:p>
    <w:p>
      <w:pPr>
        <w:spacing w:after="0" w:line="200" w:lineRule="exact"/>
        <w:rPr>
          <w:sz w:val="20"/>
          <w:szCs w:val="20"/>
          <w:color w:val="auto"/>
        </w:rPr>
      </w:pPr>
    </w:p>
    <w:p>
      <w:pPr>
        <w:sectPr>
          <w:pgSz w:w="11900" w:h="16838" w:orient="portrait"/>
          <w:cols w:equalWidth="0" w:num="2">
            <w:col w:w="6960" w:space="260"/>
            <w:col w:w="3520"/>
          </w:cols>
          <w:pgMar w:left="240" w:top="405" w:right="919" w:bottom="1440" w:gutter="0" w:footer="0" w:header="0"/>
          <w:type w:val="continuous"/>
        </w:sectPr>
      </w:pPr>
    </w:p>
    <w:p>
      <w:pPr>
        <w:spacing w:after="0" w:line="129"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1120" w:type="dxa"/>
            <w:vAlign w:val="bottom"/>
          </w:tcPr>
          <w:p>
            <w:pPr>
              <w:spacing w:after="0"/>
              <w:rPr>
                <w:sz w:val="20"/>
                <w:szCs w:val="20"/>
                <w:color w:val="auto"/>
              </w:rPr>
            </w:pPr>
            <w:r>
              <w:rPr>
                <w:rFonts w:ascii="Arial" w:cs="Arial" w:eastAsia="Arial" w:hAnsi="Arial"/>
                <w:sz w:val="18"/>
                <w:szCs w:val="18"/>
                <w:color w:val="auto"/>
              </w:rPr>
              <w:t>10.5(a)(vi)</w:t>
            </w:r>
          </w:p>
        </w:tc>
        <w:tc>
          <w:tcPr>
            <w:tcW w:w="5020" w:type="dxa"/>
            <w:vAlign w:val="bottom"/>
          </w:tcPr>
          <w:p>
            <w:pPr>
              <w:ind w:left="300"/>
              <w:spacing w:after="0"/>
              <w:rPr>
                <w:sz w:val="20"/>
                <w:szCs w:val="20"/>
                <w:color w:val="auto"/>
              </w:rPr>
            </w:pPr>
            <w:r>
              <w:rPr>
                <w:rFonts w:ascii="Arial" w:cs="Arial" w:eastAsia="Arial" w:hAnsi="Arial"/>
                <w:sz w:val="18"/>
                <w:szCs w:val="18"/>
                <w:color w:val="auto"/>
              </w:rPr>
              <w:t>Fifth Amendment to The Scotts Company Executive</w:t>
            </w:r>
          </w:p>
        </w:tc>
      </w:tr>
      <w:tr>
        <w:trPr>
          <w:trHeight w:val="225"/>
        </w:trPr>
        <w:tc>
          <w:tcPr>
            <w:tcW w:w="1120" w:type="dxa"/>
            <w:vAlign w:val="bottom"/>
          </w:tcPr>
          <w:p>
            <w:pPr>
              <w:spacing w:after="0"/>
              <w:rPr>
                <w:sz w:val="19"/>
                <w:szCs w:val="19"/>
                <w:color w:val="auto"/>
              </w:rPr>
            </w:pPr>
          </w:p>
        </w:tc>
        <w:tc>
          <w:tcPr>
            <w:tcW w:w="5020" w:type="dxa"/>
            <w:vAlign w:val="bottom"/>
          </w:tcPr>
          <w:p>
            <w:pPr>
              <w:ind w:left="300"/>
              <w:spacing w:after="0"/>
              <w:rPr>
                <w:sz w:val="20"/>
                <w:szCs w:val="20"/>
                <w:color w:val="auto"/>
              </w:rPr>
            </w:pPr>
            <w:r>
              <w:rPr>
                <w:rFonts w:ascii="Arial" w:cs="Arial" w:eastAsia="Arial" w:hAnsi="Arial"/>
                <w:sz w:val="18"/>
                <w:szCs w:val="18"/>
                <w:color w:val="auto"/>
                <w:w w:val="99"/>
              </w:rPr>
              <w:t>Retirement Plan (executed on May 6, 2005 and effective as</w:t>
            </w:r>
          </w:p>
        </w:tc>
      </w:tr>
    </w:tbl>
    <w:p>
      <w:pPr>
        <w:ind w:left="2120"/>
        <w:spacing w:after="0" w:line="251" w:lineRule="auto"/>
        <w:rPr>
          <w:sz w:val="20"/>
          <w:szCs w:val="20"/>
          <w:color w:val="auto"/>
        </w:rPr>
      </w:pPr>
      <w:r>
        <w:rPr>
          <w:rFonts w:ascii="Arial" w:cs="Arial" w:eastAsia="Arial" w:hAnsi="Arial"/>
          <w:sz w:val="18"/>
          <w:szCs w:val="18"/>
          <w:color w:val="auto"/>
        </w:rPr>
        <w:t>of March 18, 2005) [amended the name of the plan to be The Scotts Company LLC Executive Retirement Plan]</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Incorporated herein by reference to the Registrant’s Registration Statement on Form S-8 filed on October 9, 2008 (File No. 333-153925) [Exhibit 4.9]</w:t>
      </w:r>
    </w:p>
    <w:p>
      <w:pPr>
        <w:spacing w:after="0" w:line="204" w:lineRule="exact"/>
        <w:rPr>
          <w:sz w:val="20"/>
          <w:szCs w:val="20"/>
          <w:color w:val="auto"/>
        </w:rPr>
      </w:pPr>
    </w:p>
    <w:p>
      <w:pPr>
        <w:sectPr>
          <w:pgSz w:w="11900" w:h="16838" w:orient="portrait"/>
          <w:cols w:equalWidth="0" w:num="2">
            <w:col w:w="6980" w:space="240"/>
            <w:col w:w="3520"/>
          </w:cols>
          <w:pgMar w:left="240" w:top="405" w:right="919" w:bottom="1440" w:gutter="0" w:footer="0" w:header="0"/>
          <w:type w:val="continuous"/>
        </w:sectPr>
      </w:pPr>
    </w:p>
    <w:p>
      <w:pPr>
        <w:spacing w:after="0" w:line="128" w:lineRule="exact"/>
        <w:rPr>
          <w:sz w:val="20"/>
          <w:szCs w:val="20"/>
          <w:color w:val="auto"/>
        </w:rPr>
      </w:pPr>
    </w:p>
    <w:p>
      <w:pPr>
        <w:ind w:left="700"/>
        <w:spacing w:after="0"/>
        <w:tabs>
          <w:tab w:leader="none" w:pos="2100" w:val="left"/>
        </w:tabs>
        <w:rPr>
          <w:sz w:val="20"/>
          <w:szCs w:val="20"/>
          <w:color w:val="auto"/>
        </w:rPr>
      </w:pPr>
      <w:r>
        <w:rPr>
          <w:rFonts w:ascii="Arial" w:cs="Arial" w:eastAsia="Arial" w:hAnsi="Arial"/>
          <w:sz w:val="18"/>
          <w:szCs w:val="18"/>
          <w:color w:val="auto"/>
        </w:rPr>
        <w:t>10.5(a)(vii)</w:t>
      </w:r>
      <w:r>
        <w:rPr>
          <w:sz w:val="20"/>
          <w:szCs w:val="20"/>
          <w:color w:val="auto"/>
        </w:rPr>
        <w:tab/>
      </w:r>
      <w:r>
        <w:rPr>
          <w:rFonts w:ascii="Arial" w:cs="Arial" w:eastAsia="Arial" w:hAnsi="Arial"/>
          <w:sz w:val="17"/>
          <w:szCs w:val="17"/>
          <w:color w:val="auto"/>
        </w:rPr>
        <w:t>Sixth Amendment to The Scotts Company LLC Executive</w:t>
      </w:r>
    </w:p>
    <w:p>
      <w:pPr>
        <w:spacing w:after="0" w:line="18" w:lineRule="exact"/>
        <w:rPr>
          <w:sz w:val="20"/>
          <w:szCs w:val="20"/>
          <w:color w:val="auto"/>
        </w:rPr>
      </w:pPr>
    </w:p>
    <w:p>
      <w:pPr>
        <w:ind w:left="2120" w:right="40"/>
        <w:spacing w:after="0" w:line="251" w:lineRule="auto"/>
        <w:rPr>
          <w:sz w:val="20"/>
          <w:szCs w:val="20"/>
          <w:color w:val="auto"/>
        </w:rPr>
      </w:pPr>
      <w:r>
        <w:rPr>
          <w:rFonts w:ascii="Arial" w:cs="Arial" w:eastAsia="Arial" w:hAnsi="Arial"/>
          <w:sz w:val="18"/>
          <w:szCs w:val="18"/>
          <w:color w:val="auto"/>
        </w:rPr>
        <w:t>Retirement Plan (executed and effective as of October 8, 2008)</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ind w:right="240"/>
        <w:spacing w:after="0" w:line="248" w:lineRule="auto"/>
        <w:rPr>
          <w:sz w:val="20"/>
          <w:szCs w:val="20"/>
          <w:color w:val="auto"/>
        </w:rPr>
      </w:pPr>
      <w:r>
        <w:rPr>
          <w:rFonts w:ascii="Arial" w:cs="Arial" w:eastAsia="Arial" w:hAnsi="Arial"/>
          <w:sz w:val="18"/>
          <w:szCs w:val="18"/>
          <w:color w:val="auto"/>
        </w:rPr>
        <w:t>Incorporated herein by reference to the Registrant’s Current Report on Form 8-K filed October 15, 2008 (File No. 1-13292) [Exhibit 10.1.7]</w:t>
      </w:r>
    </w:p>
    <w:p>
      <w:pPr>
        <w:spacing w:after="0" w:line="200" w:lineRule="exact"/>
        <w:rPr>
          <w:sz w:val="20"/>
          <w:szCs w:val="20"/>
          <w:color w:val="auto"/>
        </w:rPr>
      </w:pPr>
    </w:p>
    <w:p>
      <w:pPr>
        <w:sectPr>
          <w:pgSz w:w="11900" w:h="16838" w:orient="portrait"/>
          <w:cols w:equalWidth="0" w:num="2">
            <w:col w:w="6680" w:space="540"/>
            <w:col w:w="3520"/>
          </w:cols>
          <w:pgMar w:left="240" w:top="405" w:right="919" w:bottom="1440" w:gutter="0" w:footer="0" w:header="0"/>
          <w:type w:val="continuous"/>
        </w:sectPr>
      </w:pPr>
    </w:p>
    <w:p>
      <w:pPr>
        <w:spacing w:after="0" w:line="129"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1080" w:type="dxa"/>
            <w:vAlign w:val="bottom"/>
          </w:tcPr>
          <w:p>
            <w:pPr>
              <w:spacing w:after="0"/>
              <w:rPr>
                <w:sz w:val="20"/>
                <w:szCs w:val="20"/>
                <w:color w:val="auto"/>
              </w:rPr>
            </w:pPr>
            <w:r>
              <w:rPr>
                <w:rFonts w:ascii="Arial" w:cs="Arial" w:eastAsia="Arial" w:hAnsi="Arial"/>
                <w:sz w:val="18"/>
                <w:szCs w:val="18"/>
                <w:color w:val="auto"/>
              </w:rPr>
              <w:t>10.5(b)(i)</w:t>
            </w:r>
          </w:p>
        </w:tc>
        <w:tc>
          <w:tcPr>
            <w:tcW w:w="5100" w:type="dxa"/>
            <w:vAlign w:val="bottom"/>
          </w:tcPr>
          <w:p>
            <w:pPr>
              <w:ind w:left="340"/>
              <w:spacing w:after="0"/>
              <w:rPr>
                <w:sz w:val="20"/>
                <w:szCs w:val="20"/>
                <w:color w:val="auto"/>
              </w:rPr>
            </w:pPr>
            <w:r>
              <w:rPr>
                <w:rFonts w:ascii="Arial" w:cs="Arial" w:eastAsia="Arial" w:hAnsi="Arial"/>
                <w:sz w:val="18"/>
                <w:szCs w:val="18"/>
                <w:color w:val="auto"/>
                <w:w w:val="99"/>
              </w:rPr>
              <w:t>Trust Agreement between The Scotts Company and Fidelity</w:t>
            </w:r>
          </w:p>
        </w:tc>
      </w:tr>
      <w:tr>
        <w:trPr>
          <w:trHeight w:val="225"/>
        </w:trPr>
        <w:tc>
          <w:tcPr>
            <w:tcW w:w="1080" w:type="dxa"/>
            <w:vAlign w:val="bottom"/>
          </w:tcPr>
          <w:p>
            <w:pPr>
              <w:spacing w:after="0"/>
              <w:rPr>
                <w:sz w:val="19"/>
                <w:szCs w:val="19"/>
                <w:color w:val="auto"/>
              </w:rPr>
            </w:pPr>
          </w:p>
        </w:tc>
        <w:tc>
          <w:tcPr>
            <w:tcW w:w="5100" w:type="dxa"/>
            <w:vAlign w:val="bottom"/>
          </w:tcPr>
          <w:p>
            <w:pPr>
              <w:ind w:left="340"/>
              <w:spacing w:after="0"/>
              <w:rPr>
                <w:sz w:val="20"/>
                <w:szCs w:val="20"/>
                <w:color w:val="auto"/>
              </w:rPr>
            </w:pPr>
            <w:r>
              <w:rPr>
                <w:rFonts w:ascii="Arial" w:cs="Arial" w:eastAsia="Arial" w:hAnsi="Arial"/>
                <w:sz w:val="18"/>
                <w:szCs w:val="18"/>
                <w:color w:val="auto"/>
              </w:rPr>
              <w:t>Management Trust Company for The Scotts Company</w:t>
            </w:r>
          </w:p>
        </w:tc>
      </w:tr>
    </w:tbl>
    <w:p>
      <w:pPr>
        <w:ind w:left="2120"/>
        <w:spacing w:after="0" w:line="239" w:lineRule="auto"/>
        <w:rPr>
          <w:sz w:val="20"/>
          <w:szCs w:val="20"/>
          <w:color w:val="auto"/>
        </w:rPr>
      </w:pPr>
      <w:r>
        <w:rPr>
          <w:rFonts w:ascii="Arial" w:cs="Arial" w:eastAsia="Arial" w:hAnsi="Arial"/>
          <w:sz w:val="18"/>
          <w:szCs w:val="18"/>
          <w:color w:val="auto"/>
        </w:rPr>
        <w:t>Nonqualified Deferred Compensation Trust established to assist in discharging obligations under The Scotts Company Nonqualified Deferred Compensation Plan (now known as The Scotts Company LLC Executive Retirement Plan), dated as of January 1, 1998</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right="80"/>
        <w:spacing w:after="0" w:line="245"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2008 (which was filed on November 25, 2008) (File No. 1-13292) [Exhibit 10.5(b)(i)]</w:t>
      </w:r>
    </w:p>
    <w:p>
      <w:pPr>
        <w:spacing w:after="0" w:line="601" w:lineRule="exact"/>
        <w:rPr>
          <w:sz w:val="20"/>
          <w:szCs w:val="20"/>
          <w:color w:val="auto"/>
        </w:rPr>
      </w:pPr>
    </w:p>
    <w:p>
      <w:pPr>
        <w:sectPr>
          <w:pgSz w:w="11900" w:h="16838" w:orient="portrait"/>
          <w:cols w:equalWidth="0" w:num="2">
            <w:col w:w="6960" w:space="260"/>
            <w:col w:w="3520"/>
          </w:cols>
          <w:pgMar w:left="240" w:top="405" w:right="919" w:bottom="1440" w:gutter="0" w:footer="0" w:header="0"/>
          <w:type w:val="continuous"/>
        </w:sectPr>
      </w:pPr>
    </w:p>
    <w:p>
      <w:pPr>
        <w:spacing w:after="0" w:line="134"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Arial" w:cs="Arial" w:eastAsia="Arial" w:hAnsi="Arial"/>
                <w:sz w:val="18"/>
                <w:szCs w:val="18"/>
                <w:color w:val="auto"/>
              </w:rPr>
              <w:t>10.5(b)(ii)</w:t>
            </w:r>
          </w:p>
        </w:tc>
        <w:tc>
          <w:tcPr>
            <w:tcW w:w="5160" w:type="dxa"/>
            <w:vAlign w:val="bottom"/>
          </w:tcPr>
          <w:p>
            <w:pPr>
              <w:ind w:left="320"/>
              <w:spacing w:after="0"/>
              <w:rPr>
                <w:sz w:val="20"/>
                <w:szCs w:val="20"/>
                <w:color w:val="auto"/>
              </w:rPr>
            </w:pPr>
            <w:r>
              <w:rPr>
                <w:rFonts w:ascii="Arial" w:cs="Arial" w:eastAsia="Arial" w:hAnsi="Arial"/>
                <w:sz w:val="18"/>
                <w:szCs w:val="18"/>
                <w:color w:val="auto"/>
              </w:rPr>
              <w:t>First Amendment to Trust Agreement between Fidelity</w:t>
            </w:r>
          </w:p>
        </w:tc>
      </w:tr>
      <w:tr>
        <w:trPr>
          <w:trHeight w:val="203"/>
        </w:trPr>
        <w:tc>
          <w:tcPr>
            <w:tcW w:w="1100" w:type="dxa"/>
            <w:vAlign w:val="bottom"/>
          </w:tcPr>
          <w:p>
            <w:pPr>
              <w:spacing w:after="0"/>
              <w:rPr>
                <w:sz w:val="17"/>
                <w:szCs w:val="17"/>
                <w:color w:val="auto"/>
              </w:rPr>
            </w:pPr>
          </w:p>
        </w:tc>
        <w:tc>
          <w:tcPr>
            <w:tcW w:w="5160" w:type="dxa"/>
            <w:vAlign w:val="bottom"/>
          </w:tcPr>
          <w:p>
            <w:pPr>
              <w:ind w:left="320"/>
              <w:spacing w:after="0" w:line="202" w:lineRule="exact"/>
              <w:rPr>
                <w:sz w:val="20"/>
                <w:szCs w:val="20"/>
                <w:color w:val="auto"/>
              </w:rPr>
            </w:pPr>
            <w:r>
              <w:rPr>
                <w:rFonts w:ascii="Arial" w:cs="Arial" w:eastAsia="Arial" w:hAnsi="Arial"/>
                <w:sz w:val="18"/>
                <w:szCs w:val="18"/>
                <w:color w:val="auto"/>
              </w:rPr>
              <w:t>Management Trust Company and The Scotts Company with</w:t>
            </w:r>
          </w:p>
        </w:tc>
      </w:tr>
      <w:tr>
        <w:trPr>
          <w:trHeight w:val="203"/>
        </w:trPr>
        <w:tc>
          <w:tcPr>
            <w:tcW w:w="1100" w:type="dxa"/>
            <w:vAlign w:val="bottom"/>
          </w:tcPr>
          <w:p>
            <w:pPr>
              <w:spacing w:after="0"/>
              <w:rPr>
                <w:sz w:val="17"/>
                <w:szCs w:val="17"/>
                <w:color w:val="auto"/>
              </w:rPr>
            </w:pPr>
          </w:p>
        </w:tc>
        <w:tc>
          <w:tcPr>
            <w:tcW w:w="5160" w:type="dxa"/>
            <w:vAlign w:val="bottom"/>
          </w:tcPr>
          <w:p>
            <w:pPr>
              <w:ind w:left="320"/>
              <w:spacing w:after="0" w:line="202" w:lineRule="exact"/>
              <w:rPr>
                <w:sz w:val="20"/>
                <w:szCs w:val="20"/>
                <w:color w:val="auto"/>
              </w:rPr>
            </w:pPr>
            <w:r>
              <w:rPr>
                <w:rFonts w:ascii="Arial" w:cs="Arial" w:eastAsia="Arial" w:hAnsi="Arial"/>
                <w:sz w:val="18"/>
                <w:szCs w:val="18"/>
                <w:color w:val="auto"/>
              </w:rPr>
              <w:t>regard to The Scotts Company Nonqualified Deferred</w:t>
            </w:r>
          </w:p>
        </w:tc>
      </w:tr>
      <w:tr>
        <w:trPr>
          <w:trHeight w:val="203"/>
        </w:trPr>
        <w:tc>
          <w:tcPr>
            <w:tcW w:w="1100" w:type="dxa"/>
            <w:vAlign w:val="bottom"/>
          </w:tcPr>
          <w:p>
            <w:pPr>
              <w:spacing w:after="0"/>
              <w:rPr>
                <w:sz w:val="17"/>
                <w:szCs w:val="17"/>
                <w:color w:val="auto"/>
              </w:rPr>
            </w:pPr>
          </w:p>
        </w:tc>
        <w:tc>
          <w:tcPr>
            <w:tcW w:w="5160" w:type="dxa"/>
            <w:vAlign w:val="bottom"/>
          </w:tcPr>
          <w:p>
            <w:pPr>
              <w:ind w:left="320"/>
              <w:spacing w:after="0" w:line="202" w:lineRule="exact"/>
              <w:rPr>
                <w:sz w:val="20"/>
                <w:szCs w:val="20"/>
                <w:color w:val="auto"/>
              </w:rPr>
            </w:pPr>
            <w:r>
              <w:rPr>
                <w:rFonts w:ascii="Arial" w:cs="Arial" w:eastAsia="Arial" w:hAnsi="Arial"/>
                <w:sz w:val="18"/>
                <w:szCs w:val="18"/>
                <w:color w:val="auto"/>
              </w:rPr>
              <w:t>Compensation Plan (now known as The Scotts Company</w:t>
            </w:r>
          </w:p>
        </w:tc>
      </w:tr>
      <w:tr>
        <w:trPr>
          <w:trHeight w:val="243"/>
        </w:trPr>
        <w:tc>
          <w:tcPr>
            <w:tcW w:w="1100" w:type="dxa"/>
            <w:vAlign w:val="bottom"/>
          </w:tcPr>
          <w:p>
            <w:pPr>
              <w:spacing w:after="0"/>
              <w:rPr>
                <w:sz w:val="21"/>
                <w:szCs w:val="21"/>
                <w:color w:val="auto"/>
              </w:rPr>
            </w:pPr>
          </w:p>
        </w:tc>
        <w:tc>
          <w:tcPr>
            <w:tcW w:w="5160" w:type="dxa"/>
            <w:vAlign w:val="bottom"/>
          </w:tcPr>
          <w:p>
            <w:pPr>
              <w:ind w:left="320"/>
              <w:spacing w:after="0"/>
              <w:rPr>
                <w:sz w:val="20"/>
                <w:szCs w:val="20"/>
                <w:color w:val="auto"/>
              </w:rPr>
            </w:pPr>
            <w:r>
              <w:rPr>
                <w:rFonts w:ascii="Arial" w:cs="Arial" w:eastAsia="Arial" w:hAnsi="Arial"/>
                <w:sz w:val="18"/>
                <w:szCs w:val="18"/>
                <w:color w:val="auto"/>
                <w:w w:val="99"/>
              </w:rPr>
              <w:t>LLC Executive Retirement Plan), dated as of March 24, 1998</w:t>
            </w:r>
          </w:p>
        </w:tc>
      </w:tr>
    </w:tbl>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2008 (which was filed on November 25, 2008) (File No. 1-13292) [Exhibit 10.5(b)(ii)]</w:t>
      </w:r>
    </w:p>
    <w:p>
      <w:pPr>
        <w:spacing w:after="0" w:line="200" w:lineRule="exact"/>
        <w:rPr>
          <w:sz w:val="20"/>
          <w:szCs w:val="20"/>
          <w:color w:val="auto"/>
        </w:rPr>
      </w:pPr>
    </w:p>
    <w:p>
      <w:pPr>
        <w:sectPr>
          <w:pgSz w:w="11900" w:h="16838" w:orient="portrait"/>
          <w:cols w:equalWidth="0" w:num="2">
            <w:col w:w="6960" w:space="260"/>
            <w:col w:w="3520"/>
          </w:cols>
          <w:pgMar w:left="240" w:top="405" w:right="919" w:bottom="1440" w:gutter="0" w:footer="0" w:header="0"/>
          <w:type w:val="continuous"/>
        </w:sectPr>
      </w:pPr>
    </w:p>
    <w:p>
      <w:pPr>
        <w:spacing w:after="0" w:line="11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0"/>
          <w:szCs w:val="10"/>
          <w:b w:val="1"/>
          <w:bCs w:val="1"/>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-71120</wp:posOffset>
            </wp:positionV>
            <wp:extent cx="19748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149225</wp:posOffset>
            </wp:positionV>
            <wp:extent cx="7250430" cy="215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240" w:top="405" w:right="919" w:bottom="1440" w:gutter="0" w:footer="0" w:header="0"/>
          <w:type w:val="continuous"/>
        </w:sectPr>
      </w:pPr>
    </w:p>
    <w:bookmarkStart w:id="118" w:name="page119"/>
    <w:bookmarkEnd w:id="118"/>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Times New Roman" w:cs="Times New Roman" w:eastAsia="Times New Roman" w:hAnsi="Times New Roman"/>
                <w:sz w:val="18"/>
                <w:szCs w:val="18"/>
                <w:b w:val="1"/>
                <w:bCs w:val="1"/>
                <w:color w:val="0000EE"/>
                <w:w w:val="97"/>
              </w:rPr>
            </w:pPr>
            <w:hyperlink w:anchor="page64">
              <w:r>
                <w:rPr>
                  <w:rFonts w:ascii="Times New Roman" w:cs="Times New Roman" w:eastAsia="Times New Roman" w:hAnsi="Times New Roman"/>
                  <w:sz w:val="18"/>
                  <w:szCs w:val="18"/>
                  <w:b w:val="1"/>
                  <w:bCs w:val="1"/>
                  <w:color w:val="0000EE"/>
                  <w:w w:val="97"/>
                </w:rPr>
                <w:t>Table of Contents</w:t>
              </w:r>
            </w:hyperlink>
          </w:p>
        </w:tc>
        <w:tc>
          <w:tcPr>
            <w:tcW w:w="48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3680" w:type="dxa"/>
            <w:vAlign w:val="bottom"/>
          </w:tcPr>
          <w:p>
            <w:pPr>
              <w:spacing w:after="0"/>
              <w:rPr>
                <w:sz w:val="17"/>
                <w:szCs w:val="17"/>
                <w:color w:val="auto"/>
              </w:rPr>
            </w:pPr>
          </w:p>
        </w:tc>
      </w:tr>
      <w:tr>
        <w:trPr>
          <w:trHeight w:val="511"/>
        </w:trPr>
        <w:tc>
          <w:tcPr>
            <w:tcW w:w="700" w:type="dxa"/>
            <w:vAlign w:val="bottom"/>
          </w:tcPr>
          <w:p>
            <w:pPr>
              <w:spacing w:after="0"/>
              <w:rPr>
                <w:sz w:val="24"/>
                <w:szCs w:val="24"/>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9"/>
              </w:rPr>
              <w:t>Exhibit</w:t>
            </w:r>
          </w:p>
        </w:tc>
        <w:tc>
          <w:tcPr>
            <w:tcW w:w="522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39"/>
        </w:trPr>
        <w:tc>
          <w:tcPr>
            <w:tcW w:w="700" w:type="dxa"/>
            <w:vAlign w:val="bottom"/>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9"/>
              </w:rPr>
              <w:t>No.</w:t>
            </w:r>
          </w:p>
        </w:tc>
        <w:tc>
          <w:tcPr>
            <w:tcW w:w="5220" w:type="dxa"/>
            <w:vAlign w:val="bottom"/>
            <w:tcBorders>
              <w:bottom w:val="single" w:sz="8" w:color="auto"/>
            </w:tcBorders>
          </w:tcPr>
          <w:p>
            <w:pPr>
              <w:ind w:left="2280"/>
              <w:spacing w:after="0"/>
              <w:rPr>
                <w:sz w:val="20"/>
                <w:szCs w:val="20"/>
                <w:color w:val="auto"/>
              </w:rPr>
            </w:pPr>
            <w:r>
              <w:rPr>
                <w:rFonts w:ascii="Arial" w:cs="Arial" w:eastAsia="Arial" w:hAnsi="Arial"/>
                <w:sz w:val="18"/>
                <w:szCs w:val="18"/>
                <w:color w:val="auto"/>
              </w:rPr>
              <w:t>Description</w:t>
            </w:r>
          </w:p>
        </w:tc>
        <w:tc>
          <w:tcPr>
            <w:tcW w:w="3680" w:type="dxa"/>
            <w:vAlign w:val="bottom"/>
            <w:tcBorders>
              <w:bottom w:val="single" w:sz="8" w:color="auto"/>
            </w:tcBorders>
          </w:tcPr>
          <w:p>
            <w:pPr>
              <w:ind w:left="1580"/>
              <w:spacing w:after="0"/>
              <w:rPr>
                <w:sz w:val="20"/>
                <w:szCs w:val="20"/>
                <w:color w:val="auto"/>
              </w:rPr>
            </w:pPr>
            <w:r>
              <w:rPr>
                <w:rFonts w:ascii="Arial" w:cs="Arial" w:eastAsia="Arial" w:hAnsi="Arial"/>
                <w:sz w:val="18"/>
                <w:szCs w:val="18"/>
                <w:color w:val="auto"/>
              </w:rPr>
              <w:t>Location</w:t>
            </w:r>
          </w:p>
        </w:tc>
      </w:tr>
      <w:tr>
        <w:trPr>
          <w:trHeight w:val="227"/>
        </w:trPr>
        <w:tc>
          <w:tcPr>
            <w:tcW w:w="1840" w:type="dxa"/>
            <w:vAlign w:val="bottom"/>
            <w:gridSpan w:val="3"/>
          </w:tcPr>
          <w:p>
            <w:pPr>
              <w:ind w:left="700"/>
              <w:spacing w:after="0"/>
              <w:rPr>
                <w:sz w:val="20"/>
                <w:szCs w:val="20"/>
                <w:color w:val="auto"/>
              </w:rPr>
            </w:pPr>
            <w:r>
              <w:rPr>
                <w:rFonts w:ascii="Arial" w:cs="Arial" w:eastAsia="Arial" w:hAnsi="Arial"/>
                <w:sz w:val="18"/>
                <w:szCs w:val="18"/>
                <w:color w:val="auto"/>
              </w:rPr>
              <w:t>10.5(b)(iii)</w:t>
            </w:r>
          </w:p>
        </w:tc>
        <w:tc>
          <w:tcPr>
            <w:tcW w:w="5220" w:type="dxa"/>
            <w:vAlign w:val="bottom"/>
          </w:tcPr>
          <w:p>
            <w:pPr>
              <w:ind w:left="280"/>
              <w:spacing w:after="0"/>
              <w:rPr>
                <w:sz w:val="20"/>
                <w:szCs w:val="20"/>
                <w:color w:val="auto"/>
              </w:rPr>
            </w:pPr>
            <w:r>
              <w:rPr>
                <w:rFonts w:ascii="Arial" w:cs="Arial" w:eastAsia="Arial" w:hAnsi="Arial"/>
                <w:sz w:val="18"/>
                <w:szCs w:val="18"/>
                <w:color w:val="auto"/>
              </w:rPr>
              <w:t>Second Amendment to Trust Agreement between Fidelity</w:t>
            </w:r>
          </w:p>
        </w:tc>
        <w:tc>
          <w:tcPr>
            <w:tcW w:w="3680" w:type="dxa"/>
            <w:vAlign w:val="bottom"/>
          </w:tcPr>
          <w:p>
            <w:pPr>
              <w:ind w:left="160"/>
              <w:spacing w:after="0"/>
              <w:rPr>
                <w:sz w:val="20"/>
                <w:szCs w:val="20"/>
                <w:color w:val="auto"/>
              </w:rPr>
            </w:pPr>
            <w:r>
              <w:rPr>
                <w:rFonts w:ascii="Arial" w:cs="Arial" w:eastAsia="Arial" w:hAnsi="Arial"/>
                <w:sz w:val="18"/>
                <w:szCs w:val="18"/>
                <w:color w:val="auto"/>
              </w:rPr>
              <w:t>Incorporated herein by reference to the</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20" w:type="dxa"/>
            <w:vAlign w:val="bottom"/>
          </w:tcPr>
          <w:p>
            <w:pPr>
              <w:ind w:left="280"/>
              <w:spacing w:after="0" w:line="202" w:lineRule="exact"/>
              <w:rPr>
                <w:sz w:val="20"/>
                <w:szCs w:val="20"/>
                <w:color w:val="auto"/>
              </w:rPr>
            </w:pPr>
            <w:r>
              <w:rPr>
                <w:rFonts w:ascii="Arial" w:cs="Arial" w:eastAsia="Arial" w:hAnsi="Arial"/>
                <w:sz w:val="18"/>
                <w:szCs w:val="18"/>
                <w:color w:val="auto"/>
              </w:rPr>
              <w:t>Management Trust Company and The Scotts Company with</w:t>
            </w:r>
          </w:p>
        </w:tc>
        <w:tc>
          <w:tcPr>
            <w:tcW w:w="3680" w:type="dxa"/>
            <w:vAlign w:val="bottom"/>
          </w:tcPr>
          <w:p>
            <w:pPr>
              <w:ind w:left="160"/>
              <w:spacing w:after="0" w:line="202" w:lineRule="exact"/>
              <w:rPr>
                <w:sz w:val="20"/>
                <w:szCs w:val="20"/>
                <w:color w:val="auto"/>
              </w:rPr>
            </w:pPr>
            <w:r>
              <w:rPr>
                <w:rFonts w:ascii="Arial" w:cs="Arial" w:eastAsia="Arial" w:hAnsi="Arial"/>
                <w:sz w:val="18"/>
                <w:szCs w:val="18"/>
                <w:color w:val="auto"/>
              </w:rPr>
              <w:t>Registrant’s Annual Report on Form 10-K</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20" w:type="dxa"/>
            <w:vAlign w:val="bottom"/>
          </w:tcPr>
          <w:p>
            <w:pPr>
              <w:ind w:left="280"/>
              <w:spacing w:after="0" w:line="202" w:lineRule="exact"/>
              <w:rPr>
                <w:sz w:val="20"/>
                <w:szCs w:val="20"/>
                <w:color w:val="auto"/>
              </w:rPr>
            </w:pPr>
            <w:r>
              <w:rPr>
                <w:rFonts w:ascii="Arial" w:cs="Arial" w:eastAsia="Arial" w:hAnsi="Arial"/>
                <w:sz w:val="18"/>
                <w:szCs w:val="18"/>
                <w:color w:val="auto"/>
              </w:rPr>
              <w:t>regard to The Scotts Company Nonqualified Deferred</w:t>
            </w:r>
          </w:p>
        </w:tc>
        <w:tc>
          <w:tcPr>
            <w:tcW w:w="3680" w:type="dxa"/>
            <w:vAlign w:val="bottom"/>
          </w:tcPr>
          <w:p>
            <w:pPr>
              <w:ind w:left="160"/>
              <w:spacing w:after="0" w:line="202" w:lineRule="exact"/>
              <w:rPr>
                <w:sz w:val="20"/>
                <w:szCs w:val="20"/>
                <w:color w:val="auto"/>
              </w:rPr>
            </w:pPr>
            <w:r>
              <w:rPr>
                <w:rFonts w:ascii="Arial" w:cs="Arial" w:eastAsia="Arial" w:hAnsi="Arial"/>
                <w:sz w:val="18"/>
                <w:szCs w:val="18"/>
                <w:color w:val="auto"/>
              </w:rPr>
              <w:t>for the fiscal year ended September 30,</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20" w:type="dxa"/>
            <w:vAlign w:val="bottom"/>
          </w:tcPr>
          <w:p>
            <w:pPr>
              <w:ind w:left="280"/>
              <w:spacing w:after="0" w:line="202" w:lineRule="exact"/>
              <w:rPr>
                <w:sz w:val="20"/>
                <w:szCs w:val="20"/>
                <w:color w:val="auto"/>
              </w:rPr>
            </w:pPr>
            <w:r>
              <w:rPr>
                <w:rFonts w:ascii="Arial" w:cs="Arial" w:eastAsia="Arial" w:hAnsi="Arial"/>
                <w:sz w:val="18"/>
                <w:szCs w:val="18"/>
                <w:color w:val="auto"/>
              </w:rPr>
              <w:t>Compensation Plan (now known as The Scotts Company</w:t>
            </w:r>
          </w:p>
        </w:tc>
        <w:tc>
          <w:tcPr>
            <w:tcW w:w="3680" w:type="dxa"/>
            <w:vAlign w:val="bottom"/>
          </w:tcPr>
          <w:p>
            <w:pPr>
              <w:ind w:left="160"/>
              <w:spacing w:after="0" w:line="202" w:lineRule="exact"/>
              <w:rPr>
                <w:sz w:val="20"/>
                <w:szCs w:val="20"/>
                <w:color w:val="auto"/>
              </w:rPr>
            </w:pPr>
            <w:r>
              <w:rPr>
                <w:rFonts w:ascii="Arial" w:cs="Arial" w:eastAsia="Arial" w:hAnsi="Arial"/>
                <w:sz w:val="18"/>
                <w:szCs w:val="18"/>
                <w:color w:val="auto"/>
              </w:rPr>
              <w:t>2008 (which was filed on November 25,</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20" w:type="dxa"/>
            <w:vAlign w:val="bottom"/>
          </w:tcPr>
          <w:p>
            <w:pPr>
              <w:ind w:left="280"/>
              <w:spacing w:after="0" w:line="202" w:lineRule="exact"/>
              <w:rPr>
                <w:sz w:val="20"/>
                <w:szCs w:val="20"/>
                <w:color w:val="auto"/>
              </w:rPr>
            </w:pPr>
            <w:r>
              <w:rPr>
                <w:rFonts w:ascii="Arial" w:cs="Arial" w:eastAsia="Arial" w:hAnsi="Arial"/>
                <w:sz w:val="18"/>
                <w:szCs w:val="18"/>
                <w:color w:val="auto"/>
              </w:rPr>
              <w:t>LLC Executive Retirement Plan) [dated as of January 15,</w:t>
            </w:r>
          </w:p>
        </w:tc>
        <w:tc>
          <w:tcPr>
            <w:tcW w:w="3680" w:type="dxa"/>
            <w:vAlign w:val="bottom"/>
          </w:tcPr>
          <w:p>
            <w:pPr>
              <w:ind w:left="160"/>
              <w:spacing w:after="0" w:line="202" w:lineRule="exact"/>
              <w:rPr>
                <w:sz w:val="20"/>
                <w:szCs w:val="20"/>
                <w:color w:val="auto"/>
              </w:rPr>
            </w:pPr>
            <w:r>
              <w:rPr>
                <w:rFonts w:ascii="Arial" w:cs="Arial" w:eastAsia="Arial" w:hAnsi="Arial"/>
                <w:sz w:val="18"/>
                <w:szCs w:val="18"/>
                <w:color w:val="auto"/>
                <w:w w:val="99"/>
              </w:rPr>
              <w:t>2008) (File No. 1-13292) [Exhibit 10.5(b)(iii)]</w:t>
            </w:r>
          </w:p>
        </w:tc>
      </w:tr>
      <w:tr>
        <w:trPr>
          <w:trHeight w:val="243"/>
        </w:trPr>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220" w:type="dxa"/>
            <w:vAlign w:val="bottom"/>
          </w:tcPr>
          <w:p>
            <w:pPr>
              <w:ind w:left="280"/>
              <w:spacing w:after="0"/>
              <w:rPr>
                <w:sz w:val="20"/>
                <w:szCs w:val="20"/>
                <w:color w:val="auto"/>
              </w:rPr>
            </w:pPr>
            <w:r>
              <w:rPr>
                <w:rFonts w:ascii="Arial" w:cs="Arial" w:eastAsia="Arial" w:hAnsi="Arial"/>
                <w:sz w:val="18"/>
                <w:szCs w:val="18"/>
                <w:color w:val="auto"/>
              </w:rPr>
              <w:t>1999]</w:t>
            </w:r>
          </w:p>
        </w:tc>
        <w:tc>
          <w:tcPr>
            <w:tcW w:w="3680" w:type="dxa"/>
            <w:vAlign w:val="bottom"/>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0740"/>
          </w:cols>
          <w:pgMar w:left="240" w:top="405" w:right="919" w:bottom="1440" w:gutter="0" w:footer="0" w:header="0"/>
        </w:sectPr>
      </w:pPr>
    </w:p>
    <w:p>
      <w:pPr>
        <w:spacing w:after="0" w:line="133"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1120" w:type="dxa"/>
            <w:vAlign w:val="bottom"/>
          </w:tcPr>
          <w:p>
            <w:pPr>
              <w:spacing w:after="0"/>
              <w:rPr>
                <w:sz w:val="20"/>
                <w:szCs w:val="20"/>
                <w:color w:val="auto"/>
              </w:rPr>
            </w:pPr>
            <w:r>
              <w:rPr>
                <w:rFonts w:ascii="Arial" w:cs="Arial" w:eastAsia="Arial" w:hAnsi="Arial"/>
                <w:sz w:val="18"/>
                <w:szCs w:val="18"/>
                <w:color w:val="auto"/>
              </w:rPr>
              <w:t>10.5(b)(iv)</w:t>
            </w:r>
          </w:p>
        </w:tc>
        <w:tc>
          <w:tcPr>
            <w:tcW w:w="5080" w:type="dxa"/>
            <w:vAlign w:val="bottom"/>
          </w:tcPr>
          <w:p>
            <w:pPr>
              <w:ind w:left="300"/>
              <w:spacing w:after="0"/>
              <w:rPr>
                <w:sz w:val="20"/>
                <w:szCs w:val="20"/>
                <w:color w:val="auto"/>
              </w:rPr>
            </w:pPr>
            <w:r>
              <w:rPr>
                <w:rFonts w:ascii="Arial" w:cs="Arial" w:eastAsia="Arial" w:hAnsi="Arial"/>
                <w:sz w:val="18"/>
                <w:szCs w:val="18"/>
                <w:color w:val="auto"/>
              </w:rPr>
              <w:t>Third Amendment to Trust Agreement between Fidelity</w:t>
            </w:r>
          </w:p>
        </w:tc>
      </w:tr>
      <w:tr>
        <w:trPr>
          <w:trHeight w:val="203"/>
        </w:trPr>
        <w:tc>
          <w:tcPr>
            <w:tcW w:w="1120" w:type="dxa"/>
            <w:vAlign w:val="bottom"/>
          </w:tcPr>
          <w:p>
            <w:pPr>
              <w:spacing w:after="0"/>
              <w:rPr>
                <w:sz w:val="17"/>
                <w:szCs w:val="17"/>
                <w:color w:val="auto"/>
              </w:rPr>
            </w:pPr>
          </w:p>
        </w:tc>
        <w:tc>
          <w:tcPr>
            <w:tcW w:w="5080" w:type="dxa"/>
            <w:vAlign w:val="bottom"/>
          </w:tcPr>
          <w:p>
            <w:pPr>
              <w:ind w:left="300"/>
              <w:spacing w:after="0" w:line="202" w:lineRule="exact"/>
              <w:rPr>
                <w:sz w:val="20"/>
                <w:szCs w:val="20"/>
                <w:color w:val="auto"/>
              </w:rPr>
            </w:pPr>
            <w:r>
              <w:rPr>
                <w:rFonts w:ascii="Arial" w:cs="Arial" w:eastAsia="Arial" w:hAnsi="Arial"/>
                <w:sz w:val="18"/>
                <w:szCs w:val="18"/>
                <w:color w:val="auto"/>
                <w:w w:val="99"/>
              </w:rPr>
              <w:t>Management Trust Company and The Scotts Company with</w:t>
            </w:r>
          </w:p>
        </w:tc>
      </w:tr>
      <w:tr>
        <w:trPr>
          <w:trHeight w:val="203"/>
        </w:trPr>
        <w:tc>
          <w:tcPr>
            <w:tcW w:w="1120" w:type="dxa"/>
            <w:vAlign w:val="bottom"/>
          </w:tcPr>
          <w:p>
            <w:pPr>
              <w:spacing w:after="0"/>
              <w:rPr>
                <w:sz w:val="17"/>
                <w:szCs w:val="17"/>
                <w:color w:val="auto"/>
              </w:rPr>
            </w:pPr>
          </w:p>
        </w:tc>
        <w:tc>
          <w:tcPr>
            <w:tcW w:w="5080" w:type="dxa"/>
            <w:vAlign w:val="bottom"/>
          </w:tcPr>
          <w:p>
            <w:pPr>
              <w:ind w:left="300"/>
              <w:spacing w:after="0" w:line="202" w:lineRule="exact"/>
              <w:rPr>
                <w:sz w:val="20"/>
                <w:szCs w:val="20"/>
                <w:color w:val="auto"/>
              </w:rPr>
            </w:pPr>
            <w:r>
              <w:rPr>
                <w:rFonts w:ascii="Arial" w:cs="Arial" w:eastAsia="Arial" w:hAnsi="Arial"/>
                <w:sz w:val="18"/>
                <w:szCs w:val="18"/>
                <w:color w:val="auto"/>
              </w:rPr>
              <w:t>regard to The Scotts Company Nonqualified Deferred</w:t>
            </w:r>
          </w:p>
        </w:tc>
      </w:tr>
      <w:tr>
        <w:trPr>
          <w:trHeight w:val="203"/>
        </w:trPr>
        <w:tc>
          <w:tcPr>
            <w:tcW w:w="1120" w:type="dxa"/>
            <w:vAlign w:val="bottom"/>
          </w:tcPr>
          <w:p>
            <w:pPr>
              <w:spacing w:after="0"/>
              <w:rPr>
                <w:sz w:val="17"/>
                <w:szCs w:val="17"/>
                <w:color w:val="auto"/>
              </w:rPr>
            </w:pPr>
          </w:p>
        </w:tc>
        <w:tc>
          <w:tcPr>
            <w:tcW w:w="5080" w:type="dxa"/>
            <w:vAlign w:val="bottom"/>
          </w:tcPr>
          <w:p>
            <w:pPr>
              <w:ind w:left="300"/>
              <w:spacing w:after="0" w:line="202" w:lineRule="exact"/>
              <w:rPr>
                <w:sz w:val="20"/>
                <w:szCs w:val="20"/>
                <w:color w:val="auto"/>
              </w:rPr>
            </w:pPr>
            <w:r>
              <w:rPr>
                <w:rFonts w:ascii="Arial" w:cs="Arial" w:eastAsia="Arial" w:hAnsi="Arial"/>
                <w:sz w:val="18"/>
                <w:szCs w:val="18"/>
                <w:color w:val="auto"/>
              </w:rPr>
              <w:t>Compensation Plan (now known as The Scotts Company</w:t>
            </w:r>
          </w:p>
        </w:tc>
      </w:tr>
      <w:tr>
        <w:trPr>
          <w:trHeight w:val="243"/>
        </w:trPr>
        <w:tc>
          <w:tcPr>
            <w:tcW w:w="1120" w:type="dxa"/>
            <w:vAlign w:val="bottom"/>
          </w:tcPr>
          <w:p>
            <w:pPr>
              <w:spacing w:after="0"/>
              <w:rPr>
                <w:sz w:val="21"/>
                <w:szCs w:val="21"/>
                <w:color w:val="auto"/>
              </w:rPr>
            </w:pPr>
          </w:p>
        </w:tc>
        <w:tc>
          <w:tcPr>
            <w:tcW w:w="5080" w:type="dxa"/>
            <w:vAlign w:val="bottom"/>
          </w:tcPr>
          <w:p>
            <w:pPr>
              <w:ind w:left="300"/>
              <w:spacing w:after="0"/>
              <w:rPr>
                <w:sz w:val="20"/>
                <w:szCs w:val="20"/>
                <w:color w:val="auto"/>
              </w:rPr>
            </w:pPr>
            <w:r>
              <w:rPr>
                <w:rFonts w:ascii="Arial" w:cs="Arial" w:eastAsia="Arial" w:hAnsi="Arial"/>
                <w:sz w:val="18"/>
                <w:szCs w:val="18"/>
                <w:color w:val="auto"/>
              </w:rPr>
              <w:t>LLC Executive Retirement Plan) [dated as of July 1, 1999]</w:t>
            </w:r>
          </w:p>
        </w:tc>
      </w:tr>
      <w:tr>
        <w:trPr>
          <w:trHeight w:val="743"/>
        </w:trPr>
        <w:tc>
          <w:tcPr>
            <w:tcW w:w="1120" w:type="dxa"/>
            <w:vAlign w:val="bottom"/>
          </w:tcPr>
          <w:p>
            <w:pPr>
              <w:spacing w:after="0"/>
              <w:rPr>
                <w:sz w:val="20"/>
                <w:szCs w:val="20"/>
                <w:color w:val="auto"/>
              </w:rPr>
            </w:pPr>
            <w:r>
              <w:rPr>
                <w:rFonts w:ascii="Arial" w:cs="Arial" w:eastAsia="Arial" w:hAnsi="Arial"/>
                <w:sz w:val="18"/>
                <w:szCs w:val="18"/>
                <w:color w:val="auto"/>
              </w:rPr>
              <w:t>10.5(b)(v)</w:t>
            </w:r>
          </w:p>
        </w:tc>
        <w:tc>
          <w:tcPr>
            <w:tcW w:w="5080" w:type="dxa"/>
            <w:vAlign w:val="bottom"/>
          </w:tcPr>
          <w:p>
            <w:pPr>
              <w:ind w:left="300"/>
              <w:spacing w:after="0"/>
              <w:rPr>
                <w:sz w:val="20"/>
                <w:szCs w:val="20"/>
                <w:color w:val="auto"/>
              </w:rPr>
            </w:pPr>
            <w:r>
              <w:rPr>
                <w:rFonts w:ascii="Arial" w:cs="Arial" w:eastAsia="Arial" w:hAnsi="Arial"/>
                <w:sz w:val="18"/>
                <w:szCs w:val="18"/>
                <w:color w:val="auto"/>
              </w:rPr>
              <w:t>Fourth Amendment to Trust Agreement between Fidelity</w:t>
            </w:r>
          </w:p>
        </w:tc>
      </w:tr>
      <w:tr>
        <w:trPr>
          <w:trHeight w:val="203"/>
        </w:trPr>
        <w:tc>
          <w:tcPr>
            <w:tcW w:w="1120" w:type="dxa"/>
            <w:vAlign w:val="bottom"/>
          </w:tcPr>
          <w:p>
            <w:pPr>
              <w:spacing w:after="0"/>
              <w:rPr>
                <w:sz w:val="17"/>
                <w:szCs w:val="17"/>
                <w:color w:val="auto"/>
              </w:rPr>
            </w:pPr>
          </w:p>
        </w:tc>
        <w:tc>
          <w:tcPr>
            <w:tcW w:w="5080" w:type="dxa"/>
            <w:vAlign w:val="bottom"/>
          </w:tcPr>
          <w:p>
            <w:pPr>
              <w:ind w:left="300"/>
              <w:spacing w:after="0" w:line="202" w:lineRule="exact"/>
              <w:rPr>
                <w:sz w:val="20"/>
                <w:szCs w:val="20"/>
                <w:color w:val="auto"/>
              </w:rPr>
            </w:pPr>
            <w:r>
              <w:rPr>
                <w:rFonts w:ascii="Arial" w:cs="Arial" w:eastAsia="Arial" w:hAnsi="Arial"/>
                <w:sz w:val="18"/>
                <w:szCs w:val="18"/>
                <w:color w:val="auto"/>
                <w:w w:val="99"/>
              </w:rPr>
              <w:t>Management Trust Company and The Scotts Company with</w:t>
            </w:r>
          </w:p>
        </w:tc>
      </w:tr>
      <w:tr>
        <w:trPr>
          <w:trHeight w:val="203"/>
        </w:trPr>
        <w:tc>
          <w:tcPr>
            <w:tcW w:w="1120" w:type="dxa"/>
            <w:vAlign w:val="bottom"/>
          </w:tcPr>
          <w:p>
            <w:pPr>
              <w:spacing w:after="0"/>
              <w:rPr>
                <w:sz w:val="17"/>
                <w:szCs w:val="17"/>
                <w:color w:val="auto"/>
              </w:rPr>
            </w:pPr>
          </w:p>
        </w:tc>
        <w:tc>
          <w:tcPr>
            <w:tcW w:w="5080" w:type="dxa"/>
            <w:vAlign w:val="bottom"/>
          </w:tcPr>
          <w:p>
            <w:pPr>
              <w:ind w:left="300"/>
              <w:spacing w:after="0" w:line="202" w:lineRule="exact"/>
              <w:rPr>
                <w:sz w:val="20"/>
                <w:szCs w:val="20"/>
                <w:color w:val="auto"/>
              </w:rPr>
            </w:pPr>
            <w:r>
              <w:rPr>
                <w:rFonts w:ascii="Arial" w:cs="Arial" w:eastAsia="Arial" w:hAnsi="Arial"/>
                <w:sz w:val="18"/>
                <w:szCs w:val="18"/>
                <w:color w:val="auto"/>
              </w:rPr>
              <w:t>regard to The Scotts Company Executive Retirement Plan</w:t>
            </w:r>
          </w:p>
        </w:tc>
      </w:tr>
      <w:tr>
        <w:trPr>
          <w:trHeight w:val="203"/>
        </w:trPr>
        <w:tc>
          <w:tcPr>
            <w:tcW w:w="1120" w:type="dxa"/>
            <w:vAlign w:val="bottom"/>
          </w:tcPr>
          <w:p>
            <w:pPr>
              <w:spacing w:after="0"/>
              <w:rPr>
                <w:sz w:val="17"/>
                <w:szCs w:val="17"/>
                <w:color w:val="auto"/>
              </w:rPr>
            </w:pPr>
          </w:p>
        </w:tc>
        <w:tc>
          <w:tcPr>
            <w:tcW w:w="5080" w:type="dxa"/>
            <w:vAlign w:val="bottom"/>
          </w:tcPr>
          <w:p>
            <w:pPr>
              <w:ind w:left="300"/>
              <w:spacing w:after="0" w:line="202" w:lineRule="exact"/>
              <w:rPr>
                <w:sz w:val="20"/>
                <w:szCs w:val="20"/>
                <w:color w:val="auto"/>
              </w:rPr>
            </w:pPr>
            <w:r>
              <w:rPr>
                <w:rFonts w:ascii="Arial" w:cs="Arial" w:eastAsia="Arial" w:hAnsi="Arial"/>
                <w:sz w:val="18"/>
                <w:szCs w:val="18"/>
                <w:color w:val="auto"/>
              </w:rPr>
              <w:t>(now known as The Scotts Company LLC Executive</w:t>
            </w:r>
          </w:p>
        </w:tc>
      </w:tr>
      <w:tr>
        <w:trPr>
          <w:trHeight w:val="243"/>
        </w:trPr>
        <w:tc>
          <w:tcPr>
            <w:tcW w:w="1120" w:type="dxa"/>
            <w:vAlign w:val="bottom"/>
          </w:tcPr>
          <w:p>
            <w:pPr>
              <w:spacing w:after="0"/>
              <w:rPr>
                <w:sz w:val="21"/>
                <w:szCs w:val="21"/>
                <w:color w:val="auto"/>
              </w:rPr>
            </w:pPr>
          </w:p>
        </w:tc>
        <w:tc>
          <w:tcPr>
            <w:tcW w:w="5080" w:type="dxa"/>
            <w:vAlign w:val="bottom"/>
          </w:tcPr>
          <w:p>
            <w:pPr>
              <w:ind w:left="300"/>
              <w:spacing w:after="0"/>
              <w:rPr>
                <w:sz w:val="20"/>
                <w:szCs w:val="20"/>
                <w:color w:val="auto"/>
              </w:rPr>
            </w:pPr>
            <w:r>
              <w:rPr>
                <w:rFonts w:ascii="Arial" w:cs="Arial" w:eastAsia="Arial" w:hAnsi="Arial"/>
                <w:sz w:val="18"/>
                <w:szCs w:val="18"/>
                <w:color w:val="auto"/>
              </w:rPr>
              <w:t>Retirement Plan) [dated as of August 1, 1999]</w:t>
            </w:r>
          </w:p>
        </w:tc>
      </w:tr>
    </w:tbl>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ind w:right="220"/>
        <w:spacing w:after="0" w:line="243"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2008 (which was filed on November 25, 2008) (File No. 1-13292) [Exhibit 10.5(b) (iv)]</w:t>
      </w:r>
    </w:p>
    <w:p>
      <w:pPr>
        <w:spacing w:after="0" w:line="336"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Incorporated herein by reference to the Registrant’s Annual Report on Form 10-K for the fiscal year ended September 30, 2008 (which was filed on November 25, 2008) (File No. 1-13292) [Exhibit 10.5(b)(v)]</w:t>
      </w:r>
    </w:p>
    <w:p>
      <w:pPr>
        <w:spacing w:after="0" w:line="200" w:lineRule="exact"/>
        <w:rPr>
          <w:sz w:val="20"/>
          <w:szCs w:val="20"/>
          <w:color w:val="auto"/>
        </w:rPr>
      </w:pPr>
    </w:p>
    <w:p>
      <w:pPr>
        <w:sectPr>
          <w:pgSz w:w="11900" w:h="16838" w:orient="portrait"/>
          <w:cols w:equalWidth="0" w:num="2">
            <w:col w:w="6900" w:space="320"/>
            <w:col w:w="3520"/>
          </w:cols>
          <w:pgMar w:left="240" w:top="405" w:right="919" w:bottom="1440" w:gutter="0" w:footer="0" w:header="0"/>
          <w:type w:val="continuous"/>
        </w:sectPr>
      </w:pPr>
    </w:p>
    <w:p>
      <w:pPr>
        <w:spacing w:after="0" w:line="120" w:lineRule="exact"/>
        <w:rPr>
          <w:sz w:val="20"/>
          <w:szCs w:val="20"/>
          <w:color w:val="auto"/>
        </w:rPr>
      </w:pPr>
    </w:p>
    <w:p>
      <w:pPr>
        <w:ind w:left="700"/>
        <w:spacing w:after="0"/>
        <w:tabs>
          <w:tab w:leader="none" w:pos="2100" w:val="left"/>
        </w:tabs>
        <w:rPr>
          <w:sz w:val="20"/>
          <w:szCs w:val="20"/>
          <w:color w:val="auto"/>
        </w:rPr>
      </w:pPr>
      <w:r>
        <w:rPr>
          <w:rFonts w:ascii="Arial" w:cs="Arial" w:eastAsia="Arial" w:hAnsi="Arial"/>
          <w:sz w:val="18"/>
          <w:szCs w:val="18"/>
          <w:color w:val="auto"/>
        </w:rPr>
        <w:t>10.5(b)(vi)</w:t>
      </w:r>
      <w:r>
        <w:rPr>
          <w:sz w:val="20"/>
          <w:szCs w:val="20"/>
          <w:color w:val="auto"/>
        </w:rPr>
        <w:tab/>
      </w:r>
      <w:r>
        <w:rPr>
          <w:rFonts w:ascii="Arial" w:cs="Arial" w:eastAsia="Arial" w:hAnsi="Arial"/>
          <w:sz w:val="17"/>
          <w:szCs w:val="17"/>
          <w:color w:val="auto"/>
        </w:rPr>
        <w:t>Fifth Amendment to Trust Agreement between Fidelity</w:t>
      </w:r>
    </w:p>
    <w:p>
      <w:pPr>
        <w:spacing w:after="0" w:line="18"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Management Trust Company and The Scotts Company with regard to The Scotts Company Executive Retirement Plan (now known as The Scotts Company LLC Executive Retirement Plan) [dated as of December 20, 2000]</w:t>
      </w:r>
    </w:p>
    <w:p>
      <w:pPr>
        <w:spacing w:after="0" w:line="200" w:lineRule="exact"/>
        <w:rPr>
          <w:sz w:val="20"/>
          <w:szCs w:val="20"/>
          <w:color w:val="auto"/>
        </w:rPr>
      </w:pPr>
    </w:p>
    <w:p>
      <w:pPr>
        <w:spacing w:after="0" w:line="341" w:lineRule="exact"/>
        <w:rPr>
          <w:sz w:val="20"/>
          <w:szCs w:val="20"/>
          <w:color w:val="auto"/>
        </w:rPr>
      </w:pPr>
    </w:p>
    <w:p>
      <w:pPr>
        <w:ind w:left="700"/>
        <w:spacing w:after="0"/>
        <w:tabs>
          <w:tab w:leader="none" w:pos="2100" w:val="left"/>
        </w:tabs>
        <w:rPr>
          <w:sz w:val="20"/>
          <w:szCs w:val="20"/>
          <w:color w:val="auto"/>
        </w:rPr>
      </w:pPr>
      <w:r>
        <w:rPr>
          <w:rFonts w:ascii="Arial" w:cs="Arial" w:eastAsia="Arial" w:hAnsi="Arial"/>
          <w:sz w:val="18"/>
          <w:szCs w:val="18"/>
          <w:color w:val="auto"/>
        </w:rPr>
        <w:t>10.5(b)(vii)</w:t>
      </w:r>
      <w:r>
        <w:rPr>
          <w:sz w:val="20"/>
          <w:szCs w:val="20"/>
          <w:color w:val="auto"/>
        </w:rPr>
        <w:tab/>
      </w:r>
      <w:r>
        <w:rPr>
          <w:rFonts w:ascii="Arial" w:cs="Arial" w:eastAsia="Arial" w:hAnsi="Arial"/>
          <w:sz w:val="17"/>
          <w:szCs w:val="17"/>
          <w:color w:val="auto"/>
        </w:rPr>
        <w:t>Sixth Amendment to Trust Agreement between Fidelity</w:t>
      </w:r>
    </w:p>
    <w:p>
      <w:pPr>
        <w:spacing w:after="0" w:line="18"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Management Trust Company and The Scotts Company with regard to The Scotts Company Executive Retirement Plan (now known as The Scotts Company LLC Executive Retirement Plan) [effective as of November 29, 2001]</w:t>
      </w:r>
    </w:p>
    <w:p>
      <w:pPr>
        <w:spacing w:after="0" w:line="200" w:lineRule="exact"/>
        <w:rPr>
          <w:sz w:val="20"/>
          <w:szCs w:val="20"/>
          <w:color w:val="auto"/>
        </w:rPr>
      </w:pPr>
    </w:p>
    <w:p>
      <w:pPr>
        <w:spacing w:after="0" w:line="341" w:lineRule="exact"/>
        <w:rPr>
          <w:sz w:val="20"/>
          <w:szCs w:val="20"/>
          <w:color w:val="auto"/>
        </w:rPr>
      </w:pPr>
    </w:p>
    <w:p>
      <w:pPr>
        <w:ind w:left="700"/>
        <w:spacing w:after="0"/>
        <w:tabs>
          <w:tab w:leader="none" w:pos="2100" w:val="left"/>
        </w:tabs>
        <w:rPr>
          <w:sz w:val="20"/>
          <w:szCs w:val="20"/>
          <w:color w:val="auto"/>
        </w:rPr>
      </w:pPr>
      <w:r>
        <w:rPr>
          <w:rFonts w:ascii="Arial" w:cs="Arial" w:eastAsia="Arial" w:hAnsi="Arial"/>
          <w:sz w:val="18"/>
          <w:szCs w:val="18"/>
          <w:color w:val="auto"/>
        </w:rPr>
        <w:t>10.5(b)(viii)</w:t>
      </w:r>
      <w:r>
        <w:rPr>
          <w:sz w:val="20"/>
          <w:szCs w:val="20"/>
          <w:color w:val="auto"/>
        </w:rPr>
        <w:tab/>
      </w:r>
      <w:r>
        <w:rPr>
          <w:rFonts w:ascii="Arial" w:cs="Arial" w:eastAsia="Arial" w:hAnsi="Arial"/>
          <w:sz w:val="17"/>
          <w:szCs w:val="17"/>
          <w:color w:val="auto"/>
        </w:rPr>
        <w:t>Seventh Amendment to Trust Agreement between Fidelity</w:t>
      </w:r>
    </w:p>
    <w:p>
      <w:pPr>
        <w:spacing w:after="0" w:line="18"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Management Trust Company and The Scotts Company with regard to The Scotts Company Executive Retirement Plan (now known as The Scotts Company LLC Executive Retirement Plan) [dated as of September 1, 2002]</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ind w:right="220"/>
        <w:spacing w:after="0" w:line="243"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2008 (which was filed on November 25, 2008) (File No. 1-13292) [Exhibit 10.5(b) (vi)]</w:t>
      </w:r>
    </w:p>
    <w:p>
      <w:pPr>
        <w:spacing w:after="0" w:line="336" w:lineRule="exact"/>
        <w:rPr>
          <w:sz w:val="20"/>
          <w:szCs w:val="20"/>
          <w:color w:val="auto"/>
        </w:rPr>
      </w:pPr>
    </w:p>
    <w:p>
      <w:pPr>
        <w:ind w:right="220"/>
        <w:spacing w:after="0" w:line="243"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2008 (which was filed on November 25, 2008) (File No. 1-13292) [Exhibit 10.5(b) (vii)]</w:t>
      </w:r>
    </w:p>
    <w:p>
      <w:pPr>
        <w:spacing w:after="0" w:line="336" w:lineRule="exact"/>
        <w:rPr>
          <w:sz w:val="20"/>
          <w:szCs w:val="20"/>
          <w:color w:val="auto"/>
        </w:rPr>
      </w:pPr>
    </w:p>
    <w:p>
      <w:pPr>
        <w:ind w:right="220"/>
        <w:spacing w:after="0" w:line="243"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2008 (which was filed on November 25, 2008) (File No. 1-13292) [Exhibit 10.5(b) (viii)]</w:t>
      </w:r>
    </w:p>
    <w:p>
      <w:pPr>
        <w:spacing w:after="0" w:line="200" w:lineRule="exact"/>
        <w:rPr>
          <w:sz w:val="20"/>
          <w:szCs w:val="20"/>
          <w:color w:val="auto"/>
        </w:rPr>
      </w:pPr>
    </w:p>
    <w:p>
      <w:pPr>
        <w:sectPr>
          <w:pgSz w:w="11900" w:h="16838" w:orient="portrait"/>
          <w:cols w:equalWidth="0" w:num="2">
            <w:col w:w="6900" w:space="320"/>
            <w:col w:w="3520"/>
          </w:cols>
          <w:pgMar w:left="240" w:top="405" w:right="919" w:bottom="1440" w:gutter="0" w:footer="0" w:header="0"/>
          <w:type w:val="continuous"/>
        </w:sectPr>
      </w:pPr>
    </w:p>
    <w:p>
      <w:pPr>
        <w:spacing w:after="0" w:line="132"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1120" w:type="dxa"/>
            <w:vAlign w:val="bottom"/>
          </w:tcPr>
          <w:p>
            <w:pPr>
              <w:spacing w:after="0"/>
              <w:rPr>
                <w:sz w:val="20"/>
                <w:szCs w:val="20"/>
                <w:color w:val="auto"/>
              </w:rPr>
            </w:pPr>
            <w:r>
              <w:rPr>
                <w:rFonts w:ascii="Arial" w:cs="Arial" w:eastAsia="Arial" w:hAnsi="Arial"/>
                <w:sz w:val="18"/>
                <w:szCs w:val="18"/>
                <w:color w:val="auto"/>
              </w:rPr>
              <w:t>10.5(b)(ix)</w:t>
            </w:r>
          </w:p>
        </w:tc>
        <w:tc>
          <w:tcPr>
            <w:tcW w:w="5080" w:type="dxa"/>
            <w:vAlign w:val="bottom"/>
          </w:tcPr>
          <w:p>
            <w:pPr>
              <w:ind w:left="300"/>
              <w:spacing w:after="0"/>
              <w:rPr>
                <w:sz w:val="20"/>
                <w:szCs w:val="20"/>
                <w:color w:val="auto"/>
              </w:rPr>
            </w:pPr>
            <w:r>
              <w:rPr>
                <w:rFonts w:ascii="Arial" w:cs="Arial" w:eastAsia="Arial" w:hAnsi="Arial"/>
                <w:sz w:val="18"/>
                <w:szCs w:val="18"/>
                <w:color w:val="auto"/>
              </w:rPr>
              <w:t>Eighth Amendment to Trust Agreement between Fidelity</w:t>
            </w:r>
          </w:p>
        </w:tc>
      </w:tr>
      <w:tr>
        <w:trPr>
          <w:trHeight w:val="203"/>
        </w:trPr>
        <w:tc>
          <w:tcPr>
            <w:tcW w:w="1120" w:type="dxa"/>
            <w:vAlign w:val="bottom"/>
          </w:tcPr>
          <w:p>
            <w:pPr>
              <w:spacing w:after="0"/>
              <w:rPr>
                <w:sz w:val="17"/>
                <w:szCs w:val="17"/>
                <w:color w:val="auto"/>
              </w:rPr>
            </w:pPr>
          </w:p>
        </w:tc>
        <w:tc>
          <w:tcPr>
            <w:tcW w:w="5080" w:type="dxa"/>
            <w:vAlign w:val="bottom"/>
          </w:tcPr>
          <w:p>
            <w:pPr>
              <w:ind w:left="300"/>
              <w:spacing w:after="0" w:line="202" w:lineRule="exact"/>
              <w:rPr>
                <w:sz w:val="20"/>
                <w:szCs w:val="20"/>
                <w:color w:val="auto"/>
              </w:rPr>
            </w:pPr>
            <w:r>
              <w:rPr>
                <w:rFonts w:ascii="Arial" w:cs="Arial" w:eastAsia="Arial" w:hAnsi="Arial"/>
                <w:sz w:val="18"/>
                <w:szCs w:val="18"/>
                <w:color w:val="auto"/>
                <w:w w:val="99"/>
              </w:rPr>
              <w:t>Management Trust Company and The Scotts Company with</w:t>
            </w:r>
          </w:p>
        </w:tc>
      </w:tr>
      <w:tr>
        <w:trPr>
          <w:trHeight w:val="203"/>
        </w:trPr>
        <w:tc>
          <w:tcPr>
            <w:tcW w:w="1120" w:type="dxa"/>
            <w:vAlign w:val="bottom"/>
          </w:tcPr>
          <w:p>
            <w:pPr>
              <w:spacing w:after="0"/>
              <w:rPr>
                <w:sz w:val="17"/>
                <w:szCs w:val="17"/>
                <w:color w:val="auto"/>
              </w:rPr>
            </w:pPr>
          </w:p>
        </w:tc>
        <w:tc>
          <w:tcPr>
            <w:tcW w:w="5080" w:type="dxa"/>
            <w:vAlign w:val="bottom"/>
          </w:tcPr>
          <w:p>
            <w:pPr>
              <w:ind w:left="300"/>
              <w:spacing w:after="0" w:line="202" w:lineRule="exact"/>
              <w:rPr>
                <w:sz w:val="20"/>
                <w:szCs w:val="20"/>
                <w:color w:val="auto"/>
              </w:rPr>
            </w:pPr>
            <w:r>
              <w:rPr>
                <w:rFonts w:ascii="Arial" w:cs="Arial" w:eastAsia="Arial" w:hAnsi="Arial"/>
                <w:sz w:val="18"/>
                <w:szCs w:val="18"/>
                <w:color w:val="auto"/>
              </w:rPr>
              <w:t>regard to The Scotts Company Executive Retirement Plan</w:t>
            </w:r>
          </w:p>
        </w:tc>
      </w:tr>
      <w:tr>
        <w:trPr>
          <w:trHeight w:val="203"/>
        </w:trPr>
        <w:tc>
          <w:tcPr>
            <w:tcW w:w="1120" w:type="dxa"/>
            <w:vAlign w:val="bottom"/>
          </w:tcPr>
          <w:p>
            <w:pPr>
              <w:spacing w:after="0"/>
              <w:rPr>
                <w:sz w:val="17"/>
                <w:szCs w:val="17"/>
                <w:color w:val="auto"/>
              </w:rPr>
            </w:pPr>
          </w:p>
        </w:tc>
        <w:tc>
          <w:tcPr>
            <w:tcW w:w="5080" w:type="dxa"/>
            <w:vAlign w:val="bottom"/>
          </w:tcPr>
          <w:p>
            <w:pPr>
              <w:ind w:left="300"/>
              <w:spacing w:after="0" w:line="202" w:lineRule="exact"/>
              <w:rPr>
                <w:sz w:val="20"/>
                <w:szCs w:val="20"/>
                <w:color w:val="auto"/>
              </w:rPr>
            </w:pPr>
            <w:r>
              <w:rPr>
                <w:rFonts w:ascii="Arial" w:cs="Arial" w:eastAsia="Arial" w:hAnsi="Arial"/>
                <w:sz w:val="18"/>
                <w:szCs w:val="18"/>
                <w:color w:val="auto"/>
              </w:rPr>
              <w:t>(now known as The Scotts Company LLC Executive</w:t>
            </w:r>
          </w:p>
        </w:tc>
      </w:tr>
      <w:tr>
        <w:trPr>
          <w:trHeight w:val="243"/>
        </w:trPr>
        <w:tc>
          <w:tcPr>
            <w:tcW w:w="1120" w:type="dxa"/>
            <w:vAlign w:val="bottom"/>
          </w:tcPr>
          <w:p>
            <w:pPr>
              <w:spacing w:after="0"/>
              <w:rPr>
                <w:sz w:val="21"/>
                <w:szCs w:val="21"/>
                <w:color w:val="auto"/>
              </w:rPr>
            </w:pPr>
          </w:p>
        </w:tc>
        <w:tc>
          <w:tcPr>
            <w:tcW w:w="5080" w:type="dxa"/>
            <w:vAlign w:val="bottom"/>
          </w:tcPr>
          <w:p>
            <w:pPr>
              <w:ind w:left="300"/>
              <w:spacing w:after="0"/>
              <w:rPr>
                <w:sz w:val="20"/>
                <w:szCs w:val="20"/>
                <w:color w:val="auto"/>
              </w:rPr>
            </w:pPr>
            <w:r>
              <w:rPr>
                <w:rFonts w:ascii="Arial" w:cs="Arial" w:eastAsia="Arial" w:hAnsi="Arial"/>
                <w:sz w:val="18"/>
                <w:szCs w:val="18"/>
                <w:color w:val="auto"/>
              </w:rPr>
              <w:t>Retirement Plan) [dated as of December 31, 2002]</w:t>
            </w:r>
          </w:p>
        </w:tc>
      </w:tr>
      <w:tr>
        <w:trPr>
          <w:trHeight w:val="743"/>
        </w:trPr>
        <w:tc>
          <w:tcPr>
            <w:tcW w:w="1120" w:type="dxa"/>
            <w:vAlign w:val="bottom"/>
          </w:tcPr>
          <w:p>
            <w:pPr>
              <w:spacing w:after="0"/>
              <w:rPr>
                <w:sz w:val="20"/>
                <w:szCs w:val="20"/>
                <w:color w:val="auto"/>
              </w:rPr>
            </w:pPr>
            <w:r>
              <w:rPr>
                <w:rFonts w:ascii="Arial" w:cs="Arial" w:eastAsia="Arial" w:hAnsi="Arial"/>
                <w:sz w:val="18"/>
                <w:szCs w:val="18"/>
                <w:color w:val="auto"/>
              </w:rPr>
              <w:t>10.5(b)(x)</w:t>
            </w:r>
          </w:p>
        </w:tc>
        <w:tc>
          <w:tcPr>
            <w:tcW w:w="5080" w:type="dxa"/>
            <w:vAlign w:val="bottom"/>
          </w:tcPr>
          <w:p>
            <w:pPr>
              <w:ind w:left="300"/>
              <w:spacing w:after="0"/>
              <w:rPr>
                <w:sz w:val="20"/>
                <w:szCs w:val="20"/>
                <w:color w:val="auto"/>
              </w:rPr>
            </w:pPr>
            <w:r>
              <w:rPr>
                <w:rFonts w:ascii="Arial" w:cs="Arial" w:eastAsia="Arial" w:hAnsi="Arial"/>
                <w:sz w:val="18"/>
                <w:szCs w:val="18"/>
                <w:color w:val="auto"/>
              </w:rPr>
              <w:t>Ninth Amendment to Trust Agreement between Fidelity</w:t>
            </w:r>
          </w:p>
        </w:tc>
      </w:tr>
      <w:tr>
        <w:trPr>
          <w:trHeight w:val="203"/>
        </w:trPr>
        <w:tc>
          <w:tcPr>
            <w:tcW w:w="1120" w:type="dxa"/>
            <w:vAlign w:val="bottom"/>
          </w:tcPr>
          <w:p>
            <w:pPr>
              <w:spacing w:after="0"/>
              <w:rPr>
                <w:sz w:val="17"/>
                <w:szCs w:val="17"/>
                <w:color w:val="auto"/>
              </w:rPr>
            </w:pPr>
          </w:p>
        </w:tc>
        <w:tc>
          <w:tcPr>
            <w:tcW w:w="5080" w:type="dxa"/>
            <w:vAlign w:val="bottom"/>
          </w:tcPr>
          <w:p>
            <w:pPr>
              <w:ind w:left="300"/>
              <w:spacing w:after="0" w:line="202" w:lineRule="exact"/>
              <w:rPr>
                <w:sz w:val="20"/>
                <w:szCs w:val="20"/>
                <w:color w:val="auto"/>
              </w:rPr>
            </w:pPr>
            <w:r>
              <w:rPr>
                <w:rFonts w:ascii="Arial" w:cs="Arial" w:eastAsia="Arial" w:hAnsi="Arial"/>
                <w:sz w:val="18"/>
                <w:szCs w:val="18"/>
                <w:color w:val="auto"/>
                <w:w w:val="99"/>
              </w:rPr>
              <w:t>Management Trust Company and The Scotts Company with</w:t>
            </w:r>
          </w:p>
        </w:tc>
      </w:tr>
      <w:tr>
        <w:trPr>
          <w:trHeight w:val="203"/>
        </w:trPr>
        <w:tc>
          <w:tcPr>
            <w:tcW w:w="1120" w:type="dxa"/>
            <w:vAlign w:val="bottom"/>
          </w:tcPr>
          <w:p>
            <w:pPr>
              <w:spacing w:after="0"/>
              <w:rPr>
                <w:sz w:val="17"/>
                <w:szCs w:val="17"/>
                <w:color w:val="auto"/>
              </w:rPr>
            </w:pPr>
          </w:p>
        </w:tc>
        <w:tc>
          <w:tcPr>
            <w:tcW w:w="5080" w:type="dxa"/>
            <w:vAlign w:val="bottom"/>
          </w:tcPr>
          <w:p>
            <w:pPr>
              <w:ind w:left="300"/>
              <w:spacing w:after="0" w:line="202" w:lineRule="exact"/>
              <w:rPr>
                <w:sz w:val="20"/>
                <w:szCs w:val="20"/>
                <w:color w:val="auto"/>
              </w:rPr>
            </w:pPr>
            <w:r>
              <w:rPr>
                <w:rFonts w:ascii="Arial" w:cs="Arial" w:eastAsia="Arial" w:hAnsi="Arial"/>
                <w:sz w:val="18"/>
                <w:szCs w:val="18"/>
                <w:color w:val="auto"/>
              </w:rPr>
              <w:t>regard to The Scotts Company Executive Retirement Plan</w:t>
            </w:r>
          </w:p>
        </w:tc>
      </w:tr>
      <w:tr>
        <w:trPr>
          <w:trHeight w:val="203"/>
        </w:trPr>
        <w:tc>
          <w:tcPr>
            <w:tcW w:w="1120" w:type="dxa"/>
            <w:vAlign w:val="bottom"/>
          </w:tcPr>
          <w:p>
            <w:pPr>
              <w:spacing w:after="0"/>
              <w:rPr>
                <w:sz w:val="17"/>
                <w:szCs w:val="17"/>
                <w:color w:val="auto"/>
              </w:rPr>
            </w:pPr>
          </w:p>
        </w:tc>
        <w:tc>
          <w:tcPr>
            <w:tcW w:w="5080" w:type="dxa"/>
            <w:vAlign w:val="bottom"/>
          </w:tcPr>
          <w:p>
            <w:pPr>
              <w:ind w:left="300"/>
              <w:spacing w:after="0" w:line="202" w:lineRule="exact"/>
              <w:rPr>
                <w:sz w:val="20"/>
                <w:szCs w:val="20"/>
                <w:color w:val="auto"/>
              </w:rPr>
            </w:pPr>
            <w:r>
              <w:rPr>
                <w:rFonts w:ascii="Arial" w:cs="Arial" w:eastAsia="Arial" w:hAnsi="Arial"/>
                <w:sz w:val="18"/>
                <w:szCs w:val="18"/>
                <w:color w:val="auto"/>
              </w:rPr>
              <w:t>(now known as The Scotts Company LLC Executive</w:t>
            </w:r>
          </w:p>
        </w:tc>
      </w:tr>
      <w:tr>
        <w:trPr>
          <w:trHeight w:val="243"/>
        </w:trPr>
        <w:tc>
          <w:tcPr>
            <w:tcW w:w="1120" w:type="dxa"/>
            <w:vAlign w:val="bottom"/>
          </w:tcPr>
          <w:p>
            <w:pPr>
              <w:spacing w:after="0"/>
              <w:rPr>
                <w:sz w:val="21"/>
                <w:szCs w:val="21"/>
                <w:color w:val="auto"/>
              </w:rPr>
            </w:pPr>
          </w:p>
        </w:tc>
        <w:tc>
          <w:tcPr>
            <w:tcW w:w="5080" w:type="dxa"/>
            <w:vAlign w:val="bottom"/>
          </w:tcPr>
          <w:p>
            <w:pPr>
              <w:ind w:left="300"/>
              <w:spacing w:after="0"/>
              <w:rPr>
                <w:sz w:val="20"/>
                <w:szCs w:val="20"/>
                <w:color w:val="auto"/>
              </w:rPr>
            </w:pPr>
            <w:r>
              <w:rPr>
                <w:rFonts w:ascii="Arial" w:cs="Arial" w:eastAsia="Arial" w:hAnsi="Arial"/>
                <w:sz w:val="18"/>
                <w:szCs w:val="18"/>
                <w:color w:val="auto"/>
              </w:rPr>
              <w:t>Retirement Plan) [dated as of October 15, 2004]</w:t>
            </w:r>
          </w:p>
        </w:tc>
      </w:tr>
    </w:tbl>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ind w:right="220"/>
        <w:spacing w:after="0" w:line="243"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2008 (which was filed on November 25, 2008) (File No. 1-13292) [Exhibit 10.5(b) (ix)]</w:t>
      </w:r>
    </w:p>
    <w:p>
      <w:pPr>
        <w:spacing w:after="0" w:line="336"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Incorporated herein by reference to the Registrant’s Annual Report on Form 10-K for the fiscal year ended September 30, 2008 (which was filed on November 25, 2008) (File No. 1-13292) [Exhibit 10.5(b)(x)]</w:t>
      </w:r>
    </w:p>
    <w:p>
      <w:pPr>
        <w:spacing w:after="0" w:line="200" w:lineRule="exact"/>
        <w:rPr>
          <w:sz w:val="20"/>
          <w:szCs w:val="20"/>
          <w:color w:val="auto"/>
        </w:rPr>
      </w:pPr>
    </w:p>
    <w:p>
      <w:pPr>
        <w:sectPr>
          <w:pgSz w:w="11900" w:h="16838" w:orient="portrait"/>
          <w:cols w:equalWidth="0" w:num="2">
            <w:col w:w="6900" w:space="320"/>
            <w:col w:w="3520"/>
          </w:cols>
          <w:pgMar w:left="240" w:top="405" w:right="919" w:bottom="1440" w:gutter="0" w:footer="0" w:header="0"/>
          <w:type w:val="continuous"/>
        </w:sectPr>
      </w:pPr>
    </w:p>
    <w:p>
      <w:pPr>
        <w:spacing w:after="0" w:line="10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0"/>
          <w:szCs w:val="10"/>
          <w:b w:val="1"/>
          <w:bCs w:val="1"/>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-71120</wp:posOffset>
            </wp:positionV>
            <wp:extent cx="19748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149225</wp:posOffset>
            </wp:positionV>
            <wp:extent cx="7250430" cy="215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240" w:top="405" w:right="919" w:bottom="1440" w:gutter="0" w:footer="0" w:header="0"/>
          <w:type w:val="continuous"/>
        </w:sectPr>
      </w:pPr>
    </w:p>
    <w:bookmarkStart w:id="119" w:name="page120"/>
    <w:bookmarkEnd w:id="119"/>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Times New Roman" w:cs="Times New Roman" w:eastAsia="Times New Roman" w:hAnsi="Times New Roman"/>
                <w:sz w:val="18"/>
                <w:szCs w:val="18"/>
                <w:b w:val="1"/>
                <w:bCs w:val="1"/>
                <w:color w:val="0000EE"/>
                <w:w w:val="97"/>
              </w:rPr>
            </w:pPr>
            <w:hyperlink w:anchor="page64">
              <w:r>
                <w:rPr>
                  <w:rFonts w:ascii="Times New Roman" w:cs="Times New Roman" w:eastAsia="Times New Roman" w:hAnsi="Times New Roman"/>
                  <w:sz w:val="18"/>
                  <w:szCs w:val="18"/>
                  <w:b w:val="1"/>
                  <w:bCs w:val="1"/>
                  <w:color w:val="0000EE"/>
                  <w:w w:val="97"/>
                </w:rPr>
                <w:t>Table of Contents</w:t>
              </w:r>
            </w:hyperlink>
          </w:p>
        </w:tc>
        <w:tc>
          <w:tcPr>
            <w:tcW w:w="48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3680" w:type="dxa"/>
            <w:vAlign w:val="bottom"/>
          </w:tcPr>
          <w:p>
            <w:pPr>
              <w:spacing w:after="0"/>
              <w:rPr>
                <w:sz w:val="17"/>
                <w:szCs w:val="17"/>
                <w:color w:val="auto"/>
              </w:rPr>
            </w:pPr>
          </w:p>
        </w:tc>
      </w:tr>
      <w:tr>
        <w:trPr>
          <w:trHeight w:val="511"/>
        </w:trPr>
        <w:tc>
          <w:tcPr>
            <w:tcW w:w="700" w:type="dxa"/>
            <w:vAlign w:val="bottom"/>
          </w:tcPr>
          <w:p>
            <w:pPr>
              <w:spacing w:after="0"/>
              <w:rPr>
                <w:sz w:val="24"/>
                <w:szCs w:val="24"/>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9"/>
              </w:rPr>
              <w:t>Exhibit</w:t>
            </w:r>
          </w:p>
        </w:tc>
        <w:tc>
          <w:tcPr>
            <w:tcW w:w="522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39"/>
        </w:trPr>
        <w:tc>
          <w:tcPr>
            <w:tcW w:w="700" w:type="dxa"/>
            <w:vAlign w:val="bottom"/>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9"/>
              </w:rPr>
              <w:t>No.</w:t>
            </w:r>
          </w:p>
        </w:tc>
        <w:tc>
          <w:tcPr>
            <w:tcW w:w="5220" w:type="dxa"/>
            <w:vAlign w:val="bottom"/>
            <w:tcBorders>
              <w:bottom w:val="single" w:sz="8" w:color="auto"/>
            </w:tcBorders>
          </w:tcPr>
          <w:p>
            <w:pPr>
              <w:ind w:left="2280"/>
              <w:spacing w:after="0"/>
              <w:rPr>
                <w:sz w:val="20"/>
                <w:szCs w:val="20"/>
                <w:color w:val="auto"/>
              </w:rPr>
            </w:pPr>
            <w:r>
              <w:rPr>
                <w:rFonts w:ascii="Arial" w:cs="Arial" w:eastAsia="Arial" w:hAnsi="Arial"/>
                <w:sz w:val="18"/>
                <w:szCs w:val="18"/>
                <w:color w:val="auto"/>
              </w:rPr>
              <w:t>Description</w:t>
            </w:r>
          </w:p>
        </w:tc>
        <w:tc>
          <w:tcPr>
            <w:tcW w:w="3680" w:type="dxa"/>
            <w:vAlign w:val="bottom"/>
            <w:tcBorders>
              <w:bottom w:val="single" w:sz="8" w:color="auto"/>
            </w:tcBorders>
          </w:tcPr>
          <w:p>
            <w:pPr>
              <w:ind w:left="1580"/>
              <w:spacing w:after="0"/>
              <w:rPr>
                <w:sz w:val="20"/>
                <w:szCs w:val="20"/>
                <w:color w:val="auto"/>
              </w:rPr>
            </w:pPr>
            <w:r>
              <w:rPr>
                <w:rFonts w:ascii="Arial" w:cs="Arial" w:eastAsia="Arial" w:hAnsi="Arial"/>
                <w:sz w:val="18"/>
                <w:szCs w:val="18"/>
                <w:color w:val="auto"/>
              </w:rPr>
              <w:t>Location</w:t>
            </w:r>
          </w:p>
        </w:tc>
      </w:tr>
      <w:tr>
        <w:trPr>
          <w:trHeight w:val="227"/>
        </w:trPr>
        <w:tc>
          <w:tcPr>
            <w:tcW w:w="1840" w:type="dxa"/>
            <w:vAlign w:val="bottom"/>
            <w:gridSpan w:val="3"/>
          </w:tcPr>
          <w:p>
            <w:pPr>
              <w:ind w:left="700"/>
              <w:spacing w:after="0"/>
              <w:rPr>
                <w:sz w:val="20"/>
                <w:szCs w:val="20"/>
                <w:color w:val="auto"/>
              </w:rPr>
            </w:pPr>
            <w:r>
              <w:rPr>
                <w:rFonts w:ascii="Arial" w:cs="Arial" w:eastAsia="Arial" w:hAnsi="Arial"/>
                <w:sz w:val="18"/>
                <w:szCs w:val="18"/>
                <w:color w:val="auto"/>
              </w:rPr>
              <w:t>10.5(b)(xi)</w:t>
            </w:r>
          </w:p>
        </w:tc>
        <w:tc>
          <w:tcPr>
            <w:tcW w:w="5220" w:type="dxa"/>
            <w:vAlign w:val="bottom"/>
          </w:tcPr>
          <w:p>
            <w:pPr>
              <w:ind w:left="280"/>
              <w:spacing w:after="0"/>
              <w:rPr>
                <w:sz w:val="20"/>
                <w:szCs w:val="20"/>
                <w:color w:val="auto"/>
              </w:rPr>
            </w:pPr>
            <w:r>
              <w:rPr>
                <w:rFonts w:ascii="Arial" w:cs="Arial" w:eastAsia="Arial" w:hAnsi="Arial"/>
                <w:sz w:val="18"/>
                <w:szCs w:val="18"/>
                <w:color w:val="auto"/>
              </w:rPr>
              <w:t>Tenth Amendment to Trust Agreement between Fidelity</w:t>
            </w:r>
          </w:p>
        </w:tc>
        <w:tc>
          <w:tcPr>
            <w:tcW w:w="3680" w:type="dxa"/>
            <w:vAlign w:val="bottom"/>
          </w:tcPr>
          <w:p>
            <w:pPr>
              <w:ind w:left="160"/>
              <w:spacing w:after="0"/>
              <w:rPr>
                <w:sz w:val="20"/>
                <w:szCs w:val="20"/>
                <w:color w:val="auto"/>
              </w:rPr>
            </w:pPr>
            <w:r>
              <w:rPr>
                <w:rFonts w:ascii="Arial" w:cs="Arial" w:eastAsia="Arial" w:hAnsi="Arial"/>
                <w:sz w:val="18"/>
                <w:szCs w:val="18"/>
                <w:color w:val="auto"/>
              </w:rPr>
              <w:t>Incorporated herein by reference to the</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20" w:type="dxa"/>
            <w:vAlign w:val="bottom"/>
          </w:tcPr>
          <w:p>
            <w:pPr>
              <w:ind w:left="280"/>
              <w:spacing w:after="0" w:line="202" w:lineRule="exact"/>
              <w:rPr>
                <w:sz w:val="20"/>
                <w:szCs w:val="20"/>
                <w:color w:val="auto"/>
              </w:rPr>
            </w:pPr>
            <w:r>
              <w:rPr>
                <w:rFonts w:ascii="Arial" w:cs="Arial" w:eastAsia="Arial" w:hAnsi="Arial"/>
                <w:sz w:val="18"/>
                <w:szCs w:val="18"/>
                <w:color w:val="auto"/>
              </w:rPr>
              <w:t>Management Trust Company and The Scotts Company LLC</w:t>
            </w:r>
          </w:p>
        </w:tc>
        <w:tc>
          <w:tcPr>
            <w:tcW w:w="3680" w:type="dxa"/>
            <w:vAlign w:val="bottom"/>
          </w:tcPr>
          <w:p>
            <w:pPr>
              <w:ind w:left="160"/>
              <w:spacing w:after="0" w:line="202" w:lineRule="exact"/>
              <w:rPr>
                <w:sz w:val="20"/>
                <w:szCs w:val="20"/>
                <w:color w:val="auto"/>
              </w:rPr>
            </w:pPr>
            <w:r>
              <w:rPr>
                <w:rFonts w:ascii="Arial" w:cs="Arial" w:eastAsia="Arial" w:hAnsi="Arial"/>
                <w:sz w:val="18"/>
                <w:szCs w:val="18"/>
                <w:color w:val="auto"/>
              </w:rPr>
              <w:t>Registrant’s Annual Report on Form 10-K</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20" w:type="dxa"/>
            <w:vAlign w:val="bottom"/>
          </w:tcPr>
          <w:p>
            <w:pPr>
              <w:ind w:left="280"/>
              <w:spacing w:after="0" w:line="202" w:lineRule="exact"/>
              <w:rPr>
                <w:sz w:val="20"/>
                <w:szCs w:val="20"/>
                <w:color w:val="auto"/>
              </w:rPr>
            </w:pPr>
            <w:r>
              <w:rPr>
                <w:rFonts w:ascii="Arial" w:cs="Arial" w:eastAsia="Arial" w:hAnsi="Arial"/>
                <w:sz w:val="18"/>
                <w:szCs w:val="18"/>
                <w:color w:val="auto"/>
              </w:rPr>
              <w:t>with regard to The Scotts Company Executive Retirement</w:t>
            </w:r>
          </w:p>
        </w:tc>
        <w:tc>
          <w:tcPr>
            <w:tcW w:w="3680" w:type="dxa"/>
            <w:vAlign w:val="bottom"/>
          </w:tcPr>
          <w:p>
            <w:pPr>
              <w:ind w:left="160"/>
              <w:spacing w:after="0" w:line="202" w:lineRule="exact"/>
              <w:rPr>
                <w:sz w:val="20"/>
                <w:szCs w:val="20"/>
                <w:color w:val="auto"/>
              </w:rPr>
            </w:pPr>
            <w:r>
              <w:rPr>
                <w:rFonts w:ascii="Arial" w:cs="Arial" w:eastAsia="Arial" w:hAnsi="Arial"/>
                <w:sz w:val="18"/>
                <w:szCs w:val="18"/>
                <w:color w:val="auto"/>
              </w:rPr>
              <w:t>for the fiscal year ended September 30,</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20" w:type="dxa"/>
            <w:vAlign w:val="bottom"/>
          </w:tcPr>
          <w:p>
            <w:pPr>
              <w:ind w:left="280"/>
              <w:spacing w:after="0" w:line="202" w:lineRule="exact"/>
              <w:rPr>
                <w:sz w:val="20"/>
                <w:szCs w:val="20"/>
                <w:color w:val="auto"/>
              </w:rPr>
            </w:pPr>
            <w:r>
              <w:rPr>
                <w:rFonts w:ascii="Arial" w:cs="Arial" w:eastAsia="Arial" w:hAnsi="Arial"/>
                <w:sz w:val="18"/>
                <w:szCs w:val="18"/>
                <w:color w:val="auto"/>
              </w:rPr>
              <w:t>Plan (now known as The Scotts Company LLC Executive</w:t>
            </w:r>
          </w:p>
        </w:tc>
        <w:tc>
          <w:tcPr>
            <w:tcW w:w="3680" w:type="dxa"/>
            <w:vAlign w:val="bottom"/>
          </w:tcPr>
          <w:p>
            <w:pPr>
              <w:ind w:left="160"/>
              <w:spacing w:after="0" w:line="202" w:lineRule="exact"/>
              <w:rPr>
                <w:sz w:val="20"/>
                <w:szCs w:val="20"/>
                <w:color w:val="auto"/>
              </w:rPr>
            </w:pPr>
            <w:r>
              <w:rPr>
                <w:rFonts w:ascii="Arial" w:cs="Arial" w:eastAsia="Arial" w:hAnsi="Arial"/>
                <w:sz w:val="18"/>
                <w:szCs w:val="18"/>
                <w:color w:val="auto"/>
              </w:rPr>
              <w:t>2008 (which was filed on November 25,</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20" w:type="dxa"/>
            <w:vAlign w:val="bottom"/>
          </w:tcPr>
          <w:p>
            <w:pPr>
              <w:ind w:left="280"/>
              <w:spacing w:after="0" w:line="202" w:lineRule="exact"/>
              <w:rPr>
                <w:sz w:val="20"/>
                <w:szCs w:val="20"/>
                <w:color w:val="auto"/>
              </w:rPr>
            </w:pPr>
            <w:r>
              <w:rPr>
                <w:rFonts w:ascii="Arial" w:cs="Arial" w:eastAsia="Arial" w:hAnsi="Arial"/>
                <w:sz w:val="18"/>
                <w:szCs w:val="18"/>
                <w:color w:val="auto"/>
              </w:rPr>
              <w:t>Retirement Plan) [dated as of October 2, 2006]</w:t>
            </w:r>
          </w:p>
        </w:tc>
        <w:tc>
          <w:tcPr>
            <w:tcW w:w="3680" w:type="dxa"/>
            <w:vAlign w:val="bottom"/>
          </w:tcPr>
          <w:p>
            <w:pPr>
              <w:ind w:left="160"/>
              <w:spacing w:after="0" w:line="202" w:lineRule="exact"/>
              <w:rPr>
                <w:sz w:val="20"/>
                <w:szCs w:val="20"/>
                <w:color w:val="auto"/>
              </w:rPr>
            </w:pPr>
            <w:r>
              <w:rPr>
                <w:rFonts w:ascii="Arial" w:cs="Arial" w:eastAsia="Arial" w:hAnsi="Arial"/>
                <w:sz w:val="18"/>
                <w:szCs w:val="18"/>
                <w:color w:val="auto"/>
              </w:rPr>
              <w:t>2008) (File No. 1-13292) [Exhibit 10.5(b)</w:t>
            </w:r>
          </w:p>
        </w:tc>
      </w:tr>
      <w:tr>
        <w:trPr>
          <w:trHeight w:val="243"/>
        </w:trPr>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220" w:type="dxa"/>
            <w:vAlign w:val="bottom"/>
          </w:tcPr>
          <w:p>
            <w:pPr>
              <w:spacing w:after="0"/>
              <w:rPr>
                <w:sz w:val="21"/>
                <w:szCs w:val="21"/>
                <w:color w:val="auto"/>
              </w:rPr>
            </w:pPr>
          </w:p>
        </w:tc>
        <w:tc>
          <w:tcPr>
            <w:tcW w:w="3680" w:type="dxa"/>
            <w:vAlign w:val="bottom"/>
          </w:tcPr>
          <w:p>
            <w:pPr>
              <w:ind w:left="160"/>
              <w:spacing w:after="0"/>
              <w:rPr>
                <w:sz w:val="20"/>
                <w:szCs w:val="20"/>
                <w:color w:val="auto"/>
              </w:rPr>
            </w:pPr>
            <w:r>
              <w:rPr>
                <w:rFonts w:ascii="Arial" w:cs="Arial" w:eastAsia="Arial" w:hAnsi="Arial"/>
                <w:sz w:val="18"/>
                <w:szCs w:val="18"/>
                <w:color w:val="auto"/>
              </w:rPr>
              <w:t>(xi)]</w:t>
            </w:r>
          </w:p>
        </w:tc>
      </w:tr>
    </w:tbl>
    <w:p>
      <w:pPr>
        <w:spacing w:after="0" w:line="200" w:lineRule="exact"/>
        <w:rPr>
          <w:sz w:val="20"/>
          <w:szCs w:val="20"/>
          <w:color w:val="auto"/>
        </w:rPr>
      </w:pPr>
    </w:p>
    <w:p>
      <w:pPr>
        <w:sectPr>
          <w:pgSz w:w="11900" w:h="16838" w:orient="portrait"/>
          <w:cols w:equalWidth="0" w:num="1">
            <w:col w:w="10740"/>
          </w:cols>
          <w:pgMar w:left="240" w:top="405" w:right="919" w:bottom="1440" w:gutter="0" w:footer="0" w:header="0"/>
        </w:sectPr>
      </w:pPr>
    </w:p>
    <w:p>
      <w:pPr>
        <w:spacing w:after="0" w:line="138" w:lineRule="exact"/>
        <w:rPr>
          <w:sz w:val="20"/>
          <w:szCs w:val="20"/>
          <w:color w:val="auto"/>
        </w:rPr>
      </w:pPr>
    </w:p>
    <w:p>
      <w:pPr>
        <w:ind w:left="700"/>
        <w:spacing w:after="0"/>
        <w:tabs>
          <w:tab w:leader="none" w:pos="2100" w:val="left"/>
        </w:tabs>
        <w:rPr>
          <w:sz w:val="20"/>
          <w:szCs w:val="20"/>
          <w:color w:val="auto"/>
        </w:rPr>
      </w:pPr>
      <w:r>
        <w:rPr>
          <w:rFonts w:ascii="Arial" w:cs="Arial" w:eastAsia="Arial" w:hAnsi="Arial"/>
          <w:sz w:val="18"/>
          <w:szCs w:val="18"/>
          <w:color w:val="auto"/>
        </w:rPr>
        <w:t>10.5(b)(xii)</w:t>
      </w:r>
      <w:r>
        <w:rPr>
          <w:sz w:val="20"/>
          <w:szCs w:val="20"/>
          <w:color w:val="auto"/>
        </w:rPr>
        <w:tab/>
      </w:r>
      <w:r>
        <w:rPr>
          <w:rFonts w:ascii="Arial" w:cs="Arial" w:eastAsia="Arial" w:hAnsi="Arial"/>
          <w:sz w:val="17"/>
          <w:szCs w:val="17"/>
          <w:color w:val="auto"/>
        </w:rPr>
        <w:t>Eleventh Amendment to Trust Agreement between Fidelity</w:t>
      </w:r>
    </w:p>
    <w:p>
      <w:pPr>
        <w:spacing w:after="0" w:line="18" w:lineRule="exact"/>
        <w:rPr>
          <w:sz w:val="20"/>
          <w:szCs w:val="20"/>
          <w:color w:val="auto"/>
        </w:rPr>
      </w:pPr>
    </w:p>
    <w:p>
      <w:pPr>
        <w:ind w:left="2120"/>
        <w:spacing w:after="0" w:line="242" w:lineRule="auto"/>
        <w:rPr>
          <w:sz w:val="20"/>
          <w:szCs w:val="20"/>
          <w:color w:val="auto"/>
        </w:rPr>
      </w:pPr>
      <w:r>
        <w:rPr>
          <w:rFonts w:ascii="Arial" w:cs="Arial" w:eastAsia="Arial" w:hAnsi="Arial"/>
          <w:sz w:val="18"/>
          <w:szCs w:val="18"/>
          <w:color w:val="auto"/>
        </w:rPr>
        <w:t>Management Trust Company and The Scotts Company LLC with regard to The Scotts Company LLC Executive Retirement Plan (dated as of February 9, 2007)</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ind w:right="220"/>
        <w:spacing w:after="0" w:line="243"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2008 (which was filed on November 25, 2008) (File No. 1-13292) [Exhibit 10.5(b) (xii)]</w:t>
      </w:r>
    </w:p>
    <w:p>
      <w:pPr>
        <w:spacing w:after="0" w:line="200" w:lineRule="exact"/>
        <w:rPr>
          <w:sz w:val="20"/>
          <w:szCs w:val="20"/>
          <w:color w:val="auto"/>
        </w:rPr>
      </w:pPr>
    </w:p>
    <w:p>
      <w:pPr>
        <w:sectPr>
          <w:pgSz w:w="11900" w:h="16838" w:orient="portrait"/>
          <w:cols w:equalWidth="0" w:num="2">
            <w:col w:w="6900" w:space="320"/>
            <w:col w:w="3520"/>
          </w:cols>
          <w:pgMar w:left="240" w:top="405" w:right="919" w:bottom="1440" w:gutter="0" w:footer="0" w:header="0"/>
          <w:type w:val="continuous"/>
        </w:sectPr>
      </w:pPr>
    </w:p>
    <w:p>
      <w:pPr>
        <w:spacing w:after="0" w:line="132"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980" w:type="dxa"/>
            <w:vAlign w:val="bottom"/>
          </w:tcPr>
          <w:p>
            <w:pPr>
              <w:spacing w:after="0"/>
              <w:rPr>
                <w:sz w:val="20"/>
                <w:szCs w:val="20"/>
                <w:color w:val="auto"/>
              </w:rPr>
            </w:pPr>
            <w:r>
              <w:rPr>
                <w:rFonts w:ascii="Arial" w:cs="Arial" w:eastAsia="Arial" w:hAnsi="Arial"/>
                <w:sz w:val="18"/>
                <w:szCs w:val="18"/>
                <w:color w:val="auto"/>
              </w:rPr>
              <w:t>10.5(c)</w:t>
            </w:r>
          </w:p>
        </w:tc>
        <w:tc>
          <w:tcPr>
            <w:tcW w:w="5220" w:type="dxa"/>
            <w:vAlign w:val="bottom"/>
          </w:tcPr>
          <w:p>
            <w:pPr>
              <w:ind w:left="440"/>
              <w:spacing w:after="0"/>
              <w:rPr>
                <w:sz w:val="20"/>
                <w:szCs w:val="20"/>
                <w:color w:val="auto"/>
              </w:rPr>
            </w:pPr>
            <w:r>
              <w:rPr>
                <w:rFonts w:ascii="Arial" w:cs="Arial" w:eastAsia="Arial" w:hAnsi="Arial"/>
                <w:sz w:val="18"/>
                <w:szCs w:val="18"/>
                <w:color w:val="auto"/>
              </w:rPr>
              <w:t>Form of Executive Retirement Plan Retention Award</w:t>
            </w:r>
          </w:p>
        </w:tc>
      </w:tr>
      <w:tr>
        <w:trPr>
          <w:trHeight w:val="203"/>
        </w:trPr>
        <w:tc>
          <w:tcPr>
            <w:tcW w:w="980" w:type="dxa"/>
            <w:vAlign w:val="bottom"/>
          </w:tcPr>
          <w:p>
            <w:pPr>
              <w:spacing w:after="0"/>
              <w:rPr>
                <w:sz w:val="17"/>
                <w:szCs w:val="17"/>
                <w:color w:val="auto"/>
              </w:rPr>
            </w:pPr>
          </w:p>
        </w:tc>
        <w:tc>
          <w:tcPr>
            <w:tcW w:w="5220" w:type="dxa"/>
            <w:vAlign w:val="bottom"/>
          </w:tcPr>
          <w:p>
            <w:pPr>
              <w:ind w:left="440"/>
              <w:spacing w:after="0" w:line="202" w:lineRule="exact"/>
              <w:rPr>
                <w:sz w:val="20"/>
                <w:szCs w:val="20"/>
                <w:color w:val="auto"/>
              </w:rPr>
            </w:pPr>
            <w:r>
              <w:rPr>
                <w:rFonts w:ascii="Arial" w:cs="Arial" w:eastAsia="Arial" w:hAnsi="Arial"/>
                <w:sz w:val="18"/>
                <w:szCs w:val="18"/>
                <w:color w:val="auto"/>
              </w:rPr>
              <w:t>Agreement between The Scotts Company LLC and each of</w:t>
            </w:r>
          </w:p>
        </w:tc>
      </w:tr>
      <w:tr>
        <w:trPr>
          <w:trHeight w:val="203"/>
        </w:trPr>
        <w:tc>
          <w:tcPr>
            <w:tcW w:w="980" w:type="dxa"/>
            <w:vAlign w:val="bottom"/>
          </w:tcPr>
          <w:p>
            <w:pPr>
              <w:spacing w:after="0"/>
              <w:rPr>
                <w:sz w:val="17"/>
                <w:szCs w:val="17"/>
                <w:color w:val="auto"/>
              </w:rPr>
            </w:pPr>
          </w:p>
        </w:tc>
        <w:tc>
          <w:tcPr>
            <w:tcW w:w="5220" w:type="dxa"/>
            <w:vAlign w:val="bottom"/>
          </w:tcPr>
          <w:p>
            <w:pPr>
              <w:ind w:left="440"/>
              <w:spacing w:after="0" w:line="202" w:lineRule="exact"/>
              <w:rPr>
                <w:sz w:val="20"/>
                <w:szCs w:val="20"/>
                <w:color w:val="auto"/>
              </w:rPr>
            </w:pPr>
            <w:r>
              <w:rPr>
                <w:rFonts w:ascii="Arial" w:cs="Arial" w:eastAsia="Arial" w:hAnsi="Arial"/>
                <w:sz w:val="18"/>
                <w:szCs w:val="18"/>
                <w:color w:val="auto"/>
              </w:rPr>
              <w:t>David C. Evans, Barry W. Sanders, Denise S. Stump,</w:t>
            </w:r>
          </w:p>
        </w:tc>
      </w:tr>
      <w:tr>
        <w:trPr>
          <w:trHeight w:val="203"/>
        </w:trPr>
        <w:tc>
          <w:tcPr>
            <w:tcW w:w="980" w:type="dxa"/>
            <w:vAlign w:val="bottom"/>
          </w:tcPr>
          <w:p>
            <w:pPr>
              <w:spacing w:after="0"/>
              <w:rPr>
                <w:sz w:val="17"/>
                <w:szCs w:val="17"/>
                <w:color w:val="auto"/>
              </w:rPr>
            </w:pPr>
          </w:p>
        </w:tc>
        <w:tc>
          <w:tcPr>
            <w:tcW w:w="5220" w:type="dxa"/>
            <w:vAlign w:val="bottom"/>
          </w:tcPr>
          <w:p>
            <w:pPr>
              <w:ind w:left="440"/>
              <w:spacing w:after="0" w:line="202" w:lineRule="exact"/>
              <w:rPr>
                <w:sz w:val="20"/>
                <w:szCs w:val="20"/>
                <w:color w:val="auto"/>
              </w:rPr>
            </w:pPr>
            <w:r>
              <w:rPr>
                <w:rFonts w:ascii="Arial" w:cs="Arial" w:eastAsia="Arial" w:hAnsi="Arial"/>
                <w:sz w:val="18"/>
                <w:szCs w:val="18"/>
                <w:color w:val="auto"/>
                <w:w w:val="99"/>
              </w:rPr>
              <w:t>Michael C. Lukemire and Vincent C. Brockman (entered into</w:t>
            </w:r>
          </w:p>
        </w:tc>
      </w:tr>
      <w:tr>
        <w:trPr>
          <w:trHeight w:val="243"/>
        </w:trPr>
        <w:tc>
          <w:tcPr>
            <w:tcW w:w="980" w:type="dxa"/>
            <w:vAlign w:val="bottom"/>
          </w:tcPr>
          <w:p>
            <w:pPr>
              <w:spacing w:after="0"/>
              <w:rPr>
                <w:sz w:val="21"/>
                <w:szCs w:val="21"/>
                <w:color w:val="auto"/>
              </w:rPr>
            </w:pPr>
          </w:p>
        </w:tc>
        <w:tc>
          <w:tcPr>
            <w:tcW w:w="5220" w:type="dxa"/>
            <w:vAlign w:val="bottom"/>
          </w:tcPr>
          <w:p>
            <w:pPr>
              <w:ind w:left="440"/>
              <w:spacing w:after="0"/>
              <w:rPr>
                <w:sz w:val="20"/>
                <w:szCs w:val="20"/>
                <w:color w:val="auto"/>
              </w:rPr>
            </w:pPr>
            <w:r>
              <w:rPr>
                <w:rFonts w:ascii="Arial" w:cs="Arial" w:eastAsia="Arial" w:hAnsi="Arial"/>
                <w:sz w:val="18"/>
                <w:szCs w:val="18"/>
                <w:color w:val="auto"/>
              </w:rPr>
              <w:t>on November 4, 2008)</w:t>
            </w:r>
          </w:p>
        </w:tc>
      </w:tr>
    </w:tbl>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ind w:right="240"/>
        <w:spacing w:after="0" w:line="248" w:lineRule="auto"/>
        <w:rPr>
          <w:sz w:val="20"/>
          <w:szCs w:val="20"/>
          <w:color w:val="auto"/>
        </w:rPr>
      </w:pPr>
      <w:r>
        <w:rPr>
          <w:rFonts w:ascii="Arial" w:cs="Arial" w:eastAsia="Arial" w:hAnsi="Arial"/>
          <w:sz w:val="18"/>
          <w:szCs w:val="18"/>
          <w:color w:val="auto"/>
        </w:rPr>
        <w:t>Incorporated herein by reference to the Registrant’s Current Report on Form 8-K filed October 15, 2008 (File No. 1-13292) [Exhibit 10.2]</w:t>
      </w:r>
    </w:p>
    <w:p>
      <w:pPr>
        <w:spacing w:after="0" w:line="397" w:lineRule="exact"/>
        <w:rPr>
          <w:sz w:val="20"/>
          <w:szCs w:val="20"/>
          <w:color w:val="auto"/>
        </w:rPr>
      </w:pPr>
    </w:p>
    <w:p>
      <w:pPr>
        <w:sectPr>
          <w:pgSz w:w="11900" w:h="16838" w:orient="portrait"/>
          <w:cols w:equalWidth="0" w:num="2">
            <w:col w:w="6900" w:space="320"/>
            <w:col w:w="3520"/>
          </w:cols>
          <w:pgMar w:left="240" w:top="405" w:right="919" w:bottom="1440" w:gutter="0" w:footer="0" w:header="0"/>
          <w:type w:val="continuous"/>
        </w:sectPr>
      </w:pPr>
    </w:p>
    <w:p>
      <w:pPr>
        <w:spacing w:after="0" w:line="133"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Arial" w:cs="Arial" w:eastAsia="Arial" w:hAnsi="Arial"/>
                <w:sz w:val="18"/>
                <w:szCs w:val="18"/>
                <w:color w:val="auto"/>
              </w:rPr>
              <w:t>10.6(a)</w:t>
            </w:r>
          </w:p>
        </w:tc>
        <w:tc>
          <w:tcPr>
            <w:tcW w:w="5360" w:type="dxa"/>
            <w:vAlign w:val="bottom"/>
          </w:tcPr>
          <w:p>
            <w:pPr>
              <w:ind w:left="420"/>
              <w:spacing w:after="0"/>
              <w:rPr>
                <w:sz w:val="20"/>
                <w:szCs w:val="20"/>
                <w:color w:val="auto"/>
              </w:rPr>
            </w:pPr>
            <w:r>
              <w:rPr>
                <w:rFonts w:ascii="Arial" w:cs="Arial" w:eastAsia="Arial" w:hAnsi="Arial"/>
                <w:sz w:val="18"/>
                <w:szCs w:val="18"/>
                <w:color w:val="auto"/>
              </w:rPr>
              <w:t>The Scotts Miracle-Gro Company Amended and Restated</w:t>
            </w:r>
          </w:p>
        </w:tc>
        <w:tc>
          <w:tcPr>
            <w:tcW w:w="3460" w:type="dxa"/>
            <w:vAlign w:val="bottom"/>
          </w:tcPr>
          <w:p>
            <w:pPr>
              <w:ind w:left="160"/>
              <w:spacing w:after="0"/>
              <w:rPr>
                <w:sz w:val="20"/>
                <w:szCs w:val="20"/>
                <w:color w:val="auto"/>
              </w:rPr>
            </w:pPr>
            <w:r>
              <w:rPr>
                <w:rFonts w:ascii="Arial" w:cs="Arial" w:eastAsia="Arial" w:hAnsi="Arial"/>
                <w:sz w:val="18"/>
                <w:szCs w:val="18"/>
                <w:color w:val="auto"/>
              </w:rPr>
              <w:t>Incorporated herein by reference to the</w:t>
            </w:r>
          </w:p>
        </w:tc>
      </w:tr>
      <w:tr>
        <w:trPr>
          <w:trHeight w:val="203"/>
        </w:trPr>
        <w:tc>
          <w:tcPr>
            <w:tcW w:w="1000" w:type="dxa"/>
            <w:vAlign w:val="bottom"/>
          </w:tcPr>
          <w:p>
            <w:pPr>
              <w:spacing w:after="0"/>
              <w:rPr>
                <w:sz w:val="17"/>
                <w:szCs w:val="17"/>
                <w:color w:val="auto"/>
              </w:rPr>
            </w:pPr>
          </w:p>
        </w:tc>
        <w:tc>
          <w:tcPr>
            <w:tcW w:w="5360" w:type="dxa"/>
            <w:vAlign w:val="bottom"/>
          </w:tcPr>
          <w:p>
            <w:pPr>
              <w:ind w:left="420"/>
              <w:spacing w:after="0" w:line="202" w:lineRule="exact"/>
              <w:rPr>
                <w:sz w:val="20"/>
                <w:szCs w:val="20"/>
                <w:color w:val="auto"/>
              </w:rPr>
            </w:pPr>
            <w:r>
              <w:rPr>
                <w:rFonts w:ascii="Arial" w:cs="Arial" w:eastAsia="Arial" w:hAnsi="Arial"/>
                <w:sz w:val="18"/>
                <w:szCs w:val="18"/>
                <w:color w:val="auto"/>
              </w:rPr>
              <w:t>2003 Stock Option and Incentive Equity Plan (effective as of</w:t>
            </w:r>
          </w:p>
        </w:tc>
        <w:tc>
          <w:tcPr>
            <w:tcW w:w="3460" w:type="dxa"/>
            <w:vAlign w:val="bottom"/>
          </w:tcPr>
          <w:p>
            <w:pPr>
              <w:ind w:left="160"/>
              <w:spacing w:after="0" w:line="202" w:lineRule="exact"/>
              <w:rPr>
                <w:sz w:val="20"/>
                <w:szCs w:val="20"/>
                <w:color w:val="auto"/>
              </w:rPr>
            </w:pPr>
            <w:r>
              <w:rPr>
                <w:rFonts w:ascii="Arial" w:cs="Arial" w:eastAsia="Arial" w:hAnsi="Arial"/>
                <w:sz w:val="18"/>
                <w:szCs w:val="18"/>
                <w:color w:val="auto"/>
                <w:w w:val="99"/>
              </w:rPr>
              <w:t>Registrant’s Annual Report on Form 10-K</w:t>
            </w:r>
          </w:p>
        </w:tc>
      </w:tr>
      <w:tr>
        <w:trPr>
          <w:trHeight w:val="203"/>
        </w:trPr>
        <w:tc>
          <w:tcPr>
            <w:tcW w:w="1000" w:type="dxa"/>
            <w:vAlign w:val="bottom"/>
          </w:tcPr>
          <w:p>
            <w:pPr>
              <w:spacing w:after="0"/>
              <w:rPr>
                <w:sz w:val="17"/>
                <w:szCs w:val="17"/>
                <w:color w:val="auto"/>
              </w:rPr>
            </w:pPr>
          </w:p>
        </w:tc>
        <w:tc>
          <w:tcPr>
            <w:tcW w:w="5360" w:type="dxa"/>
            <w:vAlign w:val="bottom"/>
          </w:tcPr>
          <w:p>
            <w:pPr>
              <w:ind w:left="420"/>
              <w:spacing w:after="0" w:line="202" w:lineRule="exact"/>
              <w:rPr>
                <w:sz w:val="20"/>
                <w:szCs w:val="20"/>
                <w:color w:val="auto"/>
              </w:rPr>
            </w:pPr>
            <w:r>
              <w:rPr>
                <w:rFonts w:ascii="Arial" w:cs="Arial" w:eastAsia="Arial" w:hAnsi="Arial"/>
                <w:sz w:val="18"/>
                <w:szCs w:val="18"/>
                <w:color w:val="auto"/>
              </w:rPr>
              <w:t>October 30, 2007)</w:t>
            </w:r>
          </w:p>
        </w:tc>
        <w:tc>
          <w:tcPr>
            <w:tcW w:w="3460" w:type="dxa"/>
            <w:vAlign w:val="bottom"/>
          </w:tcPr>
          <w:p>
            <w:pPr>
              <w:ind w:left="160"/>
              <w:spacing w:after="0" w:line="202" w:lineRule="exact"/>
              <w:rPr>
                <w:sz w:val="20"/>
                <w:szCs w:val="20"/>
                <w:color w:val="auto"/>
              </w:rPr>
            </w:pPr>
            <w:r>
              <w:rPr>
                <w:rFonts w:ascii="Arial" w:cs="Arial" w:eastAsia="Arial" w:hAnsi="Arial"/>
                <w:sz w:val="18"/>
                <w:szCs w:val="18"/>
                <w:color w:val="auto"/>
              </w:rPr>
              <w:t>for the fiscal year ended September 30,</w:t>
            </w:r>
          </w:p>
        </w:tc>
      </w:tr>
      <w:tr>
        <w:trPr>
          <w:trHeight w:val="243"/>
        </w:trPr>
        <w:tc>
          <w:tcPr>
            <w:tcW w:w="1000" w:type="dxa"/>
            <w:vAlign w:val="bottom"/>
          </w:tcPr>
          <w:p>
            <w:pPr>
              <w:spacing w:after="0"/>
              <w:rPr>
                <w:sz w:val="21"/>
                <w:szCs w:val="21"/>
                <w:color w:val="auto"/>
              </w:rPr>
            </w:pPr>
          </w:p>
        </w:tc>
        <w:tc>
          <w:tcPr>
            <w:tcW w:w="5360" w:type="dxa"/>
            <w:vAlign w:val="bottom"/>
          </w:tcPr>
          <w:p>
            <w:pPr>
              <w:spacing w:after="0"/>
              <w:rPr>
                <w:sz w:val="21"/>
                <w:szCs w:val="21"/>
                <w:color w:val="auto"/>
              </w:rPr>
            </w:pPr>
          </w:p>
        </w:tc>
        <w:tc>
          <w:tcPr>
            <w:tcW w:w="3460" w:type="dxa"/>
            <w:vAlign w:val="bottom"/>
          </w:tcPr>
          <w:p>
            <w:pPr>
              <w:ind w:left="160"/>
              <w:spacing w:after="0"/>
              <w:rPr>
                <w:sz w:val="20"/>
                <w:szCs w:val="20"/>
                <w:color w:val="auto"/>
              </w:rPr>
            </w:pPr>
            <w:r>
              <w:rPr>
                <w:rFonts w:ascii="Arial" w:cs="Arial" w:eastAsia="Arial" w:hAnsi="Arial"/>
                <w:sz w:val="18"/>
                <w:szCs w:val="18"/>
                <w:color w:val="auto"/>
              </w:rPr>
              <w:t>2007 (File No. 1-13292) [Exhibit 10(j)(3)]</w:t>
            </w:r>
          </w:p>
        </w:tc>
      </w:tr>
    </w:tbl>
    <w:p>
      <w:pPr>
        <w:spacing w:after="0" w:line="200" w:lineRule="exact"/>
        <w:rPr>
          <w:sz w:val="20"/>
          <w:szCs w:val="20"/>
          <w:color w:val="auto"/>
        </w:rPr>
      </w:pPr>
    </w:p>
    <w:p>
      <w:pPr>
        <w:sectPr>
          <w:pgSz w:w="11900" w:h="16838" w:orient="portrait"/>
          <w:cols w:equalWidth="0" w:num="1">
            <w:col w:w="10740"/>
          </w:cols>
          <w:pgMar w:left="240" w:top="405" w:right="919" w:bottom="1440" w:gutter="0" w:footer="0" w:header="0"/>
          <w:type w:val="continuous"/>
        </w:sectPr>
      </w:pPr>
    </w:p>
    <w:p>
      <w:pPr>
        <w:spacing w:after="0" w:line="133"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1080" w:type="dxa"/>
            <w:vAlign w:val="bottom"/>
          </w:tcPr>
          <w:p>
            <w:pPr>
              <w:spacing w:after="0"/>
              <w:rPr>
                <w:sz w:val="20"/>
                <w:szCs w:val="20"/>
                <w:color w:val="auto"/>
              </w:rPr>
            </w:pPr>
            <w:r>
              <w:rPr>
                <w:rFonts w:ascii="Arial" w:cs="Arial" w:eastAsia="Arial" w:hAnsi="Arial"/>
                <w:sz w:val="18"/>
                <w:szCs w:val="18"/>
                <w:color w:val="auto"/>
              </w:rPr>
              <w:t>10.6(b)(i)</w:t>
            </w:r>
          </w:p>
        </w:tc>
        <w:tc>
          <w:tcPr>
            <w:tcW w:w="5220" w:type="dxa"/>
            <w:vAlign w:val="bottom"/>
          </w:tcPr>
          <w:p>
            <w:pPr>
              <w:ind w:left="340"/>
              <w:spacing w:after="0"/>
              <w:rPr>
                <w:sz w:val="20"/>
                <w:szCs w:val="20"/>
                <w:color w:val="auto"/>
              </w:rPr>
            </w:pPr>
            <w:r>
              <w:rPr>
                <w:rFonts w:ascii="Arial" w:cs="Arial" w:eastAsia="Arial" w:hAnsi="Arial"/>
                <w:sz w:val="18"/>
                <w:szCs w:val="18"/>
                <w:color w:val="auto"/>
              </w:rPr>
              <w:t>Specimen form of Award Agreement for Directors used to</w:t>
            </w:r>
          </w:p>
        </w:tc>
      </w:tr>
      <w:tr>
        <w:trPr>
          <w:trHeight w:val="203"/>
        </w:trPr>
        <w:tc>
          <w:tcPr>
            <w:tcW w:w="1080" w:type="dxa"/>
            <w:vAlign w:val="bottom"/>
          </w:tcPr>
          <w:p>
            <w:pPr>
              <w:spacing w:after="0"/>
              <w:rPr>
                <w:sz w:val="17"/>
                <w:szCs w:val="17"/>
                <w:color w:val="auto"/>
              </w:rPr>
            </w:pPr>
          </w:p>
        </w:tc>
        <w:tc>
          <w:tcPr>
            <w:tcW w:w="5220" w:type="dxa"/>
            <w:vAlign w:val="bottom"/>
          </w:tcPr>
          <w:p>
            <w:pPr>
              <w:ind w:left="340"/>
              <w:spacing w:after="0" w:line="202" w:lineRule="exact"/>
              <w:rPr>
                <w:sz w:val="20"/>
                <w:szCs w:val="20"/>
                <w:color w:val="auto"/>
              </w:rPr>
            </w:pPr>
            <w:r>
              <w:rPr>
                <w:rFonts w:ascii="Arial" w:cs="Arial" w:eastAsia="Arial" w:hAnsi="Arial"/>
                <w:sz w:val="18"/>
                <w:szCs w:val="18"/>
                <w:color w:val="auto"/>
              </w:rPr>
              <w:t>evidence grants of Nonqualified Stock Options made under</w:t>
            </w:r>
          </w:p>
        </w:tc>
      </w:tr>
      <w:tr>
        <w:trPr>
          <w:trHeight w:val="225"/>
        </w:trPr>
        <w:tc>
          <w:tcPr>
            <w:tcW w:w="1080" w:type="dxa"/>
            <w:vAlign w:val="bottom"/>
          </w:tcPr>
          <w:p>
            <w:pPr>
              <w:spacing w:after="0"/>
              <w:rPr>
                <w:sz w:val="19"/>
                <w:szCs w:val="19"/>
                <w:color w:val="auto"/>
              </w:rPr>
            </w:pPr>
          </w:p>
        </w:tc>
        <w:tc>
          <w:tcPr>
            <w:tcW w:w="5220" w:type="dxa"/>
            <w:vAlign w:val="bottom"/>
          </w:tcPr>
          <w:p>
            <w:pPr>
              <w:ind w:left="340"/>
              <w:spacing w:after="0"/>
              <w:rPr>
                <w:sz w:val="20"/>
                <w:szCs w:val="20"/>
                <w:color w:val="auto"/>
              </w:rPr>
            </w:pPr>
            <w:r>
              <w:rPr>
                <w:rFonts w:ascii="Arial" w:cs="Arial" w:eastAsia="Arial" w:hAnsi="Arial"/>
                <w:sz w:val="18"/>
                <w:szCs w:val="18"/>
                <w:color w:val="auto"/>
                <w:w w:val="99"/>
              </w:rPr>
              <w:t>The Scotts Company 2003 Stock Option and Incentive Equity</w:t>
            </w:r>
          </w:p>
        </w:tc>
      </w:tr>
    </w:tbl>
    <w:p>
      <w:pPr>
        <w:ind w:left="2120" w:right="340"/>
        <w:spacing w:after="0" w:line="242" w:lineRule="auto"/>
        <w:rPr>
          <w:sz w:val="20"/>
          <w:szCs w:val="20"/>
          <w:color w:val="auto"/>
        </w:rPr>
      </w:pPr>
      <w:r>
        <w:rPr>
          <w:rFonts w:ascii="Arial" w:cs="Arial" w:eastAsia="Arial" w:hAnsi="Arial"/>
          <w:sz w:val="18"/>
          <w:szCs w:val="18"/>
          <w:color w:val="auto"/>
        </w:rPr>
        <w:t>Plan (now known as The Scotts Miracle-Gro Company Amended and Restated 2003 Stock Option and Incentive Equity Plan) [2003 version]</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color w:val="auto"/>
        </w:rPr>
        <w:t>Incorporated herein by reference to Scotts’ Current Report on Form 8-K filed November 19, 2004 (File No. 1-13292) [Exhibit 10.9]</w:t>
      </w:r>
    </w:p>
    <w:p>
      <w:pPr>
        <w:spacing w:after="0" w:line="779" w:lineRule="exact"/>
        <w:rPr>
          <w:sz w:val="20"/>
          <w:szCs w:val="20"/>
          <w:color w:val="auto"/>
        </w:rPr>
      </w:pPr>
    </w:p>
    <w:p>
      <w:pPr>
        <w:sectPr>
          <w:pgSz w:w="11900" w:h="16838" w:orient="portrait"/>
          <w:cols w:equalWidth="0" w:num="2">
            <w:col w:w="7000" w:space="220"/>
            <w:col w:w="3520"/>
          </w:cols>
          <w:pgMar w:left="240" w:top="405" w:right="919" w:bottom="1440" w:gutter="0" w:footer="0" w:header="0"/>
          <w:type w:val="continuous"/>
        </w:sectPr>
      </w:pPr>
    </w:p>
    <w:p>
      <w:pPr>
        <w:spacing w:after="0" w:line="133"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Arial" w:cs="Arial" w:eastAsia="Arial" w:hAnsi="Arial"/>
                <w:sz w:val="18"/>
                <w:szCs w:val="18"/>
                <w:color w:val="auto"/>
              </w:rPr>
              <w:t>10.6(b)(ii)</w:t>
            </w:r>
          </w:p>
        </w:tc>
        <w:tc>
          <w:tcPr>
            <w:tcW w:w="5020" w:type="dxa"/>
            <w:vAlign w:val="bottom"/>
          </w:tcPr>
          <w:p>
            <w:pPr>
              <w:ind w:left="320"/>
              <w:spacing w:after="0"/>
              <w:rPr>
                <w:sz w:val="20"/>
                <w:szCs w:val="20"/>
                <w:color w:val="auto"/>
              </w:rPr>
            </w:pPr>
            <w:r>
              <w:rPr>
                <w:rFonts w:ascii="Arial" w:cs="Arial" w:eastAsia="Arial" w:hAnsi="Arial"/>
                <w:sz w:val="18"/>
                <w:szCs w:val="18"/>
                <w:color w:val="auto"/>
              </w:rPr>
              <w:t>Specimen form of Award Agreement for Directors used to</w:t>
            </w:r>
          </w:p>
        </w:tc>
      </w:tr>
      <w:tr>
        <w:trPr>
          <w:trHeight w:val="225"/>
        </w:trPr>
        <w:tc>
          <w:tcPr>
            <w:tcW w:w="1100" w:type="dxa"/>
            <w:vAlign w:val="bottom"/>
          </w:tcPr>
          <w:p>
            <w:pPr>
              <w:spacing w:after="0"/>
              <w:rPr>
                <w:sz w:val="19"/>
                <w:szCs w:val="19"/>
                <w:color w:val="auto"/>
              </w:rPr>
            </w:pPr>
          </w:p>
        </w:tc>
        <w:tc>
          <w:tcPr>
            <w:tcW w:w="5020" w:type="dxa"/>
            <w:vAlign w:val="bottom"/>
          </w:tcPr>
          <w:p>
            <w:pPr>
              <w:ind w:left="320"/>
              <w:spacing w:after="0"/>
              <w:rPr>
                <w:sz w:val="20"/>
                <w:szCs w:val="20"/>
                <w:color w:val="auto"/>
              </w:rPr>
            </w:pPr>
            <w:r>
              <w:rPr>
                <w:rFonts w:ascii="Arial" w:cs="Arial" w:eastAsia="Arial" w:hAnsi="Arial"/>
                <w:sz w:val="18"/>
                <w:szCs w:val="18"/>
                <w:color w:val="auto"/>
                <w:w w:val="99"/>
              </w:rPr>
              <w:t>evidence grants of Nonqualified Stock Options made under</w:t>
            </w:r>
          </w:p>
        </w:tc>
      </w:tr>
    </w:tbl>
    <w:p>
      <w:pPr>
        <w:ind w:left="2120"/>
        <w:spacing w:after="0"/>
        <w:rPr>
          <w:sz w:val="20"/>
          <w:szCs w:val="20"/>
          <w:color w:val="auto"/>
        </w:rPr>
      </w:pPr>
      <w:r>
        <w:rPr>
          <w:rFonts w:ascii="Arial" w:cs="Arial" w:eastAsia="Arial" w:hAnsi="Arial"/>
          <w:sz w:val="18"/>
          <w:szCs w:val="18"/>
          <w:color w:val="auto"/>
        </w:rPr>
        <w:t>The Scotts Miracle-Gro Company 2003 Stock Option and Incentive Equity Plan (now known as The Scotts Miracle-Gro Company Amended and Restated 2003 Stock Option and Incentive Equity Plan) [post-2003 version]</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ind w:right="220"/>
        <w:spacing w:after="0" w:line="268" w:lineRule="auto"/>
        <w:rPr>
          <w:sz w:val="20"/>
          <w:szCs w:val="20"/>
          <w:color w:val="auto"/>
        </w:rPr>
      </w:pPr>
      <w:r>
        <w:rPr>
          <w:rFonts w:ascii="Arial" w:cs="Arial" w:eastAsia="Arial" w:hAnsi="Arial"/>
          <w:sz w:val="17"/>
          <w:szCs w:val="17"/>
          <w:color w:val="auto"/>
        </w:rPr>
        <w:t>Incorporated herein by reference to the Registrant’s Annual Report on Form 10-K for the fiscal year ended September 30, 2005 (File No. 1-13292) [Exhibit 10(v)]</w:t>
      </w:r>
    </w:p>
    <w:p>
      <w:pPr>
        <w:spacing w:after="0" w:line="581" w:lineRule="exact"/>
        <w:rPr>
          <w:sz w:val="20"/>
          <w:szCs w:val="20"/>
          <w:color w:val="auto"/>
        </w:rPr>
      </w:pPr>
    </w:p>
    <w:p>
      <w:pPr>
        <w:sectPr>
          <w:pgSz w:w="11900" w:h="16838" w:orient="portrait"/>
          <w:cols w:equalWidth="0" w:num="2">
            <w:col w:w="6940" w:space="280"/>
            <w:col w:w="3520"/>
          </w:cols>
          <w:pgMar w:left="240" w:top="405" w:right="919" w:bottom="1440" w:gutter="0" w:footer="0" w:header="0"/>
          <w:type w:val="continuous"/>
        </w:sectPr>
      </w:pPr>
    </w:p>
    <w:p>
      <w:pPr>
        <w:spacing w:after="0" w:line="134"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1060" w:type="dxa"/>
            <w:vAlign w:val="bottom"/>
          </w:tcPr>
          <w:p>
            <w:pPr>
              <w:spacing w:after="0"/>
              <w:rPr>
                <w:sz w:val="20"/>
                <w:szCs w:val="20"/>
                <w:color w:val="auto"/>
              </w:rPr>
            </w:pPr>
            <w:r>
              <w:rPr>
                <w:rFonts w:ascii="Arial" w:cs="Arial" w:eastAsia="Arial" w:hAnsi="Arial"/>
                <w:sz w:val="18"/>
                <w:szCs w:val="18"/>
                <w:color w:val="auto"/>
              </w:rPr>
              <w:t>10.6(c)(i)</w:t>
            </w:r>
          </w:p>
        </w:tc>
        <w:tc>
          <w:tcPr>
            <w:tcW w:w="5220" w:type="dxa"/>
            <w:vAlign w:val="bottom"/>
          </w:tcPr>
          <w:p>
            <w:pPr>
              <w:ind w:left="360"/>
              <w:spacing w:after="0"/>
              <w:rPr>
                <w:sz w:val="20"/>
                <w:szCs w:val="20"/>
                <w:color w:val="auto"/>
              </w:rPr>
            </w:pPr>
            <w:r>
              <w:rPr>
                <w:rFonts w:ascii="Arial" w:cs="Arial" w:eastAsia="Arial" w:hAnsi="Arial"/>
                <w:sz w:val="18"/>
                <w:szCs w:val="18"/>
                <w:color w:val="auto"/>
                <w:w w:val="99"/>
              </w:rPr>
              <w:t>Specimen form of Award Agreement for Nondirectors used to</w:t>
            </w:r>
          </w:p>
        </w:tc>
      </w:tr>
      <w:tr>
        <w:trPr>
          <w:trHeight w:val="203"/>
        </w:trPr>
        <w:tc>
          <w:tcPr>
            <w:tcW w:w="1060" w:type="dxa"/>
            <w:vAlign w:val="bottom"/>
          </w:tcPr>
          <w:p>
            <w:pPr>
              <w:spacing w:after="0"/>
              <w:rPr>
                <w:sz w:val="17"/>
                <w:szCs w:val="17"/>
                <w:color w:val="auto"/>
              </w:rPr>
            </w:pPr>
          </w:p>
        </w:tc>
        <w:tc>
          <w:tcPr>
            <w:tcW w:w="5220" w:type="dxa"/>
            <w:vAlign w:val="bottom"/>
          </w:tcPr>
          <w:p>
            <w:pPr>
              <w:ind w:left="360"/>
              <w:spacing w:after="0" w:line="202" w:lineRule="exact"/>
              <w:rPr>
                <w:sz w:val="20"/>
                <w:szCs w:val="20"/>
                <w:color w:val="auto"/>
              </w:rPr>
            </w:pPr>
            <w:r>
              <w:rPr>
                <w:rFonts w:ascii="Arial" w:cs="Arial" w:eastAsia="Arial" w:hAnsi="Arial"/>
                <w:sz w:val="18"/>
                <w:szCs w:val="18"/>
                <w:color w:val="auto"/>
              </w:rPr>
              <w:t>evidence grants of Incentive Stock Options, Nonqualified</w:t>
            </w:r>
          </w:p>
        </w:tc>
      </w:tr>
      <w:tr>
        <w:trPr>
          <w:trHeight w:val="203"/>
        </w:trPr>
        <w:tc>
          <w:tcPr>
            <w:tcW w:w="1060" w:type="dxa"/>
            <w:vAlign w:val="bottom"/>
          </w:tcPr>
          <w:p>
            <w:pPr>
              <w:spacing w:after="0"/>
              <w:rPr>
                <w:sz w:val="17"/>
                <w:szCs w:val="17"/>
                <w:color w:val="auto"/>
              </w:rPr>
            </w:pPr>
          </w:p>
        </w:tc>
        <w:tc>
          <w:tcPr>
            <w:tcW w:w="5220" w:type="dxa"/>
            <w:vAlign w:val="bottom"/>
          </w:tcPr>
          <w:p>
            <w:pPr>
              <w:ind w:left="360"/>
              <w:spacing w:after="0" w:line="202" w:lineRule="exact"/>
              <w:rPr>
                <w:sz w:val="20"/>
                <w:szCs w:val="20"/>
                <w:color w:val="auto"/>
              </w:rPr>
            </w:pPr>
            <w:r>
              <w:rPr>
                <w:rFonts w:ascii="Arial" w:cs="Arial" w:eastAsia="Arial" w:hAnsi="Arial"/>
                <w:sz w:val="18"/>
                <w:szCs w:val="18"/>
                <w:color w:val="auto"/>
              </w:rPr>
              <w:t>Stock Options, Stock Appreciation Rights, Restricted Stock</w:t>
            </w:r>
          </w:p>
        </w:tc>
      </w:tr>
      <w:tr>
        <w:trPr>
          <w:trHeight w:val="225"/>
        </w:trPr>
        <w:tc>
          <w:tcPr>
            <w:tcW w:w="1060" w:type="dxa"/>
            <w:vAlign w:val="bottom"/>
          </w:tcPr>
          <w:p>
            <w:pPr>
              <w:spacing w:after="0"/>
              <w:rPr>
                <w:sz w:val="19"/>
                <w:szCs w:val="19"/>
                <w:color w:val="auto"/>
              </w:rPr>
            </w:pPr>
          </w:p>
        </w:tc>
        <w:tc>
          <w:tcPr>
            <w:tcW w:w="5220" w:type="dxa"/>
            <w:vAlign w:val="bottom"/>
          </w:tcPr>
          <w:p>
            <w:pPr>
              <w:ind w:left="360"/>
              <w:spacing w:after="0"/>
              <w:rPr>
                <w:sz w:val="20"/>
                <w:szCs w:val="20"/>
                <w:color w:val="auto"/>
              </w:rPr>
            </w:pPr>
            <w:r>
              <w:rPr>
                <w:rFonts w:ascii="Arial" w:cs="Arial" w:eastAsia="Arial" w:hAnsi="Arial"/>
                <w:sz w:val="18"/>
                <w:szCs w:val="18"/>
                <w:color w:val="auto"/>
              </w:rPr>
              <w:t>and Performance Stock made under The Scotts Company</w:t>
            </w:r>
          </w:p>
        </w:tc>
      </w:tr>
    </w:tbl>
    <w:p>
      <w:pPr>
        <w:ind w:left="2120"/>
        <w:spacing w:after="0"/>
        <w:rPr>
          <w:sz w:val="20"/>
          <w:szCs w:val="20"/>
          <w:color w:val="auto"/>
        </w:rPr>
      </w:pPr>
      <w:r>
        <w:rPr>
          <w:rFonts w:ascii="Arial" w:cs="Arial" w:eastAsia="Arial" w:hAnsi="Arial"/>
          <w:sz w:val="18"/>
          <w:szCs w:val="18"/>
          <w:color w:val="auto"/>
        </w:rPr>
        <w:t>2003 Stock Option and Incentive Equity Plan (now known as The Scotts Miracle-Gro Company Amended and Restated 2003 Stock Option and Incentive Equity Plan) [pre-December 1, 2004 version]</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color w:val="auto"/>
        </w:rPr>
        <w:t>Incorporated herein by reference to Scotts’ Current Report on Form 8-K filed November 19, 2004 (File No. 1-13292) [Exhibit 10.8]</w:t>
      </w:r>
    </w:p>
    <w:p>
      <w:pPr>
        <w:spacing w:after="0" w:line="1183" w:lineRule="exact"/>
        <w:rPr>
          <w:sz w:val="20"/>
          <w:szCs w:val="20"/>
          <w:color w:val="auto"/>
        </w:rPr>
      </w:pPr>
    </w:p>
    <w:p>
      <w:pPr>
        <w:sectPr>
          <w:pgSz w:w="11900" w:h="16838" w:orient="portrait"/>
          <w:cols w:equalWidth="0" w:num="2">
            <w:col w:w="6980" w:space="240"/>
            <w:col w:w="3520"/>
          </w:cols>
          <w:pgMar w:left="240" w:top="405" w:right="919" w:bottom="1440" w:gutter="0" w:footer="0" w:header="0"/>
          <w:type w:val="continuous"/>
        </w:sectPr>
      </w:pPr>
    </w:p>
    <w:p>
      <w:pPr>
        <w:spacing w:after="0" w:line="11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0"/>
          <w:szCs w:val="10"/>
          <w:b w:val="1"/>
          <w:bCs w:val="1"/>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-71120</wp:posOffset>
            </wp:positionV>
            <wp:extent cx="19748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149225</wp:posOffset>
            </wp:positionV>
            <wp:extent cx="7250430" cy="215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240" w:top="405" w:right="919" w:bottom="1440" w:gutter="0" w:footer="0" w:header="0"/>
          <w:type w:val="continuous"/>
        </w:sectPr>
      </w:pPr>
    </w:p>
    <w:bookmarkStart w:id="120" w:name="page121"/>
    <w:bookmarkEnd w:id="120"/>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Times New Roman" w:cs="Times New Roman" w:eastAsia="Times New Roman" w:hAnsi="Times New Roman"/>
                <w:sz w:val="18"/>
                <w:szCs w:val="18"/>
                <w:b w:val="1"/>
                <w:bCs w:val="1"/>
                <w:color w:val="0000EE"/>
                <w:w w:val="97"/>
              </w:rPr>
            </w:pPr>
            <w:hyperlink w:anchor="page64">
              <w:r>
                <w:rPr>
                  <w:rFonts w:ascii="Times New Roman" w:cs="Times New Roman" w:eastAsia="Times New Roman" w:hAnsi="Times New Roman"/>
                  <w:sz w:val="18"/>
                  <w:szCs w:val="18"/>
                  <w:b w:val="1"/>
                  <w:bCs w:val="1"/>
                  <w:color w:val="0000EE"/>
                  <w:w w:val="97"/>
                </w:rPr>
                <w:t>Table of Contents</w:t>
              </w:r>
            </w:hyperlink>
          </w:p>
        </w:tc>
        <w:tc>
          <w:tcPr>
            <w:tcW w:w="480" w:type="dxa"/>
            <w:vAlign w:val="bottom"/>
          </w:tcPr>
          <w:p>
            <w:pPr>
              <w:spacing w:after="0"/>
              <w:rPr>
                <w:sz w:val="17"/>
                <w:szCs w:val="17"/>
                <w:color w:val="auto"/>
              </w:rPr>
            </w:pPr>
          </w:p>
        </w:tc>
        <w:tc>
          <w:tcPr>
            <w:tcW w:w="5280" w:type="dxa"/>
            <w:vAlign w:val="bottom"/>
          </w:tcPr>
          <w:p>
            <w:pPr>
              <w:spacing w:after="0"/>
              <w:rPr>
                <w:sz w:val="17"/>
                <w:szCs w:val="17"/>
                <w:color w:val="auto"/>
              </w:rPr>
            </w:pPr>
          </w:p>
        </w:tc>
        <w:tc>
          <w:tcPr>
            <w:tcW w:w="3620" w:type="dxa"/>
            <w:vAlign w:val="bottom"/>
          </w:tcPr>
          <w:p>
            <w:pPr>
              <w:spacing w:after="0"/>
              <w:rPr>
                <w:sz w:val="17"/>
                <w:szCs w:val="17"/>
                <w:color w:val="auto"/>
              </w:rPr>
            </w:pPr>
          </w:p>
        </w:tc>
      </w:tr>
      <w:tr>
        <w:trPr>
          <w:trHeight w:val="511"/>
        </w:trPr>
        <w:tc>
          <w:tcPr>
            <w:tcW w:w="700" w:type="dxa"/>
            <w:vAlign w:val="bottom"/>
          </w:tcPr>
          <w:p>
            <w:pPr>
              <w:spacing w:after="0"/>
              <w:rPr>
                <w:sz w:val="24"/>
                <w:szCs w:val="24"/>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9"/>
              </w:rPr>
              <w:t>Exhibit</w:t>
            </w:r>
          </w:p>
        </w:tc>
        <w:tc>
          <w:tcPr>
            <w:tcW w:w="528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239"/>
        </w:trPr>
        <w:tc>
          <w:tcPr>
            <w:tcW w:w="700" w:type="dxa"/>
            <w:vAlign w:val="bottom"/>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9"/>
              </w:rPr>
              <w:t>No.</w:t>
            </w:r>
          </w:p>
        </w:tc>
        <w:tc>
          <w:tcPr>
            <w:tcW w:w="5280" w:type="dxa"/>
            <w:vAlign w:val="bottom"/>
            <w:tcBorders>
              <w:bottom w:val="single" w:sz="8" w:color="auto"/>
            </w:tcBorders>
          </w:tcPr>
          <w:p>
            <w:pPr>
              <w:ind w:left="2280"/>
              <w:spacing w:after="0"/>
              <w:rPr>
                <w:sz w:val="20"/>
                <w:szCs w:val="20"/>
                <w:color w:val="auto"/>
              </w:rPr>
            </w:pPr>
            <w:r>
              <w:rPr>
                <w:rFonts w:ascii="Arial" w:cs="Arial" w:eastAsia="Arial" w:hAnsi="Arial"/>
                <w:sz w:val="18"/>
                <w:szCs w:val="18"/>
                <w:color w:val="auto"/>
              </w:rPr>
              <w:t>Description</w:t>
            </w:r>
          </w:p>
        </w:tc>
        <w:tc>
          <w:tcPr>
            <w:tcW w:w="3620" w:type="dxa"/>
            <w:vAlign w:val="bottom"/>
            <w:tcBorders>
              <w:bottom w:val="single" w:sz="8" w:color="auto"/>
            </w:tcBorders>
          </w:tcPr>
          <w:p>
            <w:pPr>
              <w:ind w:left="1520"/>
              <w:spacing w:after="0"/>
              <w:rPr>
                <w:sz w:val="20"/>
                <w:szCs w:val="20"/>
                <w:color w:val="auto"/>
              </w:rPr>
            </w:pPr>
            <w:r>
              <w:rPr>
                <w:rFonts w:ascii="Arial" w:cs="Arial" w:eastAsia="Arial" w:hAnsi="Arial"/>
                <w:sz w:val="18"/>
                <w:szCs w:val="18"/>
                <w:color w:val="auto"/>
              </w:rPr>
              <w:t>Location</w:t>
            </w:r>
          </w:p>
        </w:tc>
      </w:tr>
      <w:tr>
        <w:trPr>
          <w:trHeight w:val="227"/>
        </w:trPr>
        <w:tc>
          <w:tcPr>
            <w:tcW w:w="1840" w:type="dxa"/>
            <w:vAlign w:val="bottom"/>
            <w:gridSpan w:val="3"/>
          </w:tcPr>
          <w:p>
            <w:pPr>
              <w:ind w:left="700"/>
              <w:spacing w:after="0"/>
              <w:rPr>
                <w:sz w:val="20"/>
                <w:szCs w:val="20"/>
                <w:color w:val="auto"/>
              </w:rPr>
            </w:pPr>
            <w:r>
              <w:rPr>
                <w:rFonts w:ascii="Arial" w:cs="Arial" w:eastAsia="Arial" w:hAnsi="Arial"/>
                <w:sz w:val="18"/>
                <w:szCs w:val="18"/>
                <w:color w:val="auto"/>
              </w:rPr>
              <w:t>10.6(c)(ii)</w:t>
            </w:r>
          </w:p>
        </w:tc>
        <w:tc>
          <w:tcPr>
            <w:tcW w:w="5280" w:type="dxa"/>
            <w:vAlign w:val="bottom"/>
          </w:tcPr>
          <w:p>
            <w:pPr>
              <w:ind w:left="280"/>
              <w:spacing w:after="0"/>
              <w:rPr>
                <w:sz w:val="20"/>
                <w:szCs w:val="20"/>
                <w:color w:val="auto"/>
              </w:rPr>
            </w:pPr>
            <w:r>
              <w:rPr>
                <w:rFonts w:ascii="Arial" w:cs="Arial" w:eastAsia="Arial" w:hAnsi="Arial"/>
                <w:sz w:val="18"/>
                <w:szCs w:val="18"/>
                <w:color w:val="auto"/>
              </w:rPr>
              <w:t>Specimen form of Award Agreement for Nondirectors used to</w:t>
            </w:r>
          </w:p>
        </w:tc>
        <w:tc>
          <w:tcPr>
            <w:tcW w:w="3620" w:type="dxa"/>
            <w:vAlign w:val="bottom"/>
          </w:tcPr>
          <w:p>
            <w:pPr>
              <w:ind w:left="100"/>
              <w:spacing w:after="0"/>
              <w:rPr>
                <w:sz w:val="20"/>
                <w:szCs w:val="20"/>
                <w:color w:val="auto"/>
              </w:rPr>
            </w:pPr>
            <w:r>
              <w:rPr>
                <w:rFonts w:ascii="Arial" w:cs="Arial" w:eastAsia="Arial" w:hAnsi="Arial"/>
                <w:sz w:val="18"/>
                <w:szCs w:val="18"/>
                <w:color w:val="auto"/>
              </w:rPr>
              <w:t>Incorporated herein by reference to the</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80" w:type="dxa"/>
            <w:vAlign w:val="bottom"/>
          </w:tcPr>
          <w:p>
            <w:pPr>
              <w:ind w:left="280"/>
              <w:spacing w:after="0" w:line="202" w:lineRule="exact"/>
              <w:rPr>
                <w:sz w:val="20"/>
                <w:szCs w:val="20"/>
                <w:color w:val="auto"/>
              </w:rPr>
            </w:pPr>
            <w:r>
              <w:rPr>
                <w:rFonts w:ascii="Arial" w:cs="Arial" w:eastAsia="Arial" w:hAnsi="Arial"/>
                <w:sz w:val="18"/>
                <w:szCs w:val="18"/>
                <w:color w:val="auto"/>
              </w:rPr>
              <w:t>evidence grants of Incentive Stock Options, Nonqualified</w:t>
            </w:r>
          </w:p>
        </w:tc>
        <w:tc>
          <w:tcPr>
            <w:tcW w:w="3620" w:type="dxa"/>
            <w:vAlign w:val="bottom"/>
          </w:tcPr>
          <w:p>
            <w:pPr>
              <w:ind w:left="100"/>
              <w:spacing w:after="0" w:line="202" w:lineRule="exact"/>
              <w:rPr>
                <w:sz w:val="20"/>
                <w:szCs w:val="20"/>
                <w:color w:val="auto"/>
              </w:rPr>
            </w:pPr>
            <w:r>
              <w:rPr>
                <w:rFonts w:ascii="Arial" w:cs="Arial" w:eastAsia="Arial" w:hAnsi="Arial"/>
                <w:sz w:val="18"/>
                <w:szCs w:val="18"/>
                <w:color w:val="auto"/>
              </w:rPr>
              <w:t>Registrant’s Annual Report on Form 10-K</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80" w:type="dxa"/>
            <w:vAlign w:val="bottom"/>
          </w:tcPr>
          <w:p>
            <w:pPr>
              <w:ind w:left="280"/>
              <w:spacing w:after="0" w:line="202" w:lineRule="exact"/>
              <w:rPr>
                <w:sz w:val="20"/>
                <w:szCs w:val="20"/>
                <w:color w:val="auto"/>
              </w:rPr>
            </w:pPr>
            <w:r>
              <w:rPr>
                <w:rFonts w:ascii="Arial" w:cs="Arial" w:eastAsia="Arial" w:hAnsi="Arial"/>
                <w:sz w:val="18"/>
                <w:szCs w:val="18"/>
                <w:color w:val="auto"/>
              </w:rPr>
              <w:t>Stock Options, Stock Appreciation Rights, Restricted Stock</w:t>
            </w:r>
          </w:p>
        </w:tc>
        <w:tc>
          <w:tcPr>
            <w:tcW w:w="3620" w:type="dxa"/>
            <w:vAlign w:val="bottom"/>
          </w:tcPr>
          <w:p>
            <w:pPr>
              <w:ind w:left="100"/>
              <w:spacing w:after="0" w:line="202" w:lineRule="exact"/>
              <w:rPr>
                <w:sz w:val="20"/>
                <w:szCs w:val="20"/>
                <w:color w:val="auto"/>
              </w:rPr>
            </w:pPr>
            <w:r>
              <w:rPr>
                <w:rFonts w:ascii="Arial" w:cs="Arial" w:eastAsia="Arial" w:hAnsi="Arial"/>
                <w:sz w:val="18"/>
                <w:szCs w:val="18"/>
                <w:color w:val="auto"/>
              </w:rPr>
              <w:t>for the fiscal year ended September 30,</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80" w:type="dxa"/>
            <w:vAlign w:val="bottom"/>
          </w:tcPr>
          <w:p>
            <w:pPr>
              <w:ind w:left="280"/>
              <w:spacing w:after="0" w:line="202" w:lineRule="exact"/>
              <w:rPr>
                <w:sz w:val="20"/>
                <w:szCs w:val="20"/>
                <w:color w:val="auto"/>
              </w:rPr>
            </w:pPr>
            <w:r>
              <w:rPr>
                <w:rFonts w:ascii="Arial" w:cs="Arial" w:eastAsia="Arial" w:hAnsi="Arial"/>
                <w:sz w:val="18"/>
                <w:szCs w:val="18"/>
                <w:color w:val="auto"/>
              </w:rPr>
              <w:t>and Performance Shares made under The Scotts Miracle-Gro</w:t>
            </w:r>
          </w:p>
        </w:tc>
        <w:tc>
          <w:tcPr>
            <w:tcW w:w="3620" w:type="dxa"/>
            <w:vAlign w:val="bottom"/>
          </w:tcPr>
          <w:p>
            <w:pPr>
              <w:ind w:left="100"/>
              <w:spacing w:after="0" w:line="202" w:lineRule="exact"/>
              <w:rPr>
                <w:sz w:val="20"/>
                <w:szCs w:val="20"/>
                <w:color w:val="auto"/>
              </w:rPr>
            </w:pPr>
            <w:r>
              <w:rPr>
                <w:rFonts w:ascii="Arial" w:cs="Arial" w:eastAsia="Arial" w:hAnsi="Arial"/>
                <w:sz w:val="18"/>
                <w:szCs w:val="18"/>
                <w:color w:val="auto"/>
              </w:rPr>
              <w:t>2005 (File No. 1-13292) [Exhibit 10(u)]</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80" w:type="dxa"/>
            <w:vAlign w:val="bottom"/>
          </w:tcPr>
          <w:p>
            <w:pPr>
              <w:ind w:left="280"/>
              <w:spacing w:after="0" w:line="202" w:lineRule="exact"/>
              <w:rPr>
                <w:sz w:val="20"/>
                <w:szCs w:val="20"/>
                <w:color w:val="auto"/>
              </w:rPr>
            </w:pPr>
            <w:r>
              <w:rPr>
                <w:rFonts w:ascii="Arial" w:cs="Arial" w:eastAsia="Arial" w:hAnsi="Arial"/>
                <w:sz w:val="18"/>
                <w:szCs w:val="18"/>
                <w:color w:val="auto"/>
              </w:rPr>
              <w:t>Company 2003 Stock Option and Incentive Equity Plan (now</w:t>
            </w:r>
          </w:p>
        </w:tc>
        <w:tc>
          <w:tcPr>
            <w:tcW w:w="362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80" w:type="dxa"/>
            <w:vAlign w:val="bottom"/>
          </w:tcPr>
          <w:p>
            <w:pPr>
              <w:ind w:left="280"/>
              <w:spacing w:after="0" w:line="202" w:lineRule="exact"/>
              <w:rPr>
                <w:sz w:val="20"/>
                <w:szCs w:val="20"/>
                <w:color w:val="auto"/>
              </w:rPr>
            </w:pPr>
            <w:r>
              <w:rPr>
                <w:rFonts w:ascii="Arial" w:cs="Arial" w:eastAsia="Arial" w:hAnsi="Arial"/>
                <w:sz w:val="18"/>
                <w:szCs w:val="18"/>
                <w:color w:val="auto"/>
              </w:rPr>
              <w:t>known as The Scotts Miracle-Gro Company Amended and</w:t>
            </w:r>
          </w:p>
        </w:tc>
        <w:tc>
          <w:tcPr>
            <w:tcW w:w="362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80" w:type="dxa"/>
            <w:vAlign w:val="bottom"/>
          </w:tcPr>
          <w:p>
            <w:pPr>
              <w:ind w:left="280"/>
              <w:spacing w:after="0" w:line="202" w:lineRule="exact"/>
              <w:rPr>
                <w:sz w:val="20"/>
                <w:szCs w:val="20"/>
                <w:color w:val="auto"/>
              </w:rPr>
            </w:pPr>
            <w:r>
              <w:rPr>
                <w:rFonts w:ascii="Arial" w:cs="Arial" w:eastAsia="Arial" w:hAnsi="Arial"/>
                <w:sz w:val="18"/>
                <w:szCs w:val="18"/>
                <w:color w:val="auto"/>
              </w:rPr>
              <w:t>Restated 2003 Stock Option and Incentive Equity Plan) [post-</w:t>
            </w:r>
          </w:p>
        </w:tc>
        <w:tc>
          <w:tcPr>
            <w:tcW w:w="3620" w:type="dxa"/>
            <w:vAlign w:val="bottom"/>
          </w:tcPr>
          <w:p>
            <w:pPr>
              <w:spacing w:after="0"/>
              <w:rPr>
                <w:sz w:val="17"/>
                <w:szCs w:val="17"/>
                <w:color w:val="auto"/>
              </w:rPr>
            </w:pPr>
          </w:p>
        </w:tc>
      </w:tr>
      <w:tr>
        <w:trPr>
          <w:trHeight w:val="243"/>
        </w:trPr>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280" w:type="dxa"/>
            <w:vAlign w:val="bottom"/>
          </w:tcPr>
          <w:p>
            <w:pPr>
              <w:ind w:left="280"/>
              <w:spacing w:after="0"/>
              <w:rPr>
                <w:sz w:val="20"/>
                <w:szCs w:val="20"/>
                <w:color w:val="auto"/>
              </w:rPr>
            </w:pPr>
            <w:r>
              <w:rPr>
                <w:rFonts w:ascii="Arial" w:cs="Arial" w:eastAsia="Arial" w:hAnsi="Arial"/>
                <w:sz w:val="18"/>
                <w:szCs w:val="18"/>
                <w:color w:val="auto"/>
              </w:rPr>
              <w:t>December 1, 2004 version]</w:t>
            </w:r>
          </w:p>
        </w:tc>
        <w:tc>
          <w:tcPr>
            <w:tcW w:w="3620" w:type="dxa"/>
            <w:vAlign w:val="bottom"/>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0740"/>
          </w:cols>
          <w:pgMar w:left="240" w:top="405" w:right="919" w:bottom="1440" w:gutter="0" w:footer="0" w:header="0"/>
        </w:sectPr>
      </w:pPr>
    </w:p>
    <w:p>
      <w:pPr>
        <w:spacing w:after="0" w:line="133"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Arial" w:cs="Arial" w:eastAsia="Arial" w:hAnsi="Arial"/>
                <w:sz w:val="18"/>
                <w:szCs w:val="18"/>
                <w:color w:val="auto"/>
              </w:rPr>
              <w:t>10.7(a)</w:t>
            </w:r>
          </w:p>
        </w:tc>
        <w:tc>
          <w:tcPr>
            <w:tcW w:w="5120" w:type="dxa"/>
            <w:vAlign w:val="bottom"/>
          </w:tcPr>
          <w:p>
            <w:pPr>
              <w:ind w:left="420"/>
              <w:spacing w:after="0"/>
              <w:rPr>
                <w:sz w:val="20"/>
                <w:szCs w:val="20"/>
                <w:color w:val="auto"/>
              </w:rPr>
            </w:pPr>
            <w:r>
              <w:rPr>
                <w:rFonts w:ascii="Arial" w:cs="Arial" w:eastAsia="Arial" w:hAnsi="Arial"/>
                <w:sz w:val="18"/>
                <w:szCs w:val="18"/>
                <w:color w:val="auto"/>
              </w:rPr>
              <w:t>The Scotts Miracle-Gro Company Amended and Restated</w:t>
            </w:r>
          </w:p>
        </w:tc>
      </w:tr>
      <w:tr>
        <w:trPr>
          <w:trHeight w:val="203"/>
        </w:trPr>
        <w:tc>
          <w:tcPr>
            <w:tcW w:w="1000" w:type="dxa"/>
            <w:vAlign w:val="bottom"/>
          </w:tcPr>
          <w:p>
            <w:pPr>
              <w:spacing w:after="0"/>
              <w:rPr>
                <w:sz w:val="17"/>
                <w:szCs w:val="17"/>
                <w:color w:val="auto"/>
              </w:rPr>
            </w:pPr>
          </w:p>
        </w:tc>
        <w:tc>
          <w:tcPr>
            <w:tcW w:w="5120" w:type="dxa"/>
            <w:vAlign w:val="bottom"/>
          </w:tcPr>
          <w:p>
            <w:pPr>
              <w:ind w:left="420"/>
              <w:spacing w:after="0" w:line="202" w:lineRule="exact"/>
              <w:rPr>
                <w:sz w:val="20"/>
                <w:szCs w:val="20"/>
                <w:color w:val="auto"/>
              </w:rPr>
            </w:pPr>
            <w:r>
              <w:rPr>
                <w:rFonts w:ascii="Arial" w:cs="Arial" w:eastAsia="Arial" w:hAnsi="Arial"/>
                <w:sz w:val="18"/>
                <w:szCs w:val="18"/>
                <w:color w:val="auto"/>
                <w:w w:val="99"/>
              </w:rPr>
              <w:t>2006 Long-Term Incentive Plan (effective as of October 30,</w:t>
            </w:r>
          </w:p>
        </w:tc>
      </w:tr>
      <w:tr>
        <w:trPr>
          <w:trHeight w:val="243"/>
        </w:trPr>
        <w:tc>
          <w:tcPr>
            <w:tcW w:w="1000" w:type="dxa"/>
            <w:vAlign w:val="bottom"/>
          </w:tcPr>
          <w:p>
            <w:pPr>
              <w:spacing w:after="0"/>
              <w:rPr>
                <w:sz w:val="21"/>
                <w:szCs w:val="21"/>
                <w:color w:val="auto"/>
              </w:rPr>
            </w:pPr>
          </w:p>
        </w:tc>
        <w:tc>
          <w:tcPr>
            <w:tcW w:w="5120" w:type="dxa"/>
            <w:vAlign w:val="bottom"/>
          </w:tcPr>
          <w:p>
            <w:pPr>
              <w:ind w:left="420"/>
              <w:spacing w:after="0"/>
              <w:rPr>
                <w:sz w:val="20"/>
                <w:szCs w:val="20"/>
                <w:color w:val="auto"/>
              </w:rPr>
            </w:pPr>
            <w:r>
              <w:rPr>
                <w:rFonts w:ascii="Arial" w:cs="Arial" w:eastAsia="Arial" w:hAnsi="Arial"/>
                <w:sz w:val="18"/>
                <w:szCs w:val="18"/>
                <w:color w:val="auto"/>
              </w:rPr>
              <w:t>2007)</w:t>
            </w:r>
          </w:p>
        </w:tc>
      </w:tr>
    </w:tbl>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ind w:right="220"/>
        <w:spacing w:after="0" w:line="268" w:lineRule="auto"/>
        <w:rPr>
          <w:sz w:val="20"/>
          <w:szCs w:val="20"/>
          <w:color w:val="auto"/>
        </w:rPr>
      </w:pPr>
      <w:r>
        <w:rPr>
          <w:rFonts w:ascii="Arial" w:cs="Arial" w:eastAsia="Arial" w:hAnsi="Arial"/>
          <w:sz w:val="17"/>
          <w:szCs w:val="17"/>
          <w:color w:val="auto"/>
        </w:rPr>
        <w:t>Incorporated herein by reference to the Registrant’s Annual Report on Form 10-K for the fiscal year ended September 30, 2007 (File No. 1-13292) [Exhibit 10(r)(2)]</w:t>
      </w:r>
    </w:p>
    <w:p>
      <w:pPr>
        <w:spacing w:after="0" w:line="200" w:lineRule="exact"/>
        <w:rPr>
          <w:sz w:val="20"/>
          <w:szCs w:val="20"/>
          <w:color w:val="auto"/>
        </w:rPr>
      </w:pPr>
    </w:p>
    <w:p>
      <w:pPr>
        <w:sectPr>
          <w:pgSz w:w="11900" w:h="16838" w:orient="portrait"/>
          <w:cols w:equalWidth="0" w:num="2">
            <w:col w:w="6820" w:space="400"/>
            <w:col w:w="3520"/>
          </w:cols>
          <w:pgMar w:left="240" w:top="405" w:right="919" w:bottom="1440" w:gutter="0" w:footer="0" w:header="0"/>
          <w:type w:val="continuous"/>
        </w:sectPr>
      </w:pPr>
    </w:p>
    <w:p>
      <w:pPr>
        <w:spacing w:after="0" w:line="111"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1080" w:type="dxa"/>
            <w:vAlign w:val="bottom"/>
          </w:tcPr>
          <w:p>
            <w:pPr>
              <w:spacing w:after="0"/>
              <w:rPr>
                <w:sz w:val="20"/>
                <w:szCs w:val="20"/>
                <w:color w:val="auto"/>
              </w:rPr>
            </w:pPr>
            <w:r>
              <w:rPr>
                <w:rFonts w:ascii="Arial" w:cs="Arial" w:eastAsia="Arial" w:hAnsi="Arial"/>
                <w:sz w:val="18"/>
                <w:szCs w:val="18"/>
                <w:color w:val="auto"/>
              </w:rPr>
              <w:t>10.7(b)(i)</w:t>
            </w:r>
          </w:p>
        </w:tc>
        <w:tc>
          <w:tcPr>
            <w:tcW w:w="5180" w:type="dxa"/>
            <w:vAlign w:val="bottom"/>
          </w:tcPr>
          <w:p>
            <w:pPr>
              <w:ind w:left="340"/>
              <w:spacing w:after="0"/>
              <w:rPr>
                <w:sz w:val="20"/>
                <w:szCs w:val="20"/>
                <w:color w:val="auto"/>
              </w:rPr>
            </w:pPr>
            <w:r>
              <w:rPr>
                <w:rFonts w:ascii="Arial" w:cs="Arial" w:eastAsia="Arial" w:hAnsi="Arial"/>
                <w:sz w:val="18"/>
                <w:szCs w:val="18"/>
                <w:color w:val="auto"/>
              </w:rPr>
              <w:t>Specimen form of Award Agreement for Nonemployee</w:t>
            </w:r>
          </w:p>
        </w:tc>
      </w:tr>
      <w:tr>
        <w:trPr>
          <w:trHeight w:val="203"/>
        </w:trPr>
        <w:tc>
          <w:tcPr>
            <w:tcW w:w="1080" w:type="dxa"/>
            <w:vAlign w:val="bottom"/>
          </w:tcPr>
          <w:p>
            <w:pPr>
              <w:spacing w:after="0"/>
              <w:rPr>
                <w:sz w:val="17"/>
                <w:szCs w:val="17"/>
                <w:color w:val="auto"/>
              </w:rPr>
            </w:pPr>
          </w:p>
        </w:tc>
        <w:tc>
          <w:tcPr>
            <w:tcW w:w="5180" w:type="dxa"/>
            <w:vAlign w:val="bottom"/>
          </w:tcPr>
          <w:p>
            <w:pPr>
              <w:ind w:left="340"/>
              <w:spacing w:after="0" w:line="202" w:lineRule="exact"/>
              <w:rPr>
                <w:sz w:val="20"/>
                <w:szCs w:val="20"/>
                <w:color w:val="auto"/>
              </w:rPr>
            </w:pPr>
            <w:r>
              <w:rPr>
                <w:rFonts w:ascii="Arial" w:cs="Arial" w:eastAsia="Arial" w:hAnsi="Arial"/>
                <w:sz w:val="18"/>
                <w:szCs w:val="18"/>
                <w:color w:val="auto"/>
              </w:rPr>
              <w:t>Directors used to evidence grants of Time-Based</w:t>
            </w:r>
          </w:p>
        </w:tc>
      </w:tr>
      <w:tr>
        <w:trPr>
          <w:trHeight w:val="203"/>
        </w:trPr>
        <w:tc>
          <w:tcPr>
            <w:tcW w:w="1080" w:type="dxa"/>
            <w:vAlign w:val="bottom"/>
          </w:tcPr>
          <w:p>
            <w:pPr>
              <w:spacing w:after="0"/>
              <w:rPr>
                <w:sz w:val="17"/>
                <w:szCs w:val="17"/>
                <w:color w:val="auto"/>
              </w:rPr>
            </w:pPr>
          </w:p>
        </w:tc>
        <w:tc>
          <w:tcPr>
            <w:tcW w:w="5180" w:type="dxa"/>
            <w:vAlign w:val="bottom"/>
          </w:tcPr>
          <w:p>
            <w:pPr>
              <w:ind w:left="340"/>
              <w:spacing w:after="0" w:line="202" w:lineRule="exact"/>
              <w:rPr>
                <w:sz w:val="20"/>
                <w:szCs w:val="20"/>
                <w:color w:val="auto"/>
              </w:rPr>
            </w:pPr>
            <w:r>
              <w:rPr>
                <w:rFonts w:ascii="Arial" w:cs="Arial" w:eastAsia="Arial" w:hAnsi="Arial"/>
                <w:sz w:val="18"/>
                <w:szCs w:val="18"/>
                <w:color w:val="auto"/>
              </w:rPr>
              <w:t>Nonqualified Stock Options which may be made under The</w:t>
            </w:r>
          </w:p>
        </w:tc>
      </w:tr>
      <w:tr>
        <w:trPr>
          <w:trHeight w:val="203"/>
        </w:trPr>
        <w:tc>
          <w:tcPr>
            <w:tcW w:w="1080" w:type="dxa"/>
            <w:vAlign w:val="bottom"/>
          </w:tcPr>
          <w:p>
            <w:pPr>
              <w:spacing w:after="0"/>
              <w:rPr>
                <w:sz w:val="17"/>
                <w:szCs w:val="17"/>
                <w:color w:val="auto"/>
              </w:rPr>
            </w:pPr>
          </w:p>
        </w:tc>
        <w:tc>
          <w:tcPr>
            <w:tcW w:w="5180" w:type="dxa"/>
            <w:vAlign w:val="bottom"/>
          </w:tcPr>
          <w:p>
            <w:pPr>
              <w:ind w:left="340"/>
              <w:spacing w:after="0" w:line="202" w:lineRule="exact"/>
              <w:rPr>
                <w:sz w:val="20"/>
                <w:szCs w:val="20"/>
                <w:color w:val="auto"/>
              </w:rPr>
            </w:pPr>
            <w:r>
              <w:rPr>
                <w:rFonts w:ascii="Arial" w:cs="Arial" w:eastAsia="Arial" w:hAnsi="Arial"/>
                <w:sz w:val="18"/>
                <w:szCs w:val="18"/>
                <w:color w:val="auto"/>
                <w:w w:val="98"/>
              </w:rPr>
              <w:t>Scotts Miracle-Gro Company 2006 Long-Term Incentive Plan</w:t>
            </w:r>
          </w:p>
        </w:tc>
      </w:tr>
      <w:tr>
        <w:trPr>
          <w:trHeight w:val="203"/>
        </w:trPr>
        <w:tc>
          <w:tcPr>
            <w:tcW w:w="1080" w:type="dxa"/>
            <w:vAlign w:val="bottom"/>
          </w:tcPr>
          <w:p>
            <w:pPr>
              <w:spacing w:after="0"/>
              <w:rPr>
                <w:sz w:val="17"/>
                <w:szCs w:val="17"/>
                <w:color w:val="auto"/>
              </w:rPr>
            </w:pPr>
          </w:p>
        </w:tc>
        <w:tc>
          <w:tcPr>
            <w:tcW w:w="5180" w:type="dxa"/>
            <w:vAlign w:val="bottom"/>
          </w:tcPr>
          <w:p>
            <w:pPr>
              <w:ind w:left="340"/>
              <w:spacing w:after="0" w:line="202" w:lineRule="exact"/>
              <w:rPr>
                <w:sz w:val="20"/>
                <w:szCs w:val="20"/>
                <w:color w:val="auto"/>
              </w:rPr>
            </w:pPr>
            <w:r>
              <w:rPr>
                <w:rFonts w:ascii="Arial" w:cs="Arial" w:eastAsia="Arial" w:hAnsi="Arial"/>
                <w:sz w:val="18"/>
                <w:szCs w:val="18"/>
                <w:color w:val="auto"/>
              </w:rPr>
              <w:t>(now known as The Scotts Miracle-Gro Company Amended</w:t>
            </w:r>
          </w:p>
        </w:tc>
      </w:tr>
      <w:tr>
        <w:trPr>
          <w:trHeight w:val="243"/>
        </w:trPr>
        <w:tc>
          <w:tcPr>
            <w:tcW w:w="1080" w:type="dxa"/>
            <w:vAlign w:val="bottom"/>
          </w:tcPr>
          <w:p>
            <w:pPr>
              <w:spacing w:after="0"/>
              <w:rPr>
                <w:sz w:val="21"/>
                <w:szCs w:val="21"/>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and Restated 2006 Long-Term Incentive Plan)</w:t>
            </w:r>
          </w:p>
        </w:tc>
      </w:tr>
    </w:tbl>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ind w:right="260"/>
        <w:spacing w:after="0" w:line="248" w:lineRule="auto"/>
        <w:rPr>
          <w:sz w:val="20"/>
          <w:szCs w:val="20"/>
          <w:color w:val="auto"/>
        </w:rPr>
      </w:pPr>
      <w:r>
        <w:rPr>
          <w:rFonts w:ascii="Arial" w:cs="Arial" w:eastAsia="Arial" w:hAnsi="Arial"/>
          <w:sz w:val="18"/>
          <w:szCs w:val="18"/>
          <w:color w:val="auto"/>
        </w:rPr>
        <w:t>Incorporated herein by reference to the Registrant’s Current Report on Form 8-K filed February 2, 2006 (File No. 1-13292) [Exhibit 10.3]</w:t>
      </w:r>
    </w:p>
    <w:p>
      <w:pPr>
        <w:spacing w:after="0" w:line="600" w:lineRule="exact"/>
        <w:rPr>
          <w:sz w:val="20"/>
          <w:szCs w:val="20"/>
          <w:color w:val="auto"/>
        </w:rPr>
      </w:pPr>
    </w:p>
    <w:p>
      <w:pPr>
        <w:sectPr>
          <w:pgSz w:w="11900" w:h="16838" w:orient="portrait"/>
          <w:cols w:equalWidth="0" w:num="2">
            <w:col w:w="6960" w:space="260"/>
            <w:col w:w="3520"/>
          </w:cols>
          <w:pgMar w:left="240" w:top="405" w:right="919" w:bottom="1440" w:gutter="0" w:footer="0" w:header="0"/>
          <w:type w:val="continuous"/>
        </w:sectPr>
      </w:pPr>
    </w:p>
    <w:p>
      <w:pPr>
        <w:spacing w:after="0" w:line="133"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Arial" w:cs="Arial" w:eastAsia="Arial" w:hAnsi="Arial"/>
                <w:sz w:val="18"/>
                <w:szCs w:val="18"/>
                <w:color w:val="auto"/>
              </w:rPr>
              <w:t>10.7(b)(ii)</w:t>
            </w:r>
          </w:p>
        </w:tc>
        <w:tc>
          <w:tcPr>
            <w:tcW w:w="5080" w:type="dxa"/>
            <w:vAlign w:val="bottom"/>
          </w:tcPr>
          <w:p>
            <w:pPr>
              <w:ind w:left="320"/>
              <w:spacing w:after="0"/>
              <w:rPr>
                <w:sz w:val="20"/>
                <w:szCs w:val="20"/>
                <w:color w:val="auto"/>
              </w:rPr>
            </w:pPr>
            <w:r>
              <w:rPr>
                <w:rFonts w:ascii="Arial" w:cs="Arial" w:eastAsia="Arial" w:hAnsi="Arial"/>
                <w:sz w:val="18"/>
                <w:szCs w:val="18"/>
                <w:color w:val="auto"/>
              </w:rPr>
              <w:t>Specimen form of Stock Unit Award Agreement for</w:t>
            </w:r>
          </w:p>
        </w:tc>
      </w:tr>
      <w:tr>
        <w:trPr>
          <w:trHeight w:val="203"/>
        </w:trPr>
        <w:tc>
          <w:tcPr>
            <w:tcW w:w="1100" w:type="dxa"/>
            <w:vAlign w:val="bottom"/>
          </w:tcPr>
          <w:p>
            <w:pPr>
              <w:spacing w:after="0"/>
              <w:rPr>
                <w:sz w:val="17"/>
                <w:szCs w:val="17"/>
                <w:color w:val="auto"/>
              </w:rPr>
            </w:pPr>
          </w:p>
        </w:tc>
        <w:tc>
          <w:tcPr>
            <w:tcW w:w="5080" w:type="dxa"/>
            <w:vAlign w:val="bottom"/>
          </w:tcPr>
          <w:p>
            <w:pPr>
              <w:ind w:left="320"/>
              <w:spacing w:after="0" w:line="202" w:lineRule="exact"/>
              <w:rPr>
                <w:sz w:val="20"/>
                <w:szCs w:val="20"/>
                <w:color w:val="auto"/>
              </w:rPr>
            </w:pPr>
            <w:r>
              <w:rPr>
                <w:rFonts w:ascii="Arial" w:cs="Arial" w:eastAsia="Arial" w:hAnsi="Arial"/>
                <w:sz w:val="18"/>
                <w:szCs w:val="18"/>
                <w:color w:val="auto"/>
                <w:w w:val="99"/>
              </w:rPr>
              <w:t>Nonemployee Directors (with Related Dividend Equivalents)</w:t>
            </w:r>
          </w:p>
        </w:tc>
      </w:tr>
      <w:tr>
        <w:trPr>
          <w:trHeight w:val="225"/>
        </w:trPr>
        <w:tc>
          <w:tcPr>
            <w:tcW w:w="1100" w:type="dxa"/>
            <w:vAlign w:val="bottom"/>
          </w:tcPr>
          <w:p>
            <w:pPr>
              <w:spacing w:after="0"/>
              <w:rPr>
                <w:sz w:val="19"/>
                <w:szCs w:val="19"/>
                <w:color w:val="auto"/>
              </w:rPr>
            </w:pPr>
          </w:p>
        </w:tc>
        <w:tc>
          <w:tcPr>
            <w:tcW w:w="5080" w:type="dxa"/>
            <w:vAlign w:val="bottom"/>
          </w:tcPr>
          <w:p>
            <w:pPr>
              <w:ind w:left="320"/>
              <w:spacing w:after="0"/>
              <w:rPr>
                <w:sz w:val="20"/>
                <w:szCs w:val="20"/>
                <w:color w:val="auto"/>
              </w:rPr>
            </w:pPr>
            <w:r>
              <w:rPr>
                <w:rFonts w:ascii="Arial" w:cs="Arial" w:eastAsia="Arial" w:hAnsi="Arial"/>
                <w:sz w:val="18"/>
                <w:szCs w:val="18"/>
                <w:color w:val="auto"/>
              </w:rPr>
              <w:t>used to evidence grants of Stock Units which may be made</w:t>
            </w:r>
          </w:p>
        </w:tc>
      </w:tr>
    </w:tbl>
    <w:p>
      <w:pPr>
        <w:ind w:left="2120"/>
        <w:spacing w:after="0" w:line="242" w:lineRule="auto"/>
        <w:rPr>
          <w:sz w:val="20"/>
          <w:szCs w:val="20"/>
          <w:color w:val="auto"/>
        </w:rPr>
      </w:pPr>
      <w:r>
        <w:rPr>
          <w:rFonts w:ascii="Arial" w:cs="Arial" w:eastAsia="Arial" w:hAnsi="Arial"/>
          <w:sz w:val="18"/>
          <w:szCs w:val="18"/>
          <w:color w:val="auto"/>
        </w:rPr>
        <w:t>under The Scotts Miracle-Gro Company Amended and Restated 2006 Long-Term Incentive Plan (post-December 20, 2007 version)</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December 29, 2007 (File No. 1-13292) [Exhibit 10(l)]</w:t>
      </w:r>
    </w:p>
    <w:p>
      <w:pPr>
        <w:spacing w:after="0" w:line="600" w:lineRule="exact"/>
        <w:rPr>
          <w:sz w:val="20"/>
          <w:szCs w:val="20"/>
          <w:color w:val="auto"/>
        </w:rPr>
      </w:pPr>
    </w:p>
    <w:p>
      <w:pPr>
        <w:sectPr>
          <w:pgSz w:w="11900" w:h="16838" w:orient="portrait"/>
          <w:cols w:equalWidth="0" w:num="2">
            <w:col w:w="7020" w:space="200"/>
            <w:col w:w="3520"/>
          </w:cols>
          <w:pgMar w:left="240" w:top="405" w:right="919" w:bottom="1440" w:gutter="0" w:footer="0" w:header="0"/>
          <w:type w:val="continuous"/>
        </w:sectPr>
      </w:pPr>
    </w:p>
    <w:p>
      <w:pPr>
        <w:spacing w:after="0" w:line="138" w:lineRule="exact"/>
        <w:rPr>
          <w:sz w:val="20"/>
          <w:szCs w:val="20"/>
          <w:color w:val="auto"/>
        </w:rPr>
      </w:pPr>
    </w:p>
    <w:p>
      <w:pPr>
        <w:ind w:left="700"/>
        <w:spacing w:after="0"/>
        <w:tabs>
          <w:tab w:leader="none" w:pos="2100" w:val="left"/>
        </w:tabs>
        <w:rPr>
          <w:sz w:val="20"/>
          <w:szCs w:val="20"/>
          <w:color w:val="auto"/>
        </w:rPr>
      </w:pPr>
      <w:r>
        <w:rPr>
          <w:rFonts w:ascii="Arial" w:cs="Arial" w:eastAsia="Arial" w:hAnsi="Arial"/>
          <w:sz w:val="18"/>
          <w:szCs w:val="18"/>
          <w:color w:val="auto"/>
        </w:rPr>
        <w:t>10.7(b)(iii)</w:t>
      </w:r>
      <w:r>
        <w:rPr>
          <w:sz w:val="20"/>
          <w:szCs w:val="20"/>
          <w:color w:val="auto"/>
        </w:rPr>
        <w:tab/>
      </w:r>
      <w:r>
        <w:rPr>
          <w:rFonts w:ascii="Arial" w:cs="Arial" w:eastAsia="Arial" w:hAnsi="Arial"/>
          <w:sz w:val="17"/>
          <w:szCs w:val="17"/>
          <w:color w:val="auto"/>
        </w:rPr>
        <w:t>Specimen form of Deferred Stock Unit Award Agreement for</w:t>
      </w:r>
    </w:p>
    <w:p>
      <w:pPr>
        <w:spacing w:after="0" w:line="18" w:lineRule="exact"/>
        <w:rPr>
          <w:sz w:val="20"/>
          <w:szCs w:val="20"/>
          <w:color w:val="auto"/>
        </w:rPr>
      </w:pPr>
    </w:p>
    <w:p>
      <w:pPr>
        <w:ind w:left="2120"/>
        <w:spacing w:after="0" w:line="239" w:lineRule="auto"/>
        <w:rPr>
          <w:sz w:val="20"/>
          <w:szCs w:val="20"/>
          <w:color w:val="auto"/>
        </w:rPr>
      </w:pPr>
      <w:r>
        <w:rPr>
          <w:rFonts w:ascii="Arial" w:cs="Arial" w:eastAsia="Arial" w:hAnsi="Arial"/>
          <w:sz w:val="18"/>
          <w:szCs w:val="18"/>
          <w:color w:val="auto"/>
        </w:rPr>
        <w:t>Nonemployee Directors (with Related Dividend Equivalents) used to evidence grants of Deferred Stock Units which may be made under The Scotts Miracle-Gro Company Amended and Restated 2006 Long-Term Incentive Plan (post-February 3, 2008 version)</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December 29, 2007 (File No. 1-13292) [Exhibit 10(m)]</w:t>
      </w:r>
    </w:p>
    <w:p>
      <w:pPr>
        <w:spacing w:after="0" w:line="599" w:lineRule="exact"/>
        <w:rPr>
          <w:sz w:val="20"/>
          <w:szCs w:val="20"/>
          <w:color w:val="auto"/>
        </w:rPr>
      </w:pPr>
    </w:p>
    <w:p>
      <w:pPr>
        <w:sectPr>
          <w:pgSz w:w="11900" w:h="16838" w:orient="portrait"/>
          <w:cols w:equalWidth="0" w:num="2">
            <w:col w:w="6960" w:space="260"/>
            <w:col w:w="3520"/>
          </w:cols>
          <w:pgMar w:left="240" w:top="405" w:right="919" w:bottom="1440" w:gutter="0" w:footer="0" w:header="0"/>
          <w:type w:val="continuous"/>
        </w:sectPr>
      </w:pPr>
    </w:p>
    <w:p>
      <w:pPr>
        <w:spacing w:after="0" w:line="134"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1060" w:type="dxa"/>
            <w:vAlign w:val="bottom"/>
          </w:tcPr>
          <w:p>
            <w:pPr>
              <w:spacing w:after="0"/>
              <w:rPr>
                <w:sz w:val="20"/>
                <w:szCs w:val="20"/>
                <w:color w:val="auto"/>
              </w:rPr>
            </w:pPr>
            <w:r>
              <w:rPr>
                <w:rFonts w:ascii="Arial" w:cs="Arial" w:eastAsia="Arial" w:hAnsi="Arial"/>
                <w:sz w:val="18"/>
                <w:szCs w:val="18"/>
                <w:color w:val="auto"/>
              </w:rPr>
              <w:t>10.7(c)(i)</w:t>
            </w:r>
          </w:p>
        </w:tc>
        <w:tc>
          <w:tcPr>
            <w:tcW w:w="5220" w:type="dxa"/>
            <w:vAlign w:val="bottom"/>
          </w:tcPr>
          <w:p>
            <w:pPr>
              <w:ind w:left="360"/>
              <w:spacing w:after="0"/>
              <w:rPr>
                <w:sz w:val="20"/>
                <w:szCs w:val="20"/>
                <w:color w:val="auto"/>
              </w:rPr>
            </w:pPr>
            <w:r>
              <w:rPr>
                <w:rFonts w:ascii="Arial" w:cs="Arial" w:eastAsia="Arial" w:hAnsi="Arial"/>
                <w:sz w:val="18"/>
                <w:szCs w:val="18"/>
                <w:color w:val="auto"/>
                <w:w w:val="99"/>
              </w:rPr>
              <w:t>Specimen form of Award Agreement used to evidence grants</w:t>
            </w:r>
          </w:p>
        </w:tc>
      </w:tr>
      <w:tr>
        <w:trPr>
          <w:trHeight w:val="203"/>
        </w:trPr>
        <w:tc>
          <w:tcPr>
            <w:tcW w:w="1060" w:type="dxa"/>
            <w:vAlign w:val="bottom"/>
          </w:tcPr>
          <w:p>
            <w:pPr>
              <w:spacing w:after="0"/>
              <w:rPr>
                <w:sz w:val="17"/>
                <w:szCs w:val="17"/>
                <w:color w:val="auto"/>
              </w:rPr>
            </w:pPr>
          </w:p>
        </w:tc>
        <w:tc>
          <w:tcPr>
            <w:tcW w:w="5220" w:type="dxa"/>
            <w:vAlign w:val="bottom"/>
          </w:tcPr>
          <w:p>
            <w:pPr>
              <w:ind w:left="360"/>
              <w:spacing w:after="0" w:line="202" w:lineRule="exact"/>
              <w:rPr>
                <w:sz w:val="20"/>
                <w:szCs w:val="20"/>
                <w:color w:val="auto"/>
              </w:rPr>
            </w:pPr>
            <w:r>
              <w:rPr>
                <w:rFonts w:ascii="Arial" w:cs="Arial" w:eastAsia="Arial" w:hAnsi="Arial"/>
                <w:sz w:val="18"/>
                <w:szCs w:val="18"/>
                <w:color w:val="auto"/>
              </w:rPr>
              <w:t>of Restricted Stock Units, Performance Shares, Nonqualified</w:t>
            </w:r>
          </w:p>
        </w:tc>
      </w:tr>
      <w:tr>
        <w:trPr>
          <w:trHeight w:val="203"/>
        </w:trPr>
        <w:tc>
          <w:tcPr>
            <w:tcW w:w="1060" w:type="dxa"/>
            <w:vAlign w:val="bottom"/>
          </w:tcPr>
          <w:p>
            <w:pPr>
              <w:spacing w:after="0"/>
              <w:rPr>
                <w:sz w:val="17"/>
                <w:szCs w:val="17"/>
                <w:color w:val="auto"/>
              </w:rPr>
            </w:pPr>
          </w:p>
        </w:tc>
        <w:tc>
          <w:tcPr>
            <w:tcW w:w="5220" w:type="dxa"/>
            <w:vAlign w:val="bottom"/>
          </w:tcPr>
          <w:p>
            <w:pPr>
              <w:ind w:left="360"/>
              <w:spacing w:after="0" w:line="202" w:lineRule="exact"/>
              <w:rPr>
                <w:sz w:val="20"/>
                <w:szCs w:val="20"/>
                <w:color w:val="auto"/>
              </w:rPr>
            </w:pPr>
            <w:r>
              <w:rPr>
                <w:rFonts w:ascii="Arial" w:cs="Arial" w:eastAsia="Arial" w:hAnsi="Arial"/>
                <w:sz w:val="18"/>
                <w:szCs w:val="18"/>
                <w:color w:val="auto"/>
                <w:w w:val="99"/>
              </w:rPr>
              <w:t>Stock Options, Incentive Stock Options, Restricted Stock and</w:t>
            </w:r>
          </w:p>
        </w:tc>
      </w:tr>
      <w:tr>
        <w:trPr>
          <w:trHeight w:val="225"/>
        </w:trPr>
        <w:tc>
          <w:tcPr>
            <w:tcW w:w="1060" w:type="dxa"/>
            <w:vAlign w:val="bottom"/>
          </w:tcPr>
          <w:p>
            <w:pPr>
              <w:spacing w:after="0"/>
              <w:rPr>
                <w:sz w:val="19"/>
                <w:szCs w:val="19"/>
                <w:color w:val="auto"/>
              </w:rPr>
            </w:pPr>
          </w:p>
        </w:tc>
        <w:tc>
          <w:tcPr>
            <w:tcW w:w="5220" w:type="dxa"/>
            <w:vAlign w:val="bottom"/>
          </w:tcPr>
          <w:p>
            <w:pPr>
              <w:ind w:left="360"/>
              <w:spacing w:after="0"/>
              <w:rPr>
                <w:sz w:val="20"/>
                <w:szCs w:val="20"/>
                <w:color w:val="auto"/>
              </w:rPr>
            </w:pPr>
            <w:r>
              <w:rPr>
                <w:rFonts w:ascii="Arial" w:cs="Arial" w:eastAsia="Arial" w:hAnsi="Arial"/>
                <w:sz w:val="18"/>
                <w:szCs w:val="18"/>
                <w:color w:val="auto"/>
              </w:rPr>
              <w:t>Stock Appreciation Rights made under The Scotts Miracle-</w:t>
            </w:r>
          </w:p>
        </w:tc>
      </w:tr>
    </w:tbl>
    <w:p>
      <w:pPr>
        <w:ind w:left="2120"/>
        <w:spacing w:after="0"/>
        <w:rPr>
          <w:sz w:val="20"/>
          <w:szCs w:val="20"/>
          <w:color w:val="auto"/>
        </w:rPr>
      </w:pPr>
      <w:r>
        <w:rPr>
          <w:rFonts w:ascii="Arial" w:cs="Arial" w:eastAsia="Arial" w:hAnsi="Arial"/>
          <w:sz w:val="18"/>
          <w:szCs w:val="18"/>
          <w:color w:val="auto"/>
        </w:rPr>
        <w:t>Gro Company 2006 Long-Term Incentive Plan (now known as The Scotts Miracle-Gro Company Amended and Restated 2006 Long-Term Incentive Plan) [pre-October 30, 2007 version]</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December 31, 2005 (File No. 1-13292) [Exhibit 10(b)]</w:t>
      </w:r>
    </w:p>
    <w:p>
      <w:pPr>
        <w:spacing w:after="0" w:line="1004" w:lineRule="exact"/>
        <w:rPr>
          <w:sz w:val="20"/>
          <w:szCs w:val="20"/>
          <w:color w:val="auto"/>
        </w:rPr>
      </w:pPr>
    </w:p>
    <w:p>
      <w:pPr>
        <w:sectPr>
          <w:pgSz w:w="11900" w:h="16838" w:orient="portrait"/>
          <w:cols w:equalWidth="0" w:num="2">
            <w:col w:w="7020" w:space="200"/>
            <w:col w:w="3520"/>
          </w:cols>
          <w:pgMar w:left="240" w:top="405" w:right="919" w:bottom="1440" w:gutter="0" w:footer="0" w:header="0"/>
          <w:type w:val="continuous"/>
        </w:sectPr>
      </w:pPr>
    </w:p>
    <w:p>
      <w:pPr>
        <w:spacing w:after="0" w:line="134"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1080" w:type="dxa"/>
            <w:vAlign w:val="bottom"/>
          </w:tcPr>
          <w:p>
            <w:pPr>
              <w:spacing w:after="0"/>
              <w:rPr>
                <w:sz w:val="20"/>
                <w:szCs w:val="20"/>
                <w:color w:val="auto"/>
              </w:rPr>
            </w:pPr>
            <w:r>
              <w:rPr>
                <w:rFonts w:ascii="Arial" w:cs="Arial" w:eastAsia="Arial" w:hAnsi="Arial"/>
                <w:sz w:val="18"/>
                <w:szCs w:val="18"/>
                <w:color w:val="auto"/>
              </w:rPr>
              <w:t>10.7(c)(ii)</w:t>
            </w:r>
          </w:p>
        </w:tc>
        <w:tc>
          <w:tcPr>
            <w:tcW w:w="5200" w:type="dxa"/>
            <w:vAlign w:val="bottom"/>
          </w:tcPr>
          <w:p>
            <w:pPr>
              <w:ind w:left="340"/>
              <w:spacing w:after="0"/>
              <w:rPr>
                <w:sz w:val="20"/>
                <w:szCs w:val="20"/>
                <w:color w:val="auto"/>
              </w:rPr>
            </w:pPr>
            <w:r>
              <w:rPr>
                <w:rFonts w:ascii="Arial" w:cs="Arial" w:eastAsia="Arial" w:hAnsi="Arial"/>
                <w:sz w:val="18"/>
                <w:szCs w:val="18"/>
                <w:color w:val="auto"/>
              </w:rPr>
              <w:t>Specimen form of Award Agreement for Employees used to</w:t>
            </w:r>
          </w:p>
        </w:tc>
      </w:tr>
      <w:tr>
        <w:trPr>
          <w:trHeight w:val="203"/>
        </w:trPr>
        <w:tc>
          <w:tcPr>
            <w:tcW w:w="1080" w:type="dxa"/>
            <w:vAlign w:val="bottom"/>
          </w:tcPr>
          <w:p>
            <w:pPr>
              <w:spacing w:after="0"/>
              <w:rPr>
                <w:sz w:val="17"/>
                <w:szCs w:val="17"/>
                <w:color w:val="auto"/>
              </w:rPr>
            </w:pPr>
          </w:p>
        </w:tc>
        <w:tc>
          <w:tcPr>
            <w:tcW w:w="5200" w:type="dxa"/>
            <w:vAlign w:val="bottom"/>
          </w:tcPr>
          <w:p>
            <w:pPr>
              <w:ind w:left="340"/>
              <w:spacing w:after="0" w:line="202" w:lineRule="exact"/>
              <w:rPr>
                <w:sz w:val="20"/>
                <w:szCs w:val="20"/>
                <w:color w:val="auto"/>
              </w:rPr>
            </w:pPr>
            <w:r>
              <w:rPr>
                <w:rFonts w:ascii="Arial" w:cs="Arial" w:eastAsia="Arial" w:hAnsi="Arial"/>
                <w:sz w:val="18"/>
                <w:szCs w:val="18"/>
                <w:color w:val="auto"/>
              </w:rPr>
              <w:t>evidence grants of Nonqualified Stock Options, Restricted</w:t>
            </w:r>
          </w:p>
        </w:tc>
      </w:tr>
      <w:tr>
        <w:trPr>
          <w:trHeight w:val="203"/>
        </w:trPr>
        <w:tc>
          <w:tcPr>
            <w:tcW w:w="1080" w:type="dxa"/>
            <w:vAlign w:val="bottom"/>
          </w:tcPr>
          <w:p>
            <w:pPr>
              <w:spacing w:after="0"/>
              <w:rPr>
                <w:sz w:val="17"/>
                <w:szCs w:val="17"/>
                <w:color w:val="auto"/>
              </w:rPr>
            </w:pPr>
          </w:p>
        </w:tc>
        <w:tc>
          <w:tcPr>
            <w:tcW w:w="5200" w:type="dxa"/>
            <w:vAlign w:val="bottom"/>
          </w:tcPr>
          <w:p>
            <w:pPr>
              <w:ind w:left="340"/>
              <w:spacing w:after="0" w:line="202" w:lineRule="exact"/>
              <w:rPr>
                <w:sz w:val="20"/>
                <w:szCs w:val="20"/>
                <w:color w:val="auto"/>
              </w:rPr>
            </w:pPr>
            <w:r>
              <w:rPr>
                <w:rFonts w:ascii="Arial" w:cs="Arial" w:eastAsia="Arial" w:hAnsi="Arial"/>
                <w:sz w:val="18"/>
                <w:szCs w:val="18"/>
                <w:color w:val="auto"/>
                <w:w w:val="99"/>
              </w:rPr>
              <w:t>Stock, Performance Shares and Restricted Stock Units made</w:t>
            </w:r>
          </w:p>
        </w:tc>
      </w:tr>
      <w:tr>
        <w:trPr>
          <w:trHeight w:val="203"/>
        </w:trPr>
        <w:tc>
          <w:tcPr>
            <w:tcW w:w="1080" w:type="dxa"/>
            <w:vAlign w:val="bottom"/>
          </w:tcPr>
          <w:p>
            <w:pPr>
              <w:spacing w:after="0"/>
              <w:rPr>
                <w:sz w:val="17"/>
                <w:szCs w:val="17"/>
                <w:color w:val="auto"/>
              </w:rPr>
            </w:pPr>
          </w:p>
        </w:tc>
        <w:tc>
          <w:tcPr>
            <w:tcW w:w="5200" w:type="dxa"/>
            <w:vAlign w:val="bottom"/>
          </w:tcPr>
          <w:p>
            <w:pPr>
              <w:ind w:left="340"/>
              <w:spacing w:after="0" w:line="202" w:lineRule="exact"/>
              <w:rPr>
                <w:sz w:val="20"/>
                <w:szCs w:val="20"/>
                <w:color w:val="auto"/>
              </w:rPr>
            </w:pPr>
            <w:r>
              <w:rPr>
                <w:rFonts w:ascii="Arial" w:cs="Arial" w:eastAsia="Arial" w:hAnsi="Arial"/>
                <w:sz w:val="18"/>
                <w:szCs w:val="18"/>
                <w:color w:val="auto"/>
              </w:rPr>
              <w:t>under The Scotts Miracle-Gro Company 2006 Long-Term</w:t>
            </w:r>
          </w:p>
        </w:tc>
      </w:tr>
      <w:tr>
        <w:trPr>
          <w:trHeight w:val="203"/>
        </w:trPr>
        <w:tc>
          <w:tcPr>
            <w:tcW w:w="1080" w:type="dxa"/>
            <w:vAlign w:val="bottom"/>
          </w:tcPr>
          <w:p>
            <w:pPr>
              <w:spacing w:after="0"/>
              <w:rPr>
                <w:sz w:val="17"/>
                <w:szCs w:val="17"/>
                <w:color w:val="auto"/>
              </w:rPr>
            </w:pPr>
          </w:p>
        </w:tc>
        <w:tc>
          <w:tcPr>
            <w:tcW w:w="5200" w:type="dxa"/>
            <w:vAlign w:val="bottom"/>
          </w:tcPr>
          <w:p>
            <w:pPr>
              <w:ind w:left="340"/>
              <w:spacing w:after="0" w:line="202" w:lineRule="exact"/>
              <w:rPr>
                <w:sz w:val="20"/>
                <w:szCs w:val="20"/>
                <w:color w:val="auto"/>
              </w:rPr>
            </w:pPr>
            <w:r>
              <w:rPr>
                <w:rFonts w:ascii="Arial" w:cs="Arial" w:eastAsia="Arial" w:hAnsi="Arial"/>
                <w:sz w:val="18"/>
                <w:szCs w:val="18"/>
                <w:color w:val="auto"/>
              </w:rPr>
              <w:t>Incentive Plan (now known as The Scotts Miracle-Gro</w:t>
            </w:r>
          </w:p>
        </w:tc>
      </w:tr>
      <w:tr>
        <w:trPr>
          <w:trHeight w:val="203"/>
        </w:trPr>
        <w:tc>
          <w:tcPr>
            <w:tcW w:w="1080" w:type="dxa"/>
            <w:vAlign w:val="bottom"/>
          </w:tcPr>
          <w:p>
            <w:pPr>
              <w:spacing w:after="0"/>
              <w:rPr>
                <w:sz w:val="17"/>
                <w:szCs w:val="17"/>
                <w:color w:val="auto"/>
              </w:rPr>
            </w:pPr>
          </w:p>
        </w:tc>
        <w:tc>
          <w:tcPr>
            <w:tcW w:w="5200" w:type="dxa"/>
            <w:vAlign w:val="bottom"/>
          </w:tcPr>
          <w:p>
            <w:pPr>
              <w:ind w:left="340"/>
              <w:spacing w:after="0" w:line="202" w:lineRule="exact"/>
              <w:rPr>
                <w:sz w:val="20"/>
                <w:szCs w:val="20"/>
                <w:color w:val="auto"/>
              </w:rPr>
            </w:pPr>
            <w:r>
              <w:rPr>
                <w:rFonts w:ascii="Arial" w:cs="Arial" w:eastAsia="Arial" w:hAnsi="Arial"/>
                <w:sz w:val="18"/>
                <w:szCs w:val="18"/>
                <w:color w:val="auto"/>
                <w:w w:val="99"/>
              </w:rPr>
              <w:t>Company Amended and Restated 2006 Long-Term Incentive</w:t>
            </w:r>
          </w:p>
        </w:tc>
      </w:tr>
      <w:tr>
        <w:trPr>
          <w:trHeight w:val="243"/>
        </w:trPr>
        <w:tc>
          <w:tcPr>
            <w:tcW w:w="1080" w:type="dxa"/>
            <w:vAlign w:val="bottom"/>
          </w:tcPr>
          <w:p>
            <w:pPr>
              <w:spacing w:after="0"/>
              <w:rPr>
                <w:sz w:val="21"/>
                <w:szCs w:val="21"/>
                <w:color w:val="auto"/>
              </w:rPr>
            </w:pPr>
          </w:p>
        </w:tc>
        <w:tc>
          <w:tcPr>
            <w:tcW w:w="5200" w:type="dxa"/>
            <w:vAlign w:val="bottom"/>
          </w:tcPr>
          <w:p>
            <w:pPr>
              <w:ind w:left="340"/>
              <w:spacing w:after="0"/>
              <w:rPr>
                <w:sz w:val="20"/>
                <w:szCs w:val="20"/>
                <w:color w:val="auto"/>
              </w:rPr>
            </w:pPr>
            <w:r>
              <w:rPr>
                <w:rFonts w:ascii="Arial" w:cs="Arial" w:eastAsia="Arial" w:hAnsi="Arial"/>
                <w:sz w:val="18"/>
                <w:szCs w:val="18"/>
                <w:color w:val="auto"/>
              </w:rPr>
              <w:t>Plan) [French Specimen] (pre-November 6, 2007 version)</w:t>
            </w:r>
          </w:p>
        </w:tc>
      </w:tr>
    </w:tbl>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December 30, 2006 (File No. 1-13292) [Exhibit 10.4]</w:t>
      </w:r>
    </w:p>
    <w:p>
      <w:pPr>
        <w:spacing w:after="0" w:line="802" w:lineRule="exact"/>
        <w:rPr>
          <w:sz w:val="20"/>
          <w:szCs w:val="20"/>
          <w:color w:val="auto"/>
        </w:rPr>
      </w:pPr>
    </w:p>
    <w:p>
      <w:pPr>
        <w:sectPr>
          <w:pgSz w:w="11900" w:h="16838" w:orient="portrait"/>
          <w:cols w:equalWidth="0" w:num="2">
            <w:col w:w="6980" w:space="240"/>
            <w:col w:w="3520"/>
          </w:cols>
          <w:pgMar w:left="240" w:top="405" w:right="919" w:bottom="1440" w:gutter="0" w:footer="0" w:header="0"/>
          <w:type w:val="continuous"/>
        </w:sectPr>
      </w:pPr>
    </w:p>
    <w:p>
      <w:pPr>
        <w:spacing w:after="0" w:line="11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0"/>
          <w:szCs w:val="10"/>
          <w:b w:val="1"/>
          <w:bCs w:val="1"/>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-71120</wp:posOffset>
            </wp:positionV>
            <wp:extent cx="19748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149225</wp:posOffset>
            </wp:positionV>
            <wp:extent cx="7250430" cy="215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240" w:top="405" w:right="919" w:bottom="1440" w:gutter="0" w:footer="0" w:header="0"/>
          <w:type w:val="continuous"/>
        </w:sectPr>
      </w:pPr>
    </w:p>
    <w:bookmarkStart w:id="121" w:name="page122"/>
    <w:bookmarkEnd w:id="121"/>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Times New Roman" w:cs="Times New Roman" w:eastAsia="Times New Roman" w:hAnsi="Times New Roman"/>
                <w:sz w:val="18"/>
                <w:szCs w:val="18"/>
                <w:b w:val="1"/>
                <w:bCs w:val="1"/>
                <w:color w:val="0000EE"/>
                <w:w w:val="97"/>
              </w:rPr>
            </w:pPr>
            <w:hyperlink w:anchor="page64">
              <w:r>
                <w:rPr>
                  <w:rFonts w:ascii="Times New Roman" w:cs="Times New Roman" w:eastAsia="Times New Roman" w:hAnsi="Times New Roman"/>
                  <w:sz w:val="18"/>
                  <w:szCs w:val="18"/>
                  <w:b w:val="1"/>
                  <w:bCs w:val="1"/>
                  <w:color w:val="0000EE"/>
                  <w:w w:val="97"/>
                </w:rPr>
                <w:t>Table of Contents</w:t>
              </w:r>
            </w:hyperlink>
          </w:p>
        </w:tc>
        <w:tc>
          <w:tcPr>
            <w:tcW w:w="480" w:type="dxa"/>
            <w:vAlign w:val="bottom"/>
          </w:tcPr>
          <w:p>
            <w:pPr>
              <w:spacing w:after="0"/>
              <w:rPr>
                <w:sz w:val="17"/>
                <w:szCs w:val="17"/>
                <w:color w:val="auto"/>
              </w:rPr>
            </w:pPr>
          </w:p>
        </w:tc>
        <w:tc>
          <w:tcPr>
            <w:tcW w:w="5280" w:type="dxa"/>
            <w:vAlign w:val="bottom"/>
          </w:tcPr>
          <w:p>
            <w:pPr>
              <w:spacing w:after="0"/>
              <w:rPr>
                <w:sz w:val="17"/>
                <w:szCs w:val="17"/>
                <w:color w:val="auto"/>
              </w:rPr>
            </w:pPr>
          </w:p>
        </w:tc>
        <w:tc>
          <w:tcPr>
            <w:tcW w:w="3620" w:type="dxa"/>
            <w:vAlign w:val="bottom"/>
          </w:tcPr>
          <w:p>
            <w:pPr>
              <w:spacing w:after="0"/>
              <w:rPr>
                <w:sz w:val="17"/>
                <w:szCs w:val="17"/>
                <w:color w:val="auto"/>
              </w:rPr>
            </w:pPr>
          </w:p>
        </w:tc>
      </w:tr>
      <w:tr>
        <w:trPr>
          <w:trHeight w:val="511"/>
        </w:trPr>
        <w:tc>
          <w:tcPr>
            <w:tcW w:w="700" w:type="dxa"/>
            <w:vAlign w:val="bottom"/>
          </w:tcPr>
          <w:p>
            <w:pPr>
              <w:spacing w:after="0"/>
              <w:rPr>
                <w:sz w:val="24"/>
                <w:szCs w:val="24"/>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9"/>
              </w:rPr>
              <w:t>Exhibit</w:t>
            </w:r>
          </w:p>
        </w:tc>
        <w:tc>
          <w:tcPr>
            <w:tcW w:w="528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239"/>
        </w:trPr>
        <w:tc>
          <w:tcPr>
            <w:tcW w:w="700" w:type="dxa"/>
            <w:vAlign w:val="bottom"/>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9"/>
              </w:rPr>
              <w:t>No.</w:t>
            </w:r>
          </w:p>
        </w:tc>
        <w:tc>
          <w:tcPr>
            <w:tcW w:w="5280" w:type="dxa"/>
            <w:vAlign w:val="bottom"/>
            <w:tcBorders>
              <w:bottom w:val="single" w:sz="8" w:color="auto"/>
            </w:tcBorders>
          </w:tcPr>
          <w:p>
            <w:pPr>
              <w:ind w:left="2280"/>
              <w:spacing w:after="0"/>
              <w:rPr>
                <w:sz w:val="20"/>
                <w:szCs w:val="20"/>
                <w:color w:val="auto"/>
              </w:rPr>
            </w:pPr>
            <w:r>
              <w:rPr>
                <w:rFonts w:ascii="Arial" w:cs="Arial" w:eastAsia="Arial" w:hAnsi="Arial"/>
                <w:sz w:val="18"/>
                <w:szCs w:val="18"/>
                <w:color w:val="auto"/>
              </w:rPr>
              <w:t>Description</w:t>
            </w:r>
          </w:p>
        </w:tc>
        <w:tc>
          <w:tcPr>
            <w:tcW w:w="3620" w:type="dxa"/>
            <w:vAlign w:val="bottom"/>
            <w:tcBorders>
              <w:bottom w:val="single" w:sz="8" w:color="auto"/>
            </w:tcBorders>
          </w:tcPr>
          <w:p>
            <w:pPr>
              <w:ind w:left="1520"/>
              <w:spacing w:after="0"/>
              <w:rPr>
                <w:sz w:val="20"/>
                <w:szCs w:val="20"/>
                <w:color w:val="auto"/>
              </w:rPr>
            </w:pPr>
            <w:r>
              <w:rPr>
                <w:rFonts w:ascii="Arial" w:cs="Arial" w:eastAsia="Arial" w:hAnsi="Arial"/>
                <w:sz w:val="18"/>
                <w:szCs w:val="18"/>
                <w:color w:val="auto"/>
              </w:rPr>
              <w:t>Location</w:t>
            </w:r>
          </w:p>
        </w:tc>
      </w:tr>
      <w:tr>
        <w:trPr>
          <w:trHeight w:val="227"/>
        </w:trPr>
        <w:tc>
          <w:tcPr>
            <w:tcW w:w="1840" w:type="dxa"/>
            <w:vAlign w:val="bottom"/>
            <w:gridSpan w:val="3"/>
          </w:tcPr>
          <w:p>
            <w:pPr>
              <w:ind w:left="700"/>
              <w:spacing w:after="0"/>
              <w:rPr>
                <w:sz w:val="20"/>
                <w:szCs w:val="20"/>
                <w:color w:val="auto"/>
              </w:rPr>
            </w:pPr>
            <w:r>
              <w:rPr>
                <w:rFonts w:ascii="Arial" w:cs="Arial" w:eastAsia="Arial" w:hAnsi="Arial"/>
                <w:sz w:val="18"/>
                <w:szCs w:val="18"/>
                <w:color w:val="auto"/>
              </w:rPr>
              <w:t>10.7(d)(i)</w:t>
            </w:r>
          </w:p>
        </w:tc>
        <w:tc>
          <w:tcPr>
            <w:tcW w:w="5280" w:type="dxa"/>
            <w:vAlign w:val="bottom"/>
          </w:tcPr>
          <w:p>
            <w:pPr>
              <w:ind w:left="280"/>
              <w:spacing w:after="0"/>
              <w:rPr>
                <w:sz w:val="20"/>
                <w:szCs w:val="20"/>
                <w:color w:val="auto"/>
              </w:rPr>
            </w:pPr>
            <w:r>
              <w:rPr>
                <w:rFonts w:ascii="Arial" w:cs="Arial" w:eastAsia="Arial" w:hAnsi="Arial"/>
                <w:sz w:val="18"/>
                <w:szCs w:val="18"/>
                <w:color w:val="auto"/>
              </w:rPr>
              <w:t>Specimen form of Restricted Stock Unit Award Agreement for</w:t>
            </w:r>
          </w:p>
        </w:tc>
        <w:tc>
          <w:tcPr>
            <w:tcW w:w="3620" w:type="dxa"/>
            <w:vAlign w:val="bottom"/>
          </w:tcPr>
          <w:p>
            <w:pPr>
              <w:ind w:left="100"/>
              <w:spacing w:after="0"/>
              <w:rPr>
                <w:sz w:val="20"/>
                <w:szCs w:val="20"/>
                <w:color w:val="auto"/>
              </w:rPr>
            </w:pPr>
            <w:r>
              <w:rPr>
                <w:rFonts w:ascii="Arial" w:cs="Arial" w:eastAsia="Arial" w:hAnsi="Arial"/>
                <w:sz w:val="18"/>
                <w:szCs w:val="18"/>
                <w:color w:val="auto"/>
              </w:rPr>
              <w:t>Incorporated herein by reference to the</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80" w:type="dxa"/>
            <w:vAlign w:val="bottom"/>
          </w:tcPr>
          <w:p>
            <w:pPr>
              <w:ind w:left="280"/>
              <w:spacing w:after="0" w:line="202" w:lineRule="exact"/>
              <w:rPr>
                <w:sz w:val="20"/>
                <w:szCs w:val="20"/>
                <w:color w:val="auto"/>
              </w:rPr>
            </w:pPr>
            <w:r>
              <w:rPr>
                <w:rFonts w:ascii="Arial" w:cs="Arial" w:eastAsia="Arial" w:hAnsi="Arial"/>
                <w:sz w:val="18"/>
                <w:szCs w:val="18"/>
                <w:color w:val="auto"/>
              </w:rPr>
              <w:t>Employees (with Related Dividend Equivalents) used to</w:t>
            </w:r>
          </w:p>
        </w:tc>
        <w:tc>
          <w:tcPr>
            <w:tcW w:w="3620" w:type="dxa"/>
            <w:vAlign w:val="bottom"/>
          </w:tcPr>
          <w:p>
            <w:pPr>
              <w:ind w:left="100"/>
              <w:spacing w:after="0" w:line="202" w:lineRule="exact"/>
              <w:rPr>
                <w:sz w:val="20"/>
                <w:szCs w:val="20"/>
                <w:color w:val="auto"/>
              </w:rPr>
            </w:pPr>
            <w:r>
              <w:rPr>
                <w:rFonts w:ascii="Arial" w:cs="Arial" w:eastAsia="Arial" w:hAnsi="Arial"/>
                <w:sz w:val="18"/>
                <w:szCs w:val="18"/>
                <w:color w:val="auto"/>
              </w:rPr>
              <w:t>Registrant’s Annual Report on Form 10-K</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80" w:type="dxa"/>
            <w:vAlign w:val="bottom"/>
          </w:tcPr>
          <w:p>
            <w:pPr>
              <w:ind w:left="280"/>
              <w:spacing w:after="0" w:line="202" w:lineRule="exact"/>
              <w:rPr>
                <w:sz w:val="20"/>
                <w:szCs w:val="20"/>
                <w:color w:val="auto"/>
              </w:rPr>
            </w:pPr>
            <w:r>
              <w:rPr>
                <w:rFonts w:ascii="Arial" w:cs="Arial" w:eastAsia="Arial" w:hAnsi="Arial"/>
                <w:sz w:val="18"/>
                <w:szCs w:val="18"/>
                <w:color w:val="auto"/>
              </w:rPr>
              <w:t>evidence grants of Restricted Stock Units which may be</w:t>
            </w:r>
          </w:p>
        </w:tc>
        <w:tc>
          <w:tcPr>
            <w:tcW w:w="3620" w:type="dxa"/>
            <w:vAlign w:val="bottom"/>
          </w:tcPr>
          <w:p>
            <w:pPr>
              <w:ind w:left="100"/>
              <w:spacing w:after="0" w:line="202" w:lineRule="exact"/>
              <w:rPr>
                <w:sz w:val="20"/>
                <w:szCs w:val="20"/>
                <w:color w:val="auto"/>
              </w:rPr>
            </w:pPr>
            <w:r>
              <w:rPr>
                <w:rFonts w:ascii="Arial" w:cs="Arial" w:eastAsia="Arial" w:hAnsi="Arial"/>
                <w:sz w:val="18"/>
                <w:szCs w:val="18"/>
                <w:color w:val="auto"/>
              </w:rPr>
              <w:t>for the fiscal year ended September 30,</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80" w:type="dxa"/>
            <w:vAlign w:val="bottom"/>
          </w:tcPr>
          <w:p>
            <w:pPr>
              <w:ind w:left="280"/>
              <w:spacing w:after="0" w:line="202" w:lineRule="exact"/>
              <w:rPr>
                <w:sz w:val="20"/>
                <w:szCs w:val="20"/>
                <w:color w:val="auto"/>
              </w:rPr>
            </w:pPr>
            <w:r>
              <w:rPr>
                <w:rFonts w:ascii="Arial" w:cs="Arial" w:eastAsia="Arial" w:hAnsi="Arial"/>
                <w:sz w:val="18"/>
                <w:szCs w:val="18"/>
                <w:color w:val="auto"/>
              </w:rPr>
              <w:t>made under The Scotts Miracle-Gro Company Amended and</w:t>
            </w:r>
          </w:p>
        </w:tc>
        <w:tc>
          <w:tcPr>
            <w:tcW w:w="3620" w:type="dxa"/>
            <w:vAlign w:val="bottom"/>
          </w:tcPr>
          <w:p>
            <w:pPr>
              <w:ind w:left="100"/>
              <w:spacing w:after="0" w:line="202" w:lineRule="exact"/>
              <w:rPr>
                <w:sz w:val="20"/>
                <w:szCs w:val="20"/>
                <w:color w:val="auto"/>
              </w:rPr>
            </w:pPr>
            <w:r>
              <w:rPr>
                <w:rFonts w:ascii="Arial" w:cs="Arial" w:eastAsia="Arial" w:hAnsi="Arial"/>
                <w:sz w:val="18"/>
                <w:szCs w:val="18"/>
                <w:color w:val="auto"/>
              </w:rPr>
              <w:t>2008 (which was filed on November 25,</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80" w:type="dxa"/>
            <w:vAlign w:val="bottom"/>
          </w:tcPr>
          <w:p>
            <w:pPr>
              <w:ind w:left="280"/>
              <w:spacing w:after="0" w:line="202" w:lineRule="exact"/>
              <w:rPr>
                <w:sz w:val="20"/>
                <w:szCs w:val="20"/>
                <w:color w:val="auto"/>
              </w:rPr>
            </w:pPr>
            <w:r>
              <w:rPr>
                <w:rFonts w:ascii="Arial" w:cs="Arial" w:eastAsia="Arial" w:hAnsi="Arial"/>
                <w:sz w:val="18"/>
                <w:szCs w:val="18"/>
                <w:color w:val="auto"/>
              </w:rPr>
              <w:t>Restated 2006 Long-Term Incentive Plan (post-October 8,</w:t>
            </w:r>
          </w:p>
        </w:tc>
        <w:tc>
          <w:tcPr>
            <w:tcW w:w="3620" w:type="dxa"/>
            <w:vAlign w:val="bottom"/>
          </w:tcPr>
          <w:p>
            <w:pPr>
              <w:ind w:left="100"/>
              <w:spacing w:after="0" w:line="202" w:lineRule="exact"/>
              <w:rPr>
                <w:sz w:val="20"/>
                <w:szCs w:val="20"/>
                <w:color w:val="auto"/>
              </w:rPr>
            </w:pPr>
            <w:r>
              <w:rPr>
                <w:rFonts w:ascii="Arial" w:cs="Arial" w:eastAsia="Arial" w:hAnsi="Arial"/>
                <w:sz w:val="18"/>
                <w:szCs w:val="18"/>
                <w:color w:val="auto"/>
              </w:rPr>
              <w:t>2008) (File No. 1-13292) [Exhibit 10.7(d)(i)]</w:t>
            </w:r>
          </w:p>
        </w:tc>
      </w:tr>
      <w:tr>
        <w:trPr>
          <w:trHeight w:val="243"/>
        </w:trPr>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280" w:type="dxa"/>
            <w:vAlign w:val="bottom"/>
          </w:tcPr>
          <w:p>
            <w:pPr>
              <w:ind w:left="280"/>
              <w:spacing w:after="0"/>
              <w:rPr>
                <w:sz w:val="20"/>
                <w:szCs w:val="20"/>
                <w:color w:val="auto"/>
              </w:rPr>
            </w:pPr>
            <w:r>
              <w:rPr>
                <w:rFonts w:ascii="Arial" w:cs="Arial" w:eastAsia="Arial" w:hAnsi="Arial"/>
                <w:sz w:val="18"/>
                <w:szCs w:val="18"/>
                <w:color w:val="auto"/>
              </w:rPr>
              <w:t>2008 version)</w:t>
            </w:r>
          </w:p>
        </w:tc>
        <w:tc>
          <w:tcPr>
            <w:tcW w:w="3620" w:type="dxa"/>
            <w:vAlign w:val="bottom"/>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0740"/>
          </w:cols>
          <w:pgMar w:left="240" w:top="405" w:right="919" w:bottom="1440" w:gutter="0" w:footer="0" w:header="0"/>
        </w:sectPr>
      </w:pPr>
    </w:p>
    <w:p>
      <w:pPr>
        <w:spacing w:after="0" w:line="133"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Arial" w:cs="Arial" w:eastAsia="Arial" w:hAnsi="Arial"/>
                <w:sz w:val="18"/>
                <w:szCs w:val="18"/>
                <w:color w:val="auto"/>
              </w:rPr>
              <w:t>10.7(d)(ii)</w:t>
            </w:r>
          </w:p>
        </w:tc>
        <w:tc>
          <w:tcPr>
            <w:tcW w:w="5000" w:type="dxa"/>
            <w:vAlign w:val="bottom"/>
          </w:tcPr>
          <w:p>
            <w:pPr>
              <w:ind w:left="320"/>
              <w:spacing w:after="0"/>
              <w:rPr>
                <w:sz w:val="20"/>
                <w:szCs w:val="20"/>
                <w:color w:val="auto"/>
              </w:rPr>
            </w:pPr>
            <w:r>
              <w:rPr>
                <w:rFonts w:ascii="Arial" w:cs="Arial" w:eastAsia="Arial" w:hAnsi="Arial"/>
                <w:sz w:val="18"/>
                <w:szCs w:val="18"/>
                <w:color w:val="auto"/>
              </w:rPr>
              <w:t>Special Restricted Stock Unit Award Agreement for</w:t>
            </w:r>
          </w:p>
        </w:tc>
      </w:tr>
      <w:tr>
        <w:trPr>
          <w:trHeight w:val="225"/>
        </w:trPr>
        <w:tc>
          <w:tcPr>
            <w:tcW w:w="1100" w:type="dxa"/>
            <w:vAlign w:val="bottom"/>
          </w:tcPr>
          <w:p>
            <w:pPr>
              <w:spacing w:after="0"/>
              <w:rPr>
                <w:sz w:val="19"/>
                <w:szCs w:val="19"/>
                <w:color w:val="auto"/>
              </w:rPr>
            </w:pPr>
          </w:p>
        </w:tc>
        <w:tc>
          <w:tcPr>
            <w:tcW w:w="5000" w:type="dxa"/>
            <w:vAlign w:val="bottom"/>
          </w:tcPr>
          <w:p>
            <w:pPr>
              <w:ind w:left="320"/>
              <w:spacing w:after="0"/>
              <w:rPr>
                <w:sz w:val="20"/>
                <w:szCs w:val="20"/>
                <w:color w:val="auto"/>
              </w:rPr>
            </w:pPr>
            <w:r>
              <w:rPr>
                <w:rFonts w:ascii="Arial" w:cs="Arial" w:eastAsia="Arial" w:hAnsi="Arial"/>
                <w:sz w:val="18"/>
                <w:szCs w:val="18"/>
                <w:color w:val="auto"/>
                <w:w w:val="99"/>
              </w:rPr>
              <w:t>Employees (with Related Dividend Equivalents) evidencing</w:t>
            </w:r>
          </w:p>
        </w:tc>
      </w:tr>
    </w:tbl>
    <w:p>
      <w:pPr>
        <w:ind w:left="2120"/>
        <w:spacing w:after="0" w:line="242" w:lineRule="auto"/>
        <w:rPr>
          <w:sz w:val="20"/>
          <w:szCs w:val="20"/>
          <w:color w:val="auto"/>
        </w:rPr>
      </w:pPr>
      <w:r>
        <w:rPr>
          <w:rFonts w:ascii="Arial" w:cs="Arial" w:eastAsia="Arial" w:hAnsi="Arial"/>
          <w:sz w:val="18"/>
          <w:szCs w:val="18"/>
          <w:color w:val="auto"/>
        </w:rPr>
        <w:t>grant of Restricted Stock Units made on October 8, 2008 to Mark R. Baker under The Scotts Miracle-Gro Company Amended and Restated 2006 Long-Term Incentive Plan</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2008 (which was filed on November 25, 2008) (File No. 1-13292) [Exhibit 10.7(d)(ii)]</w:t>
      </w:r>
    </w:p>
    <w:p>
      <w:pPr>
        <w:spacing w:after="0" w:line="200" w:lineRule="exact"/>
        <w:rPr>
          <w:sz w:val="20"/>
          <w:szCs w:val="20"/>
          <w:color w:val="auto"/>
        </w:rPr>
      </w:pPr>
    </w:p>
    <w:p>
      <w:pPr>
        <w:sectPr>
          <w:pgSz w:w="11900" w:h="16838" w:orient="portrait"/>
          <w:cols w:equalWidth="0" w:num="2">
            <w:col w:w="6840" w:space="380"/>
            <w:col w:w="3520"/>
          </w:cols>
          <w:pgMar w:left="240" w:top="405" w:right="919" w:bottom="1440" w:gutter="0" w:footer="0" w:header="0"/>
          <w:type w:val="continuous"/>
        </w:sectPr>
      </w:pPr>
    </w:p>
    <w:p>
      <w:pPr>
        <w:spacing w:after="0" w:line="135" w:lineRule="exact"/>
        <w:rPr>
          <w:sz w:val="20"/>
          <w:szCs w:val="20"/>
          <w:color w:val="auto"/>
        </w:rPr>
      </w:pPr>
    </w:p>
    <w:p>
      <w:pPr>
        <w:ind w:left="700"/>
        <w:spacing w:after="0"/>
        <w:tabs>
          <w:tab w:leader="none" w:pos="2100" w:val="left"/>
        </w:tabs>
        <w:rPr>
          <w:sz w:val="20"/>
          <w:szCs w:val="20"/>
          <w:color w:val="auto"/>
        </w:rPr>
      </w:pPr>
      <w:r>
        <w:rPr>
          <w:rFonts w:ascii="Arial" w:cs="Arial" w:eastAsia="Arial" w:hAnsi="Arial"/>
          <w:sz w:val="18"/>
          <w:szCs w:val="18"/>
          <w:color w:val="auto"/>
        </w:rPr>
        <w:t>10.7(d)(iii)</w:t>
      </w:r>
      <w:r>
        <w:rPr>
          <w:sz w:val="20"/>
          <w:szCs w:val="20"/>
          <w:color w:val="auto"/>
        </w:rPr>
        <w:tab/>
      </w:r>
      <w:r>
        <w:rPr>
          <w:rFonts w:ascii="Arial" w:cs="Arial" w:eastAsia="Arial" w:hAnsi="Arial"/>
          <w:sz w:val="17"/>
          <w:szCs w:val="17"/>
          <w:color w:val="auto"/>
        </w:rPr>
        <w:t>Special Restricted Stock Unit Award Agreement (with Related</w:t>
      </w:r>
    </w:p>
    <w:p>
      <w:pPr>
        <w:spacing w:after="0" w:line="18" w:lineRule="exact"/>
        <w:rPr>
          <w:sz w:val="20"/>
          <w:szCs w:val="20"/>
          <w:color w:val="auto"/>
        </w:rPr>
      </w:pPr>
    </w:p>
    <w:p>
      <w:pPr>
        <w:ind w:left="2120" w:right="240"/>
        <w:spacing w:after="0"/>
        <w:rPr>
          <w:sz w:val="20"/>
          <w:szCs w:val="20"/>
          <w:color w:val="auto"/>
        </w:rPr>
      </w:pPr>
      <w:r>
        <w:rPr>
          <w:rFonts w:ascii="Arial" w:cs="Arial" w:eastAsia="Arial" w:hAnsi="Arial"/>
          <w:sz w:val="18"/>
          <w:szCs w:val="18"/>
          <w:color w:val="auto"/>
        </w:rPr>
        <w:t>Dividend Equivalents) evidencing grant of Restricted Stock Units made on November 4, 2008 to Claude Lopez under The Scotts Miracle-Gro Company Amended and Restated 2006 Long-Term Incentive Plan</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2008 (which was filed on November 25, 2008) (File No. 1-13292) [Exhibit 10.7(d)(iii)]</w:t>
      </w:r>
    </w:p>
    <w:p>
      <w:pPr>
        <w:spacing w:after="0" w:line="200" w:lineRule="exact"/>
        <w:rPr>
          <w:sz w:val="20"/>
          <w:szCs w:val="20"/>
          <w:color w:val="auto"/>
        </w:rPr>
      </w:pPr>
    </w:p>
    <w:p>
      <w:pPr>
        <w:sectPr>
          <w:pgSz w:w="11900" w:h="16838" w:orient="portrait"/>
          <w:cols w:equalWidth="0" w:num="2">
            <w:col w:w="7020" w:space="200"/>
            <w:col w:w="3520"/>
          </w:cols>
          <w:pgMar w:left="240" w:top="405" w:right="919" w:bottom="1440" w:gutter="0" w:footer="0" w:header="0"/>
          <w:type w:val="continuous"/>
        </w:sectPr>
      </w:pPr>
    </w:p>
    <w:p>
      <w:pPr>
        <w:spacing w:after="0" w:line="130"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1080" w:type="dxa"/>
            <w:vAlign w:val="bottom"/>
          </w:tcPr>
          <w:p>
            <w:pPr>
              <w:spacing w:after="0"/>
              <w:rPr>
                <w:sz w:val="20"/>
                <w:szCs w:val="20"/>
                <w:color w:val="auto"/>
              </w:rPr>
            </w:pPr>
            <w:r>
              <w:rPr>
                <w:rFonts w:ascii="Arial" w:cs="Arial" w:eastAsia="Arial" w:hAnsi="Arial"/>
                <w:sz w:val="18"/>
                <w:szCs w:val="18"/>
                <w:color w:val="auto"/>
              </w:rPr>
              <w:t>10.7(e)(i)</w:t>
            </w:r>
          </w:p>
        </w:tc>
        <w:tc>
          <w:tcPr>
            <w:tcW w:w="5100" w:type="dxa"/>
            <w:vAlign w:val="bottom"/>
          </w:tcPr>
          <w:p>
            <w:pPr>
              <w:ind w:left="340"/>
              <w:spacing w:after="0"/>
              <w:rPr>
                <w:sz w:val="20"/>
                <w:szCs w:val="20"/>
                <w:color w:val="auto"/>
              </w:rPr>
            </w:pPr>
            <w:r>
              <w:rPr>
                <w:rFonts w:ascii="Arial" w:cs="Arial" w:eastAsia="Arial" w:hAnsi="Arial"/>
                <w:sz w:val="18"/>
                <w:szCs w:val="18"/>
                <w:color w:val="auto"/>
                <w:w w:val="99"/>
              </w:rPr>
              <w:t>Specimen form of Performance Share Award Agreement for</w:t>
            </w:r>
          </w:p>
        </w:tc>
      </w:tr>
      <w:tr>
        <w:trPr>
          <w:trHeight w:val="225"/>
        </w:trPr>
        <w:tc>
          <w:tcPr>
            <w:tcW w:w="1080" w:type="dxa"/>
            <w:vAlign w:val="bottom"/>
          </w:tcPr>
          <w:p>
            <w:pPr>
              <w:spacing w:after="0"/>
              <w:rPr>
                <w:sz w:val="19"/>
                <w:szCs w:val="19"/>
                <w:color w:val="auto"/>
              </w:rPr>
            </w:pPr>
          </w:p>
        </w:tc>
        <w:tc>
          <w:tcPr>
            <w:tcW w:w="5100" w:type="dxa"/>
            <w:vAlign w:val="bottom"/>
          </w:tcPr>
          <w:p>
            <w:pPr>
              <w:ind w:left="340"/>
              <w:spacing w:after="0"/>
              <w:rPr>
                <w:sz w:val="20"/>
                <w:szCs w:val="20"/>
                <w:color w:val="auto"/>
              </w:rPr>
            </w:pPr>
            <w:r>
              <w:rPr>
                <w:rFonts w:ascii="Arial" w:cs="Arial" w:eastAsia="Arial" w:hAnsi="Arial"/>
                <w:sz w:val="18"/>
                <w:szCs w:val="18"/>
                <w:color w:val="auto"/>
              </w:rPr>
              <w:t>Employees (with Related Dividend Equivalents) used to</w:t>
            </w:r>
          </w:p>
        </w:tc>
      </w:tr>
    </w:tbl>
    <w:p>
      <w:pPr>
        <w:ind w:left="2120"/>
        <w:spacing w:after="0" w:line="239" w:lineRule="auto"/>
        <w:rPr>
          <w:sz w:val="20"/>
          <w:szCs w:val="20"/>
          <w:color w:val="auto"/>
        </w:rPr>
      </w:pPr>
      <w:r>
        <w:rPr>
          <w:rFonts w:ascii="Arial" w:cs="Arial" w:eastAsia="Arial" w:hAnsi="Arial"/>
          <w:sz w:val="18"/>
          <w:szCs w:val="18"/>
          <w:color w:val="auto"/>
        </w:rPr>
        <w:t>evidence grants of Performance Shares which may be made under The Scotts Miracle-Gro Company 2006 Long-Term Incentive Plan (now known as The Scotts Miracle-Gro Company Amended and Restated 2006 Long-Term Incentive Plan) [post-October 30, 2007 version]</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ind w:right="220"/>
        <w:spacing w:after="0" w:line="268" w:lineRule="auto"/>
        <w:rPr>
          <w:sz w:val="20"/>
          <w:szCs w:val="20"/>
          <w:color w:val="auto"/>
        </w:rPr>
      </w:pPr>
      <w:r>
        <w:rPr>
          <w:rFonts w:ascii="Arial" w:cs="Arial" w:eastAsia="Arial" w:hAnsi="Arial"/>
          <w:sz w:val="17"/>
          <w:szCs w:val="17"/>
          <w:color w:val="auto"/>
        </w:rPr>
        <w:t>Incorporated herein by reference to the Registrant’s Annual Report on Form 10-K for the fiscal year ended September 30, 2007 (File No. 1-13292) [Exhibit 10(t)(5)]</w:t>
      </w:r>
    </w:p>
    <w:p>
      <w:pPr>
        <w:spacing w:after="0" w:line="784" w:lineRule="exact"/>
        <w:rPr>
          <w:sz w:val="20"/>
          <w:szCs w:val="20"/>
          <w:color w:val="auto"/>
        </w:rPr>
      </w:pPr>
    </w:p>
    <w:p>
      <w:pPr>
        <w:sectPr>
          <w:pgSz w:w="11900" w:h="16838" w:orient="portrait"/>
          <w:cols w:equalWidth="0" w:num="2">
            <w:col w:w="6960" w:space="260"/>
            <w:col w:w="3520"/>
          </w:cols>
          <w:pgMar w:left="240" w:top="405" w:right="919" w:bottom="1440" w:gutter="0" w:footer="0" w:header="0"/>
          <w:type w:val="continuous"/>
        </w:sectPr>
      </w:pPr>
    </w:p>
    <w:p>
      <w:pPr>
        <w:spacing w:after="0" w:line="134"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Arial" w:cs="Arial" w:eastAsia="Arial" w:hAnsi="Arial"/>
                <w:sz w:val="18"/>
                <w:szCs w:val="18"/>
                <w:color w:val="auto"/>
              </w:rPr>
              <w:t>10.7(e)(ii)</w:t>
            </w:r>
          </w:p>
        </w:tc>
        <w:tc>
          <w:tcPr>
            <w:tcW w:w="5100" w:type="dxa"/>
            <w:vAlign w:val="bottom"/>
          </w:tcPr>
          <w:p>
            <w:pPr>
              <w:ind w:left="320"/>
              <w:spacing w:after="0"/>
              <w:rPr>
                <w:sz w:val="20"/>
                <w:szCs w:val="20"/>
                <w:color w:val="auto"/>
              </w:rPr>
            </w:pPr>
            <w:r>
              <w:rPr>
                <w:rFonts w:ascii="Arial" w:cs="Arial" w:eastAsia="Arial" w:hAnsi="Arial"/>
                <w:sz w:val="18"/>
                <w:szCs w:val="18"/>
                <w:color w:val="auto"/>
                <w:w w:val="99"/>
              </w:rPr>
              <w:t>Special Performance Share Award Agreement (with Related</w:t>
            </w:r>
          </w:p>
        </w:tc>
      </w:tr>
      <w:tr>
        <w:trPr>
          <w:trHeight w:val="225"/>
        </w:trPr>
        <w:tc>
          <w:tcPr>
            <w:tcW w:w="1100" w:type="dxa"/>
            <w:vAlign w:val="bottom"/>
          </w:tcPr>
          <w:p>
            <w:pPr>
              <w:spacing w:after="0"/>
              <w:rPr>
                <w:sz w:val="19"/>
                <w:szCs w:val="19"/>
                <w:color w:val="auto"/>
              </w:rPr>
            </w:pPr>
          </w:p>
        </w:tc>
        <w:tc>
          <w:tcPr>
            <w:tcW w:w="5100" w:type="dxa"/>
            <w:vAlign w:val="bottom"/>
          </w:tcPr>
          <w:p>
            <w:pPr>
              <w:ind w:left="320"/>
              <w:spacing w:after="0"/>
              <w:rPr>
                <w:sz w:val="20"/>
                <w:szCs w:val="20"/>
                <w:color w:val="auto"/>
              </w:rPr>
            </w:pPr>
            <w:r>
              <w:rPr>
                <w:rFonts w:ascii="Arial" w:cs="Arial" w:eastAsia="Arial" w:hAnsi="Arial"/>
                <w:sz w:val="18"/>
                <w:szCs w:val="18"/>
                <w:color w:val="auto"/>
              </w:rPr>
              <w:t>Dividend Equivalents) evidencing grant of Performance</w:t>
            </w:r>
          </w:p>
        </w:tc>
      </w:tr>
    </w:tbl>
    <w:p>
      <w:pPr>
        <w:ind w:left="2120"/>
        <w:spacing w:after="0" w:line="239" w:lineRule="auto"/>
        <w:rPr>
          <w:sz w:val="20"/>
          <w:szCs w:val="20"/>
          <w:color w:val="auto"/>
        </w:rPr>
      </w:pPr>
      <w:r>
        <w:rPr>
          <w:rFonts w:ascii="Arial" w:cs="Arial" w:eastAsia="Arial" w:hAnsi="Arial"/>
          <w:sz w:val="18"/>
          <w:szCs w:val="18"/>
          <w:color w:val="auto"/>
        </w:rPr>
        <w:t>Shares made on October 30, 2007 to Barry W. Sanders under The Scotts Miracle-Gro Company Amended and Restated 2006 Long-Term Incentive Plan (executed by The Scotts Miracle-Gro Company on December 20, 2007 and by Barry W. Sanders on January 7, 2008)</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December 29, 2007 (File No. 1-13292) [Exhibit 10(n)]</w:t>
      </w:r>
    </w:p>
    <w:p>
      <w:pPr>
        <w:spacing w:after="0" w:line="802" w:lineRule="exact"/>
        <w:rPr>
          <w:sz w:val="20"/>
          <w:szCs w:val="20"/>
          <w:color w:val="auto"/>
        </w:rPr>
      </w:pPr>
    </w:p>
    <w:p>
      <w:pPr>
        <w:sectPr>
          <w:pgSz w:w="11900" w:h="16838" w:orient="portrait"/>
          <w:cols w:equalWidth="0" w:num="2">
            <w:col w:w="6900" w:space="320"/>
            <w:col w:w="3520"/>
          </w:cols>
          <w:pgMar w:left="240" w:top="405" w:right="919" w:bottom="1440" w:gutter="0" w:footer="0" w:header="0"/>
          <w:type w:val="continuous"/>
        </w:sectPr>
      </w:pPr>
    </w:p>
    <w:p>
      <w:pPr>
        <w:spacing w:after="0" w:line="134"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Arial" w:cs="Arial" w:eastAsia="Arial" w:hAnsi="Arial"/>
                <w:sz w:val="18"/>
                <w:szCs w:val="18"/>
                <w:color w:val="auto"/>
              </w:rPr>
              <w:t>10.7(f)(i)</w:t>
            </w:r>
          </w:p>
        </w:tc>
        <w:tc>
          <w:tcPr>
            <w:tcW w:w="4620" w:type="dxa"/>
            <w:vAlign w:val="bottom"/>
          </w:tcPr>
          <w:p>
            <w:pPr>
              <w:ind w:left="380"/>
              <w:spacing w:after="0"/>
              <w:rPr>
                <w:sz w:val="20"/>
                <w:szCs w:val="20"/>
                <w:color w:val="auto"/>
              </w:rPr>
            </w:pPr>
            <w:r>
              <w:rPr>
                <w:rFonts w:ascii="Arial" w:cs="Arial" w:eastAsia="Arial" w:hAnsi="Arial"/>
                <w:sz w:val="18"/>
                <w:szCs w:val="18"/>
                <w:color w:val="auto"/>
              </w:rPr>
              <w:t>Specimen form of Nonqualified Stock Option Award</w:t>
            </w:r>
          </w:p>
        </w:tc>
      </w:tr>
      <w:tr>
        <w:trPr>
          <w:trHeight w:val="225"/>
        </w:trPr>
        <w:tc>
          <w:tcPr>
            <w:tcW w:w="1040" w:type="dxa"/>
            <w:vAlign w:val="bottom"/>
          </w:tcPr>
          <w:p>
            <w:pPr>
              <w:spacing w:after="0"/>
              <w:rPr>
                <w:sz w:val="19"/>
                <w:szCs w:val="19"/>
                <w:color w:val="auto"/>
              </w:rPr>
            </w:pPr>
          </w:p>
        </w:tc>
        <w:tc>
          <w:tcPr>
            <w:tcW w:w="4620" w:type="dxa"/>
            <w:vAlign w:val="bottom"/>
          </w:tcPr>
          <w:p>
            <w:pPr>
              <w:ind w:left="380"/>
              <w:spacing w:after="0"/>
              <w:rPr>
                <w:sz w:val="20"/>
                <w:szCs w:val="20"/>
                <w:color w:val="auto"/>
              </w:rPr>
            </w:pPr>
            <w:r>
              <w:rPr>
                <w:rFonts w:ascii="Arial" w:cs="Arial" w:eastAsia="Arial" w:hAnsi="Arial"/>
                <w:sz w:val="18"/>
                <w:szCs w:val="18"/>
                <w:color w:val="auto"/>
                <w:w w:val="99"/>
              </w:rPr>
              <w:t>Agreement for Employees used to evidence grants of</w:t>
            </w:r>
          </w:p>
        </w:tc>
      </w:tr>
    </w:tbl>
    <w:p>
      <w:pPr>
        <w:ind w:left="2120"/>
        <w:spacing w:after="0" w:line="239" w:lineRule="auto"/>
        <w:rPr>
          <w:sz w:val="20"/>
          <w:szCs w:val="20"/>
          <w:color w:val="auto"/>
        </w:rPr>
      </w:pPr>
      <w:r>
        <w:rPr>
          <w:rFonts w:ascii="Arial" w:cs="Arial" w:eastAsia="Arial" w:hAnsi="Arial"/>
          <w:sz w:val="18"/>
          <w:szCs w:val="18"/>
          <w:color w:val="auto"/>
        </w:rPr>
        <w:t>Nonqualified Stock Options made under The Scotts Miracle-Gro Company 2006 Long-Term Incentive Plan (now known as The Scotts Miracle-Gro Company Amended and Restated 2006 Long -Term Incentive Plan) [October 30, 2007 through October 8, 2008 version]</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ind w:right="220"/>
        <w:spacing w:after="0" w:line="268" w:lineRule="auto"/>
        <w:rPr>
          <w:sz w:val="20"/>
          <w:szCs w:val="20"/>
          <w:color w:val="auto"/>
        </w:rPr>
      </w:pPr>
      <w:r>
        <w:rPr>
          <w:rFonts w:ascii="Arial" w:cs="Arial" w:eastAsia="Arial" w:hAnsi="Arial"/>
          <w:sz w:val="17"/>
          <w:szCs w:val="17"/>
          <w:color w:val="auto"/>
        </w:rPr>
        <w:t>Incorporated herein by reference to the Registrant’s Annual Report on Form 10-K for the fiscal year ended September 30, 2007 (File No. 1-13292) [Exhibit 10(t)(3)]</w:t>
      </w:r>
    </w:p>
    <w:p>
      <w:pPr>
        <w:spacing w:after="0" w:line="784" w:lineRule="exact"/>
        <w:rPr>
          <w:sz w:val="20"/>
          <w:szCs w:val="20"/>
          <w:color w:val="auto"/>
        </w:rPr>
      </w:pPr>
    </w:p>
    <w:p>
      <w:pPr>
        <w:sectPr>
          <w:pgSz w:w="11900" w:h="16838" w:orient="portrait"/>
          <w:cols w:equalWidth="0" w:num="2">
            <w:col w:w="7020" w:space="200"/>
            <w:col w:w="3520"/>
          </w:cols>
          <w:pgMar w:left="240" w:top="405" w:right="919" w:bottom="1440" w:gutter="0" w:footer="0" w:header="0"/>
          <w:type w:val="continuous"/>
        </w:sectPr>
      </w:pPr>
    </w:p>
    <w:p>
      <w:pPr>
        <w:spacing w:after="0" w:line="134"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1060" w:type="dxa"/>
            <w:vAlign w:val="bottom"/>
          </w:tcPr>
          <w:p>
            <w:pPr>
              <w:spacing w:after="0"/>
              <w:rPr>
                <w:sz w:val="20"/>
                <w:szCs w:val="20"/>
                <w:color w:val="auto"/>
              </w:rPr>
            </w:pPr>
            <w:r>
              <w:rPr>
                <w:rFonts w:ascii="Arial" w:cs="Arial" w:eastAsia="Arial" w:hAnsi="Arial"/>
                <w:sz w:val="18"/>
                <w:szCs w:val="18"/>
                <w:color w:val="auto"/>
              </w:rPr>
              <w:t>10.7(f)(ii)</w:t>
            </w:r>
          </w:p>
        </w:tc>
        <w:tc>
          <w:tcPr>
            <w:tcW w:w="5060" w:type="dxa"/>
            <w:vAlign w:val="bottom"/>
          </w:tcPr>
          <w:p>
            <w:pPr>
              <w:ind w:left="360"/>
              <w:spacing w:after="0"/>
              <w:rPr>
                <w:sz w:val="20"/>
                <w:szCs w:val="20"/>
                <w:color w:val="auto"/>
              </w:rPr>
            </w:pPr>
            <w:r>
              <w:rPr>
                <w:rFonts w:ascii="Arial" w:cs="Arial" w:eastAsia="Arial" w:hAnsi="Arial"/>
                <w:sz w:val="18"/>
                <w:szCs w:val="18"/>
                <w:color w:val="auto"/>
              </w:rPr>
              <w:t>Specimen form of Nonqualified Stock Option Award</w:t>
            </w:r>
          </w:p>
        </w:tc>
      </w:tr>
      <w:tr>
        <w:trPr>
          <w:trHeight w:val="203"/>
        </w:trPr>
        <w:tc>
          <w:tcPr>
            <w:tcW w:w="1060" w:type="dxa"/>
            <w:vAlign w:val="bottom"/>
          </w:tcPr>
          <w:p>
            <w:pPr>
              <w:spacing w:after="0"/>
              <w:rPr>
                <w:sz w:val="17"/>
                <w:szCs w:val="17"/>
                <w:color w:val="auto"/>
              </w:rPr>
            </w:pPr>
          </w:p>
        </w:tc>
        <w:tc>
          <w:tcPr>
            <w:tcW w:w="5060" w:type="dxa"/>
            <w:vAlign w:val="bottom"/>
          </w:tcPr>
          <w:p>
            <w:pPr>
              <w:ind w:left="360"/>
              <w:spacing w:after="0" w:line="202" w:lineRule="exact"/>
              <w:rPr>
                <w:sz w:val="20"/>
                <w:szCs w:val="20"/>
                <w:color w:val="auto"/>
              </w:rPr>
            </w:pPr>
            <w:r>
              <w:rPr>
                <w:rFonts w:ascii="Arial" w:cs="Arial" w:eastAsia="Arial" w:hAnsi="Arial"/>
                <w:sz w:val="18"/>
                <w:szCs w:val="18"/>
                <w:color w:val="auto"/>
              </w:rPr>
              <w:t>Agreement for Employees used to evidence grants of</w:t>
            </w:r>
          </w:p>
        </w:tc>
      </w:tr>
      <w:tr>
        <w:trPr>
          <w:trHeight w:val="203"/>
        </w:trPr>
        <w:tc>
          <w:tcPr>
            <w:tcW w:w="1060" w:type="dxa"/>
            <w:vAlign w:val="bottom"/>
          </w:tcPr>
          <w:p>
            <w:pPr>
              <w:spacing w:after="0"/>
              <w:rPr>
                <w:sz w:val="17"/>
                <w:szCs w:val="17"/>
                <w:color w:val="auto"/>
              </w:rPr>
            </w:pPr>
          </w:p>
        </w:tc>
        <w:tc>
          <w:tcPr>
            <w:tcW w:w="5060" w:type="dxa"/>
            <w:vAlign w:val="bottom"/>
          </w:tcPr>
          <w:p>
            <w:pPr>
              <w:ind w:left="360"/>
              <w:spacing w:after="0" w:line="202" w:lineRule="exact"/>
              <w:rPr>
                <w:sz w:val="20"/>
                <w:szCs w:val="20"/>
                <w:color w:val="auto"/>
              </w:rPr>
            </w:pPr>
            <w:r>
              <w:rPr>
                <w:rFonts w:ascii="Arial" w:cs="Arial" w:eastAsia="Arial" w:hAnsi="Arial"/>
                <w:sz w:val="18"/>
                <w:szCs w:val="18"/>
                <w:color w:val="auto"/>
                <w:w w:val="99"/>
              </w:rPr>
              <w:t>Nonqualified Stock Options which may be made under The</w:t>
            </w:r>
          </w:p>
        </w:tc>
      </w:tr>
      <w:tr>
        <w:trPr>
          <w:trHeight w:val="203"/>
        </w:trPr>
        <w:tc>
          <w:tcPr>
            <w:tcW w:w="1060" w:type="dxa"/>
            <w:vAlign w:val="bottom"/>
          </w:tcPr>
          <w:p>
            <w:pPr>
              <w:spacing w:after="0"/>
              <w:rPr>
                <w:sz w:val="17"/>
                <w:szCs w:val="17"/>
                <w:color w:val="auto"/>
              </w:rPr>
            </w:pPr>
          </w:p>
        </w:tc>
        <w:tc>
          <w:tcPr>
            <w:tcW w:w="5060" w:type="dxa"/>
            <w:vAlign w:val="bottom"/>
          </w:tcPr>
          <w:p>
            <w:pPr>
              <w:ind w:left="360"/>
              <w:spacing w:after="0" w:line="202" w:lineRule="exact"/>
              <w:rPr>
                <w:sz w:val="20"/>
                <w:szCs w:val="20"/>
                <w:color w:val="auto"/>
              </w:rPr>
            </w:pPr>
            <w:r>
              <w:rPr>
                <w:rFonts w:ascii="Arial" w:cs="Arial" w:eastAsia="Arial" w:hAnsi="Arial"/>
                <w:sz w:val="18"/>
                <w:szCs w:val="18"/>
                <w:color w:val="auto"/>
                <w:w w:val="99"/>
              </w:rPr>
              <w:t>Scotts Miracle-Gro Company Amended and Restated 2006</w:t>
            </w:r>
          </w:p>
        </w:tc>
      </w:tr>
      <w:tr>
        <w:trPr>
          <w:trHeight w:val="243"/>
        </w:trPr>
        <w:tc>
          <w:tcPr>
            <w:tcW w:w="1060" w:type="dxa"/>
            <w:vAlign w:val="bottom"/>
          </w:tcPr>
          <w:p>
            <w:pPr>
              <w:spacing w:after="0"/>
              <w:rPr>
                <w:sz w:val="21"/>
                <w:szCs w:val="21"/>
                <w:color w:val="auto"/>
              </w:rPr>
            </w:pPr>
          </w:p>
        </w:tc>
        <w:tc>
          <w:tcPr>
            <w:tcW w:w="5060" w:type="dxa"/>
            <w:vAlign w:val="bottom"/>
          </w:tcPr>
          <w:p>
            <w:pPr>
              <w:ind w:left="360"/>
              <w:spacing w:after="0"/>
              <w:rPr>
                <w:sz w:val="20"/>
                <w:szCs w:val="20"/>
                <w:color w:val="auto"/>
              </w:rPr>
            </w:pPr>
            <w:r>
              <w:rPr>
                <w:rFonts w:ascii="Arial" w:cs="Arial" w:eastAsia="Arial" w:hAnsi="Arial"/>
                <w:sz w:val="18"/>
                <w:szCs w:val="18"/>
                <w:color w:val="auto"/>
              </w:rPr>
              <w:t>Long-Term Incentive Plan (post-October 8, 2008 version)</w:t>
            </w:r>
          </w:p>
        </w:tc>
      </w:tr>
    </w:tbl>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Incorporated herein by reference to the Registrant’s Annual Report on Form 10-K for the fiscal year ended September 30, 2008 (which was filed on November 25, 2008) (File No. 1-13292) [Exhibit 10.7(f)(ii)]</w:t>
      </w:r>
    </w:p>
    <w:p>
      <w:pPr>
        <w:spacing w:after="0" w:line="200" w:lineRule="exact"/>
        <w:rPr>
          <w:sz w:val="20"/>
          <w:szCs w:val="20"/>
          <w:color w:val="auto"/>
        </w:rPr>
      </w:pPr>
    </w:p>
    <w:p>
      <w:pPr>
        <w:sectPr>
          <w:pgSz w:w="11900" w:h="16838" w:orient="portrait"/>
          <w:cols w:equalWidth="0" w:num="2">
            <w:col w:w="6820" w:space="400"/>
            <w:col w:w="3520"/>
          </w:cols>
          <w:pgMar w:left="240" w:top="405" w:right="919" w:bottom="1440" w:gutter="0" w:footer="0" w:header="0"/>
          <w:type w:val="continuous"/>
        </w:sectPr>
      </w:pPr>
    </w:p>
    <w:p>
      <w:pPr>
        <w:spacing w:after="0" w:line="10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0"/>
          <w:szCs w:val="10"/>
          <w:b w:val="1"/>
          <w:bCs w:val="1"/>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-71120</wp:posOffset>
            </wp:positionV>
            <wp:extent cx="19748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149225</wp:posOffset>
            </wp:positionV>
            <wp:extent cx="7250430" cy="215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240" w:top="405" w:right="919" w:bottom="1440" w:gutter="0" w:footer="0" w:header="0"/>
          <w:type w:val="continuous"/>
        </w:sectPr>
      </w:pPr>
    </w:p>
    <w:bookmarkStart w:id="122" w:name="page123"/>
    <w:bookmarkEnd w:id="122"/>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Times New Roman" w:cs="Times New Roman" w:eastAsia="Times New Roman" w:hAnsi="Times New Roman"/>
                <w:sz w:val="18"/>
                <w:szCs w:val="18"/>
                <w:b w:val="1"/>
                <w:bCs w:val="1"/>
                <w:color w:val="0000EE"/>
                <w:w w:val="97"/>
              </w:rPr>
            </w:pPr>
            <w:hyperlink w:anchor="page64">
              <w:r>
                <w:rPr>
                  <w:rFonts w:ascii="Times New Roman" w:cs="Times New Roman" w:eastAsia="Times New Roman" w:hAnsi="Times New Roman"/>
                  <w:sz w:val="18"/>
                  <w:szCs w:val="18"/>
                  <w:b w:val="1"/>
                  <w:bCs w:val="1"/>
                  <w:color w:val="0000EE"/>
                  <w:w w:val="97"/>
                </w:rPr>
                <w:t>Table of Contents</w:t>
              </w:r>
            </w:hyperlink>
          </w:p>
        </w:tc>
        <w:tc>
          <w:tcPr>
            <w:tcW w:w="48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3640" w:type="dxa"/>
            <w:vAlign w:val="bottom"/>
          </w:tcPr>
          <w:p>
            <w:pPr>
              <w:spacing w:after="0"/>
              <w:rPr>
                <w:sz w:val="17"/>
                <w:szCs w:val="17"/>
                <w:color w:val="auto"/>
              </w:rPr>
            </w:pPr>
          </w:p>
        </w:tc>
      </w:tr>
      <w:tr>
        <w:trPr>
          <w:trHeight w:val="511"/>
        </w:trPr>
        <w:tc>
          <w:tcPr>
            <w:tcW w:w="700" w:type="dxa"/>
            <w:vAlign w:val="bottom"/>
          </w:tcPr>
          <w:p>
            <w:pPr>
              <w:spacing w:after="0"/>
              <w:rPr>
                <w:sz w:val="24"/>
                <w:szCs w:val="24"/>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9"/>
              </w:rPr>
              <w:t>Exhibit</w:t>
            </w:r>
          </w:p>
        </w:tc>
        <w:tc>
          <w:tcPr>
            <w:tcW w:w="526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39"/>
        </w:trPr>
        <w:tc>
          <w:tcPr>
            <w:tcW w:w="700" w:type="dxa"/>
            <w:vAlign w:val="bottom"/>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9"/>
              </w:rPr>
              <w:t>No.</w:t>
            </w:r>
          </w:p>
        </w:tc>
        <w:tc>
          <w:tcPr>
            <w:tcW w:w="5260" w:type="dxa"/>
            <w:vAlign w:val="bottom"/>
            <w:tcBorders>
              <w:bottom w:val="single" w:sz="8" w:color="auto"/>
            </w:tcBorders>
          </w:tcPr>
          <w:p>
            <w:pPr>
              <w:ind w:left="2280"/>
              <w:spacing w:after="0"/>
              <w:rPr>
                <w:sz w:val="20"/>
                <w:szCs w:val="20"/>
                <w:color w:val="auto"/>
              </w:rPr>
            </w:pPr>
            <w:r>
              <w:rPr>
                <w:rFonts w:ascii="Arial" w:cs="Arial" w:eastAsia="Arial" w:hAnsi="Arial"/>
                <w:sz w:val="18"/>
                <w:szCs w:val="18"/>
                <w:color w:val="auto"/>
              </w:rPr>
              <w:t>Description</w:t>
            </w:r>
          </w:p>
        </w:tc>
        <w:tc>
          <w:tcPr>
            <w:tcW w:w="3640" w:type="dxa"/>
            <w:vAlign w:val="bottom"/>
            <w:tcBorders>
              <w:bottom w:val="single" w:sz="8" w:color="auto"/>
            </w:tcBorders>
          </w:tcPr>
          <w:p>
            <w:pPr>
              <w:ind w:left="1540"/>
              <w:spacing w:after="0"/>
              <w:rPr>
                <w:sz w:val="20"/>
                <w:szCs w:val="20"/>
                <w:color w:val="auto"/>
              </w:rPr>
            </w:pPr>
            <w:r>
              <w:rPr>
                <w:rFonts w:ascii="Arial" w:cs="Arial" w:eastAsia="Arial" w:hAnsi="Arial"/>
                <w:sz w:val="18"/>
                <w:szCs w:val="18"/>
                <w:color w:val="auto"/>
              </w:rPr>
              <w:t>Location</w:t>
            </w:r>
          </w:p>
        </w:tc>
      </w:tr>
      <w:tr>
        <w:trPr>
          <w:trHeight w:val="227"/>
        </w:trPr>
        <w:tc>
          <w:tcPr>
            <w:tcW w:w="1840" w:type="dxa"/>
            <w:vAlign w:val="bottom"/>
            <w:gridSpan w:val="3"/>
          </w:tcPr>
          <w:p>
            <w:pPr>
              <w:ind w:left="700"/>
              <w:spacing w:after="0"/>
              <w:rPr>
                <w:sz w:val="20"/>
                <w:szCs w:val="20"/>
                <w:color w:val="auto"/>
              </w:rPr>
            </w:pPr>
            <w:r>
              <w:rPr>
                <w:rFonts w:ascii="Arial" w:cs="Arial" w:eastAsia="Arial" w:hAnsi="Arial"/>
                <w:sz w:val="18"/>
                <w:szCs w:val="18"/>
                <w:color w:val="auto"/>
              </w:rPr>
              <w:t>10.7(f)(iii)</w:t>
            </w:r>
          </w:p>
        </w:tc>
        <w:tc>
          <w:tcPr>
            <w:tcW w:w="5260" w:type="dxa"/>
            <w:vAlign w:val="bottom"/>
          </w:tcPr>
          <w:p>
            <w:pPr>
              <w:ind w:left="280"/>
              <w:spacing w:after="0"/>
              <w:rPr>
                <w:sz w:val="20"/>
                <w:szCs w:val="20"/>
                <w:color w:val="auto"/>
              </w:rPr>
            </w:pPr>
            <w:r>
              <w:rPr>
                <w:rFonts w:ascii="Arial" w:cs="Arial" w:eastAsia="Arial" w:hAnsi="Arial"/>
                <w:sz w:val="18"/>
                <w:szCs w:val="18"/>
                <w:color w:val="auto"/>
              </w:rPr>
              <w:t>Special Nonqualified Stock Option Award Agreement for</w:t>
            </w:r>
          </w:p>
        </w:tc>
        <w:tc>
          <w:tcPr>
            <w:tcW w:w="3640" w:type="dxa"/>
            <w:vAlign w:val="bottom"/>
          </w:tcPr>
          <w:p>
            <w:pPr>
              <w:ind w:left="120"/>
              <w:spacing w:after="0"/>
              <w:rPr>
                <w:sz w:val="20"/>
                <w:szCs w:val="20"/>
                <w:color w:val="auto"/>
              </w:rPr>
            </w:pPr>
            <w:r>
              <w:rPr>
                <w:rFonts w:ascii="Arial" w:cs="Arial" w:eastAsia="Arial" w:hAnsi="Arial"/>
                <w:sz w:val="18"/>
                <w:szCs w:val="18"/>
                <w:color w:val="auto"/>
              </w:rPr>
              <w:t>Incorporated herein by reference to the</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60" w:type="dxa"/>
            <w:vAlign w:val="bottom"/>
          </w:tcPr>
          <w:p>
            <w:pPr>
              <w:ind w:left="280"/>
              <w:spacing w:after="0" w:line="202" w:lineRule="exact"/>
              <w:rPr>
                <w:sz w:val="20"/>
                <w:szCs w:val="20"/>
                <w:color w:val="auto"/>
              </w:rPr>
            </w:pPr>
            <w:r>
              <w:rPr>
                <w:rFonts w:ascii="Arial" w:cs="Arial" w:eastAsia="Arial" w:hAnsi="Arial"/>
                <w:sz w:val="18"/>
                <w:szCs w:val="18"/>
                <w:color w:val="auto"/>
              </w:rPr>
              <w:t>Employees evidencing grant of Nonqualified Stock Options</w:t>
            </w:r>
          </w:p>
        </w:tc>
        <w:tc>
          <w:tcPr>
            <w:tcW w:w="3640" w:type="dxa"/>
            <w:vAlign w:val="bottom"/>
          </w:tcPr>
          <w:p>
            <w:pPr>
              <w:ind w:left="120"/>
              <w:spacing w:after="0" w:line="202" w:lineRule="exact"/>
              <w:rPr>
                <w:sz w:val="20"/>
                <w:szCs w:val="20"/>
                <w:color w:val="auto"/>
              </w:rPr>
            </w:pPr>
            <w:r>
              <w:rPr>
                <w:rFonts w:ascii="Arial" w:cs="Arial" w:eastAsia="Arial" w:hAnsi="Arial"/>
                <w:sz w:val="18"/>
                <w:szCs w:val="18"/>
                <w:color w:val="auto"/>
              </w:rPr>
              <w:t>Registrant’s Annual Report on Form 10-K</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60" w:type="dxa"/>
            <w:vAlign w:val="bottom"/>
          </w:tcPr>
          <w:p>
            <w:pPr>
              <w:ind w:left="280"/>
              <w:spacing w:after="0" w:line="202" w:lineRule="exact"/>
              <w:rPr>
                <w:sz w:val="20"/>
                <w:szCs w:val="20"/>
                <w:color w:val="auto"/>
              </w:rPr>
            </w:pPr>
            <w:r>
              <w:rPr>
                <w:rFonts w:ascii="Arial" w:cs="Arial" w:eastAsia="Arial" w:hAnsi="Arial"/>
                <w:sz w:val="18"/>
                <w:szCs w:val="18"/>
                <w:color w:val="auto"/>
              </w:rPr>
              <w:t>made on October 8, 2008 to Mark R. Baker under The Scotts</w:t>
            </w:r>
          </w:p>
        </w:tc>
        <w:tc>
          <w:tcPr>
            <w:tcW w:w="3640" w:type="dxa"/>
            <w:vAlign w:val="bottom"/>
          </w:tcPr>
          <w:p>
            <w:pPr>
              <w:ind w:left="120"/>
              <w:spacing w:after="0" w:line="202" w:lineRule="exact"/>
              <w:rPr>
                <w:sz w:val="20"/>
                <w:szCs w:val="20"/>
                <w:color w:val="auto"/>
              </w:rPr>
            </w:pPr>
            <w:r>
              <w:rPr>
                <w:rFonts w:ascii="Arial" w:cs="Arial" w:eastAsia="Arial" w:hAnsi="Arial"/>
                <w:sz w:val="18"/>
                <w:szCs w:val="18"/>
                <w:color w:val="auto"/>
              </w:rPr>
              <w:t>for the fiscal year ended September 30,</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60" w:type="dxa"/>
            <w:vAlign w:val="bottom"/>
          </w:tcPr>
          <w:p>
            <w:pPr>
              <w:ind w:left="280"/>
              <w:spacing w:after="0" w:line="202" w:lineRule="exact"/>
              <w:rPr>
                <w:sz w:val="20"/>
                <w:szCs w:val="20"/>
                <w:color w:val="auto"/>
              </w:rPr>
            </w:pPr>
            <w:r>
              <w:rPr>
                <w:rFonts w:ascii="Arial" w:cs="Arial" w:eastAsia="Arial" w:hAnsi="Arial"/>
                <w:sz w:val="18"/>
                <w:szCs w:val="18"/>
                <w:color w:val="auto"/>
              </w:rPr>
              <w:t>Miracle-Gro Company Amended and Restated 2006 Long-</w:t>
            </w:r>
          </w:p>
        </w:tc>
        <w:tc>
          <w:tcPr>
            <w:tcW w:w="3640" w:type="dxa"/>
            <w:vAlign w:val="bottom"/>
          </w:tcPr>
          <w:p>
            <w:pPr>
              <w:ind w:left="120"/>
              <w:spacing w:after="0" w:line="202" w:lineRule="exact"/>
              <w:rPr>
                <w:sz w:val="20"/>
                <w:szCs w:val="20"/>
                <w:color w:val="auto"/>
              </w:rPr>
            </w:pPr>
            <w:r>
              <w:rPr>
                <w:rFonts w:ascii="Arial" w:cs="Arial" w:eastAsia="Arial" w:hAnsi="Arial"/>
                <w:sz w:val="18"/>
                <w:szCs w:val="18"/>
                <w:color w:val="auto"/>
              </w:rPr>
              <w:t>2008 (which was filed on November 25,</w:t>
            </w:r>
          </w:p>
        </w:tc>
      </w:tr>
      <w:tr>
        <w:trPr>
          <w:trHeight w:val="243"/>
        </w:trPr>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260" w:type="dxa"/>
            <w:vAlign w:val="bottom"/>
          </w:tcPr>
          <w:p>
            <w:pPr>
              <w:ind w:left="280"/>
              <w:spacing w:after="0"/>
              <w:rPr>
                <w:sz w:val="20"/>
                <w:szCs w:val="20"/>
                <w:color w:val="auto"/>
              </w:rPr>
            </w:pPr>
            <w:r>
              <w:rPr>
                <w:rFonts w:ascii="Arial" w:cs="Arial" w:eastAsia="Arial" w:hAnsi="Arial"/>
                <w:sz w:val="18"/>
                <w:szCs w:val="18"/>
                <w:color w:val="auto"/>
              </w:rPr>
              <w:t>Term Incentive Plan</w:t>
            </w:r>
          </w:p>
        </w:tc>
        <w:tc>
          <w:tcPr>
            <w:tcW w:w="3640" w:type="dxa"/>
            <w:vAlign w:val="bottom"/>
          </w:tcPr>
          <w:p>
            <w:pPr>
              <w:ind w:left="120"/>
              <w:spacing w:after="0"/>
              <w:rPr>
                <w:sz w:val="20"/>
                <w:szCs w:val="20"/>
                <w:color w:val="auto"/>
              </w:rPr>
            </w:pPr>
            <w:r>
              <w:rPr>
                <w:rFonts w:ascii="Arial" w:cs="Arial" w:eastAsia="Arial" w:hAnsi="Arial"/>
                <w:sz w:val="18"/>
                <w:szCs w:val="18"/>
                <w:color w:val="auto"/>
              </w:rPr>
              <w:t>2008) (File No. 1-13292) [Exhibit 10.7(f)(iii)]</w:t>
            </w:r>
          </w:p>
        </w:tc>
      </w:tr>
    </w:tbl>
    <w:p>
      <w:pPr>
        <w:spacing w:after="0" w:line="200" w:lineRule="exact"/>
        <w:rPr>
          <w:sz w:val="20"/>
          <w:szCs w:val="20"/>
          <w:color w:val="auto"/>
        </w:rPr>
      </w:pPr>
    </w:p>
    <w:p>
      <w:pPr>
        <w:sectPr>
          <w:pgSz w:w="11900" w:h="16838" w:orient="portrait"/>
          <w:cols w:equalWidth="0" w:num="1">
            <w:col w:w="10740"/>
          </w:cols>
          <w:pgMar w:left="240" w:top="405" w:right="919" w:bottom="1440" w:gutter="0" w:footer="0" w:header="0"/>
        </w:sectPr>
      </w:pPr>
    </w:p>
    <w:p>
      <w:pPr>
        <w:spacing w:after="0" w:line="133"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Arial" w:cs="Arial" w:eastAsia="Arial" w:hAnsi="Arial"/>
                <w:sz w:val="18"/>
                <w:szCs w:val="18"/>
                <w:color w:val="auto"/>
              </w:rPr>
              <w:t>10.7(f)(iv)</w:t>
            </w:r>
          </w:p>
        </w:tc>
        <w:tc>
          <w:tcPr>
            <w:tcW w:w="5020" w:type="dxa"/>
            <w:vAlign w:val="bottom"/>
          </w:tcPr>
          <w:p>
            <w:pPr>
              <w:ind w:left="320"/>
              <w:spacing w:after="0"/>
              <w:rPr>
                <w:sz w:val="20"/>
                <w:szCs w:val="20"/>
                <w:color w:val="auto"/>
              </w:rPr>
            </w:pPr>
            <w:r>
              <w:rPr>
                <w:rFonts w:ascii="Arial" w:cs="Arial" w:eastAsia="Arial" w:hAnsi="Arial"/>
                <w:sz w:val="18"/>
                <w:szCs w:val="18"/>
                <w:color w:val="auto"/>
              </w:rPr>
              <w:t>Specimen form of Nonqualified Stock Option Award</w:t>
            </w:r>
          </w:p>
        </w:tc>
      </w:tr>
      <w:tr>
        <w:trPr>
          <w:trHeight w:val="203"/>
        </w:trPr>
        <w:tc>
          <w:tcPr>
            <w:tcW w:w="1100" w:type="dxa"/>
            <w:vAlign w:val="bottom"/>
          </w:tcPr>
          <w:p>
            <w:pPr>
              <w:spacing w:after="0"/>
              <w:rPr>
                <w:sz w:val="17"/>
                <w:szCs w:val="17"/>
                <w:color w:val="auto"/>
              </w:rPr>
            </w:pPr>
          </w:p>
        </w:tc>
        <w:tc>
          <w:tcPr>
            <w:tcW w:w="5020" w:type="dxa"/>
            <w:vAlign w:val="bottom"/>
          </w:tcPr>
          <w:p>
            <w:pPr>
              <w:ind w:left="320"/>
              <w:spacing w:after="0" w:line="202" w:lineRule="exact"/>
              <w:rPr>
                <w:sz w:val="20"/>
                <w:szCs w:val="20"/>
                <w:color w:val="auto"/>
              </w:rPr>
            </w:pPr>
            <w:r>
              <w:rPr>
                <w:rFonts w:ascii="Arial" w:cs="Arial" w:eastAsia="Arial" w:hAnsi="Arial"/>
                <w:sz w:val="18"/>
                <w:szCs w:val="18"/>
                <w:color w:val="auto"/>
              </w:rPr>
              <w:t>Agreement for Employees used to evidence grants of</w:t>
            </w:r>
          </w:p>
        </w:tc>
      </w:tr>
      <w:tr>
        <w:trPr>
          <w:trHeight w:val="203"/>
        </w:trPr>
        <w:tc>
          <w:tcPr>
            <w:tcW w:w="1100" w:type="dxa"/>
            <w:vAlign w:val="bottom"/>
          </w:tcPr>
          <w:p>
            <w:pPr>
              <w:spacing w:after="0"/>
              <w:rPr>
                <w:sz w:val="17"/>
                <w:szCs w:val="17"/>
                <w:color w:val="auto"/>
              </w:rPr>
            </w:pPr>
          </w:p>
        </w:tc>
        <w:tc>
          <w:tcPr>
            <w:tcW w:w="5020" w:type="dxa"/>
            <w:vAlign w:val="bottom"/>
          </w:tcPr>
          <w:p>
            <w:pPr>
              <w:ind w:left="320"/>
              <w:spacing w:after="0" w:line="202" w:lineRule="exact"/>
              <w:rPr>
                <w:sz w:val="20"/>
                <w:szCs w:val="20"/>
                <w:color w:val="auto"/>
              </w:rPr>
            </w:pPr>
            <w:r>
              <w:rPr>
                <w:rFonts w:ascii="Arial" w:cs="Arial" w:eastAsia="Arial" w:hAnsi="Arial"/>
                <w:sz w:val="18"/>
                <w:szCs w:val="18"/>
                <w:color w:val="auto"/>
                <w:w w:val="99"/>
              </w:rPr>
              <w:t>Nonqualified Stock Options which may be made under The</w:t>
            </w:r>
          </w:p>
        </w:tc>
      </w:tr>
      <w:tr>
        <w:trPr>
          <w:trHeight w:val="203"/>
        </w:trPr>
        <w:tc>
          <w:tcPr>
            <w:tcW w:w="1100" w:type="dxa"/>
            <w:vAlign w:val="bottom"/>
          </w:tcPr>
          <w:p>
            <w:pPr>
              <w:spacing w:after="0"/>
              <w:rPr>
                <w:sz w:val="17"/>
                <w:szCs w:val="17"/>
                <w:color w:val="auto"/>
              </w:rPr>
            </w:pPr>
          </w:p>
        </w:tc>
        <w:tc>
          <w:tcPr>
            <w:tcW w:w="5020" w:type="dxa"/>
            <w:vAlign w:val="bottom"/>
          </w:tcPr>
          <w:p>
            <w:pPr>
              <w:ind w:left="320"/>
              <w:spacing w:after="0" w:line="202" w:lineRule="exact"/>
              <w:rPr>
                <w:sz w:val="20"/>
                <w:szCs w:val="20"/>
                <w:color w:val="auto"/>
              </w:rPr>
            </w:pPr>
            <w:r>
              <w:rPr>
                <w:rFonts w:ascii="Arial" w:cs="Arial" w:eastAsia="Arial" w:hAnsi="Arial"/>
                <w:sz w:val="18"/>
                <w:szCs w:val="18"/>
                <w:color w:val="auto"/>
                <w:w w:val="99"/>
              </w:rPr>
              <w:t>Scotts Miracle-Gro Company Amended and Restated 2006</w:t>
            </w:r>
          </w:p>
        </w:tc>
      </w:tr>
      <w:tr>
        <w:trPr>
          <w:trHeight w:val="243"/>
        </w:trPr>
        <w:tc>
          <w:tcPr>
            <w:tcW w:w="1100" w:type="dxa"/>
            <w:vAlign w:val="bottom"/>
          </w:tcPr>
          <w:p>
            <w:pPr>
              <w:spacing w:after="0"/>
              <w:rPr>
                <w:sz w:val="21"/>
                <w:szCs w:val="21"/>
                <w:color w:val="auto"/>
              </w:rPr>
            </w:pPr>
          </w:p>
        </w:tc>
        <w:tc>
          <w:tcPr>
            <w:tcW w:w="5020" w:type="dxa"/>
            <w:vAlign w:val="bottom"/>
          </w:tcPr>
          <w:p>
            <w:pPr>
              <w:ind w:left="320"/>
              <w:spacing w:after="0"/>
              <w:rPr>
                <w:sz w:val="20"/>
                <w:szCs w:val="20"/>
                <w:color w:val="auto"/>
              </w:rPr>
            </w:pPr>
            <w:r>
              <w:rPr>
                <w:rFonts w:ascii="Arial" w:cs="Arial" w:eastAsia="Arial" w:hAnsi="Arial"/>
                <w:sz w:val="18"/>
                <w:szCs w:val="18"/>
                <w:color w:val="auto"/>
              </w:rPr>
              <w:t>Long-Term Incentive Plan (French Specimen)</w:t>
            </w:r>
          </w:p>
        </w:tc>
      </w:tr>
    </w:tbl>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March 29, 2008 (File No. 1-13292) [Exhibit 10(c)(2)]</w:t>
      </w:r>
    </w:p>
    <w:p>
      <w:pPr>
        <w:spacing w:after="0" w:line="397" w:lineRule="exact"/>
        <w:rPr>
          <w:sz w:val="20"/>
          <w:szCs w:val="20"/>
          <w:color w:val="auto"/>
        </w:rPr>
      </w:pPr>
    </w:p>
    <w:p>
      <w:pPr>
        <w:sectPr>
          <w:pgSz w:w="11900" w:h="16838" w:orient="portrait"/>
          <w:cols w:equalWidth="0" w:num="2">
            <w:col w:w="6820" w:space="400"/>
            <w:col w:w="3520"/>
          </w:cols>
          <w:pgMar w:left="240" w:top="405" w:right="919" w:bottom="1440" w:gutter="0" w:footer="0" w:header="0"/>
          <w:type w:val="continuous"/>
        </w:sectPr>
      </w:pPr>
    </w:p>
    <w:p>
      <w:pPr>
        <w:spacing w:after="0" w:line="133"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1080" w:type="dxa"/>
            <w:vAlign w:val="bottom"/>
          </w:tcPr>
          <w:p>
            <w:pPr>
              <w:spacing w:after="0"/>
              <w:rPr>
                <w:sz w:val="20"/>
                <w:szCs w:val="20"/>
                <w:color w:val="auto"/>
              </w:rPr>
            </w:pPr>
            <w:r>
              <w:rPr>
                <w:rFonts w:ascii="Arial" w:cs="Arial" w:eastAsia="Arial" w:hAnsi="Arial"/>
                <w:sz w:val="18"/>
                <w:szCs w:val="18"/>
                <w:color w:val="auto"/>
              </w:rPr>
              <w:t>10.7(g)(i)</w:t>
            </w:r>
          </w:p>
        </w:tc>
        <w:tc>
          <w:tcPr>
            <w:tcW w:w="5220" w:type="dxa"/>
            <w:vAlign w:val="bottom"/>
          </w:tcPr>
          <w:p>
            <w:pPr>
              <w:ind w:left="340"/>
              <w:spacing w:after="0"/>
              <w:rPr>
                <w:sz w:val="20"/>
                <w:szCs w:val="20"/>
                <w:color w:val="auto"/>
              </w:rPr>
            </w:pPr>
            <w:r>
              <w:rPr>
                <w:rFonts w:ascii="Arial" w:cs="Arial" w:eastAsia="Arial" w:hAnsi="Arial"/>
                <w:sz w:val="18"/>
                <w:szCs w:val="18"/>
                <w:color w:val="auto"/>
              </w:rPr>
              <w:t>Form of letter agreement amending grants of Restricted</w:t>
            </w:r>
          </w:p>
        </w:tc>
      </w:tr>
      <w:tr>
        <w:trPr>
          <w:trHeight w:val="203"/>
        </w:trPr>
        <w:tc>
          <w:tcPr>
            <w:tcW w:w="1080" w:type="dxa"/>
            <w:vAlign w:val="bottom"/>
          </w:tcPr>
          <w:p>
            <w:pPr>
              <w:spacing w:after="0"/>
              <w:rPr>
                <w:sz w:val="17"/>
                <w:szCs w:val="17"/>
                <w:color w:val="auto"/>
              </w:rPr>
            </w:pPr>
          </w:p>
        </w:tc>
        <w:tc>
          <w:tcPr>
            <w:tcW w:w="5220" w:type="dxa"/>
            <w:vAlign w:val="bottom"/>
          </w:tcPr>
          <w:p>
            <w:pPr>
              <w:ind w:left="340"/>
              <w:spacing w:after="0" w:line="202" w:lineRule="exact"/>
              <w:rPr>
                <w:sz w:val="20"/>
                <w:szCs w:val="20"/>
                <w:color w:val="auto"/>
              </w:rPr>
            </w:pPr>
            <w:r>
              <w:rPr>
                <w:rFonts w:ascii="Arial" w:cs="Arial" w:eastAsia="Arial" w:hAnsi="Arial"/>
                <w:sz w:val="18"/>
                <w:szCs w:val="18"/>
                <w:color w:val="auto"/>
              </w:rPr>
              <w:t>Stock made under The Scotts Miracle-Gro Company 2006</w:t>
            </w:r>
          </w:p>
        </w:tc>
      </w:tr>
      <w:tr>
        <w:trPr>
          <w:trHeight w:val="203"/>
        </w:trPr>
        <w:tc>
          <w:tcPr>
            <w:tcW w:w="1080" w:type="dxa"/>
            <w:vAlign w:val="bottom"/>
          </w:tcPr>
          <w:p>
            <w:pPr>
              <w:spacing w:after="0"/>
              <w:rPr>
                <w:sz w:val="17"/>
                <w:szCs w:val="17"/>
                <w:color w:val="auto"/>
              </w:rPr>
            </w:pPr>
          </w:p>
        </w:tc>
        <w:tc>
          <w:tcPr>
            <w:tcW w:w="5220" w:type="dxa"/>
            <w:vAlign w:val="bottom"/>
          </w:tcPr>
          <w:p>
            <w:pPr>
              <w:ind w:left="340"/>
              <w:spacing w:after="0" w:line="202" w:lineRule="exact"/>
              <w:rPr>
                <w:sz w:val="20"/>
                <w:szCs w:val="20"/>
                <w:color w:val="auto"/>
              </w:rPr>
            </w:pPr>
            <w:r>
              <w:rPr>
                <w:rFonts w:ascii="Arial" w:cs="Arial" w:eastAsia="Arial" w:hAnsi="Arial"/>
                <w:sz w:val="18"/>
                <w:szCs w:val="18"/>
                <w:color w:val="auto"/>
                <w:w w:val="98"/>
              </w:rPr>
              <w:t>Long-Term Incentive Plan (now known as The Scotts Miracle-</w:t>
            </w:r>
          </w:p>
        </w:tc>
      </w:tr>
      <w:tr>
        <w:trPr>
          <w:trHeight w:val="203"/>
        </w:trPr>
        <w:tc>
          <w:tcPr>
            <w:tcW w:w="1080" w:type="dxa"/>
            <w:vAlign w:val="bottom"/>
          </w:tcPr>
          <w:p>
            <w:pPr>
              <w:spacing w:after="0"/>
              <w:rPr>
                <w:sz w:val="17"/>
                <w:szCs w:val="17"/>
                <w:color w:val="auto"/>
              </w:rPr>
            </w:pPr>
          </w:p>
        </w:tc>
        <w:tc>
          <w:tcPr>
            <w:tcW w:w="5220" w:type="dxa"/>
            <w:vAlign w:val="bottom"/>
          </w:tcPr>
          <w:p>
            <w:pPr>
              <w:ind w:left="340"/>
              <w:spacing w:after="0" w:line="202" w:lineRule="exact"/>
              <w:rPr>
                <w:sz w:val="20"/>
                <w:szCs w:val="20"/>
                <w:color w:val="auto"/>
              </w:rPr>
            </w:pPr>
            <w:r>
              <w:rPr>
                <w:rFonts w:ascii="Arial" w:cs="Arial" w:eastAsia="Arial" w:hAnsi="Arial"/>
                <w:sz w:val="18"/>
                <w:szCs w:val="18"/>
                <w:color w:val="auto"/>
              </w:rPr>
              <w:t>Gro Company Amended and Restated 2006 Long-Term</w:t>
            </w:r>
          </w:p>
        </w:tc>
      </w:tr>
      <w:tr>
        <w:trPr>
          <w:trHeight w:val="243"/>
        </w:trPr>
        <w:tc>
          <w:tcPr>
            <w:tcW w:w="1080" w:type="dxa"/>
            <w:vAlign w:val="bottom"/>
          </w:tcPr>
          <w:p>
            <w:pPr>
              <w:spacing w:after="0"/>
              <w:rPr>
                <w:sz w:val="21"/>
                <w:szCs w:val="21"/>
                <w:color w:val="auto"/>
              </w:rPr>
            </w:pPr>
          </w:p>
        </w:tc>
        <w:tc>
          <w:tcPr>
            <w:tcW w:w="5220" w:type="dxa"/>
            <w:vAlign w:val="bottom"/>
          </w:tcPr>
          <w:p>
            <w:pPr>
              <w:ind w:left="340"/>
              <w:spacing w:after="0"/>
              <w:rPr>
                <w:sz w:val="20"/>
                <w:szCs w:val="20"/>
                <w:color w:val="auto"/>
              </w:rPr>
            </w:pPr>
            <w:r>
              <w:rPr>
                <w:rFonts w:ascii="Arial" w:cs="Arial" w:eastAsia="Arial" w:hAnsi="Arial"/>
                <w:sz w:val="18"/>
                <w:szCs w:val="18"/>
                <w:color w:val="auto"/>
              </w:rPr>
              <w:t>Incentive Plan) [effective as of October 30, 2007]</w:t>
            </w:r>
          </w:p>
        </w:tc>
      </w:tr>
    </w:tbl>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ind w:right="220"/>
        <w:spacing w:after="0" w:line="268" w:lineRule="auto"/>
        <w:rPr>
          <w:sz w:val="20"/>
          <w:szCs w:val="20"/>
          <w:color w:val="auto"/>
        </w:rPr>
      </w:pPr>
      <w:r>
        <w:rPr>
          <w:rFonts w:ascii="Arial" w:cs="Arial" w:eastAsia="Arial" w:hAnsi="Arial"/>
          <w:sz w:val="17"/>
          <w:szCs w:val="17"/>
          <w:color w:val="auto"/>
        </w:rPr>
        <w:t>Incorporated herein by reference to the Registrant’s Annual Report on Form 10-K for the fiscal year ended September 30, 2007 (File No. 1-13292) [Exhibit 10(t)(2)]</w:t>
      </w:r>
    </w:p>
    <w:p>
      <w:pPr>
        <w:spacing w:after="0" w:line="380" w:lineRule="exact"/>
        <w:rPr>
          <w:sz w:val="20"/>
          <w:szCs w:val="20"/>
          <w:color w:val="auto"/>
        </w:rPr>
      </w:pPr>
    </w:p>
    <w:p>
      <w:pPr>
        <w:sectPr>
          <w:pgSz w:w="11900" w:h="16838" w:orient="portrait"/>
          <w:cols w:equalWidth="0" w:num="2">
            <w:col w:w="7000" w:space="220"/>
            <w:col w:w="3520"/>
          </w:cols>
          <w:pgMar w:left="240" w:top="405" w:right="919" w:bottom="1440" w:gutter="0" w:footer="0" w:header="0"/>
          <w:type w:val="continuous"/>
        </w:sectPr>
      </w:pPr>
    </w:p>
    <w:p>
      <w:pPr>
        <w:spacing w:after="0" w:line="133"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Arial" w:cs="Arial" w:eastAsia="Arial" w:hAnsi="Arial"/>
                <w:sz w:val="18"/>
                <w:szCs w:val="18"/>
                <w:color w:val="auto"/>
              </w:rPr>
              <w:t>10.7(g)(ii)</w:t>
            </w:r>
          </w:p>
        </w:tc>
        <w:tc>
          <w:tcPr>
            <w:tcW w:w="5220" w:type="dxa"/>
            <w:vAlign w:val="bottom"/>
          </w:tcPr>
          <w:p>
            <w:pPr>
              <w:ind w:left="320"/>
              <w:spacing w:after="0"/>
              <w:rPr>
                <w:sz w:val="20"/>
                <w:szCs w:val="20"/>
                <w:color w:val="auto"/>
              </w:rPr>
            </w:pPr>
            <w:r>
              <w:rPr>
                <w:rFonts w:ascii="Arial" w:cs="Arial" w:eastAsia="Arial" w:hAnsi="Arial"/>
                <w:sz w:val="18"/>
                <w:szCs w:val="18"/>
                <w:color w:val="auto"/>
              </w:rPr>
              <w:t>Specimen form of Restricted Stock Award Agreement for</w:t>
            </w:r>
          </w:p>
        </w:tc>
      </w:tr>
      <w:tr>
        <w:trPr>
          <w:trHeight w:val="225"/>
        </w:trPr>
        <w:tc>
          <w:tcPr>
            <w:tcW w:w="1100" w:type="dxa"/>
            <w:vAlign w:val="bottom"/>
          </w:tcPr>
          <w:p>
            <w:pPr>
              <w:spacing w:after="0"/>
              <w:rPr>
                <w:sz w:val="19"/>
                <w:szCs w:val="19"/>
                <w:color w:val="auto"/>
              </w:rPr>
            </w:pPr>
          </w:p>
        </w:tc>
        <w:tc>
          <w:tcPr>
            <w:tcW w:w="5220" w:type="dxa"/>
            <w:vAlign w:val="bottom"/>
          </w:tcPr>
          <w:p>
            <w:pPr>
              <w:ind w:left="320"/>
              <w:spacing w:after="0"/>
              <w:rPr>
                <w:sz w:val="20"/>
                <w:szCs w:val="20"/>
                <w:color w:val="auto"/>
              </w:rPr>
            </w:pPr>
            <w:r>
              <w:rPr>
                <w:rFonts w:ascii="Arial" w:cs="Arial" w:eastAsia="Arial" w:hAnsi="Arial"/>
                <w:sz w:val="18"/>
                <w:szCs w:val="18"/>
                <w:color w:val="auto"/>
                <w:w w:val="99"/>
              </w:rPr>
              <w:t>Employees used to evidence grants of Restricted Stock made</w:t>
            </w:r>
          </w:p>
        </w:tc>
      </w:tr>
    </w:tbl>
    <w:p>
      <w:pPr>
        <w:ind w:left="2120" w:right="60"/>
        <w:spacing w:after="0" w:line="259" w:lineRule="auto"/>
        <w:rPr>
          <w:sz w:val="20"/>
          <w:szCs w:val="20"/>
          <w:color w:val="auto"/>
        </w:rPr>
      </w:pPr>
      <w:r>
        <w:rPr>
          <w:rFonts w:ascii="Arial" w:cs="Arial" w:eastAsia="Arial" w:hAnsi="Arial"/>
          <w:sz w:val="17"/>
          <w:szCs w:val="17"/>
          <w:color w:val="auto"/>
        </w:rPr>
        <w:t>under The Scotts Miracle-Gro Company 2006 Long-Term Incentive Plan (now known as The Scotts Miracle-Gro Company Amended and Restated 2006 Long-Term Incentive Plan) [October 30, 2007 through October 8, 2008 version]</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ind w:right="220"/>
        <w:spacing w:after="0" w:line="268" w:lineRule="auto"/>
        <w:rPr>
          <w:sz w:val="20"/>
          <w:szCs w:val="20"/>
          <w:color w:val="auto"/>
        </w:rPr>
      </w:pPr>
      <w:r>
        <w:rPr>
          <w:rFonts w:ascii="Arial" w:cs="Arial" w:eastAsia="Arial" w:hAnsi="Arial"/>
          <w:sz w:val="17"/>
          <w:szCs w:val="17"/>
          <w:color w:val="auto"/>
        </w:rPr>
        <w:t>Incorporated herein by reference to the Registrant’s Annual Report on Form 10-K for the fiscal year ended September 30, 2007 (File No. 1-13292) [Exhibit 10(t)(4)]</w:t>
      </w:r>
    </w:p>
    <w:p>
      <w:pPr>
        <w:spacing w:after="0" w:line="597" w:lineRule="exact"/>
        <w:rPr>
          <w:sz w:val="20"/>
          <w:szCs w:val="20"/>
          <w:color w:val="auto"/>
        </w:rPr>
      </w:pPr>
    </w:p>
    <w:p>
      <w:pPr>
        <w:sectPr>
          <w:pgSz w:w="11900" w:h="16838" w:orient="portrait"/>
          <w:cols w:equalWidth="0" w:num="2">
            <w:col w:w="7020" w:space="200"/>
            <w:col w:w="3520"/>
          </w:cols>
          <w:pgMar w:left="240" w:top="405" w:right="919" w:bottom="1440" w:gutter="0" w:footer="0" w:header="0"/>
          <w:type w:val="continuous"/>
        </w:sectPr>
      </w:pPr>
    </w:p>
    <w:p>
      <w:pPr>
        <w:spacing w:after="0" w:line="123" w:lineRule="exact"/>
        <w:rPr>
          <w:sz w:val="20"/>
          <w:szCs w:val="20"/>
          <w:color w:val="auto"/>
        </w:rPr>
      </w:pPr>
    </w:p>
    <w:p>
      <w:pPr>
        <w:ind w:left="700"/>
        <w:spacing w:after="0"/>
        <w:tabs>
          <w:tab w:leader="none" w:pos="2100" w:val="left"/>
        </w:tabs>
        <w:rPr>
          <w:sz w:val="20"/>
          <w:szCs w:val="20"/>
          <w:color w:val="auto"/>
        </w:rPr>
      </w:pPr>
      <w:r>
        <w:rPr>
          <w:rFonts w:ascii="Arial" w:cs="Arial" w:eastAsia="Arial" w:hAnsi="Arial"/>
          <w:sz w:val="18"/>
          <w:szCs w:val="18"/>
          <w:color w:val="auto"/>
        </w:rPr>
        <w:t>10.7(g)(iii)</w:t>
      </w:r>
      <w:r>
        <w:rPr>
          <w:sz w:val="20"/>
          <w:szCs w:val="20"/>
          <w:color w:val="auto"/>
        </w:rPr>
        <w:tab/>
      </w:r>
      <w:r>
        <w:rPr>
          <w:rFonts w:ascii="Arial" w:cs="Arial" w:eastAsia="Arial" w:hAnsi="Arial"/>
          <w:sz w:val="17"/>
          <w:szCs w:val="17"/>
          <w:color w:val="auto"/>
        </w:rPr>
        <w:t>Specimen form of Restricted Stock Award Agreement for</w:t>
      </w:r>
    </w:p>
    <w:p>
      <w:pPr>
        <w:spacing w:after="0" w:line="18"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Employees used to evidence grants of Restricted Stock which may be made under The Scotts Miracle-Gro Company Amended and Restated 2006 Long-Term Incentive Plan (effective October 8, 2008)</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2008 (which was filed on November 25, 2008) (File No. 1-13292) [Exhibit 10.7(g)(iii)]</w:t>
      </w:r>
    </w:p>
    <w:p>
      <w:pPr>
        <w:spacing w:after="0" w:line="200" w:lineRule="exact"/>
        <w:rPr>
          <w:sz w:val="20"/>
          <w:szCs w:val="20"/>
          <w:color w:val="auto"/>
        </w:rPr>
      </w:pPr>
    </w:p>
    <w:p>
      <w:pPr>
        <w:sectPr>
          <w:pgSz w:w="11900" w:h="16838" w:orient="portrait"/>
          <w:cols w:equalWidth="0" w:num="2">
            <w:col w:w="6940" w:space="280"/>
            <w:col w:w="3520"/>
          </w:cols>
          <w:pgMar w:left="240" w:top="405" w:right="919" w:bottom="1440" w:gutter="0" w:footer="0" w:header="0"/>
          <w:type w:val="continuous"/>
        </w:sectPr>
      </w:pPr>
    </w:p>
    <w:p>
      <w:pPr>
        <w:spacing w:after="0" w:line="130"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1120" w:type="dxa"/>
            <w:vAlign w:val="bottom"/>
          </w:tcPr>
          <w:p>
            <w:pPr>
              <w:spacing w:after="0"/>
              <w:rPr>
                <w:sz w:val="20"/>
                <w:szCs w:val="20"/>
                <w:color w:val="auto"/>
              </w:rPr>
            </w:pPr>
            <w:r>
              <w:rPr>
                <w:rFonts w:ascii="Arial" w:cs="Arial" w:eastAsia="Arial" w:hAnsi="Arial"/>
                <w:sz w:val="18"/>
                <w:szCs w:val="18"/>
                <w:color w:val="auto"/>
              </w:rPr>
              <w:t>10.7(g)(iv)</w:t>
            </w:r>
          </w:p>
        </w:tc>
        <w:tc>
          <w:tcPr>
            <w:tcW w:w="4940" w:type="dxa"/>
            <w:vAlign w:val="bottom"/>
          </w:tcPr>
          <w:p>
            <w:pPr>
              <w:ind w:left="300"/>
              <w:spacing w:after="0"/>
              <w:rPr>
                <w:sz w:val="20"/>
                <w:szCs w:val="20"/>
                <w:color w:val="auto"/>
              </w:rPr>
            </w:pPr>
            <w:r>
              <w:rPr>
                <w:rFonts w:ascii="Arial" w:cs="Arial" w:eastAsia="Arial" w:hAnsi="Arial"/>
                <w:sz w:val="18"/>
                <w:szCs w:val="18"/>
                <w:color w:val="auto"/>
                <w:w w:val="99"/>
              </w:rPr>
              <w:t>Special Restricted Stock Award Agreement for Employees</w:t>
            </w:r>
          </w:p>
        </w:tc>
      </w:tr>
      <w:tr>
        <w:trPr>
          <w:trHeight w:val="225"/>
        </w:trPr>
        <w:tc>
          <w:tcPr>
            <w:tcW w:w="1120" w:type="dxa"/>
            <w:vAlign w:val="bottom"/>
          </w:tcPr>
          <w:p>
            <w:pPr>
              <w:spacing w:after="0"/>
              <w:rPr>
                <w:sz w:val="19"/>
                <w:szCs w:val="19"/>
                <w:color w:val="auto"/>
              </w:rPr>
            </w:pPr>
          </w:p>
        </w:tc>
        <w:tc>
          <w:tcPr>
            <w:tcW w:w="4940" w:type="dxa"/>
            <w:vAlign w:val="bottom"/>
          </w:tcPr>
          <w:p>
            <w:pPr>
              <w:ind w:left="300"/>
              <w:spacing w:after="0"/>
              <w:rPr>
                <w:sz w:val="20"/>
                <w:szCs w:val="20"/>
                <w:color w:val="auto"/>
              </w:rPr>
            </w:pPr>
            <w:r>
              <w:rPr>
                <w:rFonts w:ascii="Arial" w:cs="Arial" w:eastAsia="Arial" w:hAnsi="Arial"/>
                <w:sz w:val="18"/>
                <w:szCs w:val="18"/>
                <w:color w:val="auto"/>
              </w:rPr>
              <w:t>evidencing grant of Restricted Stock made on October 8,</w:t>
            </w:r>
          </w:p>
        </w:tc>
      </w:tr>
    </w:tbl>
    <w:p>
      <w:pPr>
        <w:ind w:left="2120"/>
        <w:spacing w:after="0" w:line="242" w:lineRule="auto"/>
        <w:rPr>
          <w:sz w:val="20"/>
          <w:szCs w:val="20"/>
          <w:color w:val="auto"/>
        </w:rPr>
      </w:pPr>
      <w:r>
        <w:rPr>
          <w:rFonts w:ascii="Arial" w:cs="Arial" w:eastAsia="Arial" w:hAnsi="Arial"/>
          <w:sz w:val="18"/>
          <w:szCs w:val="18"/>
          <w:color w:val="auto"/>
        </w:rPr>
        <w:t>2008 to Dr. Michael Kelty under The Scotts Miracle-Gro Company Amended and Restated 2006 Long-Term Incentive Plan</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ind w:right="220"/>
        <w:spacing w:after="0" w:line="243"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2008 (which was filed on November 25, 2008) (File No. 1-13292) [Exhibit 10.7(g) (iv)]</w:t>
      </w:r>
    </w:p>
    <w:p>
      <w:pPr>
        <w:spacing w:after="0" w:line="200" w:lineRule="exact"/>
        <w:rPr>
          <w:sz w:val="20"/>
          <w:szCs w:val="20"/>
          <w:color w:val="auto"/>
        </w:rPr>
      </w:pPr>
    </w:p>
    <w:p>
      <w:pPr>
        <w:sectPr>
          <w:pgSz w:w="11900" w:h="16838" w:orient="portrait"/>
          <w:cols w:equalWidth="0" w:num="2">
            <w:col w:w="6960" w:space="260"/>
            <w:col w:w="3520"/>
          </w:cols>
          <w:pgMar w:left="240" w:top="405" w:right="919" w:bottom="1440" w:gutter="0" w:footer="0" w:header="0"/>
          <w:type w:val="continuous"/>
        </w:sectPr>
      </w:pPr>
    </w:p>
    <w:p>
      <w:pPr>
        <w:spacing w:after="0" w:line="132"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Arial" w:cs="Arial" w:eastAsia="Arial" w:hAnsi="Arial"/>
                <w:sz w:val="18"/>
                <w:szCs w:val="18"/>
                <w:color w:val="auto"/>
              </w:rPr>
              <w:t>10.7(g)(v)</w:t>
            </w:r>
          </w:p>
        </w:tc>
        <w:tc>
          <w:tcPr>
            <w:tcW w:w="4960" w:type="dxa"/>
            <w:vAlign w:val="bottom"/>
          </w:tcPr>
          <w:p>
            <w:pPr>
              <w:ind w:left="320"/>
              <w:spacing w:after="0"/>
              <w:rPr>
                <w:sz w:val="20"/>
                <w:szCs w:val="20"/>
                <w:color w:val="auto"/>
              </w:rPr>
            </w:pPr>
            <w:r>
              <w:rPr>
                <w:rFonts w:ascii="Arial" w:cs="Arial" w:eastAsia="Arial" w:hAnsi="Arial"/>
                <w:sz w:val="18"/>
                <w:szCs w:val="18"/>
                <w:color w:val="auto"/>
                <w:w w:val="99"/>
              </w:rPr>
              <w:t>Special Restricted Stock Award Agreement for Employees</w:t>
            </w:r>
          </w:p>
        </w:tc>
      </w:tr>
      <w:tr>
        <w:trPr>
          <w:trHeight w:val="225"/>
        </w:trPr>
        <w:tc>
          <w:tcPr>
            <w:tcW w:w="1100" w:type="dxa"/>
            <w:vAlign w:val="bottom"/>
          </w:tcPr>
          <w:p>
            <w:pPr>
              <w:spacing w:after="0"/>
              <w:rPr>
                <w:sz w:val="19"/>
                <w:szCs w:val="19"/>
                <w:color w:val="auto"/>
              </w:rPr>
            </w:pPr>
          </w:p>
        </w:tc>
        <w:tc>
          <w:tcPr>
            <w:tcW w:w="4960" w:type="dxa"/>
            <w:vAlign w:val="bottom"/>
          </w:tcPr>
          <w:p>
            <w:pPr>
              <w:ind w:left="320"/>
              <w:spacing w:after="0"/>
              <w:rPr>
                <w:sz w:val="20"/>
                <w:szCs w:val="20"/>
                <w:color w:val="auto"/>
              </w:rPr>
            </w:pPr>
            <w:r>
              <w:rPr>
                <w:rFonts w:ascii="Arial" w:cs="Arial" w:eastAsia="Arial" w:hAnsi="Arial"/>
                <w:sz w:val="18"/>
                <w:szCs w:val="18"/>
                <w:color w:val="auto"/>
              </w:rPr>
              <w:t>evidencing grant of Restricted Stock made on October 1,</w:t>
            </w:r>
          </w:p>
        </w:tc>
      </w:tr>
    </w:tbl>
    <w:p>
      <w:pPr>
        <w:ind w:left="2120"/>
        <w:spacing w:after="0" w:line="242" w:lineRule="auto"/>
        <w:rPr>
          <w:sz w:val="20"/>
          <w:szCs w:val="20"/>
          <w:color w:val="auto"/>
        </w:rPr>
      </w:pPr>
      <w:r>
        <w:rPr>
          <w:rFonts w:ascii="Arial" w:cs="Arial" w:eastAsia="Arial" w:hAnsi="Arial"/>
          <w:sz w:val="18"/>
          <w:szCs w:val="18"/>
          <w:color w:val="auto"/>
        </w:rPr>
        <w:t>2008 to Mark R. Baker under The Scotts Miracle-Gro Company Amended and Restated 2006 Long-Term Incentive Plan</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Incorporated herein by reference to the Registrant’s Annual Report on Form 10-K for the fiscal year ended September 30, 2008 (which was filed on November 25, 2008) (File No. 1-13292) [Exhibit 10.7(g)(v)]</w:t>
      </w:r>
    </w:p>
    <w:p>
      <w:pPr>
        <w:spacing w:after="0" w:line="200" w:lineRule="exact"/>
        <w:rPr>
          <w:sz w:val="20"/>
          <w:szCs w:val="20"/>
          <w:color w:val="auto"/>
        </w:rPr>
      </w:pPr>
    </w:p>
    <w:p>
      <w:pPr>
        <w:sectPr>
          <w:pgSz w:w="11900" w:h="16838" w:orient="portrait"/>
          <w:cols w:equalWidth="0" w:num="2">
            <w:col w:w="6960" w:space="260"/>
            <w:col w:w="3520"/>
          </w:cols>
          <w:pgMar w:left="240" w:top="405" w:right="919" w:bottom="1440" w:gutter="0" w:footer="0" w:header="0"/>
          <w:type w:val="continuous"/>
        </w:sectPr>
      </w:pPr>
    </w:p>
    <w:p>
      <w:pPr>
        <w:spacing w:after="0" w:line="116"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1120" w:type="dxa"/>
            <w:vAlign w:val="bottom"/>
          </w:tcPr>
          <w:p>
            <w:pPr>
              <w:spacing w:after="0"/>
              <w:rPr>
                <w:sz w:val="20"/>
                <w:szCs w:val="20"/>
                <w:color w:val="auto"/>
              </w:rPr>
            </w:pPr>
            <w:r>
              <w:rPr>
                <w:rFonts w:ascii="Arial" w:cs="Arial" w:eastAsia="Arial" w:hAnsi="Arial"/>
                <w:sz w:val="18"/>
                <w:szCs w:val="18"/>
                <w:color w:val="auto"/>
              </w:rPr>
              <w:t>10.7(g)(vi)</w:t>
            </w:r>
          </w:p>
        </w:tc>
        <w:tc>
          <w:tcPr>
            <w:tcW w:w="5120" w:type="dxa"/>
            <w:vAlign w:val="bottom"/>
          </w:tcPr>
          <w:p>
            <w:pPr>
              <w:ind w:left="300"/>
              <w:spacing w:after="0"/>
              <w:rPr>
                <w:sz w:val="20"/>
                <w:szCs w:val="20"/>
                <w:color w:val="auto"/>
              </w:rPr>
            </w:pPr>
            <w:r>
              <w:rPr>
                <w:rFonts w:ascii="Arial" w:cs="Arial" w:eastAsia="Arial" w:hAnsi="Arial"/>
                <w:sz w:val="18"/>
                <w:szCs w:val="18"/>
                <w:color w:val="auto"/>
              </w:rPr>
              <w:t>Specimen form of Restricted Stock Award Agreement for</w:t>
            </w:r>
          </w:p>
        </w:tc>
      </w:tr>
      <w:tr>
        <w:trPr>
          <w:trHeight w:val="203"/>
        </w:trPr>
        <w:tc>
          <w:tcPr>
            <w:tcW w:w="1120" w:type="dxa"/>
            <w:vAlign w:val="bottom"/>
          </w:tcPr>
          <w:p>
            <w:pPr>
              <w:spacing w:after="0"/>
              <w:rPr>
                <w:sz w:val="17"/>
                <w:szCs w:val="17"/>
                <w:color w:val="auto"/>
              </w:rPr>
            </w:pPr>
          </w:p>
        </w:tc>
        <w:tc>
          <w:tcPr>
            <w:tcW w:w="5120" w:type="dxa"/>
            <w:vAlign w:val="bottom"/>
          </w:tcPr>
          <w:p>
            <w:pPr>
              <w:ind w:left="300"/>
              <w:spacing w:after="0" w:line="202" w:lineRule="exact"/>
              <w:rPr>
                <w:sz w:val="20"/>
                <w:szCs w:val="20"/>
                <w:color w:val="auto"/>
              </w:rPr>
            </w:pPr>
            <w:r>
              <w:rPr>
                <w:rFonts w:ascii="Arial" w:cs="Arial" w:eastAsia="Arial" w:hAnsi="Arial"/>
                <w:sz w:val="18"/>
                <w:szCs w:val="18"/>
                <w:color w:val="auto"/>
              </w:rPr>
              <w:t>Employees used to evidence grants of Restricted Stock</w:t>
            </w:r>
          </w:p>
        </w:tc>
      </w:tr>
      <w:tr>
        <w:trPr>
          <w:trHeight w:val="203"/>
        </w:trPr>
        <w:tc>
          <w:tcPr>
            <w:tcW w:w="1120" w:type="dxa"/>
            <w:vAlign w:val="bottom"/>
          </w:tcPr>
          <w:p>
            <w:pPr>
              <w:spacing w:after="0"/>
              <w:rPr>
                <w:sz w:val="17"/>
                <w:szCs w:val="17"/>
                <w:color w:val="auto"/>
              </w:rPr>
            </w:pPr>
          </w:p>
        </w:tc>
        <w:tc>
          <w:tcPr>
            <w:tcW w:w="5120" w:type="dxa"/>
            <w:vAlign w:val="bottom"/>
          </w:tcPr>
          <w:p>
            <w:pPr>
              <w:ind w:left="300"/>
              <w:spacing w:after="0" w:line="202" w:lineRule="exact"/>
              <w:rPr>
                <w:sz w:val="20"/>
                <w:szCs w:val="20"/>
                <w:color w:val="auto"/>
              </w:rPr>
            </w:pPr>
            <w:r>
              <w:rPr>
                <w:rFonts w:ascii="Arial" w:cs="Arial" w:eastAsia="Arial" w:hAnsi="Arial"/>
                <w:sz w:val="18"/>
                <w:szCs w:val="18"/>
                <w:color w:val="auto"/>
                <w:w w:val="99"/>
              </w:rPr>
              <w:t>which may be made under The Scotts Miracle-Gro Company</w:t>
            </w:r>
          </w:p>
        </w:tc>
      </w:tr>
      <w:tr>
        <w:trPr>
          <w:trHeight w:val="203"/>
        </w:trPr>
        <w:tc>
          <w:tcPr>
            <w:tcW w:w="1120" w:type="dxa"/>
            <w:vAlign w:val="bottom"/>
          </w:tcPr>
          <w:p>
            <w:pPr>
              <w:spacing w:after="0"/>
              <w:rPr>
                <w:sz w:val="17"/>
                <w:szCs w:val="17"/>
                <w:color w:val="auto"/>
              </w:rPr>
            </w:pPr>
          </w:p>
        </w:tc>
        <w:tc>
          <w:tcPr>
            <w:tcW w:w="5120" w:type="dxa"/>
            <w:vAlign w:val="bottom"/>
          </w:tcPr>
          <w:p>
            <w:pPr>
              <w:ind w:left="300"/>
              <w:spacing w:after="0" w:line="202" w:lineRule="exact"/>
              <w:rPr>
                <w:sz w:val="20"/>
                <w:szCs w:val="20"/>
                <w:color w:val="auto"/>
              </w:rPr>
            </w:pPr>
            <w:r>
              <w:rPr>
                <w:rFonts w:ascii="Arial" w:cs="Arial" w:eastAsia="Arial" w:hAnsi="Arial"/>
                <w:sz w:val="18"/>
                <w:szCs w:val="18"/>
                <w:color w:val="auto"/>
              </w:rPr>
              <w:t>Amended and Restated 2006 Long-Term Incentive Plan</w:t>
            </w:r>
          </w:p>
        </w:tc>
      </w:tr>
      <w:tr>
        <w:trPr>
          <w:trHeight w:val="243"/>
        </w:trPr>
        <w:tc>
          <w:tcPr>
            <w:tcW w:w="1120" w:type="dxa"/>
            <w:vAlign w:val="bottom"/>
          </w:tcPr>
          <w:p>
            <w:pPr>
              <w:spacing w:after="0"/>
              <w:rPr>
                <w:sz w:val="21"/>
                <w:szCs w:val="21"/>
                <w:color w:val="auto"/>
              </w:rPr>
            </w:pPr>
          </w:p>
        </w:tc>
        <w:tc>
          <w:tcPr>
            <w:tcW w:w="5120" w:type="dxa"/>
            <w:vAlign w:val="bottom"/>
          </w:tcPr>
          <w:p>
            <w:pPr>
              <w:ind w:left="300"/>
              <w:spacing w:after="0"/>
              <w:rPr>
                <w:sz w:val="20"/>
                <w:szCs w:val="20"/>
                <w:color w:val="auto"/>
              </w:rPr>
            </w:pPr>
            <w:r>
              <w:rPr>
                <w:rFonts w:ascii="Arial" w:cs="Arial" w:eastAsia="Arial" w:hAnsi="Arial"/>
                <w:sz w:val="18"/>
                <w:szCs w:val="18"/>
                <w:color w:val="auto"/>
              </w:rPr>
              <w:t>(French Specimen) [post-November 6, 2007 version]</w:t>
            </w:r>
          </w:p>
        </w:tc>
      </w:tr>
    </w:tbl>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March 29, 2008 (File No. 1-13292) [Exhibit 10(c)(1)]</w:t>
      </w:r>
    </w:p>
    <w:p>
      <w:pPr>
        <w:spacing w:after="0" w:line="397" w:lineRule="exact"/>
        <w:rPr>
          <w:sz w:val="20"/>
          <w:szCs w:val="20"/>
          <w:color w:val="auto"/>
        </w:rPr>
      </w:pPr>
    </w:p>
    <w:p>
      <w:pPr>
        <w:sectPr>
          <w:pgSz w:w="11900" w:h="16838" w:orient="portrait"/>
          <w:cols w:equalWidth="0" w:num="2">
            <w:col w:w="6940" w:space="280"/>
            <w:col w:w="3520"/>
          </w:cols>
          <w:pgMar w:left="240" w:top="405" w:right="919" w:bottom="1440" w:gutter="0" w:footer="0" w:header="0"/>
          <w:type w:val="continuous"/>
        </w:sectPr>
      </w:pPr>
    </w:p>
    <w:p>
      <w:pPr>
        <w:spacing w:after="0" w:line="11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0"/>
          <w:szCs w:val="10"/>
          <w:b w:val="1"/>
          <w:bCs w:val="1"/>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-71120</wp:posOffset>
            </wp:positionV>
            <wp:extent cx="19748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149225</wp:posOffset>
            </wp:positionV>
            <wp:extent cx="7250430" cy="215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240" w:top="405" w:right="919" w:bottom="1440" w:gutter="0" w:footer="0" w:header="0"/>
          <w:type w:val="continuous"/>
        </w:sectPr>
      </w:pPr>
    </w:p>
    <w:bookmarkStart w:id="123" w:name="page124"/>
    <w:bookmarkEnd w:id="123"/>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Times New Roman" w:cs="Times New Roman" w:eastAsia="Times New Roman" w:hAnsi="Times New Roman"/>
                <w:sz w:val="18"/>
                <w:szCs w:val="18"/>
                <w:b w:val="1"/>
                <w:bCs w:val="1"/>
                <w:color w:val="0000EE"/>
                <w:w w:val="97"/>
              </w:rPr>
            </w:pPr>
            <w:hyperlink w:anchor="page64">
              <w:r>
                <w:rPr>
                  <w:rFonts w:ascii="Times New Roman" w:cs="Times New Roman" w:eastAsia="Times New Roman" w:hAnsi="Times New Roman"/>
                  <w:sz w:val="18"/>
                  <w:szCs w:val="18"/>
                  <w:b w:val="1"/>
                  <w:bCs w:val="1"/>
                  <w:color w:val="0000EE"/>
                  <w:w w:val="97"/>
                </w:rPr>
                <w:t>Table of Contents</w:t>
              </w:r>
            </w:hyperlink>
          </w:p>
        </w:tc>
        <w:tc>
          <w:tcPr>
            <w:tcW w:w="48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3640" w:type="dxa"/>
            <w:vAlign w:val="bottom"/>
          </w:tcPr>
          <w:p>
            <w:pPr>
              <w:spacing w:after="0"/>
              <w:rPr>
                <w:sz w:val="17"/>
                <w:szCs w:val="17"/>
                <w:color w:val="auto"/>
              </w:rPr>
            </w:pPr>
          </w:p>
        </w:tc>
      </w:tr>
      <w:tr>
        <w:trPr>
          <w:trHeight w:val="511"/>
        </w:trPr>
        <w:tc>
          <w:tcPr>
            <w:tcW w:w="700" w:type="dxa"/>
            <w:vAlign w:val="bottom"/>
          </w:tcPr>
          <w:p>
            <w:pPr>
              <w:spacing w:after="0"/>
              <w:rPr>
                <w:sz w:val="24"/>
                <w:szCs w:val="24"/>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9"/>
              </w:rPr>
              <w:t>Exhibit</w:t>
            </w:r>
          </w:p>
        </w:tc>
        <w:tc>
          <w:tcPr>
            <w:tcW w:w="526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39"/>
        </w:trPr>
        <w:tc>
          <w:tcPr>
            <w:tcW w:w="700" w:type="dxa"/>
            <w:vAlign w:val="bottom"/>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9"/>
              </w:rPr>
              <w:t>No.</w:t>
            </w:r>
          </w:p>
        </w:tc>
        <w:tc>
          <w:tcPr>
            <w:tcW w:w="5260" w:type="dxa"/>
            <w:vAlign w:val="bottom"/>
            <w:tcBorders>
              <w:bottom w:val="single" w:sz="8" w:color="auto"/>
            </w:tcBorders>
          </w:tcPr>
          <w:p>
            <w:pPr>
              <w:ind w:left="2280"/>
              <w:spacing w:after="0"/>
              <w:rPr>
                <w:sz w:val="20"/>
                <w:szCs w:val="20"/>
                <w:color w:val="auto"/>
              </w:rPr>
            </w:pPr>
            <w:r>
              <w:rPr>
                <w:rFonts w:ascii="Arial" w:cs="Arial" w:eastAsia="Arial" w:hAnsi="Arial"/>
                <w:sz w:val="18"/>
                <w:szCs w:val="18"/>
                <w:color w:val="auto"/>
              </w:rPr>
              <w:t>Description</w:t>
            </w:r>
          </w:p>
        </w:tc>
        <w:tc>
          <w:tcPr>
            <w:tcW w:w="3640" w:type="dxa"/>
            <w:vAlign w:val="bottom"/>
            <w:tcBorders>
              <w:bottom w:val="single" w:sz="8" w:color="auto"/>
            </w:tcBorders>
          </w:tcPr>
          <w:p>
            <w:pPr>
              <w:ind w:left="1540"/>
              <w:spacing w:after="0"/>
              <w:rPr>
                <w:sz w:val="20"/>
                <w:szCs w:val="20"/>
                <w:color w:val="auto"/>
              </w:rPr>
            </w:pPr>
            <w:r>
              <w:rPr>
                <w:rFonts w:ascii="Arial" w:cs="Arial" w:eastAsia="Arial" w:hAnsi="Arial"/>
                <w:sz w:val="18"/>
                <w:szCs w:val="18"/>
                <w:color w:val="auto"/>
              </w:rPr>
              <w:t>Location</w:t>
            </w:r>
          </w:p>
        </w:tc>
      </w:tr>
      <w:tr>
        <w:trPr>
          <w:trHeight w:val="227"/>
        </w:trPr>
        <w:tc>
          <w:tcPr>
            <w:tcW w:w="1840" w:type="dxa"/>
            <w:vAlign w:val="bottom"/>
            <w:gridSpan w:val="3"/>
          </w:tcPr>
          <w:p>
            <w:pPr>
              <w:ind w:left="700"/>
              <w:spacing w:after="0"/>
              <w:rPr>
                <w:sz w:val="20"/>
                <w:szCs w:val="20"/>
                <w:color w:val="auto"/>
              </w:rPr>
            </w:pPr>
            <w:r>
              <w:rPr>
                <w:rFonts w:ascii="Arial" w:cs="Arial" w:eastAsia="Arial" w:hAnsi="Arial"/>
                <w:sz w:val="18"/>
                <w:szCs w:val="18"/>
                <w:color w:val="auto"/>
              </w:rPr>
              <w:t>10.8(a)</w:t>
            </w:r>
          </w:p>
        </w:tc>
        <w:tc>
          <w:tcPr>
            <w:tcW w:w="5260" w:type="dxa"/>
            <w:vAlign w:val="bottom"/>
          </w:tcPr>
          <w:p>
            <w:pPr>
              <w:ind w:left="280"/>
              <w:spacing w:after="0"/>
              <w:rPr>
                <w:sz w:val="20"/>
                <w:szCs w:val="20"/>
                <w:color w:val="auto"/>
              </w:rPr>
            </w:pPr>
            <w:r>
              <w:rPr>
                <w:rFonts w:ascii="Arial" w:cs="Arial" w:eastAsia="Arial" w:hAnsi="Arial"/>
                <w:sz w:val="18"/>
                <w:szCs w:val="18"/>
                <w:color w:val="auto"/>
              </w:rPr>
              <w:t>The Scotts Miracle-Gro Company Discounted Stock</w:t>
            </w:r>
          </w:p>
        </w:tc>
        <w:tc>
          <w:tcPr>
            <w:tcW w:w="3640" w:type="dxa"/>
            <w:vAlign w:val="bottom"/>
          </w:tcPr>
          <w:p>
            <w:pPr>
              <w:ind w:left="120"/>
              <w:spacing w:after="0"/>
              <w:rPr>
                <w:sz w:val="20"/>
                <w:szCs w:val="20"/>
                <w:color w:val="auto"/>
              </w:rPr>
            </w:pPr>
            <w:r>
              <w:rPr>
                <w:rFonts w:ascii="Arial" w:cs="Arial" w:eastAsia="Arial" w:hAnsi="Arial"/>
                <w:sz w:val="18"/>
                <w:szCs w:val="18"/>
                <w:color w:val="auto"/>
              </w:rPr>
              <w:t>Incorporated herein by reference to the</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60" w:type="dxa"/>
            <w:vAlign w:val="bottom"/>
          </w:tcPr>
          <w:p>
            <w:pPr>
              <w:ind w:left="280"/>
              <w:spacing w:after="0" w:line="202" w:lineRule="exact"/>
              <w:rPr>
                <w:sz w:val="20"/>
                <w:szCs w:val="20"/>
                <w:color w:val="auto"/>
              </w:rPr>
            </w:pPr>
            <w:r>
              <w:rPr>
                <w:rFonts w:ascii="Arial" w:cs="Arial" w:eastAsia="Arial" w:hAnsi="Arial"/>
                <w:sz w:val="18"/>
                <w:szCs w:val="18"/>
                <w:color w:val="auto"/>
              </w:rPr>
              <w:t>Purchase Plan (As Amended and Restated as of January 26,</w:t>
            </w:r>
          </w:p>
        </w:tc>
        <w:tc>
          <w:tcPr>
            <w:tcW w:w="3640" w:type="dxa"/>
            <w:vAlign w:val="bottom"/>
          </w:tcPr>
          <w:p>
            <w:pPr>
              <w:ind w:left="120"/>
              <w:spacing w:after="0" w:line="202" w:lineRule="exact"/>
              <w:rPr>
                <w:sz w:val="20"/>
                <w:szCs w:val="20"/>
                <w:color w:val="auto"/>
              </w:rPr>
            </w:pPr>
            <w:r>
              <w:rPr>
                <w:rFonts w:ascii="Arial" w:cs="Arial" w:eastAsia="Arial" w:hAnsi="Arial"/>
                <w:sz w:val="18"/>
                <w:szCs w:val="18"/>
                <w:color w:val="auto"/>
              </w:rPr>
              <w:t>Registrant’s Current Report on Form 8-K</w:t>
            </w:r>
          </w:p>
        </w:tc>
      </w:tr>
      <w:tr>
        <w:trPr>
          <w:trHeight w:val="203"/>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60" w:type="dxa"/>
            <w:vAlign w:val="bottom"/>
          </w:tcPr>
          <w:p>
            <w:pPr>
              <w:ind w:left="280"/>
              <w:spacing w:after="0" w:line="202" w:lineRule="exact"/>
              <w:rPr>
                <w:sz w:val="20"/>
                <w:szCs w:val="20"/>
                <w:color w:val="auto"/>
              </w:rPr>
            </w:pPr>
            <w:r>
              <w:rPr>
                <w:rFonts w:ascii="Arial" w:cs="Arial" w:eastAsia="Arial" w:hAnsi="Arial"/>
                <w:sz w:val="18"/>
                <w:szCs w:val="18"/>
                <w:color w:val="auto"/>
              </w:rPr>
              <w:t>2006; Reflects 2-for-1 Stock Split Distributed on November 9,</w:t>
            </w:r>
          </w:p>
        </w:tc>
        <w:tc>
          <w:tcPr>
            <w:tcW w:w="3640" w:type="dxa"/>
            <w:vAlign w:val="bottom"/>
          </w:tcPr>
          <w:p>
            <w:pPr>
              <w:ind w:left="120"/>
              <w:spacing w:after="0" w:line="202" w:lineRule="exact"/>
              <w:rPr>
                <w:sz w:val="20"/>
                <w:szCs w:val="20"/>
                <w:color w:val="auto"/>
              </w:rPr>
            </w:pPr>
            <w:r>
              <w:rPr>
                <w:rFonts w:ascii="Arial" w:cs="Arial" w:eastAsia="Arial" w:hAnsi="Arial"/>
                <w:sz w:val="18"/>
                <w:szCs w:val="18"/>
                <w:color w:val="auto"/>
              </w:rPr>
              <w:t>filed February 2, 2006 (File No. 1-13292)</w:t>
            </w:r>
          </w:p>
        </w:tc>
      </w:tr>
      <w:tr>
        <w:trPr>
          <w:trHeight w:val="243"/>
        </w:trPr>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260" w:type="dxa"/>
            <w:vAlign w:val="bottom"/>
          </w:tcPr>
          <w:p>
            <w:pPr>
              <w:ind w:left="280"/>
              <w:spacing w:after="0"/>
              <w:rPr>
                <w:sz w:val="20"/>
                <w:szCs w:val="20"/>
                <w:color w:val="auto"/>
              </w:rPr>
            </w:pPr>
            <w:r>
              <w:rPr>
                <w:rFonts w:ascii="Arial" w:cs="Arial" w:eastAsia="Arial" w:hAnsi="Arial"/>
                <w:sz w:val="18"/>
                <w:szCs w:val="18"/>
                <w:color w:val="auto"/>
              </w:rPr>
              <w:t>2005)</w:t>
            </w:r>
          </w:p>
        </w:tc>
        <w:tc>
          <w:tcPr>
            <w:tcW w:w="3640" w:type="dxa"/>
            <w:vAlign w:val="bottom"/>
          </w:tcPr>
          <w:p>
            <w:pPr>
              <w:ind w:left="120"/>
              <w:spacing w:after="0"/>
              <w:rPr>
                <w:sz w:val="20"/>
                <w:szCs w:val="20"/>
                <w:color w:val="auto"/>
              </w:rPr>
            </w:pPr>
            <w:r>
              <w:rPr>
                <w:rFonts w:ascii="Arial" w:cs="Arial" w:eastAsia="Arial" w:hAnsi="Arial"/>
                <w:sz w:val="18"/>
                <w:szCs w:val="18"/>
                <w:color w:val="auto"/>
              </w:rPr>
              <w:t>[Exhibit 10.1]</w:t>
            </w:r>
          </w:p>
        </w:tc>
      </w:tr>
    </w:tbl>
    <w:p>
      <w:pPr>
        <w:spacing w:after="0" w:line="200" w:lineRule="exact"/>
        <w:rPr>
          <w:sz w:val="20"/>
          <w:szCs w:val="20"/>
          <w:color w:val="auto"/>
        </w:rPr>
      </w:pPr>
    </w:p>
    <w:p>
      <w:pPr>
        <w:sectPr>
          <w:pgSz w:w="11900" w:h="16838" w:orient="portrait"/>
          <w:cols w:equalWidth="0" w:num="1">
            <w:col w:w="10740"/>
          </w:cols>
          <w:pgMar w:left="240" w:top="405" w:right="919" w:bottom="1440" w:gutter="0" w:footer="0" w:header="0"/>
        </w:sectPr>
      </w:pPr>
    </w:p>
    <w:p>
      <w:pPr>
        <w:spacing w:after="0" w:line="133"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Arial" w:cs="Arial" w:eastAsia="Arial" w:hAnsi="Arial"/>
                <w:sz w:val="18"/>
                <w:szCs w:val="18"/>
                <w:color w:val="auto"/>
              </w:rPr>
              <w:t>10.8(b)</w:t>
            </w:r>
          </w:p>
        </w:tc>
        <w:tc>
          <w:tcPr>
            <w:tcW w:w="5260" w:type="dxa"/>
            <w:vAlign w:val="bottom"/>
          </w:tcPr>
          <w:p>
            <w:pPr>
              <w:ind w:left="420"/>
              <w:spacing w:after="0"/>
              <w:rPr>
                <w:sz w:val="20"/>
                <w:szCs w:val="20"/>
                <w:color w:val="auto"/>
              </w:rPr>
            </w:pPr>
            <w:r>
              <w:rPr>
                <w:rFonts w:ascii="Arial" w:cs="Arial" w:eastAsia="Arial" w:hAnsi="Arial"/>
                <w:sz w:val="18"/>
                <w:szCs w:val="18"/>
                <w:color w:val="auto"/>
                <w:w w:val="99"/>
              </w:rPr>
              <w:t>Amendment to The Scotts Miracle-Gro Company Discounted</w:t>
            </w:r>
          </w:p>
        </w:tc>
      </w:tr>
      <w:tr>
        <w:trPr>
          <w:trHeight w:val="243"/>
        </w:trPr>
        <w:tc>
          <w:tcPr>
            <w:tcW w:w="1000" w:type="dxa"/>
            <w:vAlign w:val="bottom"/>
          </w:tcPr>
          <w:p>
            <w:pPr>
              <w:spacing w:after="0"/>
              <w:rPr>
                <w:sz w:val="21"/>
                <w:szCs w:val="21"/>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Stock Purchase Plan (effective as of November 6, 2008)</w:t>
            </w:r>
          </w:p>
        </w:tc>
      </w:tr>
    </w:tbl>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ind w:right="220"/>
        <w:spacing w:after="0" w:line="263" w:lineRule="auto"/>
        <w:rPr>
          <w:sz w:val="20"/>
          <w:szCs w:val="20"/>
          <w:color w:val="auto"/>
        </w:rPr>
      </w:pPr>
      <w:r>
        <w:rPr>
          <w:rFonts w:ascii="Arial" w:cs="Arial" w:eastAsia="Arial" w:hAnsi="Arial"/>
          <w:sz w:val="17"/>
          <w:szCs w:val="17"/>
          <w:color w:val="auto"/>
        </w:rPr>
        <w:t>Incorporated herein by reference to the Registrant’s Annual Report on Form 10-K for the fiscal year ended September 30, 2008 (which was filed on November 25, 2008) (File No. 1-13292) [Exhibit 10.8(b)]</w:t>
      </w:r>
    </w:p>
    <w:p>
      <w:pPr>
        <w:spacing w:after="0" w:line="200" w:lineRule="exact"/>
        <w:rPr>
          <w:sz w:val="20"/>
          <w:szCs w:val="20"/>
          <w:color w:val="auto"/>
        </w:rPr>
      </w:pPr>
    </w:p>
    <w:p>
      <w:pPr>
        <w:sectPr>
          <w:pgSz w:w="11900" w:h="16838" w:orient="portrait"/>
          <w:cols w:equalWidth="0" w:num="2">
            <w:col w:w="6960" w:space="260"/>
            <w:col w:w="3520"/>
          </w:cols>
          <w:pgMar w:left="240" w:top="405" w:right="919" w:bottom="1440" w:gutter="0" w:footer="0" w:header="0"/>
          <w:type w:val="continuous"/>
        </w:sectPr>
      </w:pPr>
    </w:p>
    <w:p>
      <w:pPr>
        <w:spacing w:after="0" w:line="116"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880" w:type="dxa"/>
            <w:vAlign w:val="bottom"/>
          </w:tcPr>
          <w:p>
            <w:pPr>
              <w:jc w:val="right"/>
              <w:ind w:right="450"/>
              <w:spacing w:after="0"/>
              <w:rPr>
                <w:sz w:val="20"/>
                <w:szCs w:val="20"/>
                <w:color w:val="auto"/>
              </w:rPr>
            </w:pPr>
            <w:r>
              <w:rPr>
                <w:rFonts w:ascii="Arial" w:cs="Arial" w:eastAsia="Arial" w:hAnsi="Arial"/>
                <w:sz w:val="18"/>
                <w:szCs w:val="18"/>
                <w:color w:val="auto"/>
                <w:w w:val="91"/>
              </w:rPr>
              <w:t>10.9</w:t>
            </w:r>
          </w:p>
        </w:tc>
        <w:tc>
          <w:tcPr>
            <w:tcW w:w="5000" w:type="dxa"/>
            <w:vAlign w:val="bottom"/>
          </w:tcPr>
          <w:p>
            <w:pPr>
              <w:ind w:left="540"/>
              <w:spacing w:after="0"/>
              <w:rPr>
                <w:sz w:val="20"/>
                <w:szCs w:val="20"/>
                <w:color w:val="auto"/>
              </w:rPr>
            </w:pPr>
            <w:r>
              <w:rPr>
                <w:rFonts w:ascii="Arial" w:cs="Arial" w:eastAsia="Arial" w:hAnsi="Arial"/>
                <w:sz w:val="18"/>
                <w:szCs w:val="18"/>
                <w:color w:val="auto"/>
              </w:rPr>
              <w:t>Summary of Compensation for Directors of The Scotts</w:t>
            </w:r>
          </w:p>
        </w:tc>
      </w:tr>
      <w:tr>
        <w:trPr>
          <w:trHeight w:val="243"/>
        </w:trPr>
        <w:tc>
          <w:tcPr>
            <w:tcW w:w="880" w:type="dxa"/>
            <w:vAlign w:val="bottom"/>
          </w:tcPr>
          <w:p>
            <w:pPr>
              <w:spacing w:after="0"/>
              <w:rPr>
                <w:sz w:val="21"/>
                <w:szCs w:val="21"/>
                <w:color w:val="auto"/>
              </w:rPr>
            </w:pPr>
          </w:p>
        </w:tc>
        <w:tc>
          <w:tcPr>
            <w:tcW w:w="5000" w:type="dxa"/>
            <w:vAlign w:val="bottom"/>
          </w:tcPr>
          <w:p>
            <w:pPr>
              <w:ind w:left="540"/>
              <w:spacing w:after="0"/>
              <w:rPr>
                <w:sz w:val="20"/>
                <w:szCs w:val="20"/>
                <w:color w:val="auto"/>
              </w:rPr>
            </w:pPr>
            <w:r>
              <w:rPr>
                <w:rFonts w:ascii="Arial" w:cs="Arial" w:eastAsia="Arial" w:hAnsi="Arial"/>
                <w:sz w:val="18"/>
                <w:szCs w:val="18"/>
                <w:color w:val="auto"/>
                <w:w w:val="99"/>
              </w:rPr>
              <w:t>Miracle-Gro Company (effective as of February 4, 2008)</w:t>
            </w:r>
          </w:p>
        </w:tc>
      </w:tr>
    </w:tbl>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December 29, 2007 (File No. 1-13292) [Exhibit 10(r)]</w:t>
      </w:r>
    </w:p>
    <w:p>
      <w:pPr>
        <w:spacing w:after="0" w:line="200" w:lineRule="exact"/>
        <w:rPr>
          <w:sz w:val="20"/>
          <w:szCs w:val="20"/>
          <w:color w:val="auto"/>
        </w:rPr>
      </w:pPr>
    </w:p>
    <w:p>
      <w:pPr>
        <w:sectPr>
          <w:pgSz w:w="11900" w:h="16838" w:orient="portrait"/>
          <w:cols w:equalWidth="0" w:num="2">
            <w:col w:w="6580" w:space="640"/>
            <w:col w:w="3520"/>
          </w:cols>
          <w:pgMar w:left="240" w:top="405" w:right="919" w:bottom="1440" w:gutter="0" w:footer="0" w:header="0"/>
          <w:type w:val="continuous"/>
        </w:sectPr>
      </w:pPr>
    </w:p>
    <w:p>
      <w:pPr>
        <w:spacing w:after="0" w:line="129"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940" w:type="dxa"/>
            <w:vAlign w:val="bottom"/>
          </w:tcPr>
          <w:p>
            <w:pPr>
              <w:jc w:val="right"/>
              <w:ind w:right="410"/>
              <w:spacing w:after="0"/>
              <w:rPr>
                <w:sz w:val="20"/>
                <w:szCs w:val="20"/>
                <w:color w:val="auto"/>
              </w:rPr>
            </w:pPr>
            <w:r>
              <w:rPr>
                <w:rFonts w:ascii="Arial" w:cs="Arial" w:eastAsia="Arial" w:hAnsi="Arial"/>
                <w:sz w:val="18"/>
                <w:szCs w:val="18"/>
                <w:color w:val="auto"/>
                <w:w w:val="93"/>
              </w:rPr>
              <w:t>10.10</w:t>
            </w:r>
          </w:p>
        </w:tc>
        <w:tc>
          <w:tcPr>
            <w:tcW w:w="5440" w:type="dxa"/>
            <w:vAlign w:val="bottom"/>
          </w:tcPr>
          <w:p>
            <w:pPr>
              <w:ind w:left="480"/>
              <w:spacing w:after="0"/>
              <w:rPr>
                <w:sz w:val="20"/>
                <w:szCs w:val="20"/>
                <w:color w:val="auto"/>
              </w:rPr>
            </w:pPr>
            <w:r>
              <w:rPr>
                <w:rFonts w:ascii="Arial" w:cs="Arial" w:eastAsia="Arial" w:hAnsi="Arial"/>
                <w:sz w:val="18"/>
                <w:szCs w:val="18"/>
                <w:color w:val="auto"/>
              </w:rPr>
              <w:t>Employment Agreement, dated as of May 19, 1995, between</w:t>
            </w:r>
          </w:p>
        </w:tc>
        <w:tc>
          <w:tcPr>
            <w:tcW w:w="3540" w:type="dxa"/>
            <w:vAlign w:val="bottom"/>
          </w:tcPr>
          <w:p>
            <w:pPr>
              <w:ind w:left="140"/>
              <w:spacing w:after="0"/>
              <w:rPr>
                <w:sz w:val="20"/>
                <w:szCs w:val="20"/>
                <w:color w:val="auto"/>
              </w:rPr>
            </w:pPr>
            <w:r>
              <w:rPr>
                <w:rFonts w:ascii="Arial" w:cs="Arial" w:eastAsia="Arial" w:hAnsi="Arial"/>
                <w:sz w:val="18"/>
                <w:szCs w:val="18"/>
                <w:color w:val="auto"/>
                <w:w w:val="99"/>
              </w:rPr>
              <w:t>Incorporated herein by reference to Scotts’</w:t>
            </w:r>
          </w:p>
        </w:tc>
      </w:tr>
      <w:tr>
        <w:trPr>
          <w:trHeight w:val="203"/>
        </w:trPr>
        <w:tc>
          <w:tcPr>
            <w:tcW w:w="940" w:type="dxa"/>
            <w:vAlign w:val="bottom"/>
          </w:tcPr>
          <w:p>
            <w:pPr>
              <w:spacing w:after="0"/>
              <w:rPr>
                <w:sz w:val="17"/>
                <w:szCs w:val="17"/>
                <w:color w:val="auto"/>
              </w:rPr>
            </w:pPr>
          </w:p>
        </w:tc>
        <w:tc>
          <w:tcPr>
            <w:tcW w:w="5440" w:type="dxa"/>
            <w:vAlign w:val="bottom"/>
          </w:tcPr>
          <w:p>
            <w:pPr>
              <w:ind w:left="480"/>
              <w:spacing w:after="0" w:line="202" w:lineRule="exact"/>
              <w:rPr>
                <w:sz w:val="20"/>
                <w:szCs w:val="20"/>
                <w:color w:val="auto"/>
              </w:rPr>
            </w:pPr>
            <w:r>
              <w:rPr>
                <w:rFonts w:ascii="Arial" w:cs="Arial" w:eastAsia="Arial" w:hAnsi="Arial"/>
                <w:sz w:val="18"/>
                <w:szCs w:val="18"/>
                <w:color w:val="auto"/>
              </w:rPr>
              <w:t>The Scotts Company and James Hagedorn</w:t>
            </w:r>
          </w:p>
        </w:tc>
        <w:tc>
          <w:tcPr>
            <w:tcW w:w="3540" w:type="dxa"/>
            <w:vAlign w:val="bottom"/>
          </w:tcPr>
          <w:p>
            <w:pPr>
              <w:ind w:left="140"/>
              <w:spacing w:after="0" w:line="202" w:lineRule="exact"/>
              <w:rPr>
                <w:sz w:val="20"/>
                <w:szCs w:val="20"/>
                <w:color w:val="auto"/>
              </w:rPr>
            </w:pPr>
            <w:r>
              <w:rPr>
                <w:rFonts w:ascii="Arial" w:cs="Arial" w:eastAsia="Arial" w:hAnsi="Arial"/>
                <w:sz w:val="18"/>
                <w:szCs w:val="18"/>
                <w:color w:val="auto"/>
              </w:rPr>
              <w:t>Annual Report on Form 10-K for the fiscal</w:t>
            </w:r>
          </w:p>
        </w:tc>
      </w:tr>
      <w:tr>
        <w:trPr>
          <w:trHeight w:val="203"/>
        </w:trPr>
        <w:tc>
          <w:tcPr>
            <w:tcW w:w="94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3540" w:type="dxa"/>
            <w:vAlign w:val="bottom"/>
          </w:tcPr>
          <w:p>
            <w:pPr>
              <w:ind w:left="140"/>
              <w:spacing w:after="0" w:line="202" w:lineRule="exact"/>
              <w:rPr>
                <w:sz w:val="20"/>
                <w:szCs w:val="20"/>
                <w:color w:val="auto"/>
              </w:rPr>
            </w:pPr>
            <w:r>
              <w:rPr>
                <w:rFonts w:ascii="Arial" w:cs="Arial" w:eastAsia="Arial" w:hAnsi="Arial"/>
                <w:sz w:val="18"/>
                <w:szCs w:val="18"/>
                <w:color w:val="auto"/>
              </w:rPr>
              <w:t>year ended September 30, 1995 (File No.</w:t>
            </w:r>
          </w:p>
        </w:tc>
      </w:tr>
      <w:tr>
        <w:trPr>
          <w:trHeight w:val="243"/>
        </w:trPr>
        <w:tc>
          <w:tcPr>
            <w:tcW w:w="940" w:type="dxa"/>
            <w:vAlign w:val="bottom"/>
          </w:tcPr>
          <w:p>
            <w:pPr>
              <w:spacing w:after="0"/>
              <w:rPr>
                <w:sz w:val="21"/>
                <w:szCs w:val="21"/>
                <w:color w:val="auto"/>
              </w:rPr>
            </w:pPr>
          </w:p>
        </w:tc>
        <w:tc>
          <w:tcPr>
            <w:tcW w:w="5440" w:type="dxa"/>
            <w:vAlign w:val="bottom"/>
          </w:tcPr>
          <w:p>
            <w:pPr>
              <w:spacing w:after="0"/>
              <w:rPr>
                <w:sz w:val="21"/>
                <w:szCs w:val="21"/>
                <w:color w:val="auto"/>
              </w:rPr>
            </w:pPr>
          </w:p>
        </w:tc>
        <w:tc>
          <w:tcPr>
            <w:tcW w:w="3540" w:type="dxa"/>
            <w:vAlign w:val="bottom"/>
          </w:tcPr>
          <w:p>
            <w:pPr>
              <w:ind w:left="140"/>
              <w:spacing w:after="0"/>
              <w:rPr>
                <w:sz w:val="20"/>
                <w:szCs w:val="20"/>
                <w:color w:val="auto"/>
              </w:rPr>
            </w:pPr>
            <w:r>
              <w:rPr>
                <w:rFonts w:ascii="Arial" w:cs="Arial" w:eastAsia="Arial" w:hAnsi="Arial"/>
                <w:sz w:val="18"/>
                <w:szCs w:val="18"/>
                <w:color w:val="auto"/>
              </w:rPr>
              <w:t>1-11593) [Exhibit 10(p)]</w:t>
            </w:r>
          </w:p>
        </w:tc>
      </w:tr>
    </w:tbl>
    <w:p>
      <w:pPr>
        <w:spacing w:after="0" w:line="200" w:lineRule="exact"/>
        <w:rPr>
          <w:sz w:val="20"/>
          <w:szCs w:val="20"/>
          <w:color w:val="auto"/>
        </w:rPr>
      </w:pPr>
    </w:p>
    <w:p>
      <w:pPr>
        <w:sectPr>
          <w:pgSz w:w="11900" w:h="16838" w:orient="portrait"/>
          <w:cols w:equalWidth="0" w:num="1">
            <w:col w:w="10740"/>
          </w:cols>
          <w:pgMar w:left="240" w:top="405" w:right="919" w:bottom="1440" w:gutter="0" w:footer="0" w:header="0"/>
          <w:type w:val="continuous"/>
        </w:sectPr>
      </w:pPr>
    </w:p>
    <w:p>
      <w:pPr>
        <w:spacing w:after="0" w:line="133"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Arial" w:cs="Arial" w:eastAsia="Arial" w:hAnsi="Arial"/>
                <w:sz w:val="18"/>
                <w:szCs w:val="18"/>
                <w:color w:val="auto"/>
              </w:rPr>
              <w:t>10.11(a)</w:t>
            </w:r>
          </w:p>
        </w:tc>
        <w:tc>
          <w:tcPr>
            <w:tcW w:w="5120" w:type="dxa"/>
            <w:vAlign w:val="bottom"/>
          </w:tcPr>
          <w:p>
            <w:pPr>
              <w:ind w:left="380"/>
              <w:spacing w:after="0"/>
              <w:rPr>
                <w:sz w:val="20"/>
                <w:szCs w:val="20"/>
                <w:color w:val="auto"/>
              </w:rPr>
            </w:pPr>
            <w:r>
              <w:rPr>
                <w:rFonts w:ascii="Arial" w:cs="Arial" w:eastAsia="Arial" w:hAnsi="Arial"/>
                <w:sz w:val="18"/>
                <w:szCs w:val="18"/>
                <w:color w:val="auto"/>
              </w:rPr>
              <w:t>Letter agreement, dated June 5, 2000 and accepted by Mr.</w:t>
            </w:r>
          </w:p>
        </w:tc>
      </w:tr>
      <w:tr>
        <w:trPr>
          <w:trHeight w:val="203"/>
        </w:trPr>
        <w:tc>
          <w:tcPr>
            <w:tcW w:w="1040" w:type="dxa"/>
            <w:vAlign w:val="bottom"/>
          </w:tcPr>
          <w:p>
            <w:pPr>
              <w:spacing w:after="0"/>
              <w:rPr>
                <w:sz w:val="17"/>
                <w:szCs w:val="17"/>
                <w:color w:val="auto"/>
              </w:rPr>
            </w:pPr>
          </w:p>
        </w:tc>
        <w:tc>
          <w:tcPr>
            <w:tcW w:w="5120" w:type="dxa"/>
            <w:vAlign w:val="bottom"/>
          </w:tcPr>
          <w:p>
            <w:pPr>
              <w:ind w:left="380"/>
              <w:spacing w:after="0" w:line="202" w:lineRule="exact"/>
              <w:rPr>
                <w:sz w:val="20"/>
                <w:szCs w:val="20"/>
                <w:color w:val="auto"/>
              </w:rPr>
            </w:pPr>
            <w:r>
              <w:rPr>
                <w:rFonts w:ascii="Arial" w:cs="Arial" w:eastAsia="Arial" w:hAnsi="Arial"/>
                <w:sz w:val="18"/>
                <w:szCs w:val="18"/>
                <w:color w:val="auto"/>
                <w:w w:val="99"/>
              </w:rPr>
              <w:t>Norton on June 8, 2000, between The Scotts Company and</w:t>
            </w:r>
          </w:p>
        </w:tc>
      </w:tr>
      <w:tr>
        <w:trPr>
          <w:trHeight w:val="243"/>
        </w:trPr>
        <w:tc>
          <w:tcPr>
            <w:tcW w:w="1040" w:type="dxa"/>
            <w:vAlign w:val="bottom"/>
          </w:tcPr>
          <w:p>
            <w:pPr>
              <w:spacing w:after="0"/>
              <w:rPr>
                <w:sz w:val="21"/>
                <w:szCs w:val="21"/>
                <w:color w:val="auto"/>
              </w:rPr>
            </w:pPr>
          </w:p>
        </w:tc>
        <w:tc>
          <w:tcPr>
            <w:tcW w:w="5120" w:type="dxa"/>
            <w:vAlign w:val="bottom"/>
          </w:tcPr>
          <w:p>
            <w:pPr>
              <w:ind w:left="380"/>
              <w:spacing w:after="0"/>
              <w:rPr>
                <w:sz w:val="20"/>
                <w:szCs w:val="20"/>
                <w:color w:val="auto"/>
              </w:rPr>
            </w:pPr>
            <w:r>
              <w:rPr>
                <w:rFonts w:ascii="Arial" w:cs="Arial" w:eastAsia="Arial" w:hAnsi="Arial"/>
                <w:sz w:val="18"/>
                <w:szCs w:val="18"/>
                <w:color w:val="auto"/>
              </w:rPr>
              <w:t>Patrick J. Norton</w:t>
            </w:r>
          </w:p>
        </w:tc>
      </w:tr>
    </w:tbl>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jc w:val="both"/>
        <w:ind w:right="120"/>
        <w:spacing w:after="0" w:line="248" w:lineRule="auto"/>
        <w:rPr>
          <w:sz w:val="20"/>
          <w:szCs w:val="20"/>
          <w:color w:val="auto"/>
        </w:rPr>
      </w:pPr>
      <w:r>
        <w:rPr>
          <w:rFonts w:ascii="Arial" w:cs="Arial" w:eastAsia="Arial" w:hAnsi="Arial"/>
          <w:sz w:val="18"/>
          <w:szCs w:val="18"/>
          <w:color w:val="auto"/>
        </w:rPr>
        <w:t>Incorporated herein by reference to Scotts’ Annual Report on Form 10-K for the fiscal year ended September 30, 2000 (File No. 1-13292) [Exhibit 10(q)]</w:t>
      </w:r>
    </w:p>
    <w:p>
      <w:pPr>
        <w:spacing w:after="0" w:line="200" w:lineRule="exact"/>
        <w:rPr>
          <w:sz w:val="20"/>
          <w:szCs w:val="20"/>
          <w:color w:val="auto"/>
        </w:rPr>
      </w:pPr>
    </w:p>
    <w:p>
      <w:pPr>
        <w:sectPr>
          <w:pgSz w:w="11900" w:h="16838" w:orient="portrait"/>
          <w:cols w:equalWidth="0" w:num="2">
            <w:col w:w="6860" w:space="360"/>
            <w:col w:w="3520"/>
          </w:cols>
          <w:pgMar w:left="240" w:top="405" w:right="919" w:bottom="1440" w:gutter="0" w:footer="0" w:header="0"/>
          <w:type w:val="continuous"/>
        </w:sectPr>
      </w:pPr>
    </w:p>
    <w:p>
      <w:pPr>
        <w:spacing w:after="0" w:line="129"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Arial" w:cs="Arial" w:eastAsia="Arial" w:hAnsi="Arial"/>
                <w:sz w:val="18"/>
                <w:szCs w:val="18"/>
                <w:color w:val="auto"/>
              </w:rPr>
              <w:t>10.11(b)</w:t>
            </w:r>
          </w:p>
        </w:tc>
        <w:tc>
          <w:tcPr>
            <w:tcW w:w="5280" w:type="dxa"/>
            <w:vAlign w:val="bottom"/>
          </w:tcPr>
          <w:p>
            <w:pPr>
              <w:ind w:left="380"/>
              <w:spacing w:after="0"/>
              <w:rPr>
                <w:sz w:val="20"/>
                <w:szCs w:val="20"/>
                <w:color w:val="auto"/>
              </w:rPr>
            </w:pPr>
            <w:r>
              <w:rPr>
                <w:rFonts w:ascii="Arial" w:cs="Arial" w:eastAsia="Arial" w:hAnsi="Arial"/>
                <w:sz w:val="18"/>
                <w:szCs w:val="18"/>
                <w:color w:val="auto"/>
              </w:rPr>
              <w:t>Letter agreement, dated November 5, 2002, and accepted by</w:t>
            </w:r>
          </w:p>
        </w:tc>
      </w:tr>
      <w:tr>
        <w:trPr>
          <w:trHeight w:val="203"/>
        </w:trPr>
        <w:tc>
          <w:tcPr>
            <w:tcW w:w="1040" w:type="dxa"/>
            <w:vAlign w:val="bottom"/>
          </w:tcPr>
          <w:p>
            <w:pPr>
              <w:spacing w:after="0"/>
              <w:rPr>
                <w:sz w:val="17"/>
                <w:szCs w:val="17"/>
                <w:color w:val="auto"/>
              </w:rPr>
            </w:pPr>
          </w:p>
        </w:tc>
        <w:tc>
          <w:tcPr>
            <w:tcW w:w="5280" w:type="dxa"/>
            <w:vAlign w:val="bottom"/>
          </w:tcPr>
          <w:p>
            <w:pPr>
              <w:ind w:left="380"/>
              <w:spacing w:after="0" w:line="202" w:lineRule="exact"/>
              <w:rPr>
                <w:sz w:val="20"/>
                <w:szCs w:val="20"/>
                <w:color w:val="auto"/>
              </w:rPr>
            </w:pPr>
            <w:r>
              <w:rPr>
                <w:rFonts w:ascii="Arial" w:cs="Arial" w:eastAsia="Arial" w:hAnsi="Arial"/>
                <w:sz w:val="18"/>
                <w:szCs w:val="18"/>
                <w:color w:val="auto"/>
              </w:rPr>
              <w:t>Mr. Norton on November 22, 2002, pertaining to the terms of</w:t>
            </w:r>
          </w:p>
        </w:tc>
      </w:tr>
      <w:tr>
        <w:trPr>
          <w:trHeight w:val="225"/>
        </w:trPr>
        <w:tc>
          <w:tcPr>
            <w:tcW w:w="1040" w:type="dxa"/>
            <w:vAlign w:val="bottom"/>
          </w:tcPr>
          <w:p>
            <w:pPr>
              <w:spacing w:after="0"/>
              <w:rPr>
                <w:sz w:val="19"/>
                <w:szCs w:val="19"/>
                <w:color w:val="auto"/>
              </w:rPr>
            </w:pPr>
          </w:p>
        </w:tc>
        <w:tc>
          <w:tcPr>
            <w:tcW w:w="5280" w:type="dxa"/>
            <w:vAlign w:val="bottom"/>
          </w:tcPr>
          <w:p>
            <w:pPr>
              <w:ind w:left="380"/>
              <w:spacing w:after="0"/>
              <w:rPr>
                <w:sz w:val="20"/>
                <w:szCs w:val="20"/>
                <w:color w:val="auto"/>
              </w:rPr>
            </w:pPr>
            <w:r>
              <w:rPr>
                <w:rFonts w:ascii="Arial" w:cs="Arial" w:eastAsia="Arial" w:hAnsi="Arial"/>
                <w:sz w:val="18"/>
                <w:szCs w:val="18"/>
                <w:color w:val="auto"/>
                <w:w w:val="99"/>
              </w:rPr>
              <w:t>employment of Patrick J. Norton through December 31, 2005,</w:t>
            </w:r>
          </w:p>
        </w:tc>
      </w:tr>
    </w:tbl>
    <w:p>
      <w:pPr>
        <w:jc w:val="both"/>
        <w:ind w:left="2120" w:right="200"/>
        <w:spacing w:after="0" w:line="242" w:lineRule="auto"/>
        <w:rPr>
          <w:sz w:val="20"/>
          <w:szCs w:val="20"/>
          <w:color w:val="auto"/>
        </w:rPr>
      </w:pPr>
      <w:r>
        <w:rPr>
          <w:rFonts w:ascii="Arial" w:cs="Arial" w:eastAsia="Arial" w:hAnsi="Arial"/>
          <w:sz w:val="18"/>
          <w:szCs w:val="18"/>
          <w:color w:val="auto"/>
        </w:rPr>
        <w:t>and superseding certain provisions of the letter agreement, dated June 5, 2000, between The Scotts Company and Mr. Norton</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jc w:val="both"/>
        <w:ind w:right="120"/>
        <w:spacing w:after="0" w:line="248" w:lineRule="auto"/>
        <w:rPr>
          <w:sz w:val="20"/>
          <w:szCs w:val="20"/>
          <w:color w:val="auto"/>
        </w:rPr>
      </w:pPr>
      <w:r>
        <w:rPr>
          <w:rFonts w:ascii="Arial" w:cs="Arial" w:eastAsia="Arial" w:hAnsi="Arial"/>
          <w:sz w:val="18"/>
          <w:szCs w:val="18"/>
          <w:color w:val="auto"/>
        </w:rPr>
        <w:t>Incorporated herein by reference to Scotts’ Annual Report on Form 10-K for the fiscal year ended September 30, 2002 (File No. 1-13292) [Exhibit 10(q)]</w:t>
      </w:r>
    </w:p>
    <w:p>
      <w:pPr>
        <w:spacing w:after="0" w:line="600" w:lineRule="exact"/>
        <w:rPr>
          <w:sz w:val="20"/>
          <w:szCs w:val="20"/>
          <w:color w:val="auto"/>
        </w:rPr>
      </w:pPr>
    </w:p>
    <w:p>
      <w:pPr>
        <w:sectPr>
          <w:pgSz w:w="11900" w:h="16838" w:orient="portrait"/>
          <w:cols w:equalWidth="0" w:num="2">
            <w:col w:w="7020" w:space="200"/>
            <w:col w:w="3520"/>
          </w:cols>
          <w:pgMar w:left="240" w:top="405" w:right="919" w:bottom="1440" w:gutter="0" w:footer="0" w:header="0"/>
          <w:type w:val="continuous"/>
        </w:sectPr>
      </w:pPr>
    </w:p>
    <w:p>
      <w:pPr>
        <w:spacing w:after="0" w:line="133"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Arial" w:cs="Arial" w:eastAsia="Arial" w:hAnsi="Arial"/>
                <w:sz w:val="18"/>
                <w:szCs w:val="18"/>
                <w:color w:val="auto"/>
              </w:rPr>
              <w:t>10.11(c)</w:t>
            </w:r>
          </w:p>
        </w:tc>
        <w:tc>
          <w:tcPr>
            <w:tcW w:w="5020" w:type="dxa"/>
            <w:vAlign w:val="bottom"/>
          </w:tcPr>
          <w:p>
            <w:pPr>
              <w:ind w:left="400"/>
              <w:spacing w:after="0"/>
              <w:rPr>
                <w:sz w:val="20"/>
                <w:szCs w:val="20"/>
                <w:color w:val="auto"/>
              </w:rPr>
            </w:pPr>
            <w:r>
              <w:rPr>
                <w:rFonts w:ascii="Arial" w:cs="Arial" w:eastAsia="Arial" w:hAnsi="Arial"/>
                <w:sz w:val="18"/>
                <w:szCs w:val="18"/>
                <w:color w:val="auto"/>
                <w:w w:val="99"/>
              </w:rPr>
              <w:t>Letter of Extension, dated October 25, 2005, between The</w:t>
            </w:r>
          </w:p>
        </w:tc>
      </w:tr>
      <w:tr>
        <w:trPr>
          <w:trHeight w:val="243"/>
        </w:trPr>
        <w:tc>
          <w:tcPr>
            <w:tcW w:w="1020" w:type="dxa"/>
            <w:vAlign w:val="bottom"/>
          </w:tcPr>
          <w:p>
            <w:pPr>
              <w:spacing w:after="0"/>
              <w:rPr>
                <w:sz w:val="21"/>
                <w:szCs w:val="21"/>
                <w:color w:val="auto"/>
              </w:rPr>
            </w:pPr>
          </w:p>
        </w:tc>
        <w:tc>
          <w:tcPr>
            <w:tcW w:w="5020" w:type="dxa"/>
            <w:vAlign w:val="bottom"/>
          </w:tcPr>
          <w:p>
            <w:pPr>
              <w:ind w:left="400"/>
              <w:spacing w:after="0"/>
              <w:rPr>
                <w:sz w:val="20"/>
                <w:szCs w:val="20"/>
                <w:color w:val="auto"/>
              </w:rPr>
            </w:pPr>
            <w:r>
              <w:rPr>
                <w:rFonts w:ascii="Arial" w:cs="Arial" w:eastAsia="Arial" w:hAnsi="Arial"/>
                <w:sz w:val="18"/>
                <w:szCs w:val="18"/>
                <w:color w:val="auto"/>
              </w:rPr>
              <w:t>Scotts Miracle-Gro Company and Patrick J. Norton</w:t>
            </w:r>
          </w:p>
        </w:tc>
      </w:tr>
    </w:tbl>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940" w:type="dxa"/>
            <w:vAlign w:val="bottom"/>
          </w:tcPr>
          <w:p>
            <w:pPr>
              <w:jc w:val="right"/>
              <w:ind w:right="410"/>
              <w:spacing w:after="0"/>
              <w:rPr>
                <w:sz w:val="20"/>
                <w:szCs w:val="20"/>
                <w:color w:val="auto"/>
              </w:rPr>
            </w:pPr>
            <w:r>
              <w:rPr>
                <w:rFonts w:ascii="Arial" w:cs="Arial" w:eastAsia="Arial" w:hAnsi="Arial"/>
                <w:sz w:val="18"/>
                <w:szCs w:val="18"/>
                <w:color w:val="auto"/>
                <w:w w:val="93"/>
              </w:rPr>
              <w:t>10.12</w:t>
            </w:r>
          </w:p>
        </w:tc>
        <w:tc>
          <w:tcPr>
            <w:tcW w:w="5220" w:type="dxa"/>
            <w:vAlign w:val="bottom"/>
          </w:tcPr>
          <w:p>
            <w:pPr>
              <w:ind w:left="480"/>
              <w:spacing w:after="0"/>
              <w:rPr>
                <w:sz w:val="20"/>
                <w:szCs w:val="20"/>
                <w:color w:val="auto"/>
              </w:rPr>
            </w:pPr>
            <w:r>
              <w:rPr>
                <w:rFonts w:ascii="Arial" w:cs="Arial" w:eastAsia="Arial" w:hAnsi="Arial"/>
                <w:sz w:val="18"/>
                <w:szCs w:val="18"/>
                <w:color w:val="auto"/>
              </w:rPr>
              <w:t>Employment Agreement, effective as of October 1, 2007,</w:t>
            </w:r>
          </w:p>
        </w:tc>
      </w:tr>
      <w:tr>
        <w:trPr>
          <w:trHeight w:val="203"/>
        </w:trPr>
        <w:tc>
          <w:tcPr>
            <w:tcW w:w="940" w:type="dxa"/>
            <w:vAlign w:val="bottom"/>
          </w:tcPr>
          <w:p>
            <w:pPr>
              <w:spacing w:after="0"/>
              <w:rPr>
                <w:sz w:val="17"/>
                <w:szCs w:val="17"/>
                <w:color w:val="auto"/>
              </w:rPr>
            </w:pPr>
          </w:p>
        </w:tc>
        <w:tc>
          <w:tcPr>
            <w:tcW w:w="5220" w:type="dxa"/>
            <w:vAlign w:val="bottom"/>
          </w:tcPr>
          <w:p>
            <w:pPr>
              <w:ind w:left="480"/>
              <w:spacing w:after="0" w:line="202" w:lineRule="exact"/>
              <w:rPr>
                <w:sz w:val="20"/>
                <w:szCs w:val="20"/>
                <w:color w:val="auto"/>
              </w:rPr>
            </w:pPr>
            <w:r>
              <w:rPr>
                <w:rFonts w:ascii="Arial" w:cs="Arial" w:eastAsia="Arial" w:hAnsi="Arial"/>
                <w:sz w:val="18"/>
                <w:szCs w:val="18"/>
                <w:color w:val="auto"/>
              </w:rPr>
              <w:t>between The Scotts Company LLC and Barry W. Sanders</w:t>
            </w:r>
          </w:p>
        </w:tc>
      </w:tr>
      <w:tr>
        <w:trPr>
          <w:trHeight w:val="203"/>
        </w:trPr>
        <w:tc>
          <w:tcPr>
            <w:tcW w:w="940" w:type="dxa"/>
            <w:vAlign w:val="bottom"/>
          </w:tcPr>
          <w:p>
            <w:pPr>
              <w:spacing w:after="0"/>
              <w:rPr>
                <w:sz w:val="17"/>
                <w:szCs w:val="17"/>
                <w:color w:val="auto"/>
              </w:rPr>
            </w:pPr>
          </w:p>
        </w:tc>
        <w:tc>
          <w:tcPr>
            <w:tcW w:w="5220" w:type="dxa"/>
            <w:vAlign w:val="bottom"/>
          </w:tcPr>
          <w:p>
            <w:pPr>
              <w:ind w:left="480"/>
              <w:spacing w:after="0" w:line="202" w:lineRule="exact"/>
              <w:rPr>
                <w:sz w:val="20"/>
                <w:szCs w:val="20"/>
                <w:color w:val="auto"/>
              </w:rPr>
            </w:pPr>
            <w:r>
              <w:rPr>
                <w:rFonts w:ascii="Arial" w:cs="Arial" w:eastAsia="Arial" w:hAnsi="Arial"/>
                <w:sz w:val="18"/>
                <w:szCs w:val="18"/>
                <w:color w:val="auto"/>
              </w:rPr>
              <w:t>(executed by Mr. Sanders on November 16, 2007 and on</w:t>
            </w:r>
          </w:p>
        </w:tc>
      </w:tr>
      <w:tr>
        <w:trPr>
          <w:trHeight w:val="243"/>
        </w:trPr>
        <w:tc>
          <w:tcPr>
            <w:tcW w:w="940" w:type="dxa"/>
            <w:vAlign w:val="bottom"/>
          </w:tcPr>
          <w:p>
            <w:pPr>
              <w:spacing w:after="0"/>
              <w:rPr>
                <w:sz w:val="21"/>
                <w:szCs w:val="21"/>
                <w:color w:val="auto"/>
              </w:rPr>
            </w:pPr>
          </w:p>
        </w:tc>
        <w:tc>
          <w:tcPr>
            <w:tcW w:w="5220" w:type="dxa"/>
            <w:vAlign w:val="bottom"/>
          </w:tcPr>
          <w:p>
            <w:pPr>
              <w:ind w:left="480"/>
              <w:spacing w:after="0"/>
              <w:rPr>
                <w:sz w:val="20"/>
                <w:szCs w:val="20"/>
                <w:color w:val="auto"/>
              </w:rPr>
            </w:pPr>
            <w:r>
              <w:rPr>
                <w:rFonts w:ascii="Arial" w:cs="Arial" w:eastAsia="Arial" w:hAnsi="Arial"/>
                <w:sz w:val="18"/>
                <w:szCs w:val="18"/>
                <w:color w:val="auto"/>
                <w:w w:val="99"/>
              </w:rPr>
              <w:t>behalf of The Scotts Company LLC on November 19, 2007)</w:t>
            </w:r>
          </w:p>
        </w:tc>
      </w:tr>
      <w:tr>
        <w:trPr>
          <w:trHeight w:val="540"/>
        </w:trPr>
        <w:tc>
          <w:tcPr>
            <w:tcW w:w="940" w:type="dxa"/>
            <w:vAlign w:val="bottom"/>
          </w:tcPr>
          <w:p>
            <w:pPr>
              <w:jc w:val="right"/>
              <w:ind w:right="410"/>
              <w:spacing w:after="0"/>
              <w:rPr>
                <w:sz w:val="20"/>
                <w:szCs w:val="20"/>
                <w:color w:val="auto"/>
              </w:rPr>
            </w:pPr>
            <w:r>
              <w:rPr>
                <w:rFonts w:ascii="Arial" w:cs="Arial" w:eastAsia="Arial" w:hAnsi="Arial"/>
                <w:sz w:val="18"/>
                <w:szCs w:val="18"/>
                <w:color w:val="auto"/>
                <w:w w:val="93"/>
              </w:rPr>
              <w:t>10.13</w:t>
            </w:r>
          </w:p>
        </w:tc>
        <w:tc>
          <w:tcPr>
            <w:tcW w:w="5220" w:type="dxa"/>
            <w:vAlign w:val="bottom"/>
          </w:tcPr>
          <w:p>
            <w:pPr>
              <w:ind w:left="480"/>
              <w:spacing w:after="0"/>
              <w:rPr>
                <w:sz w:val="20"/>
                <w:szCs w:val="20"/>
                <w:color w:val="auto"/>
              </w:rPr>
            </w:pPr>
            <w:r>
              <w:rPr>
                <w:rFonts w:ascii="Arial" w:cs="Arial" w:eastAsia="Arial" w:hAnsi="Arial"/>
                <w:sz w:val="18"/>
                <w:szCs w:val="18"/>
                <w:color w:val="auto"/>
              </w:rPr>
              <w:t>Employment Contract for an Unlimited Time, effective as of</w:t>
            </w:r>
          </w:p>
        </w:tc>
      </w:tr>
      <w:tr>
        <w:trPr>
          <w:trHeight w:val="203"/>
        </w:trPr>
        <w:tc>
          <w:tcPr>
            <w:tcW w:w="940" w:type="dxa"/>
            <w:vAlign w:val="bottom"/>
          </w:tcPr>
          <w:p>
            <w:pPr>
              <w:spacing w:after="0"/>
              <w:rPr>
                <w:sz w:val="17"/>
                <w:szCs w:val="17"/>
                <w:color w:val="auto"/>
              </w:rPr>
            </w:pPr>
          </w:p>
        </w:tc>
        <w:tc>
          <w:tcPr>
            <w:tcW w:w="5220" w:type="dxa"/>
            <w:vAlign w:val="bottom"/>
          </w:tcPr>
          <w:p>
            <w:pPr>
              <w:ind w:left="480"/>
              <w:spacing w:after="0" w:line="202" w:lineRule="exact"/>
              <w:rPr>
                <w:sz w:val="20"/>
                <w:szCs w:val="20"/>
                <w:color w:val="auto"/>
              </w:rPr>
            </w:pPr>
            <w:r>
              <w:rPr>
                <w:rFonts w:ascii="Arial" w:cs="Arial" w:eastAsia="Arial" w:hAnsi="Arial"/>
                <w:sz w:val="18"/>
                <w:szCs w:val="18"/>
                <w:color w:val="auto"/>
                <w:w w:val="99"/>
              </w:rPr>
              <w:t>July 1, 2001, between The Scotts Company (now known as</w:t>
            </w:r>
          </w:p>
        </w:tc>
      </w:tr>
      <w:tr>
        <w:trPr>
          <w:trHeight w:val="203"/>
        </w:trPr>
        <w:tc>
          <w:tcPr>
            <w:tcW w:w="940" w:type="dxa"/>
            <w:vAlign w:val="bottom"/>
          </w:tcPr>
          <w:p>
            <w:pPr>
              <w:spacing w:after="0"/>
              <w:rPr>
                <w:sz w:val="17"/>
                <w:szCs w:val="17"/>
                <w:color w:val="auto"/>
              </w:rPr>
            </w:pPr>
          </w:p>
        </w:tc>
        <w:tc>
          <w:tcPr>
            <w:tcW w:w="5220" w:type="dxa"/>
            <w:vAlign w:val="bottom"/>
          </w:tcPr>
          <w:p>
            <w:pPr>
              <w:ind w:left="480"/>
              <w:spacing w:after="0" w:line="202" w:lineRule="exact"/>
              <w:rPr>
                <w:sz w:val="20"/>
                <w:szCs w:val="20"/>
                <w:color w:val="auto"/>
              </w:rPr>
            </w:pPr>
            <w:r>
              <w:rPr>
                <w:rFonts w:ascii="Arial" w:cs="Arial" w:eastAsia="Arial" w:hAnsi="Arial"/>
                <w:sz w:val="18"/>
                <w:szCs w:val="18"/>
                <w:color w:val="auto"/>
              </w:rPr>
              <w:t>The Scotts Company LLC) and Claude Lopez [English</w:t>
            </w:r>
          </w:p>
        </w:tc>
      </w:tr>
      <w:tr>
        <w:trPr>
          <w:trHeight w:val="243"/>
        </w:trPr>
        <w:tc>
          <w:tcPr>
            <w:tcW w:w="940" w:type="dxa"/>
            <w:vAlign w:val="bottom"/>
          </w:tcPr>
          <w:p>
            <w:pPr>
              <w:spacing w:after="0"/>
              <w:rPr>
                <w:sz w:val="21"/>
                <w:szCs w:val="21"/>
                <w:color w:val="auto"/>
              </w:rPr>
            </w:pPr>
          </w:p>
        </w:tc>
        <w:tc>
          <w:tcPr>
            <w:tcW w:w="5220" w:type="dxa"/>
            <w:vAlign w:val="bottom"/>
          </w:tcPr>
          <w:p>
            <w:pPr>
              <w:ind w:left="480"/>
              <w:spacing w:after="0"/>
              <w:rPr>
                <w:sz w:val="20"/>
                <w:szCs w:val="20"/>
                <w:color w:val="auto"/>
              </w:rPr>
            </w:pPr>
            <w:r>
              <w:rPr>
                <w:rFonts w:ascii="Arial" w:cs="Arial" w:eastAsia="Arial" w:hAnsi="Arial"/>
                <w:sz w:val="18"/>
                <w:szCs w:val="18"/>
                <w:color w:val="auto"/>
              </w:rPr>
              <w:t>Translation — Original in French]</w:t>
            </w:r>
          </w:p>
        </w:tc>
      </w:tr>
      <w:tr>
        <w:trPr>
          <w:trHeight w:val="540"/>
        </w:trPr>
        <w:tc>
          <w:tcPr>
            <w:tcW w:w="940" w:type="dxa"/>
            <w:vAlign w:val="bottom"/>
          </w:tcPr>
          <w:p>
            <w:pPr>
              <w:jc w:val="right"/>
              <w:ind w:right="410"/>
              <w:spacing w:after="0"/>
              <w:rPr>
                <w:sz w:val="20"/>
                <w:szCs w:val="20"/>
                <w:color w:val="auto"/>
              </w:rPr>
            </w:pPr>
            <w:r>
              <w:rPr>
                <w:rFonts w:ascii="Arial" w:cs="Arial" w:eastAsia="Arial" w:hAnsi="Arial"/>
                <w:sz w:val="18"/>
                <w:szCs w:val="18"/>
                <w:color w:val="auto"/>
                <w:w w:val="93"/>
              </w:rPr>
              <w:t>10.14</w:t>
            </w:r>
          </w:p>
        </w:tc>
        <w:tc>
          <w:tcPr>
            <w:tcW w:w="5220" w:type="dxa"/>
            <w:vAlign w:val="bottom"/>
          </w:tcPr>
          <w:p>
            <w:pPr>
              <w:ind w:left="480"/>
              <w:spacing w:after="0"/>
              <w:rPr>
                <w:sz w:val="20"/>
                <w:szCs w:val="20"/>
                <w:color w:val="auto"/>
              </w:rPr>
            </w:pPr>
            <w:r>
              <w:rPr>
                <w:rFonts w:ascii="Arial" w:cs="Arial" w:eastAsia="Arial" w:hAnsi="Arial"/>
                <w:sz w:val="18"/>
                <w:szCs w:val="18"/>
                <w:color w:val="auto"/>
              </w:rPr>
              <w:t>Employment Agreement for David C. Evans, executed on</w:t>
            </w:r>
          </w:p>
        </w:tc>
      </w:tr>
      <w:tr>
        <w:trPr>
          <w:trHeight w:val="203"/>
        </w:trPr>
        <w:tc>
          <w:tcPr>
            <w:tcW w:w="940" w:type="dxa"/>
            <w:vAlign w:val="bottom"/>
          </w:tcPr>
          <w:p>
            <w:pPr>
              <w:spacing w:after="0"/>
              <w:rPr>
                <w:sz w:val="17"/>
                <w:szCs w:val="17"/>
                <w:color w:val="auto"/>
              </w:rPr>
            </w:pPr>
          </w:p>
        </w:tc>
        <w:tc>
          <w:tcPr>
            <w:tcW w:w="5220" w:type="dxa"/>
            <w:vAlign w:val="bottom"/>
          </w:tcPr>
          <w:p>
            <w:pPr>
              <w:ind w:left="480"/>
              <w:spacing w:after="0" w:line="202" w:lineRule="exact"/>
              <w:rPr>
                <w:sz w:val="20"/>
                <w:szCs w:val="20"/>
                <w:color w:val="auto"/>
              </w:rPr>
            </w:pPr>
            <w:r>
              <w:rPr>
                <w:rFonts w:ascii="Arial" w:cs="Arial" w:eastAsia="Arial" w:hAnsi="Arial"/>
                <w:sz w:val="18"/>
                <w:szCs w:val="18"/>
                <w:color w:val="auto"/>
              </w:rPr>
              <w:t>behalf of The Scotts Company LLC on November 19, 2007</w:t>
            </w:r>
          </w:p>
        </w:tc>
      </w:tr>
      <w:tr>
        <w:trPr>
          <w:trHeight w:val="203"/>
        </w:trPr>
        <w:tc>
          <w:tcPr>
            <w:tcW w:w="940" w:type="dxa"/>
            <w:vAlign w:val="bottom"/>
          </w:tcPr>
          <w:p>
            <w:pPr>
              <w:spacing w:after="0"/>
              <w:rPr>
                <w:sz w:val="17"/>
                <w:szCs w:val="17"/>
                <w:color w:val="auto"/>
              </w:rPr>
            </w:pPr>
          </w:p>
        </w:tc>
        <w:tc>
          <w:tcPr>
            <w:tcW w:w="5220" w:type="dxa"/>
            <w:vAlign w:val="bottom"/>
          </w:tcPr>
          <w:p>
            <w:pPr>
              <w:ind w:left="480"/>
              <w:spacing w:after="0" w:line="202" w:lineRule="exact"/>
              <w:rPr>
                <w:sz w:val="20"/>
                <w:szCs w:val="20"/>
                <w:color w:val="auto"/>
              </w:rPr>
            </w:pPr>
            <w:r>
              <w:rPr>
                <w:rFonts w:ascii="Arial" w:cs="Arial" w:eastAsia="Arial" w:hAnsi="Arial"/>
                <w:sz w:val="18"/>
                <w:szCs w:val="18"/>
                <w:color w:val="auto"/>
              </w:rPr>
              <w:t>and by David C. Evans on December 3, 2007 and effective</w:t>
            </w:r>
          </w:p>
        </w:tc>
      </w:tr>
      <w:tr>
        <w:trPr>
          <w:trHeight w:val="243"/>
        </w:trPr>
        <w:tc>
          <w:tcPr>
            <w:tcW w:w="940" w:type="dxa"/>
            <w:vAlign w:val="bottom"/>
          </w:tcPr>
          <w:p>
            <w:pPr>
              <w:spacing w:after="0"/>
              <w:rPr>
                <w:sz w:val="21"/>
                <w:szCs w:val="21"/>
                <w:color w:val="auto"/>
              </w:rPr>
            </w:pPr>
          </w:p>
        </w:tc>
        <w:tc>
          <w:tcPr>
            <w:tcW w:w="5220" w:type="dxa"/>
            <w:vAlign w:val="bottom"/>
          </w:tcPr>
          <w:p>
            <w:pPr>
              <w:ind w:left="480"/>
              <w:spacing w:after="0"/>
              <w:rPr>
                <w:sz w:val="20"/>
                <w:szCs w:val="20"/>
                <w:color w:val="auto"/>
              </w:rPr>
            </w:pPr>
            <w:r>
              <w:rPr>
                <w:rFonts w:ascii="Arial" w:cs="Arial" w:eastAsia="Arial" w:hAnsi="Arial"/>
                <w:sz w:val="18"/>
                <w:szCs w:val="18"/>
                <w:color w:val="auto"/>
              </w:rPr>
              <w:t>as of October 1, 2007</w:t>
            </w:r>
          </w:p>
        </w:tc>
      </w:tr>
    </w:tbl>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Incorporated herein by reference to the Registrant’s Current Report on Form 8-K filed December 14, 2005 (File No. 1-13292) [Exhibit 10.3]</w:t>
      </w:r>
    </w:p>
    <w:p>
      <w:pPr>
        <w:spacing w:after="0" w:line="333" w:lineRule="exact"/>
        <w:rPr>
          <w:sz w:val="20"/>
          <w:szCs w:val="20"/>
          <w:color w:val="auto"/>
        </w:rPr>
      </w:pPr>
    </w:p>
    <w:p>
      <w:pPr>
        <w:ind w:right="220"/>
        <w:spacing w:after="0" w:line="268" w:lineRule="auto"/>
        <w:rPr>
          <w:sz w:val="20"/>
          <w:szCs w:val="20"/>
          <w:color w:val="auto"/>
        </w:rPr>
      </w:pPr>
      <w:r>
        <w:rPr>
          <w:rFonts w:ascii="Arial" w:cs="Arial" w:eastAsia="Arial" w:hAnsi="Arial"/>
          <w:sz w:val="17"/>
          <w:szCs w:val="17"/>
          <w:color w:val="auto"/>
        </w:rPr>
        <w:t>Incorporated herein by reference to the Registrant’s Annual Report on Form 10-K for the fiscal year ended September 30, 2007 (File No. 1-13292) [Exhibit 10(m)]</w:t>
      </w:r>
    </w:p>
    <w:p>
      <w:pPr>
        <w:spacing w:after="0" w:line="315" w:lineRule="exact"/>
        <w:rPr>
          <w:sz w:val="20"/>
          <w:szCs w:val="20"/>
          <w:color w:val="auto"/>
        </w:rPr>
      </w:pPr>
    </w:p>
    <w:p>
      <w:pPr>
        <w:ind w:right="220"/>
        <w:spacing w:after="0" w:line="268" w:lineRule="auto"/>
        <w:rPr>
          <w:sz w:val="20"/>
          <w:szCs w:val="20"/>
          <w:color w:val="auto"/>
        </w:rPr>
      </w:pPr>
      <w:r>
        <w:rPr>
          <w:rFonts w:ascii="Arial" w:cs="Arial" w:eastAsia="Arial" w:hAnsi="Arial"/>
          <w:sz w:val="17"/>
          <w:szCs w:val="17"/>
          <w:color w:val="auto"/>
        </w:rPr>
        <w:t>Incorporated herein by reference to the Registrant’s Annual Report on Form 10-K for the fiscal year ended September 30, 2007 (File No. 1-13292) [Exhibit 10(n)]</w:t>
      </w:r>
    </w:p>
    <w:p>
      <w:pPr>
        <w:spacing w:after="0" w:line="315"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color w:val="auto"/>
        </w:rPr>
        <w:t>Incorporated herein by reference to the Registrant’s Current Report on Form 8-K filed December 7, 2007 (File No. 1-13292) [Exhibit 10.1]</w:t>
      </w:r>
    </w:p>
    <w:p>
      <w:pPr>
        <w:spacing w:after="0" w:line="200" w:lineRule="exact"/>
        <w:rPr>
          <w:sz w:val="20"/>
          <w:szCs w:val="20"/>
          <w:color w:val="auto"/>
        </w:rPr>
      </w:pPr>
    </w:p>
    <w:p>
      <w:pPr>
        <w:sectPr>
          <w:pgSz w:w="11900" w:h="16838" w:orient="portrait"/>
          <w:cols w:equalWidth="0" w:num="2">
            <w:col w:w="6860" w:space="360"/>
            <w:col w:w="3520"/>
          </w:cols>
          <w:pgMar w:left="240" w:top="405" w:right="919" w:bottom="1440" w:gutter="0" w:footer="0" w:header="0"/>
          <w:type w:val="continuous"/>
        </w:sectPr>
      </w:pPr>
    </w:p>
    <w:p>
      <w:pPr>
        <w:spacing w:after="0" w:line="11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0"/>
          <w:szCs w:val="10"/>
          <w:b w:val="1"/>
          <w:bCs w:val="1"/>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-71120</wp:posOffset>
            </wp:positionV>
            <wp:extent cx="19748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149225</wp:posOffset>
            </wp:positionV>
            <wp:extent cx="7250430" cy="215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240" w:top="405" w:right="919" w:bottom="1440" w:gutter="0" w:footer="0" w:header="0"/>
          <w:type w:val="continuous"/>
        </w:sectPr>
      </w:pPr>
    </w:p>
    <w:bookmarkStart w:id="124" w:name="page125"/>
    <w:bookmarkEnd w:id="124"/>
    <w:p>
      <w:pPr>
        <w:spacing w:after="0"/>
        <w:rPr>
          <w:rFonts w:ascii="Times New Roman" w:cs="Times New Roman" w:eastAsia="Times New Roman" w:hAnsi="Times New Roman"/>
          <w:sz w:val="18"/>
          <w:szCs w:val="18"/>
          <w:b w:val="1"/>
          <w:bCs w:val="1"/>
          <w:u w:val="single" w:color="auto"/>
          <w:color w:val="0000EE"/>
        </w:rPr>
      </w:pPr>
      <w:hyperlink w:anchor="page64">
        <w:r>
          <w:rPr>
            <w:rFonts w:ascii="Times New Roman" w:cs="Times New Roman" w:eastAsia="Times New Roman" w:hAnsi="Times New Roman"/>
            <w:sz w:val="18"/>
            <w:szCs w:val="18"/>
            <w:b w:val="1"/>
            <w:bCs w:val="1"/>
            <w:u w:val="single" w:color="auto"/>
            <w:color w:val="0000EE"/>
          </w:rPr>
          <w:t>Table of Contents</w:t>
        </w:r>
      </w:hyperlink>
    </w:p>
    <w:p>
      <w:pPr>
        <w:spacing w:after="0" w:line="31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Exhibit</w:t>
      </w:r>
    </w:p>
    <w:p>
      <w:pPr>
        <w:spacing w:after="0" w:line="18" w:lineRule="exact"/>
        <w:rPr>
          <w:sz w:val="20"/>
          <w:szCs w:val="20"/>
          <w:color w:val="auto"/>
        </w:rPr>
      </w:pPr>
    </w:p>
    <w:p>
      <w:pPr>
        <w:jc w:val="both"/>
        <w:ind w:left="1160"/>
        <w:spacing w:after="0"/>
        <w:tabs>
          <w:tab w:leader="none" w:pos="4100" w:val="left"/>
          <w:tab w:leader="none" w:pos="8620" w:val="left"/>
        </w:tabs>
        <w:rPr>
          <w:sz w:val="20"/>
          <w:szCs w:val="20"/>
          <w:color w:val="auto"/>
        </w:rPr>
      </w:pP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Description</w:t>
      </w:r>
      <w:r>
        <w:rPr>
          <w:sz w:val="20"/>
          <w:szCs w:val="20"/>
          <w:color w:val="auto"/>
        </w:rPr>
        <w:tab/>
      </w:r>
      <w:r>
        <w:rPr>
          <w:rFonts w:ascii="Arial" w:cs="Arial" w:eastAsia="Arial" w:hAnsi="Arial"/>
          <w:sz w:val="17"/>
          <w:szCs w:val="17"/>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6350</wp:posOffset>
            </wp:positionV>
            <wp:extent cx="637159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371590" cy="8890"/>
                    </a:xfrm>
                    <a:prstGeom prst="rect">
                      <a:avLst/>
                    </a:prstGeom>
                    <a:noFill/>
                  </pic:spPr>
                </pic:pic>
              </a:graphicData>
            </a:graphic>
          </wp:anchor>
        </w:drawing>
      </w:r>
    </w:p>
    <w:p>
      <w:pPr>
        <w:sectPr>
          <w:pgSz w:w="11900" w:h="16838" w:orient="portrait"/>
          <w:cols w:equalWidth="0" w:num="1">
            <w:col w:w="10720"/>
          </w:cols>
          <w:pgMar w:left="240" w:top="415" w:right="939" w:bottom="1440" w:gutter="0" w:footer="0" w:header="0"/>
        </w:sectPr>
      </w:pPr>
    </w:p>
    <w:p>
      <w:pPr>
        <w:spacing w:after="0" w:line="50"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940" w:type="dxa"/>
            <w:vAlign w:val="bottom"/>
          </w:tcPr>
          <w:p>
            <w:pPr>
              <w:jc w:val="right"/>
              <w:ind w:right="410"/>
              <w:spacing w:after="0"/>
              <w:rPr>
                <w:sz w:val="20"/>
                <w:szCs w:val="20"/>
                <w:color w:val="auto"/>
              </w:rPr>
            </w:pPr>
            <w:r>
              <w:rPr>
                <w:rFonts w:ascii="Arial" w:cs="Arial" w:eastAsia="Arial" w:hAnsi="Arial"/>
                <w:sz w:val="18"/>
                <w:szCs w:val="18"/>
                <w:color w:val="auto"/>
                <w:w w:val="93"/>
              </w:rPr>
              <w:t>10.15</w:t>
            </w:r>
          </w:p>
        </w:tc>
        <w:tc>
          <w:tcPr>
            <w:tcW w:w="5360" w:type="dxa"/>
            <w:vAlign w:val="bottom"/>
          </w:tcPr>
          <w:p>
            <w:pPr>
              <w:ind w:left="480"/>
              <w:spacing w:after="0"/>
              <w:rPr>
                <w:sz w:val="20"/>
                <w:szCs w:val="20"/>
                <w:color w:val="auto"/>
              </w:rPr>
            </w:pPr>
            <w:r>
              <w:rPr>
                <w:rFonts w:ascii="Arial" w:cs="Arial" w:eastAsia="Arial" w:hAnsi="Arial"/>
                <w:sz w:val="18"/>
                <w:szCs w:val="18"/>
                <w:color w:val="auto"/>
              </w:rPr>
              <w:t>Employment Agreement for Denise S. Stump, executed on</w:t>
            </w:r>
          </w:p>
        </w:tc>
      </w:tr>
      <w:tr>
        <w:trPr>
          <w:trHeight w:val="203"/>
        </w:trPr>
        <w:tc>
          <w:tcPr>
            <w:tcW w:w="940" w:type="dxa"/>
            <w:vAlign w:val="bottom"/>
          </w:tcPr>
          <w:p>
            <w:pPr>
              <w:spacing w:after="0"/>
              <w:rPr>
                <w:sz w:val="17"/>
                <w:szCs w:val="17"/>
                <w:color w:val="auto"/>
              </w:rPr>
            </w:pPr>
          </w:p>
        </w:tc>
        <w:tc>
          <w:tcPr>
            <w:tcW w:w="5360" w:type="dxa"/>
            <w:vAlign w:val="bottom"/>
          </w:tcPr>
          <w:p>
            <w:pPr>
              <w:ind w:left="480"/>
              <w:spacing w:after="0" w:line="202" w:lineRule="exact"/>
              <w:rPr>
                <w:sz w:val="20"/>
                <w:szCs w:val="20"/>
                <w:color w:val="auto"/>
              </w:rPr>
            </w:pPr>
            <w:r>
              <w:rPr>
                <w:rFonts w:ascii="Arial" w:cs="Arial" w:eastAsia="Arial" w:hAnsi="Arial"/>
                <w:sz w:val="18"/>
                <w:szCs w:val="18"/>
                <w:color w:val="auto"/>
              </w:rPr>
              <w:t>behalf of The Scotts Company LLC on November 19, 2007</w:t>
            </w:r>
          </w:p>
        </w:tc>
      </w:tr>
      <w:tr>
        <w:trPr>
          <w:trHeight w:val="203"/>
        </w:trPr>
        <w:tc>
          <w:tcPr>
            <w:tcW w:w="940" w:type="dxa"/>
            <w:vAlign w:val="bottom"/>
          </w:tcPr>
          <w:p>
            <w:pPr>
              <w:spacing w:after="0"/>
              <w:rPr>
                <w:sz w:val="17"/>
                <w:szCs w:val="17"/>
                <w:color w:val="auto"/>
              </w:rPr>
            </w:pPr>
          </w:p>
        </w:tc>
        <w:tc>
          <w:tcPr>
            <w:tcW w:w="5360" w:type="dxa"/>
            <w:vAlign w:val="bottom"/>
          </w:tcPr>
          <w:p>
            <w:pPr>
              <w:ind w:left="480"/>
              <w:spacing w:after="0" w:line="202" w:lineRule="exact"/>
              <w:rPr>
                <w:sz w:val="20"/>
                <w:szCs w:val="20"/>
                <w:color w:val="auto"/>
              </w:rPr>
            </w:pPr>
            <w:r>
              <w:rPr>
                <w:rFonts w:ascii="Arial" w:cs="Arial" w:eastAsia="Arial" w:hAnsi="Arial"/>
                <w:sz w:val="18"/>
                <w:szCs w:val="18"/>
                <w:color w:val="auto"/>
                <w:w w:val="99"/>
              </w:rPr>
              <w:t>and by Denise S. Stump on December 11, 2007 and effective</w:t>
            </w:r>
          </w:p>
        </w:tc>
      </w:tr>
      <w:tr>
        <w:trPr>
          <w:trHeight w:val="243"/>
        </w:trPr>
        <w:tc>
          <w:tcPr>
            <w:tcW w:w="940" w:type="dxa"/>
            <w:vAlign w:val="bottom"/>
          </w:tcPr>
          <w:p>
            <w:pPr>
              <w:spacing w:after="0"/>
              <w:rPr>
                <w:sz w:val="21"/>
                <w:szCs w:val="21"/>
                <w:color w:val="auto"/>
              </w:rPr>
            </w:pPr>
          </w:p>
        </w:tc>
        <w:tc>
          <w:tcPr>
            <w:tcW w:w="5360" w:type="dxa"/>
            <w:vAlign w:val="bottom"/>
          </w:tcPr>
          <w:p>
            <w:pPr>
              <w:ind w:left="480"/>
              <w:spacing w:after="0"/>
              <w:rPr>
                <w:sz w:val="20"/>
                <w:szCs w:val="20"/>
                <w:color w:val="auto"/>
              </w:rPr>
            </w:pPr>
            <w:r>
              <w:rPr>
                <w:rFonts w:ascii="Arial" w:cs="Arial" w:eastAsia="Arial" w:hAnsi="Arial"/>
                <w:sz w:val="18"/>
                <w:szCs w:val="18"/>
                <w:color w:val="auto"/>
              </w:rPr>
              <w:t>as of October 1, 2007</w:t>
            </w:r>
          </w:p>
        </w:tc>
      </w:tr>
    </w:tbl>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Incorporated herein by reference to the Registrant’s Current Report on Form 8-K filed December 17, 2007 (File No. 1-13292) [Exhibit 10.1]</w:t>
      </w:r>
    </w:p>
    <w:p>
      <w:pPr>
        <w:spacing w:after="0" w:line="200" w:lineRule="exact"/>
        <w:rPr>
          <w:sz w:val="20"/>
          <w:szCs w:val="20"/>
          <w:color w:val="auto"/>
        </w:rPr>
      </w:pPr>
    </w:p>
    <w:p>
      <w:pPr>
        <w:sectPr>
          <w:pgSz w:w="11900" w:h="16838" w:orient="portrait"/>
          <w:cols w:equalWidth="0" w:num="2">
            <w:col w:w="7000" w:space="220"/>
            <w:col w:w="3500"/>
          </w:cols>
          <w:pgMar w:left="240" w:top="415" w:right="939" w:bottom="1440" w:gutter="0" w:footer="0" w:header="0"/>
          <w:type w:val="continuous"/>
        </w:sectPr>
      </w:pPr>
    </w:p>
    <w:p>
      <w:pPr>
        <w:spacing w:after="0" w:line="129"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Arial" w:cs="Arial" w:eastAsia="Arial" w:hAnsi="Arial"/>
                <w:sz w:val="18"/>
                <w:szCs w:val="18"/>
                <w:color w:val="auto"/>
              </w:rPr>
              <w:t>10.16(a)</w:t>
            </w:r>
          </w:p>
        </w:tc>
        <w:tc>
          <w:tcPr>
            <w:tcW w:w="5280" w:type="dxa"/>
            <w:vAlign w:val="bottom"/>
          </w:tcPr>
          <w:p>
            <w:pPr>
              <w:ind w:left="380"/>
              <w:spacing w:after="0"/>
              <w:rPr>
                <w:sz w:val="20"/>
                <w:szCs w:val="20"/>
                <w:color w:val="auto"/>
              </w:rPr>
            </w:pPr>
            <w:r>
              <w:rPr>
                <w:rFonts w:ascii="Arial" w:cs="Arial" w:eastAsia="Arial" w:hAnsi="Arial"/>
                <w:sz w:val="18"/>
                <w:szCs w:val="18"/>
                <w:color w:val="auto"/>
              </w:rPr>
              <w:t>Employment Agreement for Vincent Brockman, executed on</w:t>
            </w:r>
          </w:p>
        </w:tc>
      </w:tr>
      <w:tr>
        <w:trPr>
          <w:trHeight w:val="203"/>
        </w:trPr>
        <w:tc>
          <w:tcPr>
            <w:tcW w:w="1040" w:type="dxa"/>
            <w:vAlign w:val="bottom"/>
          </w:tcPr>
          <w:p>
            <w:pPr>
              <w:spacing w:after="0"/>
              <w:rPr>
                <w:sz w:val="17"/>
                <w:szCs w:val="17"/>
                <w:color w:val="auto"/>
              </w:rPr>
            </w:pPr>
          </w:p>
        </w:tc>
        <w:tc>
          <w:tcPr>
            <w:tcW w:w="5280" w:type="dxa"/>
            <w:vAlign w:val="bottom"/>
          </w:tcPr>
          <w:p>
            <w:pPr>
              <w:ind w:left="380"/>
              <w:spacing w:after="0" w:line="202" w:lineRule="exact"/>
              <w:rPr>
                <w:sz w:val="20"/>
                <w:szCs w:val="20"/>
                <w:color w:val="auto"/>
              </w:rPr>
            </w:pPr>
            <w:r>
              <w:rPr>
                <w:rFonts w:ascii="Arial" w:cs="Arial" w:eastAsia="Arial" w:hAnsi="Arial"/>
                <w:sz w:val="18"/>
                <w:szCs w:val="18"/>
                <w:color w:val="auto"/>
              </w:rPr>
              <w:t>behalf of The Scotts Miracle-Gro Company and by Vincent</w:t>
            </w:r>
          </w:p>
        </w:tc>
      </w:tr>
      <w:tr>
        <w:trPr>
          <w:trHeight w:val="203"/>
        </w:trPr>
        <w:tc>
          <w:tcPr>
            <w:tcW w:w="1040" w:type="dxa"/>
            <w:vAlign w:val="bottom"/>
          </w:tcPr>
          <w:p>
            <w:pPr>
              <w:spacing w:after="0"/>
              <w:rPr>
                <w:sz w:val="17"/>
                <w:szCs w:val="17"/>
                <w:color w:val="auto"/>
              </w:rPr>
            </w:pPr>
          </w:p>
        </w:tc>
        <w:tc>
          <w:tcPr>
            <w:tcW w:w="5280" w:type="dxa"/>
            <w:vAlign w:val="bottom"/>
          </w:tcPr>
          <w:p>
            <w:pPr>
              <w:ind w:left="380"/>
              <w:spacing w:after="0" w:line="202" w:lineRule="exact"/>
              <w:rPr>
                <w:sz w:val="20"/>
                <w:szCs w:val="20"/>
                <w:color w:val="auto"/>
              </w:rPr>
            </w:pPr>
            <w:r>
              <w:rPr>
                <w:rFonts w:ascii="Arial" w:cs="Arial" w:eastAsia="Arial" w:hAnsi="Arial"/>
                <w:sz w:val="18"/>
                <w:szCs w:val="18"/>
                <w:color w:val="auto"/>
                <w:w w:val="99"/>
              </w:rPr>
              <w:t>Brockman on May 24, 2006 and effective as of March 1, 2006</w:t>
            </w:r>
          </w:p>
        </w:tc>
      </w:tr>
      <w:tr>
        <w:trPr>
          <w:trHeight w:val="243"/>
        </w:trPr>
        <w:tc>
          <w:tcPr>
            <w:tcW w:w="1040" w:type="dxa"/>
            <w:vAlign w:val="bottom"/>
          </w:tcPr>
          <w:p>
            <w:pPr>
              <w:spacing w:after="0"/>
              <w:rPr>
                <w:sz w:val="21"/>
                <w:szCs w:val="21"/>
                <w:color w:val="auto"/>
              </w:rPr>
            </w:pPr>
          </w:p>
        </w:tc>
        <w:tc>
          <w:tcPr>
            <w:tcW w:w="5280" w:type="dxa"/>
            <w:vAlign w:val="bottom"/>
          </w:tcPr>
          <w:p>
            <w:pPr>
              <w:ind w:left="380"/>
              <w:spacing w:after="0"/>
              <w:rPr>
                <w:sz w:val="20"/>
                <w:szCs w:val="20"/>
                <w:color w:val="auto"/>
              </w:rPr>
            </w:pPr>
            <w:r>
              <w:rPr>
                <w:rFonts w:ascii="Arial" w:cs="Arial" w:eastAsia="Arial" w:hAnsi="Arial"/>
                <w:sz w:val="18"/>
                <w:szCs w:val="18"/>
                <w:color w:val="auto"/>
              </w:rPr>
              <w:t>(effective until June 1, 2008)</w:t>
            </w:r>
          </w:p>
        </w:tc>
      </w:tr>
    </w:tbl>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December 29, 2007 (File No. 1-13292) [Exhibit 10(q)]</w:t>
      </w:r>
    </w:p>
    <w:p>
      <w:pPr>
        <w:spacing w:after="0" w:line="200" w:lineRule="exact"/>
        <w:rPr>
          <w:sz w:val="20"/>
          <w:szCs w:val="20"/>
          <w:color w:val="auto"/>
        </w:rPr>
      </w:pPr>
    </w:p>
    <w:p>
      <w:pPr>
        <w:sectPr>
          <w:pgSz w:w="11900" w:h="16838" w:orient="portrait"/>
          <w:cols w:equalWidth="0" w:num="2">
            <w:col w:w="7020" w:space="200"/>
            <w:col w:w="3500"/>
          </w:cols>
          <w:pgMar w:left="240" w:top="415" w:right="939" w:bottom="1440" w:gutter="0" w:footer="0" w:header="0"/>
          <w:type w:val="continuous"/>
        </w:sectPr>
      </w:pPr>
    </w:p>
    <w:p>
      <w:pPr>
        <w:spacing w:after="0" w:line="129"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Arial" w:cs="Arial" w:eastAsia="Arial" w:hAnsi="Arial"/>
                <w:sz w:val="18"/>
                <w:szCs w:val="18"/>
                <w:color w:val="auto"/>
              </w:rPr>
              <w:t>10.16(b)</w:t>
            </w:r>
          </w:p>
        </w:tc>
        <w:tc>
          <w:tcPr>
            <w:tcW w:w="5220" w:type="dxa"/>
            <w:vAlign w:val="bottom"/>
            <w:gridSpan w:val="2"/>
          </w:tcPr>
          <w:p>
            <w:pPr>
              <w:ind w:left="380"/>
              <w:spacing w:after="0"/>
              <w:rPr>
                <w:sz w:val="20"/>
                <w:szCs w:val="20"/>
                <w:color w:val="auto"/>
              </w:rPr>
            </w:pPr>
            <w:r>
              <w:rPr>
                <w:rFonts w:ascii="Arial" w:cs="Arial" w:eastAsia="Arial" w:hAnsi="Arial"/>
                <w:sz w:val="18"/>
                <w:szCs w:val="18"/>
                <w:color w:val="auto"/>
              </w:rPr>
              <w:t>Employment Agreement for Vincent C. Brockman, effective</w:t>
            </w:r>
          </w:p>
        </w:tc>
      </w:tr>
      <w:tr>
        <w:trPr>
          <w:trHeight w:val="203"/>
        </w:trPr>
        <w:tc>
          <w:tcPr>
            <w:tcW w:w="1040" w:type="dxa"/>
            <w:vAlign w:val="bottom"/>
          </w:tcPr>
          <w:p>
            <w:pPr>
              <w:spacing w:after="0"/>
              <w:rPr>
                <w:sz w:val="17"/>
                <w:szCs w:val="17"/>
                <w:color w:val="auto"/>
              </w:rPr>
            </w:pPr>
          </w:p>
        </w:tc>
        <w:tc>
          <w:tcPr>
            <w:tcW w:w="522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as of June 1, 2008, between The Scotts Company LLC and</w:t>
            </w:r>
          </w:p>
        </w:tc>
      </w:tr>
      <w:tr>
        <w:trPr>
          <w:trHeight w:val="203"/>
        </w:trPr>
        <w:tc>
          <w:tcPr>
            <w:tcW w:w="1040" w:type="dxa"/>
            <w:vAlign w:val="bottom"/>
          </w:tcPr>
          <w:p>
            <w:pPr>
              <w:spacing w:after="0"/>
              <w:rPr>
                <w:sz w:val="17"/>
                <w:szCs w:val="17"/>
                <w:color w:val="auto"/>
              </w:rPr>
            </w:pPr>
          </w:p>
        </w:tc>
        <w:tc>
          <w:tcPr>
            <w:tcW w:w="522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Vincent C. Brockman (executed by Mr. Brockman on June</w:t>
            </w:r>
          </w:p>
        </w:tc>
      </w:tr>
      <w:tr>
        <w:trPr>
          <w:trHeight w:val="203"/>
        </w:trPr>
        <w:tc>
          <w:tcPr>
            <w:tcW w:w="1040" w:type="dxa"/>
            <w:vAlign w:val="bottom"/>
          </w:tcPr>
          <w:p>
            <w:pPr>
              <w:spacing w:after="0"/>
              <w:rPr>
                <w:sz w:val="17"/>
                <w:szCs w:val="17"/>
                <w:color w:val="auto"/>
              </w:rPr>
            </w:pPr>
          </w:p>
        </w:tc>
        <w:tc>
          <w:tcPr>
            <w:tcW w:w="640" w:type="dxa"/>
            <w:vAlign w:val="bottom"/>
          </w:tcPr>
          <w:p>
            <w:pPr>
              <w:ind w:left="380"/>
              <w:spacing w:after="0" w:line="202" w:lineRule="exact"/>
              <w:rPr>
                <w:sz w:val="20"/>
                <w:szCs w:val="20"/>
                <w:color w:val="auto"/>
              </w:rPr>
            </w:pPr>
            <w:r>
              <w:rPr>
                <w:rFonts w:ascii="Arial" w:cs="Arial" w:eastAsia="Arial" w:hAnsi="Arial"/>
                <w:sz w:val="18"/>
                <w:szCs w:val="18"/>
                <w:color w:val="auto"/>
                <w:w w:val="95"/>
              </w:rPr>
              <w:t>26,</w:t>
            </w:r>
          </w:p>
        </w:tc>
        <w:tc>
          <w:tcPr>
            <w:tcW w:w="4580" w:type="dxa"/>
            <w:vAlign w:val="bottom"/>
          </w:tcPr>
          <w:p>
            <w:pPr>
              <w:ind w:left="40"/>
              <w:spacing w:after="0" w:line="202" w:lineRule="exact"/>
              <w:rPr>
                <w:sz w:val="20"/>
                <w:szCs w:val="20"/>
                <w:color w:val="auto"/>
              </w:rPr>
            </w:pPr>
            <w:r>
              <w:rPr>
                <w:rFonts w:ascii="Arial" w:cs="Arial" w:eastAsia="Arial" w:hAnsi="Arial"/>
                <w:sz w:val="18"/>
                <w:szCs w:val="18"/>
                <w:color w:val="auto"/>
                <w:w w:val="99"/>
              </w:rPr>
              <w:t>2008 and on behalf of The Scotts Company LLC on June</w:t>
            </w:r>
          </w:p>
        </w:tc>
      </w:tr>
      <w:tr>
        <w:trPr>
          <w:trHeight w:val="243"/>
        </w:trPr>
        <w:tc>
          <w:tcPr>
            <w:tcW w:w="1040" w:type="dxa"/>
            <w:vAlign w:val="bottom"/>
          </w:tcPr>
          <w:p>
            <w:pPr>
              <w:spacing w:after="0"/>
              <w:rPr>
                <w:sz w:val="21"/>
                <w:szCs w:val="21"/>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w w:val="95"/>
              </w:rPr>
              <w:t>27,</w:t>
            </w:r>
          </w:p>
        </w:tc>
        <w:tc>
          <w:tcPr>
            <w:tcW w:w="4580" w:type="dxa"/>
            <w:vAlign w:val="bottom"/>
          </w:tcPr>
          <w:p>
            <w:pPr>
              <w:ind w:left="40"/>
              <w:spacing w:after="0"/>
              <w:rPr>
                <w:sz w:val="20"/>
                <w:szCs w:val="20"/>
                <w:color w:val="auto"/>
              </w:rPr>
            </w:pPr>
            <w:r>
              <w:rPr>
                <w:rFonts w:ascii="Arial" w:cs="Arial" w:eastAsia="Arial" w:hAnsi="Arial"/>
                <w:sz w:val="18"/>
                <w:szCs w:val="18"/>
                <w:color w:val="auto"/>
              </w:rPr>
              <w:t>2008)</w:t>
            </w:r>
          </w:p>
        </w:tc>
      </w:tr>
    </w:tbl>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June 28, 2008 (File No. 1-13292) [Exhibit 10(d)]</w:t>
      </w:r>
    </w:p>
    <w:p>
      <w:pPr>
        <w:spacing w:after="0" w:line="397" w:lineRule="exact"/>
        <w:rPr>
          <w:sz w:val="20"/>
          <w:szCs w:val="20"/>
          <w:color w:val="auto"/>
        </w:rPr>
      </w:pPr>
    </w:p>
    <w:p>
      <w:pPr>
        <w:sectPr>
          <w:pgSz w:w="11900" w:h="16838" w:orient="portrait"/>
          <w:cols w:equalWidth="0" w:num="2">
            <w:col w:w="6960" w:space="260"/>
            <w:col w:w="3500"/>
          </w:cols>
          <w:pgMar w:left="240" w:top="415" w:right="939" w:bottom="1440" w:gutter="0" w:footer="0" w:header="0"/>
          <w:type w:val="continuous"/>
        </w:sectPr>
      </w:pPr>
    </w:p>
    <w:p>
      <w:pPr>
        <w:spacing w:after="0" w:line="133"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940" w:type="dxa"/>
            <w:vAlign w:val="bottom"/>
          </w:tcPr>
          <w:p>
            <w:pPr>
              <w:jc w:val="right"/>
              <w:ind w:right="410"/>
              <w:spacing w:after="0"/>
              <w:rPr>
                <w:sz w:val="20"/>
                <w:szCs w:val="20"/>
                <w:color w:val="auto"/>
              </w:rPr>
            </w:pPr>
            <w:r>
              <w:rPr>
                <w:rFonts w:ascii="Arial" w:cs="Arial" w:eastAsia="Arial" w:hAnsi="Arial"/>
                <w:sz w:val="18"/>
                <w:szCs w:val="18"/>
                <w:color w:val="auto"/>
                <w:w w:val="93"/>
              </w:rPr>
              <w:t>10.17</w:t>
            </w:r>
          </w:p>
        </w:tc>
        <w:tc>
          <w:tcPr>
            <w:tcW w:w="5320" w:type="dxa"/>
            <w:vAlign w:val="bottom"/>
          </w:tcPr>
          <w:p>
            <w:pPr>
              <w:ind w:left="480"/>
              <w:spacing w:after="0"/>
              <w:rPr>
                <w:sz w:val="20"/>
                <w:szCs w:val="20"/>
                <w:color w:val="auto"/>
              </w:rPr>
            </w:pPr>
            <w:r>
              <w:rPr>
                <w:rFonts w:ascii="Arial" w:cs="Arial" w:eastAsia="Arial" w:hAnsi="Arial"/>
                <w:sz w:val="18"/>
                <w:szCs w:val="18"/>
                <w:color w:val="auto"/>
                <w:w w:val="99"/>
              </w:rPr>
              <w:t>Employment Agreement for Mark R. Baker, effective October</w:t>
            </w:r>
          </w:p>
        </w:tc>
      </w:tr>
      <w:tr>
        <w:trPr>
          <w:trHeight w:val="203"/>
        </w:trPr>
        <w:tc>
          <w:tcPr>
            <w:tcW w:w="940" w:type="dxa"/>
            <w:vAlign w:val="bottom"/>
          </w:tcPr>
          <w:p>
            <w:pPr>
              <w:spacing w:after="0"/>
              <w:rPr>
                <w:sz w:val="17"/>
                <w:szCs w:val="17"/>
                <w:color w:val="auto"/>
              </w:rPr>
            </w:pPr>
          </w:p>
        </w:tc>
        <w:tc>
          <w:tcPr>
            <w:tcW w:w="5320" w:type="dxa"/>
            <w:vAlign w:val="bottom"/>
          </w:tcPr>
          <w:p>
            <w:pPr>
              <w:ind w:left="480"/>
              <w:spacing w:after="0" w:line="202" w:lineRule="exact"/>
              <w:rPr>
                <w:sz w:val="20"/>
                <w:szCs w:val="20"/>
                <w:color w:val="auto"/>
              </w:rPr>
            </w:pPr>
            <w:r>
              <w:rPr>
                <w:rFonts w:ascii="Arial" w:cs="Arial" w:eastAsia="Arial" w:hAnsi="Arial"/>
                <w:sz w:val="18"/>
                <w:szCs w:val="18"/>
                <w:color w:val="auto"/>
              </w:rPr>
              <w:t>1, 2008, between The Scotts Company LLC and Mark R.</w:t>
            </w:r>
          </w:p>
        </w:tc>
      </w:tr>
      <w:tr>
        <w:trPr>
          <w:trHeight w:val="203"/>
        </w:trPr>
        <w:tc>
          <w:tcPr>
            <w:tcW w:w="940" w:type="dxa"/>
            <w:vAlign w:val="bottom"/>
          </w:tcPr>
          <w:p>
            <w:pPr>
              <w:spacing w:after="0"/>
              <w:rPr>
                <w:sz w:val="17"/>
                <w:szCs w:val="17"/>
                <w:color w:val="auto"/>
              </w:rPr>
            </w:pPr>
          </w:p>
        </w:tc>
        <w:tc>
          <w:tcPr>
            <w:tcW w:w="5320" w:type="dxa"/>
            <w:vAlign w:val="bottom"/>
          </w:tcPr>
          <w:p>
            <w:pPr>
              <w:ind w:left="480"/>
              <w:spacing w:after="0" w:line="202" w:lineRule="exact"/>
              <w:rPr>
                <w:sz w:val="20"/>
                <w:szCs w:val="20"/>
                <w:color w:val="auto"/>
              </w:rPr>
            </w:pPr>
            <w:r>
              <w:rPr>
                <w:rFonts w:ascii="Arial" w:cs="Arial" w:eastAsia="Arial" w:hAnsi="Arial"/>
                <w:sz w:val="18"/>
                <w:szCs w:val="18"/>
                <w:color w:val="auto"/>
              </w:rPr>
              <w:t>Baker (executed by Mr. Baker on September 9, 2008 and on</w:t>
            </w:r>
          </w:p>
        </w:tc>
      </w:tr>
      <w:tr>
        <w:trPr>
          <w:trHeight w:val="243"/>
        </w:trPr>
        <w:tc>
          <w:tcPr>
            <w:tcW w:w="940" w:type="dxa"/>
            <w:vAlign w:val="bottom"/>
          </w:tcPr>
          <w:p>
            <w:pPr>
              <w:spacing w:after="0"/>
              <w:rPr>
                <w:sz w:val="21"/>
                <w:szCs w:val="21"/>
                <w:color w:val="auto"/>
              </w:rPr>
            </w:pPr>
          </w:p>
        </w:tc>
        <w:tc>
          <w:tcPr>
            <w:tcW w:w="5320" w:type="dxa"/>
            <w:vAlign w:val="bottom"/>
          </w:tcPr>
          <w:p>
            <w:pPr>
              <w:ind w:left="480"/>
              <w:spacing w:after="0"/>
              <w:rPr>
                <w:sz w:val="20"/>
                <w:szCs w:val="20"/>
                <w:color w:val="auto"/>
              </w:rPr>
            </w:pPr>
            <w:r>
              <w:rPr>
                <w:rFonts w:ascii="Arial" w:cs="Arial" w:eastAsia="Arial" w:hAnsi="Arial"/>
                <w:sz w:val="18"/>
                <w:szCs w:val="18"/>
                <w:color w:val="auto"/>
              </w:rPr>
              <w:t>behalf of The Scotts Company LLC on September 10, 2008)</w:t>
            </w:r>
          </w:p>
        </w:tc>
      </w:tr>
    </w:tbl>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ind w:right="200"/>
        <w:spacing w:after="0" w:line="263" w:lineRule="auto"/>
        <w:rPr>
          <w:sz w:val="20"/>
          <w:szCs w:val="20"/>
          <w:color w:val="auto"/>
        </w:rPr>
      </w:pPr>
      <w:r>
        <w:rPr>
          <w:rFonts w:ascii="Arial" w:cs="Arial" w:eastAsia="Arial" w:hAnsi="Arial"/>
          <w:sz w:val="17"/>
          <w:szCs w:val="17"/>
          <w:color w:val="auto"/>
        </w:rPr>
        <w:t>Incorporated herein by reference to the Registrant’s Annual Report on Form 10-K for the fiscal year ended September 30, 2008 (which was filed on November 25, 2008) (File No. 1-13292) [Exhibit 10.17]</w:t>
      </w:r>
    </w:p>
    <w:p>
      <w:pPr>
        <w:spacing w:after="0" w:line="200" w:lineRule="exact"/>
        <w:rPr>
          <w:sz w:val="20"/>
          <w:szCs w:val="20"/>
          <w:color w:val="auto"/>
        </w:rPr>
      </w:pPr>
    </w:p>
    <w:p>
      <w:pPr>
        <w:sectPr>
          <w:pgSz w:w="11900" w:h="16838" w:orient="portrait"/>
          <w:cols w:equalWidth="0" w:num="2">
            <w:col w:w="6960" w:space="260"/>
            <w:col w:w="3500"/>
          </w:cols>
          <w:pgMar w:left="240" w:top="415" w:right="939" w:bottom="1440" w:gutter="0" w:footer="0" w:header="0"/>
          <w:type w:val="continuous"/>
        </w:sectPr>
      </w:pPr>
    </w:p>
    <w:p>
      <w:pPr>
        <w:spacing w:after="0" w:line="116"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Arial" w:cs="Arial" w:eastAsia="Arial" w:hAnsi="Arial"/>
                <w:sz w:val="18"/>
                <w:szCs w:val="18"/>
                <w:color w:val="auto"/>
              </w:rPr>
              <w:t>10.18(a)</w:t>
            </w:r>
          </w:p>
        </w:tc>
        <w:tc>
          <w:tcPr>
            <w:tcW w:w="4920" w:type="dxa"/>
            <w:vAlign w:val="bottom"/>
          </w:tcPr>
          <w:p>
            <w:pPr>
              <w:ind w:left="380"/>
              <w:spacing w:after="0"/>
              <w:rPr>
                <w:sz w:val="20"/>
                <w:szCs w:val="20"/>
                <w:color w:val="auto"/>
              </w:rPr>
            </w:pPr>
            <w:r>
              <w:rPr>
                <w:rFonts w:ascii="Arial" w:cs="Arial" w:eastAsia="Arial" w:hAnsi="Arial"/>
                <w:sz w:val="18"/>
                <w:szCs w:val="18"/>
                <w:color w:val="auto"/>
                <w:w w:val="99"/>
              </w:rPr>
              <w:t>Amended and Restated Exclusive Agency and Marketing</w:t>
            </w:r>
          </w:p>
        </w:tc>
      </w:tr>
      <w:tr>
        <w:trPr>
          <w:trHeight w:val="203"/>
        </w:trPr>
        <w:tc>
          <w:tcPr>
            <w:tcW w:w="1040" w:type="dxa"/>
            <w:vAlign w:val="bottom"/>
          </w:tcPr>
          <w:p>
            <w:pPr>
              <w:spacing w:after="0"/>
              <w:rPr>
                <w:sz w:val="17"/>
                <w:szCs w:val="17"/>
                <w:color w:val="auto"/>
              </w:rPr>
            </w:pPr>
          </w:p>
        </w:tc>
        <w:tc>
          <w:tcPr>
            <w:tcW w:w="4920" w:type="dxa"/>
            <w:vAlign w:val="bottom"/>
          </w:tcPr>
          <w:p>
            <w:pPr>
              <w:ind w:left="380"/>
              <w:spacing w:after="0" w:line="202" w:lineRule="exact"/>
              <w:rPr>
                <w:sz w:val="20"/>
                <w:szCs w:val="20"/>
                <w:color w:val="auto"/>
              </w:rPr>
            </w:pPr>
            <w:r>
              <w:rPr>
                <w:rFonts w:ascii="Arial" w:cs="Arial" w:eastAsia="Arial" w:hAnsi="Arial"/>
                <w:sz w:val="18"/>
                <w:szCs w:val="18"/>
                <w:color w:val="auto"/>
                <w:w w:val="99"/>
              </w:rPr>
              <w:t>Agreement, effective as of September 30, 1998, between</w:t>
            </w:r>
          </w:p>
        </w:tc>
      </w:tr>
      <w:tr>
        <w:trPr>
          <w:trHeight w:val="203"/>
        </w:trPr>
        <w:tc>
          <w:tcPr>
            <w:tcW w:w="1040" w:type="dxa"/>
            <w:vAlign w:val="bottom"/>
          </w:tcPr>
          <w:p>
            <w:pPr>
              <w:spacing w:after="0"/>
              <w:rPr>
                <w:sz w:val="17"/>
                <w:szCs w:val="17"/>
                <w:color w:val="auto"/>
              </w:rPr>
            </w:pPr>
          </w:p>
        </w:tc>
        <w:tc>
          <w:tcPr>
            <w:tcW w:w="4920" w:type="dxa"/>
            <w:vAlign w:val="bottom"/>
          </w:tcPr>
          <w:p>
            <w:pPr>
              <w:ind w:left="380"/>
              <w:spacing w:after="0" w:line="202" w:lineRule="exact"/>
              <w:rPr>
                <w:sz w:val="20"/>
                <w:szCs w:val="20"/>
                <w:color w:val="auto"/>
              </w:rPr>
            </w:pPr>
            <w:r>
              <w:rPr>
                <w:rFonts w:ascii="Arial" w:cs="Arial" w:eastAsia="Arial" w:hAnsi="Arial"/>
                <w:sz w:val="18"/>
                <w:szCs w:val="18"/>
                <w:color w:val="auto"/>
              </w:rPr>
              <w:t>Monsanto Company and The Scotts Company LLC (as</w:t>
            </w:r>
          </w:p>
        </w:tc>
      </w:tr>
      <w:tr>
        <w:trPr>
          <w:trHeight w:val="243"/>
        </w:trPr>
        <w:tc>
          <w:tcPr>
            <w:tcW w:w="1040" w:type="dxa"/>
            <w:vAlign w:val="bottom"/>
          </w:tcPr>
          <w:p>
            <w:pPr>
              <w:spacing w:after="0"/>
              <w:rPr>
                <w:sz w:val="21"/>
                <w:szCs w:val="21"/>
                <w:color w:val="auto"/>
              </w:rPr>
            </w:pPr>
          </w:p>
        </w:tc>
        <w:tc>
          <w:tcPr>
            <w:tcW w:w="4920" w:type="dxa"/>
            <w:vAlign w:val="bottom"/>
          </w:tcPr>
          <w:p>
            <w:pPr>
              <w:ind w:left="380"/>
              <w:spacing w:after="0"/>
              <w:rPr>
                <w:sz w:val="20"/>
                <w:szCs w:val="20"/>
                <w:color w:val="auto"/>
              </w:rPr>
            </w:pPr>
            <w:r>
              <w:rPr>
                <w:rFonts w:ascii="Arial" w:cs="Arial" w:eastAsia="Arial" w:hAnsi="Arial"/>
                <w:sz w:val="18"/>
                <w:szCs w:val="18"/>
                <w:color w:val="auto"/>
              </w:rPr>
              <w:t>successor to The Scotts Company)</w:t>
            </w:r>
          </w:p>
        </w:tc>
      </w:tr>
      <w:tr>
        <w:trPr>
          <w:trHeight w:val="540"/>
        </w:trPr>
        <w:tc>
          <w:tcPr>
            <w:tcW w:w="1040" w:type="dxa"/>
            <w:vAlign w:val="bottom"/>
          </w:tcPr>
          <w:p>
            <w:pPr>
              <w:spacing w:after="0"/>
              <w:rPr>
                <w:sz w:val="20"/>
                <w:szCs w:val="20"/>
                <w:color w:val="auto"/>
              </w:rPr>
            </w:pPr>
            <w:r>
              <w:rPr>
                <w:rFonts w:ascii="Arial" w:cs="Arial" w:eastAsia="Arial" w:hAnsi="Arial"/>
                <w:sz w:val="18"/>
                <w:szCs w:val="18"/>
                <w:color w:val="auto"/>
              </w:rPr>
              <w:t>10.18(b)</w:t>
            </w:r>
          </w:p>
        </w:tc>
        <w:tc>
          <w:tcPr>
            <w:tcW w:w="4920" w:type="dxa"/>
            <w:vAlign w:val="bottom"/>
          </w:tcPr>
          <w:p>
            <w:pPr>
              <w:ind w:left="380"/>
              <w:spacing w:after="0"/>
              <w:rPr>
                <w:sz w:val="20"/>
                <w:szCs w:val="20"/>
                <w:color w:val="auto"/>
              </w:rPr>
            </w:pPr>
            <w:r>
              <w:rPr>
                <w:rFonts w:ascii="Arial" w:cs="Arial" w:eastAsia="Arial" w:hAnsi="Arial"/>
                <w:sz w:val="18"/>
                <w:szCs w:val="18"/>
                <w:color w:val="auto"/>
              </w:rPr>
              <w:t>Letter Agreement, dated March 28, 2008, amending the</w:t>
            </w:r>
          </w:p>
        </w:tc>
      </w:tr>
      <w:tr>
        <w:trPr>
          <w:trHeight w:val="203"/>
        </w:trPr>
        <w:tc>
          <w:tcPr>
            <w:tcW w:w="1040" w:type="dxa"/>
            <w:vAlign w:val="bottom"/>
          </w:tcPr>
          <w:p>
            <w:pPr>
              <w:spacing w:after="0"/>
              <w:rPr>
                <w:sz w:val="17"/>
                <w:szCs w:val="17"/>
                <w:color w:val="auto"/>
              </w:rPr>
            </w:pPr>
          </w:p>
        </w:tc>
        <w:tc>
          <w:tcPr>
            <w:tcW w:w="4920" w:type="dxa"/>
            <w:vAlign w:val="bottom"/>
          </w:tcPr>
          <w:p>
            <w:pPr>
              <w:ind w:left="380"/>
              <w:spacing w:after="0" w:line="202" w:lineRule="exact"/>
              <w:rPr>
                <w:sz w:val="20"/>
                <w:szCs w:val="20"/>
                <w:color w:val="auto"/>
              </w:rPr>
            </w:pPr>
            <w:r>
              <w:rPr>
                <w:rFonts w:ascii="Arial" w:cs="Arial" w:eastAsia="Arial" w:hAnsi="Arial"/>
                <w:sz w:val="18"/>
                <w:szCs w:val="18"/>
                <w:color w:val="auto"/>
                <w:w w:val="99"/>
              </w:rPr>
              <w:t>Amended and Restated Exclusive Agency and Marketing</w:t>
            </w:r>
          </w:p>
        </w:tc>
      </w:tr>
      <w:tr>
        <w:trPr>
          <w:trHeight w:val="203"/>
        </w:trPr>
        <w:tc>
          <w:tcPr>
            <w:tcW w:w="1040" w:type="dxa"/>
            <w:vAlign w:val="bottom"/>
          </w:tcPr>
          <w:p>
            <w:pPr>
              <w:spacing w:after="0"/>
              <w:rPr>
                <w:sz w:val="17"/>
                <w:szCs w:val="17"/>
                <w:color w:val="auto"/>
              </w:rPr>
            </w:pPr>
          </w:p>
        </w:tc>
        <w:tc>
          <w:tcPr>
            <w:tcW w:w="4920" w:type="dxa"/>
            <w:vAlign w:val="bottom"/>
          </w:tcPr>
          <w:p>
            <w:pPr>
              <w:ind w:left="380"/>
              <w:spacing w:after="0" w:line="202" w:lineRule="exact"/>
              <w:rPr>
                <w:sz w:val="20"/>
                <w:szCs w:val="20"/>
                <w:color w:val="auto"/>
              </w:rPr>
            </w:pPr>
            <w:r>
              <w:rPr>
                <w:rFonts w:ascii="Arial" w:cs="Arial" w:eastAsia="Arial" w:hAnsi="Arial"/>
                <w:sz w:val="18"/>
                <w:szCs w:val="18"/>
                <w:color w:val="auto"/>
              </w:rPr>
              <w:t>Agreement, dated as of September 30, 1998, between</w:t>
            </w:r>
          </w:p>
        </w:tc>
      </w:tr>
      <w:tr>
        <w:trPr>
          <w:trHeight w:val="243"/>
        </w:trPr>
        <w:tc>
          <w:tcPr>
            <w:tcW w:w="1040" w:type="dxa"/>
            <w:vAlign w:val="bottom"/>
          </w:tcPr>
          <w:p>
            <w:pPr>
              <w:spacing w:after="0"/>
              <w:rPr>
                <w:sz w:val="21"/>
                <w:szCs w:val="21"/>
                <w:color w:val="auto"/>
              </w:rPr>
            </w:pPr>
          </w:p>
        </w:tc>
        <w:tc>
          <w:tcPr>
            <w:tcW w:w="4920" w:type="dxa"/>
            <w:vAlign w:val="bottom"/>
          </w:tcPr>
          <w:p>
            <w:pPr>
              <w:ind w:left="380"/>
              <w:spacing w:after="0"/>
              <w:rPr>
                <w:sz w:val="20"/>
                <w:szCs w:val="20"/>
                <w:color w:val="auto"/>
              </w:rPr>
            </w:pPr>
            <w:r>
              <w:rPr>
                <w:rFonts w:ascii="Arial" w:cs="Arial" w:eastAsia="Arial" w:hAnsi="Arial"/>
                <w:sz w:val="18"/>
                <w:szCs w:val="18"/>
                <w:color w:val="auto"/>
              </w:rPr>
              <w:t>Monsanto Company and The Scotts Company LLC</w:t>
            </w:r>
          </w:p>
        </w:tc>
      </w:tr>
    </w:tbl>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ind w:right="200"/>
        <w:spacing w:after="0" w:line="268" w:lineRule="auto"/>
        <w:rPr>
          <w:sz w:val="20"/>
          <w:szCs w:val="20"/>
          <w:color w:val="auto"/>
        </w:rPr>
      </w:pPr>
      <w:r>
        <w:rPr>
          <w:rFonts w:ascii="Arial" w:cs="Arial" w:eastAsia="Arial" w:hAnsi="Arial"/>
          <w:sz w:val="17"/>
          <w:szCs w:val="17"/>
          <w:color w:val="auto"/>
        </w:rPr>
        <w:t>Incorporated herein by reference to the Registrant’s Annual Report on Form 10-K for the fiscal year ended September 30, 2005 (File No. 1-13292) [Exhibit 10(x)]</w:t>
      </w:r>
    </w:p>
    <w:p>
      <w:pPr>
        <w:spacing w:after="0" w:line="315" w:lineRule="exact"/>
        <w:rPr>
          <w:sz w:val="20"/>
          <w:szCs w:val="20"/>
          <w:color w:val="auto"/>
        </w:rPr>
      </w:pPr>
    </w:p>
    <w:p>
      <w:pPr>
        <w:ind w:right="120"/>
        <w:spacing w:after="0" w:line="245"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2008 (which was filed on November 25, 2008) (File No. 1-13292) [Exhibit 10.18(b)]</w:t>
      </w:r>
    </w:p>
    <w:p>
      <w:pPr>
        <w:spacing w:after="0" w:line="200" w:lineRule="exact"/>
        <w:rPr>
          <w:sz w:val="20"/>
          <w:szCs w:val="20"/>
          <w:color w:val="auto"/>
        </w:rPr>
      </w:pPr>
    </w:p>
    <w:p>
      <w:pPr>
        <w:sectPr>
          <w:pgSz w:w="11900" w:h="16838" w:orient="portrait"/>
          <w:cols w:equalWidth="0" w:num="2">
            <w:col w:w="6660" w:space="560"/>
            <w:col w:w="3500"/>
          </w:cols>
          <w:pgMar w:left="240" w:top="415" w:right="939" w:bottom="1440" w:gutter="0" w:footer="0" w:header="0"/>
          <w:type w:val="continuous"/>
        </w:sectPr>
      </w:pPr>
    </w:p>
    <w:p>
      <w:pPr>
        <w:spacing w:after="0" w:line="130"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Arial" w:cs="Arial" w:eastAsia="Arial" w:hAnsi="Arial"/>
                <w:sz w:val="18"/>
                <w:szCs w:val="18"/>
                <w:color w:val="auto"/>
              </w:rPr>
              <w:t>10.19(a)</w:t>
            </w:r>
          </w:p>
        </w:tc>
        <w:tc>
          <w:tcPr>
            <w:tcW w:w="5260" w:type="dxa"/>
            <w:vAlign w:val="bottom"/>
          </w:tcPr>
          <w:p>
            <w:pPr>
              <w:ind w:left="380"/>
              <w:spacing w:after="0"/>
              <w:rPr>
                <w:sz w:val="20"/>
                <w:szCs w:val="20"/>
                <w:color w:val="auto"/>
              </w:rPr>
            </w:pPr>
            <w:r>
              <w:rPr>
                <w:rFonts w:ascii="Arial" w:cs="Arial" w:eastAsia="Arial" w:hAnsi="Arial"/>
                <w:sz w:val="18"/>
                <w:szCs w:val="18"/>
                <w:color w:val="auto"/>
              </w:rPr>
              <w:t>Master Accounts Receivable Purchase Agreement, dated as</w:t>
            </w:r>
          </w:p>
        </w:tc>
      </w:tr>
      <w:tr>
        <w:trPr>
          <w:trHeight w:val="203"/>
        </w:trPr>
        <w:tc>
          <w:tcPr>
            <w:tcW w:w="1040" w:type="dxa"/>
            <w:vAlign w:val="bottom"/>
          </w:tcPr>
          <w:p>
            <w:pPr>
              <w:spacing w:after="0"/>
              <w:rPr>
                <w:sz w:val="17"/>
                <w:szCs w:val="17"/>
                <w:color w:val="auto"/>
              </w:rPr>
            </w:pPr>
          </w:p>
        </w:tc>
        <w:tc>
          <w:tcPr>
            <w:tcW w:w="5260" w:type="dxa"/>
            <w:vAlign w:val="bottom"/>
          </w:tcPr>
          <w:p>
            <w:pPr>
              <w:ind w:left="380"/>
              <w:spacing w:after="0" w:line="202" w:lineRule="exact"/>
              <w:rPr>
                <w:sz w:val="20"/>
                <w:szCs w:val="20"/>
                <w:color w:val="auto"/>
              </w:rPr>
            </w:pPr>
            <w:r>
              <w:rPr>
                <w:rFonts w:ascii="Arial" w:cs="Arial" w:eastAsia="Arial" w:hAnsi="Arial"/>
                <w:sz w:val="18"/>
                <w:szCs w:val="18"/>
                <w:color w:val="auto"/>
                <w:w w:val="99"/>
              </w:rPr>
              <w:t>of April 11, 2007, by and among The Scotts Company LLC as</w:t>
            </w:r>
          </w:p>
        </w:tc>
      </w:tr>
      <w:tr>
        <w:trPr>
          <w:trHeight w:val="203"/>
        </w:trPr>
        <w:tc>
          <w:tcPr>
            <w:tcW w:w="1040" w:type="dxa"/>
            <w:vAlign w:val="bottom"/>
          </w:tcPr>
          <w:p>
            <w:pPr>
              <w:spacing w:after="0"/>
              <w:rPr>
                <w:sz w:val="17"/>
                <w:szCs w:val="17"/>
                <w:color w:val="auto"/>
              </w:rPr>
            </w:pPr>
          </w:p>
        </w:tc>
        <w:tc>
          <w:tcPr>
            <w:tcW w:w="5260" w:type="dxa"/>
            <w:vAlign w:val="bottom"/>
          </w:tcPr>
          <w:p>
            <w:pPr>
              <w:ind w:left="380"/>
              <w:spacing w:after="0" w:line="202" w:lineRule="exact"/>
              <w:rPr>
                <w:sz w:val="20"/>
                <w:szCs w:val="20"/>
                <w:color w:val="auto"/>
              </w:rPr>
            </w:pPr>
            <w:r>
              <w:rPr>
                <w:rFonts w:ascii="Arial" w:cs="Arial" w:eastAsia="Arial" w:hAnsi="Arial"/>
                <w:sz w:val="18"/>
                <w:szCs w:val="18"/>
                <w:color w:val="auto"/>
              </w:rPr>
              <w:t>seller, The Scotts Miracle-Gro Company as guarantor and</w:t>
            </w:r>
          </w:p>
        </w:tc>
      </w:tr>
      <w:tr>
        <w:trPr>
          <w:trHeight w:val="203"/>
        </w:trPr>
        <w:tc>
          <w:tcPr>
            <w:tcW w:w="1040" w:type="dxa"/>
            <w:vAlign w:val="bottom"/>
          </w:tcPr>
          <w:p>
            <w:pPr>
              <w:spacing w:after="0"/>
              <w:rPr>
                <w:sz w:val="17"/>
                <w:szCs w:val="17"/>
                <w:color w:val="auto"/>
              </w:rPr>
            </w:pPr>
          </w:p>
        </w:tc>
        <w:tc>
          <w:tcPr>
            <w:tcW w:w="5260" w:type="dxa"/>
            <w:vAlign w:val="bottom"/>
          </w:tcPr>
          <w:p>
            <w:pPr>
              <w:ind w:left="380"/>
              <w:spacing w:after="0" w:line="202" w:lineRule="exact"/>
              <w:rPr>
                <w:sz w:val="20"/>
                <w:szCs w:val="20"/>
                <w:color w:val="auto"/>
              </w:rPr>
            </w:pPr>
            <w:r>
              <w:rPr>
                <w:rFonts w:ascii="Arial" w:cs="Arial" w:eastAsia="Arial" w:hAnsi="Arial"/>
                <w:sz w:val="18"/>
                <w:szCs w:val="18"/>
                <w:color w:val="auto"/>
              </w:rPr>
              <w:t>LaSalle Bank National Association as purchaser (terminated</w:t>
            </w:r>
          </w:p>
        </w:tc>
      </w:tr>
      <w:tr>
        <w:trPr>
          <w:trHeight w:val="243"/>
        </w:trPr>
        <w:tc>
          <w:tcPr>
            <w:tcW w:w="1040" w:type="dxa"/>
            <w:vAlign w:val="bottom"/>
          </w:tcPr>
          <w:p>
            <w:pPr>
              <w:spacing w:after="0"/>
              <w:rPr>
                <w:sz w:val="21"/>
                <w:szCs w:val="21"/>
                <w:color w:val="auto"/>
              </w:rPr>
            </w:pPr>
          </w:p>
        </w:tc>
        <w:tc>
          <w:tcPr>
            <w:tcW w:w="5260" w:type="dxa"/>
            <w:vAlign w:val="bottom"/>
          </w:tcPr>
          <w:p>
            <w:pPr>
              <w:ind w:left="380"/>
              <w:spacing w:after="0"/>
              <w:rPr>
                <w:sz w:val="20"/>
                <w:szCs w:val="20"/>
                <w:color w:val="auto"/>
              </w:rPr>
            </w:pPr>
            <w:r>
              <w:rPr>
                <w:rFonts w:ascii="Arial" w:cs="Arial" w:eastAsia="Arial" w:hAnsi="Arial"/>
                <w:sz w:val="18"/>
                <w:szCs w:val="18"/>
                <w:color w:val="auto"/>
              </w:rPr>
              <w:t>as of April 9, 2008)</w:t>
            </w:r>
          </w:p>
        </w:tc>
      </w:tr>
    </w:tbl>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ind w:right="260"/>
        <w:spacing w:after="0" w:line="248" w:lineRule="auto"/>
        <w:rPr>
          <w:sz w:val="20"/>
          <w:szCs w:val="20"/>
          <w:color w:val="auto"/>
        </w:rPr>
      </w:pPr>
      <w:r>
        <w:rPr>
          <w:rFonts w:ascii="Arial" w:cs="Arial" w:eastAsia="Arial" w:hAnsi="Arial"/>
          <w:sz w:val="18"/>
          <w:szCs w:val="18"/>
          <w:color w:val="auto"/>
        </w:rPr>
        <w:t>Incorporated herein by reference to the Registrant’s Current Report on Form 8-K filed April 17, 2007 (File No. 1-13292) [Exhibit 10.1]</w:t>
      </w:r>
    </w:p>
    <w:p>
      <w:pPr>
        <w:spacing w:after="0" w:line="397" w:lineRule="exact"/>
        <w:rPr>
          <w:sz w:val="20"/>
          <w:szCs w:val="20"/>
          <w:color w:val="auto"/>
        </w:rPr>
      </w:pPr>
    </w:p>
    <w:p>
      <w:pPr>
        <w:sectPr>
          <w:pgSz w:w="11900" w:h="16838" w:orient="portrait"/>
          <w:cols w:equalWidth="0" w:num="2">
            <w:col w:w="7000" w:space="220"/>
            <w:col w:w="3500"/>
          </w:cols>
          <w:pgMar w:left="240" w:top="415" w:right="939" w:bottom="1440" w:gutter="0" w:footer="0" w:header="0"/>
          <w:type w:val="continuous"/>
        </w:sectPr>
      </w:pPr>
    </w:p>
    <w:p>
      <w:pPr>
        <w:spacing w:after="0" w:line="133"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Arial" w:cs="Arial" w:eastAsia="Arial" w:hAnsi="Arial"/>
                <w:sz w:val="18"/>
                <w:szCs w:val="18"/>
                <w:color w:val="auto"/>
              </w:rPr>
              <w:t>10.19(b)</w:t>
            </w:r>
          </w:p>
        </w:tc>
        <w:tc>
          <w:tcPr>
            <w:tcW w:w="5240" w:type="dxa"/>
            <w:vAlign w:val="bottom"/>
          </w:tcPr>
          <w:p>
            <w:pPr>
              <w:ind w:left="380"/>
              <w:spacing w:after="0"/>
              <w:rPr>
                <w:sz w:val="20"/>
                <w:szCs w:val="20"/>
                <w:color w:val="auto"/>
              </w:rPr>
            </w:pPr>
            <w:r>
              <w:rPr>
                <w:rFonts w:ascii="Arial" w:cs="Arial" w:eastAsia="Arial" w:hAnsi="Arial"/>
                <w:sz w:val="18"/>
                <w:szCs w:val="18"/>
                <w:color w:val="auto"/>
              </w:rPr>
              <w:t>First Amendment to Master Accounts Receivable Purchase</w:t>
            </w:r>
          </w:p>
        </w:tc>
      </w:tr>
      <w:tr>
        <w:trPr>
          <w:trHeight w:val="203"/>
        </w:trPr>
        <w:tc>
          <w:tcPr>
            <w:tcW w:w="1040" w:type="dxa"/>
            <w:vAlign w:val="bottom"/>
          </w:tcPr>
          <w:p>
            <w:pPr>
              <w:spacing w:after="0"/>
              <w:rPr>
                <w:sz w:val="17"/>
                <w:szCs w:val="17"/>
                <w:color w:val="auto"/>
              </w:rPr>
            </w:pPr>
          </w:p>
        </w:tc>
        <w:tc>
          <w:tcPr>
            <w:tcW w:w="5240" w:type="dxa"/>
            <w:vAlign w:val="bottom"/>
          </w:tcPr>
          <w:p>
            <w:pPr>
              <w:ind w:left="380"/>
              <w:spacing w:after="0" w:line="202" w:lineRule="exact"/>
              <w:rPr>
                <w:sz w:val="20"/>
                <w:szCs w:val="20"/>
                <w:color w:val="auto"/>
              </w:rPr>
            </w:pPr>
            <w:r>
              <w:rPr>
                <w:rFonts w:ascii="Arial" w:cs="Arial" w:eastAsia="Arial" w:hAnsi="Arial"/>
                <w:sz w:val="18"/>
                <w:szCs w:val="18"/>
                <w:color w:val="auto"/>
              </w:rPr>
              <w:t>Agreement and Waiver, entered into as of October 22, 2007,</w:t>
            </w:r>
          </w:p>
        </w:tc>
      </w:tr>
      <w:tr>
        <w:trPr>
          <w:trHeight w:val="203"/>
        </w:trPr>
        <w:tc>
          <w:tcPr>
            <w:tcW w:w="1040" w:type="dxa"/>
            <w:vAlign w:val="bottom"/>
          </w:tcPr>
          <w:p>
            <w:pPr>
              <w:spacing w:after="0"/>
              <w:rPr>
                <w:sz w:val="17"/>
                <w:szCs w:val="17"/>
                <w:color w:val="auto"/>
              </w:rPr>
            </w:pPr>
          </w:p>
        </w:tc>
        <w:tc>
          <w:tcPr>
            <w:tcW w:w="5240" w:type="dxa"/>
            <w:vAlign w:val="bottom"/>
          </w:tcPr>
          <w:p>
            <w:pPr>
              <w:ind w:left="380"/>
              <w:spacing w:after="0" w:line="202" w:lineRule="exact"/>
              <w:rPr>
                <w:sz w:val="20"/>
                <w:szCs w:val="20"/>
                <w:color w:val="auto"/>
              </w:rPr>
            </w:pPr>
            <w:r>
              <w:rPr>
                <w:rFonts w:ascii="Arial" w:cs="Arial" w:eastAsia="Arial" w:hAnsi="Arial"/>
                <w:sz w:val="18"/>
                <w:szCs w:val="18"/>
                <w:color w:val="auto"/>
              </w:rPr>
              <w:t>among The Scotts Company LLC, The Scotts Miracle-Gro</w:t>
            </w:r>
          </w:p>
        </w:tc>
      </w:tr>
      <w:tr>
        <w:trPr>
          <w:trHeight w:val="203"/>
        </w:trPr>
        <w:tc>
          <w:tcPr>
            <w:tcW w:w="1040" w:type="dxa"/>
            <w:vAlign w:val="bottom"/>
          </w:tcPr>
          <w:p>
            <w:pPr>
              <w:spacing w:after="0"/>
              <w:rPr>
                <w:sz w:val="17"/>
                <w:szCs w:val="17"/>
                <w:color w:val="auto"/>
              </w:rPr>
            </w:pPr>
          </w:p>
        </w:tc>
        <w:tc>
          <w:tcPr>
            <w:tcW w:w="5240" w:type="dxa"/>
            <w:vAlign w:val="bottom"/>
          </w:tcPr>
          <w:p>
            <w:pPr>
              <w:ind w:left="380"/>
              <w:spacing w:after="0" w:line="202" w:lineRule="exact"/>
              <w:rPr>
                <w:sz w:val="20"/>
                <w:szCs w:val="20"/>
                <w:color w:val="auto"/>
              </w:rPr>
            </w:pPr>
            <w:r>
              <w:rPr>
                <w:rFonts w:ascii="Arial" w:cs="Arial" w:eastAsia="Arial" w:hAnsi="Arial"/>
                <w:sz w:val="18"/>
                <w:szCs w:val="18"/>
                <w:color w:val="auto"/>
                <w:w w:val="99"/>
              </w:rPr>
              <w:t>Company and LaSalle Bank National Association (terminated</w:t>
            </w:r>
          </w:p>
        </w:tc>
      </w:tr>
      <w:tr>
        <w:trPr>
          <w:trHeight w:val="243"/>
        </w:trPr>
        <w:tc>
          <w:tcPr>
            <w:tcW w:w="1040" w:type="dxa"/>
            <w:vAlign w:val="bottom"/>
          </w:tcPr>
          <w:p>
            <w:pPr>
              <w:spacing w:after="0"/>
              <w:rPr>
                <w:sz w:val="21"/>
                <w:szCs w:val="21"/>
                <w:color w:val="auto"/>
              </w:rPr>
            </w:pPr>
          </w:p>
        </w:tc>
        <w:tc>
          <w:tcPr>
            <w:tcW w:w="5240" w:type="dxa"/>
            <w:vAlign w:val="bottom"/>
          </w:tcPr>
          <w:p>
            <w:pPr>
              <w:ind w:left="380"/>
              <w:spacing w:after="0"/>
              <w:rPr>
                <w:sz w:val="20"/>
                <w:szCs w:val="20"/>
                <w:color w:val="auto"/>
              </w:rPr>
            </w:pPr>
            <w:r>
              <w:rPr>
                <w:rFonts w:ascii="Arial" w:cs="Arial" w:eastAsia="Arial" w:hAnsi="Arial"/>
                <w:sz w:val="18"/>
                <w:szCs w:val="18"/>
                <w:color w:val="auto"/>
              </w:rPr>
              <w:t>as of April 9, 2008)</w:t>
            </w:r>
          </w:p>
        </w:tc>
      </w:tr>
    </w:tbl>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December 29, 2007 (File No. 1-13292) [Exhibit 10(s)]</w:t>
      </w:r>
    </w:p>
    <w:p>
      <w:pPr>
        <w:spacing w:after="0" w:line="397" w:lineRule="exact"/>
        <w:rPr>
          <w:sz w:val="20"/>
          <w:szCs w:val="20"/>
          <w:color w:val="auto"/>
        </w:rPr>
      </w:pPr>
    </w:p>
    <w:p>
      <w:pPr>
        <w:sectPr>
          <w:pgSz w:w="11900" w:h="16838" w:orient="portrait"/>
          <w:cols w:equalWidth="0" w:num="2">
            <w:col w:w="6980" w:space="240"/>
            <w:col w:w="3500"/>
          </w:cols>
          <w:pgMar w:left="240" w:top="415" w:right="939" w:bottom="1440" w:gutter="0" w:footer="0" w:header="0"/>
          <w:type w:val="continuous"/>
        </w:sectPr>
      </w:pPr>
    </w:p>
    <w:p>
      <w:pPr>
        <w:spacing w:after="0" w:line="133"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Arial" w:cs="Arial" w:eastAsia="Arial" w:hAnsi="Arial"/>
                <w:sz w:val="18"/>
                <w:szCs w:val="18"/>
                <w:color w:val="auto"/>
              </w:rPr>
              <w:t>10.19(c)</w:t>
            </w:r>
          </w:p>
        </w:tc>
        <w:tc>
          <w:tcPr>
            <w:tcW w:w="5240" w:type="dxa"/>
            <w:vAlign w:val="bottom"/>
          </w:tcPr>
          <w:p>
            <w:pPr>
              <w:ind w:left="380"/>
              <w:spacing w:after="0"/>
              <w:rPr>
                <w:sz w:val="20"/>
                <w:szCs w:val="20"/>
                <w:color w:val="auto"/>
              </w:rPr>
            </w:pPr>
            <w:r>
              <w:rPr>
                <w:rFonts w:ascii="Arial" w:cs="Arial" w:eastAsia="Arial" w:hAnsi="Arial"/>
                <w:sz w:val="18"/>
                <w:szCs w:val="18"/>
                <w:color w:val="auto"/>
              </w:rPr>
              <w:t>Second Amendment to Master Accounts Receivable</w:t>
            </w:r>
          </w:p>
        </w:tc>
      </w:tr>
      <w:tr>
        <w:trPr>
          <w:trHeight w:val="203"/>
        </w:trPr>
        <w:tc>
          <w:tcPr>
            <w:tcW w:w="1040" w:type="dxa"/>
            <w:vAlign w:val="bottom"/>
          </w:tcPr>
          <w:p>
            <w:pPr>
              <w:spacing w:after="0"/>
              <w:rPr>
                <w:sz w:val="17"/>
                <w:szCs w:val="17"/>
                <w:color w:val="auto"/>
              </w:rPr>
            </w:pPr>
          </w:p>
        </w:tc>
        <w:tc>
          <w:tcPr>
            <w:tcW w:w="5240" w:type="dxa"/>
            <w:vAlign w:val="bottom"/>
          </w:tcPr>
          <w:p>
            <w:pPr>
              <w:ind w:left="380"/>
              <w:spacing w:after="0" w:line="202" w:lineRule="exact"/>
              <w:rPr>
                <w:sz w:val="20"/>
                <w:szCs w:val="20"/>
                <w:color w:val="auto"/>
              </w:rPr>
            </w:pPr>
            <w:r>
              <w:rPr>
                <w:rFonts w:ascii="Arial" w:cs="Arial" w:eastAsia="Arial" w:hAnsi="Arial"/>
                <w:sz w:val="18"/>
                <w:szCs w:val="18"/>
                <w:color w:val="auto"/>
                <w:w w:val="99"/>
              </w:rPr>
              <w:t>Purchase Agreement, entered into as of November 30, 2007,</w:t>
            </w:r>
          </w:p>
        </w:tc>
      </w:tr>
      <w:tr>
        <w:trPr>
          <w:trHeight w:val="203"/>
        </w:trPr>
        <w:tc>
          <w:tcPr>
            <w:tcW w:w="1040" w:type="dxa"/>
            <w:vAlign w:val="bottom"/>
          </w:tcPr>
          <w:p>
            <w:pPr>
              <w:spacing w:after="0"/>
              <w:rPr>
                <w:sz w:val="17"/>
                <w:szCs w:val="17"/>
                <w:color w:val="auto"/>
              </w:rPr>
            </w:pPr>
          </w:p>
        </w:tc>
        <w:tc>
          <w:tcPr>
            <w:tcW w:w="5240" w:type="dxa"/>
            <w:vAlign w:val="bottom"/>
          </w:tcPr>
          <w:p>
            <w:pPr>
              <w:ind w:left="380"/>
              <w:spacing w:after="0" w:line="202" w:lineRule="exact"/>
              <w:rPr>
                <w:sz w:val="20"/>
                <w:szCs w:val="20"/>
                <w:color w:val="auto"/>
              </w:rPr>
            </w:pPr>
            <w:r>
              <w:rPr>
                <w:rFonts w:ascii="Arial" w:cs="Arial" w:eastAsia="Arial" w:hAnsi="Arial"/>
                <w:sz w:val="18"/>
                <w:szCs w:val="18"/>
                <w:color w:val="auto"/>
              </w:rPr>
              <w:t>among The Scotts Company LLC, The Scotts Miracle-Gro</w:t>
            </w:r>
          </w:p>
        </w:tc>
      </w:tr>
      <w:tr>
        <w:trPr>
          <w:trHeight w:val="203"/>
        </w:trPr>
        <w:tc>
          <w:tcPr>
            <w:tcW w:w="1040" w:type="dxa"/>
            <w:vAlign w:val="bottom"/>
          </w:tcPr>
          <w:p>
            <w:pPr>
              <w:spacing w:after="0"/>
              <w:rPr>
                <w:sz w:val="17"/>
                <w:szCs w:val="17"/>
                <w:color w:val="auto"/>
              </w:rPr>
            </w:pPr>
          </w:p>
        </w:tc>
        <w:tc>
          <w:tcPr>
            <w:tcW w:w="5240" w:type="dxa"/>
            <w:vAlign w:val="bottom"/>
          </w:tcPr>
          <w:p>
            <w:pPr>
              <w:ind w:left="380"/>
              <w:spacing w:after="0" w:line="202" w:lineRule="exact"/>
              <w:rPr>
                <w:sz w:val="20"/>
                <w:szCs w:val="20"/>
                <w:color w:val="auto"/>
              </w:rPr>
            </w:pPr>
            <w:r>
              <w:rPr>
                <w:rFonts w:ascii="Arial" w:cs="Arial" w:eastAsia="Arial" w:hAnsi="Arial"/>
                <w:sz w:val="18"/>
                <w:szCs w:val="18"/>
                <w:color w:val="auto"/>
                <w:w w:val="99"/>
              </w:rPr>
              <w:t>Company and LaSalle Bank National Association (terminated</w:t>
            </w:r>
          </w:p>
        </w:tc>
      </w:tr>
      <w:tr>
        <w:trPr>
          <w:trHeight w:val="243"/>
        </w:trPr>
        <w:tc>
          <w:tcPr>
            <w:tcW w:w="1040" w:type="dxa"/>
            <w:vAlign w:val="bottom"/>
          </w:tcPr>
          <w:p>
            <w:pPr>
              <w:spacing w:after="0"/>
              <w:rPr>
                <w:sz w:val="21"/>
                <w:szCs w:val="21"/>
                <w:color w:val="auto"/>
              </w:rPr>
            </w:pPr>
          </w:p>
        </w:tc>
        <w:tc>
          <w:tcPr>
            <w:tcW w:w="5240" w:type="dxa"/>
            <w:vAlign w:val="bottom"/>
          </w:tcPr>
          <w:p>
            <w:pPr>
              <w:ind w:left="380"/>
              <w:spacing w:after="0"/>
              <w:rPr>
                <w:sz w:val="20"/>
                <w:szCs w:val="20"/>
                <w:color w:val="auto"/>
              </w:rPr>
            </w:pPr>
            <w:r>
              <w:rPr>
                <w:rFonts w:ascii="Arial" w:cs="Arial" w:eastAsia="Arial" w:hAnsi="Arial"/>
                <w:sz w:val="18"/>
                <w:szCs w:val="18"/>
                <w:color w:val="auto"/>
              </w:rPr>
              <w:t>as of April 9, 2008)</w:t>
            </w:r>
          </w:p>
        </w:tc>
      </w:tr>
    </w:tbl>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December 29, 2007 (File No. 1-13292) [Exhibit 10(t)]</w:t>
      </w:r>
    </w:p>
    <w:p>
      <w:pPr>
        <w:spacing w:after="0" w:line="397" w:lineRule="exact"/>
        <w:rPr>
          <w:sz w:val="20"/>
          <w:szCs w:val="20"/>
          <w:color w:val="auto"/>
        </w:rPr>
      </w:pPr>
    </w:p>
    <w:p>
      <w:pPr>
        <w:sectPr>
          <w:pgSz w:w="11900" w:h="16838" w:orient="portrait"/>
          <w:cols w:equalWidth="0" w:num="2">
            <w:col w:w="6980" w:space="240"/>
            <w:col w:w="3500"/>
          </w:cols>
          <w:pgMar w:left="240" w:top="415" w:right="939" w:bottom="1440" w:gutter="0" w:footer="0" w:header="0"/>
          <w:type w:val="continuous"/>
        </w:sectPr>
      </w:pPr>
    </w:p>
    <w:p>
      <w:pPr>
        <w:spacing w:after="0" w:line="133"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Arial" w:cs="Arial" w:eastAsia="Arial" w:hAnsi="Arial"/>
                <w:sz w:val="18"/>
                <w:szCs w:val="18"/>
                <w:color w:val="auto"/>
              </w:rPr>
              <w:t>10.19(d)</w:t>
            </w:r>
          </w:p>
        </w:tc>
        <w:tc>
          <w:tcPr>
            <w:tcW w:w="5280" w:type="dxa"/>
            <w:vAlign w:val="bottom"/>
          </w:tcPr>
          <w:p>
            <w:pPr>
              <w:ind w:left="380"/>
              <w:spacing w:after="0"/>
              <w:rPr>
                <w:sz w:val="20"/>
                <w:szCs w:val="20"/>
                <w:color w:val="auto"/>
              </w:rPr>
            </w:pPr>
            <w:r>
              <w:rPr>
                <w:rFonts w:ascii="Arial" w:cs="Arial" w:eastAsia="Arial" w:hAnsi="Arial"/>
                <w:sz w:val="18"/>
                <w:szCs w:val="18"/>
                <w:color w:val="auto"/>
              </w:rPr>
              <w:t>Termination and Release Agreement, dated as of April 9,</w:t>
            </w:r>
          </w:p>
        </w:tc>
      </w:tr>
      <w:tr>
        <w:trPr>
          <w:trHeight w:val="203"/>
        </w:trPr>
        <w:tc>
          <w:tcPr>
            <w:tcW w:w="1040" w:type="dxa"/>
            <w:vAlign w:val="bottom"/>
          </w:tcPr>
          <w:p>
            <w:pPr>
              <w:spacing w:after="0"/>
              <w:rPr>
                <w:sz w:val="17"/>
                <w:szCs w:val="17"/>
                <w:color w:val="auto"/>
              </w:rPr>
            </w:pPr>
          </w:p>
        </w:tc>
        <w:tc>
          <w:tcPr>
            <w:tcW w:w="5280" w:type="dxa"/>
            <w:vAlign w:val="bottom"/>
          </w:tcPr>
          <w:p>
            <w:pPr>
              <w:ind w:left="380"/>
              <w:spacing w:after="0" w:line="202" w:lineRule="exact"/>
              <w:rPr>
                <w:sz w:val="20"/>
                <w:szCs w:val="20"/>
                <w:color w:val="auto"/>
              </w:rPr>
            </w:pPr>
            <w:r>
              <w:rPr>
                <w:rFonts w:ascii="Arial" w:cs="Arial" w:eastAsia="Arial" w:hAnsi="Arial"/>
                <w:sz w:val="18"/>
                <w:szCs w:val="18"/>
                <w:color w:val="auto"/>
              </w:rPr>
              <w:t>2008, by and among The Scotts Company LLC, The Scotts</w:t>
            </w:r>
          </w:p>
        </w:tc>
      </w:tr>
      <w:tr>
        <w:trPr>
          <w:trHeight w:val="243"/>
        </w:trPr>
        <w:tc>
          <w:tcPr>
            <w:tcW w:w="1040" w:type="dxa"/>
            <w:vAlign w:val="bottom"/>
          </w:tcPr>
          <w:p>
            <w:pPr>
              <w:spacing w:after="0"/>
              <w:rPr>
                <w:sz w:val="21"/>
                <w:szCs w:val="21"/>
                <w:color w:val="auto"/>
              </w:rPr>
            </w:pPr>
          </w:p>
        </w:tc>
        <w:tc>
          <w:tcPr>
            <w:tcW w:w="5280" w:type="dxa"/>
            <w:vAlign w:val="bottom"/>
          </w:tcPr>
          <w:p>
            <w:pPr>
              <w:ind w:left="380"/>
              <w:spacing w:after="0"/>
              <w:rPr>
                <w:sz w:val="20"/>
                <w:szCs w:val="20"/>
                <w:color w:val="auto"/>
              </w:rPr>
            </w:pPr>
            <w:r>
              <w:rPr>
                <w:rFonts w:ascii="Arial" w:cs="Arial" w:eastAsia="Arial" w:hAnsi="Arial"/>
                <w:sz w:val="18"/>
                <w:szCs w:val="18"/>
                <w:color w:val="auto"/>
                <w:w w:val="99"/>
              </w:rPr>
              <w:t>Miracle-Gro Company and LaSalle Bank National Association</w:t>
            </w:r>
          </w:p>
        </w:tc>
      </w:tr>
    </w:tbl>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ind w:right="260"/>
        <w:spacing w:after="0" w:line="248" w:lineRule="auto"/>
        <w:rPr>
          <w:sz w:val="20"/>
          <w:szCs w:val="20"/>
          <w:color w:val="auto"/>
        </w:rPr>
      </w:pPr>
      <w:r>
        <w:rPr>
          <w:rFonts w:ascii="Arial" w:cs="Arial" w:eastAsia="Arial" w:hAnsi="Arial"/>
          <w:sz w:val="18"/>
          <w:szCs w:val="18"/>
          <w:color w:val="auto"/>
        </w:rPr>
        <w:t>Incorporated herein by reference to the Registrant’s Current Report on Form 8-K filed April 15, 2008 (File No. 1-13292) [Exhibit 10.1]</w:t>
      </w:r>
    </w:p>
    <w:p>
      <w:pPr>
        <w:spacing w:after="0" w:line="200" w:lineRule="exact"/>
        <w:rPr>
          <w:sz w:val="20"/>
          <w:szCs w:val="20"/>
          <w:color w:val="auto"/>
        </w:rPr>
      </w:pPr>
    </w:p>
    <w:p>
      <w:pPr>
        <w:sectPr>
          <w:pgSz w:w="11900" w:h="16838" w:orient="portrait"/>
          <w:cols w:equalWidth="0" w:num="2">
            <w:col w:w="7020" w:space="200"/>
            <w:col w:w="3500"/>
          </w:cols>
          <w:pgMar w:left="240" w:top="415" w:right="939" w:bottom="1440" w:gutter="0" w:footer="0" w:header="0"/>
          <w:type w:val="continuous"/>
        </w:sectPr>
      </w:pPr>
    </w:p>
    <w:p>
      <w:pPr>
        <w:spacing w:after="0" w:line="11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0"/>
          <w:szCs w:val="10"/>
          <w:b w:val="1"/>
          <w:bCs w:val="1"/>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-71120</wp:posOffset>
            </wp:positionV>
            <wp:extent cx="19748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149225</wp:posOffset>
            </wp:positionV>
            <wp:extent cx="7250430" cy="215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20"/>
          </w:cols>
          <w:pgMar w:left="240" w:top="415" w:right="939" w:bottom="1440" w:gutter="0" w:footer="0" w:header="0"/>
          <w:type w:val="continuous"/>
        </w:sectPr>
      </w:pPr>
    </w:p>
    <w:bookmarkStart w:id="125" w:name="page126"/>
    <w:bookmarkEnd w:id="125"/>
    <w:p>
      <w:pPr>
        <w:spacing w:after="0"/>
        <w:rPr>
          <w:rFonts w:ascii="Times New Roman" w:cs="Times New Roman" w:eastAsia="Times New Roman" w:hAnsi="Times New Roman"/>
          <w:sz w:val="18"/>
          <w:szCs w:val="18"/>
          <w:b w:val="1"/>
          <w:bCs w:val="1"/>
          <w:u w:val="single" w:color="auto"/>
          <w:color w:val="0000EE"/>
        </w:rPr>
      </w:pPr>
      <w:hyperlink w:anchor="page64">
        <w:r>
          <w:rPr>
            <w:rFonts w:ascii="Times New Roman" w:cs="Times New Roman" w:eastAsia="Times New Roman" w:hAnsi="Times New Roman"/>
            <w:sz w:val="18"/>
            <w:szCs w:val="18"/>
            <w:b w:val="1"/>
            <w:bCs w:val="1"/>
            <w:u w:val="single" w:color="auto"/>
            <w:color w:val="0000EE"/>
          </w:rPr>
          <w:t>Table of Contents</w:t>
        </w:r>
      </w:hyperlink>
    </w:p>
    <w:p>
      <w:pPr>
        <w:spacing w:after="0" w:line="31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Exhibit</w:t>
      </w:r>
    </w:p>
    <w:p>
      <w:pPr>
        <w:spacing w:after="0" w:line="18" w:lineRule="exact"/>
        <w:rPr>
          <w:sz w:val="20"/>
          <w:szCs w:val="20"/>
          <w:color w:val="auto"/>
        </w:rPr>
      </w:pPr>
    </w:p>
    <w:p>
      <w:pPr>
        <w:jc w:val="both"/>
        <w:ind w:left="1160"/>
        <w:spacing w:after="0"/>
        <w:tabs>
          <w:tab w:leader="none" w:pos="4100" w:val="left"/>
          <w:tab w:leader="none" w:pos="8620" w:val="left"/>
        </w:tabs>
        <w:rPr>
          <w:sz w:val="20"/>
          <w:szCs w:val="20"/>
          <w:color w:val="auto"/>
        </w:rPr>
      </w:pP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Description</w:t>
      </w:r>
      <w:r>
        <w:rPr>
          <w:sz w:val="20"/>
          <w:szCs w:val="20"/>
          <w:color w:val="auto"/>
        </w:rPr>
        <w:tab/>
      </w:r>
      <w:r>
        <w:rPr>
          <w:rFonts w:ascii="Arial" w:cs="Arial" w:eastAsia="Arial" w:hAnsi="Arial"/>
          <w:sz w:val="17"/>
          <w:szCs w:val="17"/>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6350</wp:posOffset>
            </wp:positionV>
            <wp:extent cx="637159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371590" cy="8890"/>
                    </a:xfrm>
                    <a:prstGeom prst="rect">
                      <a:avLst/>
                    </a:prstGeom>
                    <a:noFill/>
                  </pic:spPr>
                </pic:pic>
              </a:graphicData>
            </a:graphic>
          </wp:anchor>
        </w:drawing>
      </w:r>
    </w:p>
    <w:p>
      <w:pPr>
        <w:sectPr>
          <w:pgSz w:w="11900" w:h="16838" w:orient="portrait"/>
          <w:cols w:equalWidth="0" w:num="1">
            <w:col w:w="10580"/>
          </w:cols>
          <w:pgMar w:left="240" w:top="415" w:right="1079" w:bottom="1440" w:gutter="0" w:footer="0" w:header="0"/>
        </w:sectPr>
      </w:pPr>
    </w:p>
    <w:p>
      <w:pPr>
        <w:spacing w:after="0" w:line="50"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940" w:type="dxa"/>
            <w:vAlign w:val="bottom"/>
          </w:tcPr>
          <w:p>
            <w:pPr>
              <w:jc w:val="right"/>
              <w:ind w:right="410"/>
              <w:spacing w:after="0"/>
              <w:rPr>
                <w:sz w:val="20"/>
                <w:szCs w:val="20"/>
                <w:color w:val="auto"/>
              </w:rPr>
            </w:pPr>
            <w:r>
              <w:rPr>
                <w:rFonts w:ascii="Arial" w:cs="Arial" w:eastAsia="Arial" w:hAnsi="Arial"/>
                <w:sz w:val="18"/>
                <w:szCs w:val="18"/>
                <w:color w:val="auto"/>
                <w:w w:val="93"/>
              </w:rPr>
              <w:t>10.20</w:t>
            </w:r>
          </w:p>
        </w:tc>
        <w:tc>
          <w:tcPr>
            <w:tcW w:w="5280" w:type="dxa"/>
            <w:vAlign w:val="bottom"/>
          </w:tcPr>
          <w:p>
            <w:pPr>
              <w:ind w:left="480"/>
              <w:spacing w:after="0"/>
              <w:rPr>
                <w:sz w:val="20"/>
                <w:szCs w:val="20"/>
                <w:color w:val="auto"/>
              </w:rPr>
            </w:pPr>
            <w:r>
              <w:rPr>
                <w:rFonts w:ascii="Arial" w:cs="Arial" w:eastAsia="Arial" w:hAnsi="Arial"/>
                <w:sz w:val="18"/>
                <w:szCs w:val="18"/>
                <w:color w:val="auto"/>
                <w:w w:val="99"/>
              </w:rPr>
              <w:t>Master Accounts Receivable Purchase Agreement, dated as</w:t>
            </w:r>
          </w:p>
        </w:tc>
      </w:tr>
      <w:tr>
        <w:trPr>
          <w:trHeight w:val="203"/>
        </w:trPr>
        <w:tc>
          <w:tcPr>
            <w:tcW w:w="940" w:type="dxa"/>
            <w:vAlign w:val="bottom"/>
          </w:tcPr>
          <w:p>
            <w:pPr>
              <w:spacing w:after="0"/>
              <w:rPr>
                <w:sz w:val="17"/>
                <w:szCs w:val="17"/>
                <w:color w:val="auto"/>
              </w:rPr>
            </w:pPr>
          </w:p>
        </w:tc>
        <w:tc>
          <w:tcPr>
            <w:tcW w:w="5280" w:type="dxa"/>
            <w:vAlign w:val="bottom"/>
          </w:tcPr>
          <w:p>
            <w:pPr>
              <w:ind w:left="480"/>
              <w:spacing w:after="0" w:line="202" w:lineRule="exact"/>
              <w:rPr>
                <w:sz w:val="20"/>
                <w:szCs w:val="20"/>
                <w:color w:val="auto"/>
              </w:rPr>
            </w:pPr>
            <w:r>
              <w:rPr>
                <w:rFonts w:ascii="Arial" w:cs="Arial" w:eastAsia="Arial" w:hAnsi="Arial"/>
                <w:sz w:val="18"/>
                <w:szCs w:val="18"/>
                <w:color w:val="auto"/>
              </w:rPr>
              <w:t>of April 9, 2008, among The Scotts Company LLC as seller,</w:t>
            </w:r>
          </w:p>
        </w:tc>
      </w:tr>
      <w:tr>
        <w:trPr>
          <w:trHeight w:val="203"/>
        </w:trPr>
        <w:tc>
          <w:tcPr>
            <w:tcW w:w="940" w:type="dxa"/>
            <w:vAlign w:val="bottom"/>
          </w:tcPr>
          <w:p>
            <w:pPr>
              <w:spacing w:after="0"/>
              <w:rPr>
                <w:sz w:val="17"/>
                <w:szCs w:val="17"/>
                <w:color w:val="auto"/>
              </w:rPr>
            </w:pPr>
          </w:p>
        </w:tc>
        <w:tc>
          <w:tcPr>
            <w:tcW w:w="5280" w:type="dxa"/>
            <w:vAlign w:val="bottom"/>
          </w:tcPr>
          <w:p>
            <w:pPr>
              <w:ind w:left="480"/>
              <w:spacing w:after="0" w:line="202" w:lineRule="exact"/>
              <w:rPr>
                <w:sz w:val="20"/>
                <w:szCs w:val="20"/>
                <w:color w:val="auto"/>
              </w:rPr>
            </w:pPr>
            <w:r>
              <w:rPr>
                <w:rFonts w:ascii="Arial" w:cs="Arial" w:eastAsia="Arial" w:hAnsi="Arial"/>
                <w:sz w:val="18"/>
                <w:szCs w:val="18"/>
                <w:color w:val="auto"/>
              </w:rPr>
              <w:t>The Scotts Miracle-Gro Company as guarantor and Bank of</w:t>
            </w:r>
          </w:p>
        </w:tc>
      </w:tr>
      <w:tr>
        <w:trPr>
          <w:trHeight w:val="243"/>
        </w:trPr>
        <w:tc>
          <w:tcPr>
            <w:tcW w:w="940" w:type="dxa"/>
            <w:vAlign w:val="bottom"/>
          </w:tcPr>
          <w:p>
            <w:pPr>
              <w:spacing w:after="0"/>
              <w:rPr>
                <w:sz w:val="21"/>
                <w:szCs w:val="21"/>
                <w:color w:val="auto"/>
              </w:rPr>
            </w:pPr>
          </w:p>
        </w:tc>
        <w:tc>
          <w:tcPr>
            <w:tcW w:w="5280" w:type="dxa"/>
            <w:vAlign w:val="bottom"/>
          </w:tcPr>
          <w:p>
            <w:pPr>
              <w:ind w:left="480"/>
              <w:spacing w:after="0"/>
              <w:rPr>
                <w:sz w:val="20"/>
                <w:szCs w:val="20"/>
                <w:color w:val="auto"/>
              </w:rPr>
            </w:pPr>
            <w:r>
              <w:rPr>
                <w:rFonts w:ascii="Arial" w:cs="Arial" w:eastAsia="Arial" w:hAnsi="Arial"/>
                <w:sz w:val="18"/>
                <w:szCs w:val="18"/>
                <w:color w:val="auto"/>
              </w:rPr>
              <w:t>America, N.A. as purchaser</w:t>
            </w:r>
          </w:p>
        </w:tc>
      </w:tr>
    </w:tbl>
    <w:p>
      <w:pPr>
        <w:spacing w:after="0" w:line="338" w:lineRule="exact"/>
        <w:rPr>
          <w:sz w:val="20"/>
          <w:szCs w:val="20"/>
          <w:color w:val="auto"/>
        </w:rPr>
      </w:pPr>
    </w:p>
    <w:p>
      <w:pPr>
        <w:ind w:left="2120" w:hanging="1423"/>
        <w:spacing w:after="0" w:line="276" w:lineRule="auto"/>
        <w:tabs>
          <w:tab w:leader="none" w:pos="2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Code of Business Conduct and Ethics of The Scotts Miracle-Gro Company, as amended on November 2, 2006</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700"/>
        <w:spacing w:after="0"/>
        <w:tabs>
          <w:tab w:leader="none" w:pos="210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Subsidiaries of The Scotts Miracle-Gro Company</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Incorporated herein by reference to the Registrant’s Current Report on Form 8-K filed April 15, 2008 (File No. 1-13292) [Exhibit 10.2]</w:t>
      </w:r>
    </w:p>
    <w:p>
      <w:pPr>
        <w:spacing w:after="0" w:line="333"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Incorporated herein by reference to the Registrant’s Current Report on Form 8-K filed November 8, 2006 (File No. 1-13292) [Exhibit 14]</w:t>
      </w:r>
    </w:p>
    <w:p>
      <w:pPr>
        <w:spacing w:after="0" w:line="333" w:lineRule="exact"/>
        <w:rPr>
          <w:sz w:val="20"/>
          <w:szCs w:val="20"/>
          <w:color w:val="auto"/>
        </w:rPr>
      </w:pPr>
    </w:p>
    <w:p>
      <w:pPr>
        <w:ind w:right="60"/>
        <w:spacing w:after="0" w:line="245"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2008 (which was filed on November 25, 2008) (File No. 1-13292) [Exhibit 21]</w:t>
      </w:r>
    </w:p>
    <w:p>
      <w:pPr>
        <w:spacing w:after="0" w:line="200" w:lineRule="exact"/>
        <w:rPr>
          <w:sz w:val="20"/>
          <w:szCs w:val="20"/>
          <w:color w:val="auto"/>
        </w:rPr>
      </w:pPr>
    </w:p>
    <w:p>
      <w:pPr>
        <w:sectPr>
          <w:pgSz w:w="11900" w:h="16838" w:orient="portrait"/>
          <w:cols w:equalWidth="0" w:num="2">
            <w:col w:w="6940" w:space="280"/>
            <w:col w:w="3360"/>
          </w:cols>
          <w:pgMar w:left="240" w:top="415" w:right="1079" w:bottom="1440" w:gutter="0" w:footer="0" w:header="0"/>
          <w:type w:val="continuous"/>
        </w:sectPr>
      </w:pPr>
    </w:p>
    <w:p>
      <w:pPr>
        <w:spacing w:after="0" w:line="130"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Arial" w:cs="Arial" w:eastAsia="Arial" w:hAnsi="Arial"/>
                <w:sz w:val="18"/>
                <w:szCs w:val="18"/>
                <w:color w:val="auto"/>
              </w:rPr>
              <w:t>23</w:t>
            </w:r>
          </w:p>
        </w:tc>
        <w:tc>
          <w:tcPr>
            <w:tcW w:w="5540" w:type="dxa"/>
            <w:vAlign w:val="bottom"/>
          </w:tcPr>
          <w:p>
            <w:pPr>
              <w:ind w:left="540"/>
              <w:spacing w:after="0"/>
              <w:rPr>
                <w:sz w:val="20"/>
                <w:szCs w:val="20"/>
                <w:color w:val="auto"/>
              </w:rPr>
            </w:pPr>
            <w:r>
              <w:rPr>
                <w:rFonts w:ascii="Arial" w:cs="Arial" w:eastAsia="Arial" w:hAnsi="Arial"/>
                <w:sz w:val="18"/>
                <w:szCs w:val="18"/>
                <w:color w:val="auto"/>
              </w:rPr>
              <w:t>Consent of Independent Registered Public Accounting</w:t>
            </w:r>
          </w:p>
        </w:tc>
        <w:tc>
          <w:tcPr>
            <w:tcW w:w="3400" w:type="dxa"/>
            <w:vAlign w:val="bottom"/>
          </w:tcPr>
          <w:p>
            <w:pPr>
              <w:ind w:left="100"/>
              <w:spacing w:after="0"/>
              <w:rPr>
                <w:sz w:val="20"/>
                <w:szCs w:val="20"/>
                <w:color w:val="auto"/>
              </w:rPr>
            </w:pPr>
            <w:r>
              <w:rPr>
                <w:rFonts w:ascii="Arial" w:cs="Arial" w:eastAsia="Arial" w:hAnsi="Arial"/>
                <w:sz w:val="18"/>
                <w:szCs w:val="18"/>
                <w:color w:val="auto"/>
              </w:rPr>
              <w:t>Incorporated herein by reference to the</w:t>
            </w:r>
          </w:p>
        </w:tc>
      </w:tr>
      <w:tr>
        <w:trPr>
          <w:trHeight w:val="203"/>
        </w:trPr>
        <w:tc>
          <w:tcPr>
            <w:tcW w:w="880" w:type="dxa"/>
            <w:vAlign w:val="bottom"/>
          </w:tcPr>
          <w:p>
            <w:pPr>
              <w:spacing w:after="0"/>
              <w:rPr>
                <w:sz w:val="17"/>
                <w:szCs w:val="17"/>
                <w:color w:val="auto"/>
              </w:rPr>
            </w:pPr>
          </w:p>
        </w:tc>
        <w:tc>
          <w:tcPr>
            <w:tcW w:w="5540" w:type="dxa"/>
            <w:vAlign w:val="bottom"/>
          </w:tcPr>
          <w:p>
            <w:pPr>
              <w:ind w:left="540"/>
              <w:spacing w:after="0" w:line="202" w:lineRule="exact"/>
              <w:rPr>
                <w:sz w:val="20"/>
                <w:szCs w:val="20"/>
                <w:color w:val="auto"/>
              </w:rPr>
            </w:pPr>
            <w:r>
              <w:rPr>
                <w:rFonts w:ascii="Arial" w:cs="Arial" w:eastAsia="Arial" w:hAnsi="Arial"/>
                <w:sz w:val="18"/>
                <w:szCs w:val="18"/>
                <w:color w:val="auto"/>
              </w:rPr>
              <w:t>Firm — Deloitte &amp; Touche LLP</w:t>
            </w:r>
          </w:p>
        </w:tc>
        <w:tc>
          <w:tcPr>
            <w:tcW w:w="3400" w:type="dxa"/>
            <w:vAlign w:val="bottom"/>
          </w:tcPr>
          <w:p>
            <w:pPr>
              <w:ind w:left="100"/>
              <w:spacing w:after="0" w:line="202" w:lineRule="exact"/>
              <w:rPr>
                <w:sz w:val="20"/>
                <w:szCs w:val="20"/>
                <w:color w:val="auto"/>
              </w:rPr>
            </w:pPr>
            <w:r>
              <w:rPr>
                <w:rFonts w:ascii="Arial" w:cs="Arial" w:eastAsia="Arial" w:hAnsi="Arial"/>
                <w:sz w:val="18"/>
                <w:szCs w:val="18"/>
                <w:color w:val="auto"/>
                <w:w w:val="99"/>
              </w:rPr>
              <w:t>Registrant’s Annual Report on Form 10-K</w:t>
            </w:r>
          </w:p>
        </w:tc>
      </w:tr>
      <w:tr>
        <w:trPr>
          <w:trHeight w:val="203"/>
        </w:trPr>
        <w:tc>
          <w:tcPr>
            <w:tcW w:w="88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3400" w:type="dxa"/>
            <w:vAlign w:val="bottom"/>
          </w:tcPr>
          <w:p>
            <w:pPr>
              <w:ind w:left="100"/>
              <w:spacing w:after="0" w:line="202" w:lineRule="exact"/>
              <w:rPr>
                <w:sz w:val="20"/>
                <w:szCs w:val="20"/>
                <w:color w:val="auto"/>
              </w:rPr>
            </w:pPr>
            <w:r>
              <w:rPr>
                <w:rFonts w:ascii="Arial" w:cs="Arial" w:eastAsia="Arial" w:hAnsi="Arial"/>
                <w:sz w:val="18"/>
                <w:szCs w:val="18"/>
                <w:color w:val="auto"/>
              </w:rPr>
              <w:t>for the fiscal year ended September 30,</w:t>
            </w:r>
          </w:p>
        </w:tc>
      </w:tr>
      <w:tr>
        <w:trPr>
          <w:trHeight w:val="203"/>
        </w:trPr>
        <w:tc>
          <w:tcPr>
            <w:tcW w:w="88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3400" w:type="dxa"/>
            <w:vAlign w:val="bottom"/>
          </w:tcPr>
          <w:p>
            <w:pPr>
              <w:ind w:left="100"/>
              <w:spacing w:after="0" w:line="202" w:lineRule="exact"/>
              <w:rPr>
                <w:sz w:val="20"/>
                <w:szCs w:val="20"/>
                <w:color w:val="auto"/>
              </w:rPr>
            </w:pPr>
            <w:r>
              <w:rPr>
                <w:rFonts w:ascii="Arial" w:cs="Arial" w:eastAsia="Arial" w:hAnsi="Arial"/>
                <w:sz w:val="18"/>
                <w:szCs w:val="18"/>
                <w:color w:val="auto"/>
              </w:rPr>
              <w:t>2008 (which was filed on November 25,</w:t>
            </w:r>
          </w:p>
        </w:tc>
      </w:tr>
      <w:tr>
        <w:trPr>
          <w:trHeight w:val="243"/>
        </w:trPr>
        <w:tc>
          <w:tcPr>
            <w:tcW w:w="880" w:type="dxa"/>
            <w:vAlign w:val="bottom"/>
          </w:tcPr>
          <w:p>
            <w:pPr>
              <w:spacing w:after="0"/>
              <w:rPr>
                <w:sz w:val="21"/>
                <w:szCs w:val="21"/>
                <w:color w:val="auto"/>
              </w:rPr>
            </w:pPr>
          </w:p>
        </w:tc>
        <w:tc>
          <w:tcPr>
            <w:tcW w:w="5540" w:type="dxa"/>
            <w:vAlign w:val="bottom"/>
          </w:tcPr>
          <w:p>
            <w:pPr>
              <w:spacing w:after="0"/>
              <w:rPr>
                <w:sz w:val="21"/>
                <w:szCs w:val="21"/>
                <w:color w:val="auto"/>
              </w:rPr>
            </w:pPr>
          </w:p>
        </w:tc>
        <w:tc>
          <w:tcPr>
            <w:tcW w:w="3400" w:type="dxa"/>
            <w:vAlign w:val="bottom"/>
          </w:tcPr>
          <w:p>
            <w:pPr>
              <w:ind w:left="100"/>
              <w:spacing w:after="0"/>
              <w:rPr>
                <w:sz w:val="20"/>
                <w:szCs w:val="20"/>
                <w:color w:val="auto"/>
              </w:rPr>
            </w:pPr>
            <w:r>
              <w:rPr>
                <w:rFonts w:ascii="Arial" w:cs="Arial" w:eastAsia="Arial" w:hAnsi="Arial"/>
                <w:sz w:val="18"/>
                <w:szCs w:val="18"/>
                <w:color w:val="auto"/>
              </w:rPr>
              <w:t>2008) (File No. 1-13292) [Exhibit 23]</w:t>
            </w:r>
          </w:p>
        </w:tc>
      </w:tr>
      <w:tr>
        <w:trPr>
          <w:trHeight w:val="540"/>
        </w:trPr>
        <w:tc>
          <w:tcPr>
            <w:tcW w:w="880" w:type="dxa"/>
            <w:vAlign w:val="bottom"/>
          </w:tcPr>
          <w:p>
            <w:pPr>
              <w:spacing w:after="0"/>
              <w:rPr>
                <w:sz w:val="20"/>
                <w:szCs w:val="20"/>
                <w:color w:val="auto"/>
              </w:rPr>
            </w:pPr>
            <w:r>
              <w:rPr>
                <w:rFonts w:ascii="Arial" w:cs="Arial" w:eastAsia="Arial" w:hAnsi="Arial"/>
                <w:sz w:val="18"/>
                <w:szCs w:val="18"/>
                <w:color w:val="auto"/>
              </w:rPr>
              <w:t>24</w:t>
            </w:r>
          </w:p>
        </w:tc>
        <w:tc>
          <w:tcPr>
            <w:tcW w:w="5540" w:type="dxa"/>
            <w:vAlign w:val="bottom"/>
          </w:tcPr>
          <w:p>
            <w:pPr>
              <w:ind w:left="540"/>
              <w:spacing w:after="0"/>
              <w:rPr>
                <w:sz w:val="20"/>
                <w:szCs w:val="20"/>
                <w:color w:val="auto"/>
              </w:rPr>
            </w:pPr>
            <w:r>
              <w:rPr>
                <w:rFonts w:ascii="Arial" w:cs="Arial" w:eastAsia="Arial" w:hAnsi="Arial"/>
                <w:sz w:val="18"/>
                <w:szCs w:val="18"/>
                <w:color w:val="auto"/>
              </w:rPr>
              <w:t>Powers of Attorney of Executive Officers and Directors of The</w:t>
            </w:r>
          </w:p>
        </w:tc>
        <w:tc>
          <w:tcPr>
            <w:tcW w:w="3400" w:type="dxa"/>
            <w:vAlign w:val="bottom"/>
          </w:tcPr>
          <w:p>
            <w:pPr>
              <w:ind w:left="100"/>
              <w:spacing w:after="0"/>
              <w:rPr>
                <w:sz w:val="20"/>
                <w:szCs w:val="20"/>
                <w:color w:val="auto"/>
              </w:rPr>
            </w:pPr>
            <w:r>
              <w:rPr>
                <w:rFonts w:ascii="Arial" w:cs="Arial" w:eastAsia="Arial" w:hAnsi="Arial"/>
                <w:sz w:val="18"/>
                <w:szCs w:val="18"/>
                <w:color w:val="auto"/>
              </w:rPr>
              <w:t>Incorporated herein by reference to the</w:t>
            </w:r>
          </w:p>
        </w:tc>
      </w:tr>
      <w:tr>
        <w:trPr>
          <w:trHeight w:val="203"/>
        </w:trPr>
        <w:tc>
          <w:tcPr>
            <w:tcW w:w="880" w:type="dxa"/>
            <w:vAlign w:val="bottom"/>
          </w:tcPr>
          <w:p>
            <w:pPr>
              <w:spacing w:after="0"/>
              <w:rPr>
                <w:sz w:val="17"/>
                <w:szCs w:val="17"/>
                <w:color w:val="auto"/>
              </w:rPr>
            </w:pPr>
          </w:p>
        </w:tc>
        <w:tc>
          <w:tcPr>
            <w:tcW w:w="5540" w:type="dxa"/>
            <w:vAlign w:val="bottom"/>
          </w:tcPr>
          <w:p>
            <w:pPr>
              <w:ind w:left="540"/>
              <w:spacing w:after="0" w:line="202" w:lineRule="exact"/>
              <w:rPr>
                <w:sz w:val="20"/>
                <w:szCs w:val="20"/>
                <w:color w:val="auto"/>
              </w:rPr>
            </w:pPr>
            <w:r>
              <w:rPr>
                <w:rFonts w:ascii="Arial" w:cs="Arial" w:eastAsia="Arial" w:hAnsi="Arial"/>
                <w:sz w:val="18"/>
                <w:szCs w:val="18"/>
                <w:color w:val="auto"/>
              </w:rPr>
              <w:t>Scotts Miracle-Gro Company</w:t>
            </w:r>
          </w:p>
        </w:tc>
        <w:tc>
          <w:tcPr>
            <w:tcW w:w="3400" w:type="dxa"/>
            <w:vAlign w:val="bottom"/>
          </w:tcPr>
          <w:p>
            <w:pPr>
              <w:ind w:left="100"/>
              <w:spacing w:after="0" w:line="202" w:lineRule="exact"/>
              <w:rPr>
                <w:sz w:val="20"/>
                <w:szCs w:val="20"/>
                <w:color w:val="auto"/>
              </w:rPr>
            </w:pPr>
            <w:r>
              <w:rPr>
                <w:rFonts w:ascii="Arial" w:cs="Arial" w:eastAsia="Arial" w:hAnsi="Arial"/>
                <w:sz w:val="18"/>
                <w:szCs w:val="18"/>
                <w:color w:val="auto"/>
                <w:w w:val="99"/>
              </w:rPr>
              <w:t>Registrant’s Annual Report on Form 10-K</w:t>
            </w:r>
          </w:p>
        </w:tc>
      </w:tr>
      <w:tr>
        <w:trPr>
          <w:trHeight w:val="203"/>
        </w:trPr>
        <w:tc>
          <w:tcPr>
            <w:tcW w:w="88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3400" w:type="dxa"/>
            <w:vAlign w:val="bottom"/>
          </w:tcPr>
          <w:p>
            <w:pPr>
              <w:ind w:left="100"/>
              <w:spacing w:after="0" w:line="202" w:lineRule="exact"/>
              <w:rPr>
                <w:sz w:val="20"/>
                <w:szCs w:val="20"/>
                <w:color w:val="auto"/>
              </w:rPr>
            </w:pPr>
            <w:r>
              <w:rPr>
                <w:rFonts w:ascii="Arial" w:cs="Arial" w:eastAsia="Arial" w:hAnsi="Arial"/>
                <w:sz w:val="18"/>
                <w:szCs w:val="18"/>
                <w:color w:val="auto"/>
              </w:rPr>
              <w:t>for the fiscal year ended September 30,</w:t>
            </w:r>
          </w:p>
        </w:tc>
      </w:tr>
      <w:tr>
        <w:trPr>
          <w:trHeight w:val="203"/>
        </w:trPr>
        <w:tc>
          <w:tcPr>
            <w:tcW w:w="88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3400" w:type="dxa"/>
            <w:vAlign w:val="bottom"/>
          </w:tcPr>
          <w:p>
            <w:pPr>
              <w:ind w:left="100"/>
              <w:spacing w:after="0" w:line="202" w:lineRule="exact"/>
              <w:rPr>
                <w:sz w:val="20"/>
                <w:szCs w:val="20"/>
                <w:color w:val="auto"/>
              </w:rPr>
            </w:pPr>
            <w:r>
              <w:rPr>
                <w:rFonts w:ascii="Arial" w:cs="Arial" w:eastAsia="Arial" w:hAnsi="Arial"/>
                <w:sz w:val="18"/>
                <w:szCs w:val="18"/>
                <w:color w:val="auto"/>
              </w:rPr>
              <w:t>2008 (which was filed on November 25,</w:t>
            </w:r>
          </w:p>
        </w:tc>
      </w:tr>
      <w:tr>
        <w:trPr>
          <w:trHeight w:val="243"/>
        </w:trPr>
        <w:tc>
          <w:tcPr>
            <w:tcW w:w="880" w:type="dxa"/>
            <w:vAlign w:val="bottom"/>
          </w:tcPr>
          <w:p>
            <w:pPr>
              <w:spacing w:after="0"/>
              <w:rPr>
                <w:sz w:val="21"/>
                <w:szCs w:val="21"/>
                <w:color w:val="auto"/>
              </w:rPr>
            </w:pPr>
          </w:p>
        </w:tc>
        <w:tc>
          <w:tcPr>
            <w:tcW w:w="5540" w:type="dxa"/>
            <w:vAlign w:val="bottom"/>
          </w:tcPr>
          <w:p>
            <w:pPr>
              <w:spacing w:after="0"/>
              <w:rPr>
                <w:sz w:val="21"/>
                <w:szCs w:val="21"/>
                <w:color w:val="auto"/>
              </w:rPr>
            </w:pPr>
          </w:p>
        </w:tc>
        <w:tc>
          <w:tcPr>
            <w:tcW w:w="3400" w:type="dxa"/>
            <w:vAlign w:val="bottom"/>
          </w:tcPr>
          <w:p>
            <w:pPr>
              <w:ind w:left="100"/>
              <w:spacing w:after="0"/>
              <w:rPr>
                <w:sz w:val="20"/>
                <w:szCs w:val="20"/>
                <w:color w:val="auto"/>
              </w:rPr>
            </w:pPr>
            <w:r>
              <w:rPr>
                <w:rFonts w:ascii="Arial" w:cs="Arial" w:eastAsia="Arial" w:hAnsi="Arial"/>
                <w:sz w:val="18"/>
                <w:szCs w:val="18"/>
                <w:color w:val="auto"/>
              </w:rPr>
              <w:t>2008) (File No. 1-13292) [Exhibit 24]</w:t>
            </w:r>
          </w:p>
        </w:tc>
      </w:tr>
      <w:tr>
        <w:trPr>
          <w:trHeight w:val="540"/>
        </w:trPr>
        <w:tc>
          <w:tcPr>
            <w:tcW w:w="880" w:type="dxa"/>
            <w:vAlign w:val="bottom"/>
          </w:tcPr>
          <w:p>
            <w:pPr>
              <w:spacing w:after="0"/>
              <w:rPr>
                <w:sz w:val="20"/>
                <w:szCs w:val="20"/>
                <w:color w:val="auto"/>
              </w:rPr>
            </w:pPr>
            <w:r>
              <w:rPr>
                <w:rFonts w:ascii="Arial" w:cs="Arial" w:eastAsia="Arial" w:hAnsi="Arial"/>
                <w:sz w:val="18"/>
                <w:szCs w:val="18"/>
                <w:color w:val="auto"/>
              </w:rPr>
              <w:t>31.1</w:t>
            </w:r>
          </w:p>
        </w:tc>
        <w:tc>
          <w:tcPr>
            <w:tcW w:w="5540" w:type="dxa"/>
            <w:vAlign w:val="bottom"/>
          </w:tcPr>
          <w:p>
            <w:pPr>
              <w:ind w:left="540"/>
              <w:spacing w:after="0"/>
              <w:rPr>
                <w:sz w:val="20"/>
                <w:szCs w:val="20"/>
                <w:color w:val="auto"/>
              </w:rPr>
            </w:pPr>
            <w:r>
              <w:rPr>
                <w:rFonts w:ascii="Arial" w:cs="Arial" w:eastAsia="Arial" w:hAnsi="Arial"/>
                <w:sz w:val="18"/>
                <w:szCs w:val="18"/>
                <w:color w:val="auto"/>
              </w:rPr>
              <w:t>Rule 13a-14(a)/15d-14(a) Certification (Principal Executive</w:t>
            </w:r>
          </w:p>
        </w:tc>
        <w:tc>
          <w:tcPr>
            <w:tcW w:w="340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243"/>
        </w:trPr>
        <w:tc>
          <w:tcPr>
            <w:tcW w:w="880" w:type="dxa"/>
            <w:vAlign w:val="bottom"/>
          </w:tcPr>
          <w:p>
            <w:pPr>
              <w:spacing w:after="0"/>
              <w:rPr>
                <w:sz w:val="21"/>
                <w:szCs w:val="21"/>
                <w:color w:val="auto"/>
              </w:rPr>
            </w:pPr>
          </w:p>
        </w:tc>
        <w:tc>
          <w:tcPr>
            <w:tcW w:w="5540" w:type="dxa"/>
            <w:vAlign w:val="bottom"/>
          </w:tcPr>
          <w:p>
            <w:pPr>
              <w:ind w:left="540"/>
              <w:spacing w:after="0"/>
              <w:rPr>
                <w:sz w:val="20"/>
                <w:szCs w:val="20"/>
                <w:color w:val="auto"/>
              </w:rPr>
            </w:pPr>
            <w:r>
              <w:rPr>
                <w:rFonts w:ascii="Arial" w:cs="Arial" w:eastAsia="Arial" w:hAnsi="Arial"/>
                <w:sz w:val="18"/>
                <w:szCs w:val="18"/>
                <w:color w:val="auto"/>
              </w:rPr>
              <w:t>Officer)</w:t>
            </w:r>
          </w:p>
        </w:tc>
        <w:tc>
          <w:tcPr>
            <w:tcW w:w="3400" w:type="dxa"/>
            <w:vAlign w:val="bottom"/>
          </w:tcPr>
          <w:p>
            <w:pPr>
              <w:spacing w:after="0"/>
              <w:rPr>
                <w:sz w:val="21"/>
                <w:szCs w:val="21"/>
                <w:color w:val="auto"/>
              </w:rPr>
            </w:pPr>
          </w:p>
        </w:tc>
      </w:tr>
      <w:tr>
        <w:trPr>
          <w:trHeight w:val="540"/>
        </w:trPr>
        <w:tc>
          <w:tcPr>
            <w:tcW w:w="880" w:type="dxa"/>
            <w:vAlign w:val="bottom"/>
          </w:tcPr>
          <w:p>
            <w:pPr>
              <w:spacing w:after="0"/>
              <w:rPr>
                <w:sz w:val="20"/>
                <w:szCs w:val="20"/>
                <w:color w:val="auto"/>
              </w:rPr>
            </w:pPr>
            <w:r>
              <w:rPr>
                <w:rFonts w:ascii="Arial" w:cs="Arial" w:eastAsia="Arial" w:hAnsi="Arial"/>
                <w:sz w:val="18"/>
                <w:szCs w:val="18"/>
                <w:color w:val="auto"/>
              </w:rPr>
              <w:t>31.2</w:t>
            </w:r>
          </w:p>
        </w:tc>
        <w:tc>
          <w:tcPr>
            <w:tcW w:w="5540" w:type="dxa"/>
            <w:vAlign w:val="bottom"/>
          </w:tcPr>
          <w:p>
            <w:pPr>
              <w:ind w:left="540"/>
              <w:spacing w:after="0"/>
              <w:rPr>
                <w:sz w:val="20"/>
                <w:szCs w:val="20"/>
                <w:color w:val="auto"/>
              </w:rPr>
            </w:pPr>
            <w:r>
              <w:rPr>
                <w:rFonts w:ascii="Arial" w:cs="Arial" w:eastAsia="Arial" w:hAnsi="Arial"/>
                <w:sz w:val="18"/>
                <w:szCs w:val="18"/>
                <w:color w:val="auto"/>
              </w:rPr>
              <w:t>Rule 13a-14(a)/15d-14(a) Certification (Principal Financial</w:t>
            </w:r>
          </w:p>
        </w:tc>
        <w:tc>
          <w:tcPr>
            <w:tcW w:w="340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243"/>
        </w:trPr>
        <w:tc>
          <w:tcPr>
            <w:tcW w:w="880" w:type="dxa"/>
            <w:vAlign w:val="bottom"/>
          </w:tcPr>
          <w:p>
            <w:pPr>
              <w:spacing w:after="0"/>
              <w:rPr>
                <w:sz w:val="21"/>
                <w:szCs w:val="21"/>
                <w:color w:val="auto"/>
              </w:rPr>
            </w:pPr>
          </w:p>
        </w:tc>
        <w:tc>
          <w:tcPr>
            <w:tcW w:w="5540" w:type="dxa"/>
            <w:vAlign w:val="bottom"/>
          </w:tcPr>
          <w:p>
            <w:pPr>
              <w:ind w:left="540"/>
              <w:spacing w:after="0"/>
              <w:rPr>
                <w:sz w:val="20"/>
                <w:szCs w:val="20"/>
                <w:color w:val="auto"/>
              </w:rPr>
            </w:pPr>
            <w:r>
              <w:rPr>
                <w:rFonts w:ascii="Arial" w:cs="Arial" w:eastAsia="Arial" w:hAnsi="Arial"/>
                <w:sz w:val="18"/>
                <w:szCs w:val="18"/>
                <w:color w:val="auto"/>
              </w:rPr>
              <w:t>Officer)</w:t>
            </w:r>
          </w:p>
        </w:tc>
        <w:tc>
          <w:tcPr>
            <w:tcW w:w="3400" w:type="dxa"/>
            <w:vAlign w:val="bottom"/>
          </w:tcPr>
          <w:p>
            <w:pPr>
              <w:spacing w:after="0"/>
              <w:rPr>
                <w:sz w:val="21"/>
                <w:szCs w:val="21"/>
                <w:color w:val="auto"/>
              </w:rPr>
            </w:pPr>
          </w:p>
        </w:tc>
      </w:tr>
      <w:tr>
        <w:trPr>
          <w:trHeight w:val="540"/>
        </w:trPr>
        <w:tc>
          <w:tcPr>
            <w:tcW w:w="880" w:type="dxa"/>
            <w:vAlign w:val="bottom"/>
          </w:tcPr>
          <w:p>
            <w:pPr>
              <w:spacing w:after="0"/>
              <w:rPr>
                <w:sz w:val="20"/>
                <w:szCs w:val="20"/>
                <w:color w:val="auto"/>
              </w:rPr>
            </w:pPr>
            <w:r>
              <w:rPr>
                <w:rFonts w:ascii="Arial" w:cs="Arial" w:eastAsia="Arial" w:hAnsi="Arial"/>
                <w:sz w:val="18"/>
                <w:szCs w:val="18"/>
                <w:color w:val="auto"/>
              </w:rPr>
              <w:t>32</w:t>
            </w:r>
          </w:p>
        </w:tc>
        <w:tc>
          <w:tcPr>
            <w:tcW w:w="5540" w:type="dxa"/>
            <w:vAlign w:val="bottom"/>
          </w:tcPr>
          <w:p>
            <w:pPr>
              <w:ind w:left="540"/>
              <w:spacing w:after="0"/>
              <w:rPr>
                <w:sz w:val="20"/>
                <w:szCs w:val="20"/>
                <w:color w:val="auto"/>
              </w:rPr>
            </w:pPr>
            <w:r>
              <w:rPr>
                <w:rFonts w:ascii="Arial" w:cs="Arial" w:eastAsia="Arial" w:hAnsi="Arial"/>
                <w:sz w:val="18"/>
                <w:szCs w:val="18"/>
                <w:color w:val="auto"/>
              </w:rPr>
              <w:t>Section 1350 Certification (Principal Executive Officer and</w:t>
            </w:r>
          </w:p>
        </w:tc>
        <w:tc>
          <w:tcPr>
            <w:tcW w:w="340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243"/>
        </w:trPr>
        <w:tc>
          <w:tcPr>
            <w:tcW w:w="880" w:type="dxa"/>
            <w:vAlign w:val="bottom"/>
          </w:tcPr>
          <w:p>
            <w:pPr>
              <w:spacing w:after="0"/>
              <w:rPr>
                <w:sz w:val="21"/>
                <w:szCs w:val="21"/>
                <w:color w:val="auto"/>
              </w:rPr>
            </w:pPr>
          </w:p>
        </w:tc>
        <w:tc>
          <w:tcPr>
            <w:tcW w:w="5540" w:type="dxa"/>
            <w:vAlign w:val="bottom"/>
          </w:tcPr>
          <w:p>
            <w:pPr>
              <w:ind w:left="540"/>
              <w:spacing w:after="0"/>
              <w:rPr>
                <w:sz w:val="20"/>
                <w:szCs w:val="20"/>
                <w:color w:val="auto"/>
              </w:rPr>
            </w:pPr>
            <w:r>
              <w:rPr>
                <w:rFonts w:ascii="Arial" w:cs="Arial" w:eastAsia="Arial" w:hAnsi="Arial"/>
                <w:sz w:val="18"/>
                <w:szCs w:val="18"/>
                <w:color w:val="auto"/>
              </w:rPr>
              <w:t>Principal Financial Officer)</w:t>
            </w:r>
          </w:p>
        </w:tc>
        <w:tc>
          <w:tcPr>
            <w:tcW w:w="34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74930</wp:posOffset>
            </wp:positionV>
            <wp:extent cx="76327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5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Filed herewith.</w:t>
      </w:r>
    </w:p>
    <w:p>
      <w:pPr>
        <w:spacing w:after="0" w:line="13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1"/>
          <w:szCs w:val="11"/>
          <w:b w:val="1"/>
          <w:bCs w:val="1"/>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-78105</wp:posOffset>
            </wp:positionV>
            <wp:extent cx="19748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97485" cy="8890"/>
                    </a:xfrm>
                    <a:prstGeom prst="rect">
                      <a:avLst/>
                    </a:prstGeom>
                    <a:noFill/>
                  </pic:spPr>
                </pic:pic>
              </a:graphicData>
            </a:graphic>
          </wp:anchor>
        </w:drawing>
      </w:r>
    </w:p>
    <w:p>
      <w:pPr>
        <w:sectPr>
          <w:pgSz w:w="11900" w:h="16838" w:orient="portrait"/>
          <w:cols w:equalWidth="0" w:num="1">
            <w:col w:w="10580"/>
          </w:cols>
          <w:pgMar w:left="240" w:top="415" w:right="1079" w:bottom="1440" w:gutter="0" w:footer="0" w:header="0"/>
          <w:type w:val="continuous"/>
        </w:sectPr>
      </w:pPr>
    </w:p>
    <w:bookmarkStart w:id="126" w:name="page127"/>
    <w:bookmarkEnd w:id="12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13a-14(a)/15d-14(a) 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Hagedorn, certify that:</w:t>
      </w:r>
    </w:p>
    <w:p>
      <w:pPr>
        <w:spacing w:after="0" w:line="117" w:lineRule="exact"/>
        <w:rPr>
          <w:sz w:val="20"/>
          <w:szCs w:val="20"/>
          <w:color w:val="auto"/>
        </w:rPr>
      </w:pPr>
    </w:p>
    <w:p>
      <w:pPr>
        <w:ind w:left="660" w:right="960" w:hanging="436"/>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10-K/A (Amendment No. 1) of The Scotts Miracle-Gro Company for the fiscal year ended September 30, 2008;</w:t>
      </w:r>
    </w:p>
    <w:p>
      <w:pPr>
        <w:spacing w:after="0" w:line="67" w:lineRule="exact"/>
        <w:rPr>
          <w:rFonts w:ascii="Times New Roman" w:cs="Times New Roman" w:eastAsia="Times New Roman" w:hAnsi="Times New Roman"/>
          <w:sz w:val="18"/>
          <w:szCs w:val="18"/>
          <w:color w:val="auto"/>
        </w:rPr>
      </w:pPr>
    </w:p>
    <w:p>
      <w:pPr>
        <w:jc w:val="both"/>
        <w:ind w:left="660" w:right="280" w:hanging="436"/>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660" w:right="240" w:hanging="436"/>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660" w:right="280" w:hanging="436"/>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1120" w:right="80" w:hanging="437"/>
        <w:spacing w:after="0" w:line="266" w:lineRule="auto"/>
        <w:tabs>
          <w:tab w:leader="none" w:pos="11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1120" w:right="400" w:hanging="437"/>
        <w:spacing w:after="0" w:line="266" w:lineRule="auto"/>
        <w:tabs>
          <w:tab w:leader="none" w:pos="11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1120" w:right="560" w:hanging="437"/>
        <w:spacing w:after="0" w:line="282" w:lineRule="auto"/>
        <w:tabs>
          <w:tab w:leader="none" w:pos="11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120" w:right="80" w:hanging="437"/>
        <w:spacing w:after="0" w:line="266" w:lineRule="auto"/>
        <w:tabs>
          <w:tab w:leader="none" w:pos="11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660" w:right="160" w:hanging="436"/>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120" w:right="800" w:hanging="437"/>
        <w:spacing w:after="0" w:line="282" w:lineRule="auto"/>
        <w:tabs>
          <w:tab w:leader="none" w:pos="11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120" w:right="500" w:hanging="437"/>
        <w:spacing w:after="0" w:line="282" w:lineRule="auto"/>
        <w:tabs>
          <w:tab w:leader="none" w:pos="11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5300" w:val="left"/>
        </w:tabs>
        <w:rPr>
          <w:sz w:val="20"/>
          <w:szCs w:val="20"/>
          <w:color w:val="auto"/>
        </w:rPr>
      </w:pPr>
      <w:r>
        <w:rPr>
          <w:rFonts w:ascii="Times New Roman" w:cs="Times New Roman" w:eastAsia="Times New Roman" w:hAnsi="Times New Roman"/>
          <w:sz w:val="18"/>
          <w:szCs w:val="18"/>
          <w:color w:val="auto"/>
        </w:rPr>
        <w:t>Dated: December 3, 2008</w:t>
      </w:r>
      <w:r>
        <w:rPr>
          <w:sz w:val="20"/>
          <w:szCs w:val="20"/>
          <w:color w:val="auto"/>
        </w:rPr>
        <w:tab/>
      </w:r>
      <w:r>
        <w:rPr>
          <w:rFonts w:ascii="Times New Roman" w:cs="Times New Roman" w:eastAsia="Times New Roman" w:hAnsi="Times New Roman"/>
          <w:sz w:val="18"/>
          <w:szCs w:val="18"/>
          <w:color w:val="auto"/>
        </w:rPr>
        <w:t>By:  /s/ 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17145</wp:posOffset>
            </wp:positionV>
            <wp:extent cx="246126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6"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Printed Name: James Hagedorn</w:t>
      </w:r>
    </w:p>
    <w:p>
      <w:pPr>
        <w:spacing w:after="0" w:line="2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Title: Chief Executive Officer and Chairman of the Board</w:t>
      </w:r>
    </w:p>
    <w:p>
      <w:pPr>
        <w:sectPr>
          <w:pgSz w:w="11900" w:h="16838" w:orient="portrait"/>
          <w:cols w:equalWidth="0" w:num="1">
            <w:col w:w="11420"/>
          </w:cols>
          <w:pgMar w:left="240" w:top="117" w:right="2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13a-14(a)/15d-14(a) 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C. Evans, certify that:</w:t>
      </w:r>
    </w:p>
    <w:p>
      <w:pPr>
        <w:spacing w:after="0" w:line="117" w:lineRule="exact"/>
        <w:rPr>
          <w:sz w:val="20"/>
          <w:szCs w:val="20"/>
          <w:color w:val="auto"/>
        </w:rPr>
      </w:pPr>
    </w:p>
    <w:p>
      <w:pPr>
        <w:ind w:left="660" w:right="960" w:hanging="436"/>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10-K/A (Amendment No. 1) of The Scotts Miracle-Gro Company for the fiscal year ended September 30, 2008;</w:t>
      </w:r>
    </w:p>
    <w:p>
      <w:pPr>
        <w:spacing w:after="0" w:line="67" w:lineRule="exact"/>
        <w:rPr>
          <w:rFonts w:ascii="Times New Roman" w:cs="Times New Roman" w:eastAsia="Times New Roman" w:hAnsi="Times New Roman"/>
          <w:sz w:val="18"/>
          <w:szCs w:val="18"/>
          <w:color w:val="auto"/>
        </w:rPr>
      </w:pPr>
    </w:p>
    <w:p>
      <w:pPr>
        <w:jc w:val="both"/>
        <w:ind w:left="660" w:right="280" w:hanging="436"/>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660" w:right="240" w:hanging="436"/>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660" w:right="280" w:hanging="436"/>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1120" w:right="80" w:hanging="437"/>
        <w:spacing w:after="0" w:line="266" w:lineRule="auto"/>
        <w:tabs>
          <w:tab w:leader="none" w:pos="11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1120" w:right="400" w:hanging="437"/>
        <w:spacing w:after="0" w:line="266" w:lineRule="auto"/>
        <w:tabs>
          <w:tab w:leader="none" w:pos="11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1120" w:right="560" w:hanging="437"/>
        <w:spacing w:after="0" w:line="282" w:lineRule="auto"/>
        <w:tabs>
          <w:tab w:leader="none" w:pos="11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120" w:right="80" w:hanging="437"/>
        <w:spacing w:after="0" w:line="266" w:lineRule="auto"/>
        <w:tabs>
          <w:tab w:leader="none" w:pos="11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660" w:right="160" w:hanging="436"/>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120" w:right="800" w:hanging="437"/>
        <w:spacing w:after="0" w:line="282" w:lineRule="auto"/>
        <w:tabs>
          <w:tab w:leader="none" w:pos="11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120" w:right="500" w:hanging="437"/>
        <w:spacing w:after="0" w:line="282" w:lineRule="auto"/>
        <w:tabs>
          <w:tab w:leader="none" w:pos="11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5260" w:val="left"/>
        </w:tabs>
        <w:rPr>
          <w:sz w:val="20"/>
          <w:szCs w:val="20"/>
          <w:color w:val="auto"/>
        </w:rPr>
      </w:pPr>
      <w:r>
        <w:rPr>
          <w:rFonts w:ascii="Times New Roman" w:cs="Times New Roman" w:eastAsia="Times New Roman" w:hAnsi="Times New Roman"/>
          <w:sz w:val="18"/>
          <w:szCs w:val="18"/>
          <w:color w:val="auto"/>
        </w:rPr>
        <w:t>Dated: December 3, 2008</w:t>
      </w:r>
      <w:r>
        <w:rPr>
          <w:sz w:val="20"/>
          <w:szCs w:val="20"/>
          <w:color w:val="auto"/>
        </w:rPr>
        <w:tab/>
      </w:r>
      <w:r>
        <w:rPr>
          <w:rFonts w:ascii="Times New Roman" w:cs="Times New Roman" w:eastAsia="Times New Roman" w:hAnsi="Times New Roman"/>
          <w:sz w:val="18"/>
          <w:szCs w:val="18"/>
          <w:color w:val="auto"/>
        </w:rPr>
        <w:t>By:  /s/ David C.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3589655</wp:posOffset>
            </wp:positionH>
            <wp:positionV relativeFrom="paragraph">
              <wp:posOffset>17145</wp:posOffset>
            </wp:positionV>
            <wp:extent cx="249555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1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Printed Name: David C. Evans</w:t>
      </w:r>
    </w:p>
    <w:p>
      <w:pPr>
        <w:spacing w:after="0" w:line="2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Title: Executive Vice President and Chief Financial Officer</w:t>
      </w:r>
    </w:p>
    <w:p>
      <w:pPr>
        <w:sectPr>
          <w:pgSz w:w="11900" w:h="16838" w:orient="portrait"/>
          <w:cols w:equalWidth="0" w:num="1">
            <w:col w:w="11420"/>
          </w:cols>
          <w:pgMar w:left="240" w:top="117" w:right="2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1350 CERTIFICATION*</w:t>
      </w:r>
    </w:p>
    <w:p>
      <w:pPr>
        <w:spacing w:after="0" w:line="11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connection with the Annual Report on Form 10-K/A (Amendment No. 1) of The Scotts Miracle-Gro Company (the “Company”) for the fiscal year ended September 30, 2008 as filed with the Securities and Exchange Commission on the date hereof (the “Report”), the undersigned James Hagedorn, Chief Executive Officer and Chairman of the Board of the Company, and David C. Evans, Executive Vice President and Chief Financial Officer of the Company, certify, pursuant to Section 1350 of Chapter 63 of Title 18 of the United States Code, as adopted pursuant to Section 906 of the Sarbanes-Oxley Act of 2002, that, to the best of their knowledge:</w:t>
      </w:r>
    </w:p>
    <w:p>
      <w:pPr>
        <w:spacing w:after="0" w:line="76" w:lineRule="exact"/>
        <w:rPr>
          <w:sz w:val="20"/>
          <w:szCs w:val="20"/>
          <w:color w:val="auto"/>
        </w:rPr>
      </w:pPr>
    </w:p>
    <w:p>
      <w:pPr>
        <w:ind w:left="660" w:hanging="436"/>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of the Securities Exchange Act of 1934, as amended; and</w:t>
      </w:r>
    </w:p>
    <w:p>
      <w:pPr>
        <w:spacing w:after="0" w:line="130" w:lineRule="exact"/>
        <w:rPr>
          <w:rFonts w:ascii="Times New Roman" w:cs="Times New Roman" w:eastAsia="Times New Roman" w:hAnsi="Times New Roman"/>
          <w:sz w:val="18"/>
          <w:szCs w:val="18"/>
          <w:color w:val="auto"/>
        </w:rPr>
      </w:pPr>
    </w:p>
    <w:p>
      <w:pPr>
        <w:ind w:left="660" w:right="120" w:hanging="436"/>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consolidated financial condition and results of operations of the Company and its subsidiaries.</w:t>
      </w:r>
    </w:p>
    <w:p>
      <w:pPr>
        <w:sectPr>
          <w:pgSz w:w="11900" w:h="16838" w:orient="portrait"/>
          <w:cols w:equalWidth="0" w:num="1">
            <w:col w:w="11420"/>
          </w:cols>
          <w:pgMar w:left="240" w:top="117" w:right="239" w:bottom="1440" w:gutter="0" w:footer="0" w:header="0"/>
        </w:sectPr>
      </w:pP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16420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 Hagedorn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Chairman of the Board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130365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David C.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17145</wp:posOffset>
            </wp:positionV>
            <wp:extent cx="318135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C. Evans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 2008</w:t>
      </w:r>
    </w:p>
    <w:p>
      <w:pPr>
        <w:spacing w:after="0" w:line="200" w:lineRule="exact"/>
        <w:rPr>
          <w:sz w:val="20"/>
          <w:szCs w:val="20"/>
          <w:color w:val="auto"/>
        </w:rPr>
      </w:pPr>
    </w:p>
    <w:p>
      <w:pPr>
        <w:sectPr>
          <w:pgSz w:w="11900" w:h="16838" w:orient="portrait"/>
          <w:cols w:equalWidth="0" w:num="2">
            <w:col w:w="5680" w:space="720"/>
            <w:col w:w="5020"/>
          </w:cols>
          <w:pgMar w:left="240" w:top="117" w:right="239" w:bottom="1440" w:gutter="0" w:footer="0" w:header="0"/>
          <w:type w:val="continuous"/>
        </w:sectPr>
      </w:pPr>
    </w:p>
    <w:p>
      <w:pPr>
        <w:spacing w:after="0" w:line="200" w:lineRule="exact"/>
        <w:rPr>
          <w:sz w:val="20"/>
          <w:szCs w:val="20"/>
          <w:color w:val="auto"/>
        </w:rPr>
      </w:pPr>
    </w:p>
    <w:p>
      <w:pPr>
        <w:spacing w:after="0" w:line="298" w:lineRule="exact"/>
        <w:rPr>
          <w:sz w:val="20"/>
          <w:szCs w:val="20"/>
          <w:color w:val="auto"/>
        </w:rPr>
      </w:pPr>
    </w:p>
    <w:p>
      <w:pPr>
        <w:ind w:left="460" w:right="260" w:hanging="452"/>
        <w:spacing w:after="0" w:line="256" w:lineRule="auto"/>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BEING FURNISHED AS REQUIRED BY RULE 13a-14(b) UNDER THE SECURITIES EXCHANGE ACT OF 1934, AS AMENDED (THE “EXCHANGE ACT”), AND SECTION 1350 OF CHAPTER 63 OF TITLE 18 OF THE UNITED STATES CODE, AND SHALL NOT BE DEEMED “FILED” FOR PURPOSES OF SECTION 18 OF THE EXCHANGE ACT OR OTHERWISE SUBJECT TO THE LIABILITY OF THAT SECTION. THIS CERTIFICATION SHALL NOT BE DEEMED TO BE INCORPORATED BY REFERENCE INTO ANY FILING UNDER THE SECURITIES ACT OF 1933, AS AMENDED, OR THE EXCHANGE ACT, EXCEPT TO THE EXTENT THAT THE COMPANY SPECIFICALLY INCORPORATES THIS CERTIFICATION BY REFERENCE.</w:t>
      </w:r>
    </w:p>
    <w:sectPr>
      <w:pgSz w:w="11900" w:h="16838" w:orient="portrait"/>
      <w:cols w:equalWidth="0" w:num="1">
        <w:col w:w="11420"/>
      </w:cols>
      <w:pgMar w:left="240" w:top="11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o"/>
      <w:numFmt w:val="bullet"/>
      <w:start w:val="1"/>
    </w:lvl>
  </w:abstractNum>
  <w:abstractNum w:abstractNumId="2">
    <w:nsid w:val="7FDCC233"/>
    <w:multiLevelType w:val="hybridMultilevel"/>
    <w:lvl w:ilvl="0">
      <w:lvlJc w:val="left"/>
      <w:lvlText w:val="*"/>
      <w:numFmt w:val="bullet"/>
      <w:start w:val="1"/>
    </w:lvl>
    <w:lvl w:ilvl="1">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1)"/>
      <w:numFmt w:val="decimal"/>
      <w:start w:val="1"/>
    </w:lvl>
  </w:abstractNum>
  <w:abstractNum w:abstractNumId="11">
    <w:nsid w:val="7C83E458"/>
    <w:multiLevelType w:val="hybridMultilevel"/>
    <w:lvl w:ilvl="0">
      <w:lvlJc w:val="left"/>
      <w:lvlText w:val="(%1)"/>
      <w:numFmt w:val="decimal"/>
      <w:start w:val="1"/>
    </w:lvl>
  </w:abstractNum>
  <w:abstractNum w:abstractNumId="12">
    <w:nsid w:val="257130A3"/>
    <w:multiLevelType w:val="hybridMultilevel"/>
    <w:lvl w:ilvl="0">
      <w:lvlJc w:val="left"/>
      <w:lvlText w:val="(%1)"/>
      <w:numFmt w:val="decimal"/>
      <w:start w:val="3"/>
    </w:lvl>
  </w:abstractNum>
  <w:abstractNum w:abstractNumId="13">
    <w:nsid w:val="62BBD95A"/>
    <w:multiLevelType w:val="hybridMultilevel"/>
    <w:lvl w:ilvl="0">
      <w:lvlJc w:val="left"/>
      <w:lvlText w:val="(%1)"/>
      <w:numFmt w:val="decimal"/>
      <w:start w:val="4"/>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1)"/>
      <w:numFmt w:val="lowerLetter"/>
      <w:start w:val="1"/>
    </w:lvl>
  </w:abstractNum>
  <w:abstractNum w:abstractNumId="17">
    <w:nsid w:val="721DA317"/>
    <w:multiLevelType w:val="hybridMultilevel"/>
    <w:lvl w:ilvl="0">
      <w:lvlJc w:val="left"/>
      <w:lvlText w:val="(%1)"/>
      <w:numFmt w:val="lowerLetter"/>
      <w:start w:val="2"/>
    </w:lvl>
  </w:abstractNum>
  <w:abstractNum w:abstractNumId="18">
    <w:nsid w:val="2443A858"/>
    <w:multiLevelType w:val="hybridMultilevel"/>
    <w:lvl w:ilvl="0">
      <w:lvlJc w:val="left"/>
      <w:lvlText w:val="(%1)"/>
      <w:numFmt w:val="lowerLetter"/>
      <w:start w:val="3"/>
    </w:lvl>
  </w:abstractNum>
  <w:abstractNum w:abstractNumId="19">
    <w:nsid w:val="2D1D5AE9"/>
    <w:multiLevelType w:val="hybridMultilevel"/>
    <w:lvl w:ilvl="0">
      <w:lvlJc w:val="left"/>
      <w:lvlText w:val="(%1)"/>
      <w:numFmt w:val="decimal"/>
      <w:start w:val="3"/>
    </w:lvl>
  </w:abstractNum>
  <w:abstractNum w:abstractNumId="20">
    <w:nsid w:val="6763845E"/>
    <w:multiLevelType w:val="hybridMultilevel"/>
    <w:lvl w:ilvl="0">
      <w:lvlJc w:val="left"/>
      <w:lvlText w:val="(%1)"/>
      <w:numFmt w:val="lowerLetter"/>
      <w:start w:val="2"/>
    </w:lvl>
  </w:abstractNum>
  <w:abstractNum w:abstractNumId="21">
    <w:nsid w:val="75A2A8D4"/>
    <w:multiLevelType w:val="hybridMultilevel"/>
    <w:lvl w:ilvl="0">
      <w:lvlJc w:val="left"/>
      <w:lvlText w:val="%1"/>
      <w:numFmt w:val="decimal"/>
      <w:start w:val="14"/>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2019-12-20T06:25:27Z</dcterms:created>
  <dcterms:modified xsi:type="dcterms:W3CDTF">2019-12-20T06:25:27Z</dcterms:modified>
</cp:coreProperties>
</file>