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SEC Form 4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-240665</wp:posOffset>
            </wp:positionV>
            <wp:extent cx="114300" cy="1143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208280</wp:posOffset>
            </wp:positionV>
            <wp:extent cx="114300" cy="1143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34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5960" w:type="dxa"/>
            <w:vAlign w:val="bottom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960" w:type="dxa"/>
            <w:vAlign w:val="bottom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5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Estimated average burden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9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960" w:type="dxa"/>
            <w:vAlign w:val="bottom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3776980</wp:posOffset>
            </wp:positionH>
            <wp:positionV relativeFrom="paragraph">
              <wp:posOffset>-744855</wp:posOffset>
            </wp:positionV>
            <wp:extent cx="1290955" cy="6197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61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-1633855</wp:posOffset>
            </wp:positionH>
            <wp:positionV relativeFrom="paragraph">
              <wp:posOffset>664210</wp:posOffset>
            </wp:positionV>
            <wp:extent cx="6732905" cy="4126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905" cy="4126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7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2240" w:space="320"/>
            <w:col w:w="8000"/>
          </w:cols>
          <w:pgMar w:left="660" w:top="556" w:right="680" w:bottom="144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1. Name and Address of Reporting Person </w:t>
      </w:r>
      <w:r>
        <w:rPr>
          <w:rFonts w:ascii="Arial" w:cs="Arial" w:eastAsia="Arial" w:hAnsi="Arial"/>
          <w:sz w:val="19"/>
          <w:szCs w:val="19"/>
          <w:color w:val="auto"/>
          <w:vertAlign w:val="superscript"/>
        </w:rPr>
        <w:t>*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rFonts w:ascii="Times New Roman" w:cs="Times New Roman" w:eastAsia="Times New Roman" w:hAnsi="Times New Roman"/>
          <w:sz w:val="19"/>
          <w:szCs w:val="19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HAGEDORN JAMES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80" w:val="left"/>
          <w:tab w:leader="none" w:pos="2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120"/>
        <w:spacing w:after="0" w:line="3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THE SCOTTS MIRACLE-GRO COMPANY 14111 SCOTTSLAWN ROAD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(Street)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80" w:val="left"/>
          <w:tab w:leader="none" w:pos="24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MARYSVILLE</w:t>
        <w:tab/>
        <w:t>OH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43041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80" w:val="left"/>
          <w:tab w:leader="none" w:pos="2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2.</w:t>
            </w:r>
          </w:p>
        </w:tc>
        <w:tc>
          <w:tcPr>
            <w:tcW w:w="3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3.</w:t>
            </w:r>
          </w:p>
        </w:tc>
        <w:tc>
          <w:tcPr>
            <w:tcW w:w="3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 of Earliest Transaction (Month/Day/Year)</w:t>
            </w: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12/05/2025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80" w:type="dxa"/>
            <w:vAlign w:val="bottom"/>
            <w:gridSpan w:val="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4.</w:t>
            </w:r>
          </w:p>
        </w:tc>
        <w:tc>
          <w:tcPr>
            <w:tcW w:w="3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If Amendment, Date of Original Filed (Month/Day/Year)</w:t>
            </w:r>
          </w:p>
        </w:tc>
        <w:tc>
          <w:tcPr>
            <w:tcW w:w="3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9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3280" w:space="420"/>
            <w:col w:w="6860"/>
          </w:cols>
          <w:pgMar w:left="660" w:top="556" w:right="680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2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Phantom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12/05/2025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2,751.65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2,751.65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231,850.829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60" w:hanging="118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share of phantom stock represents the right to receive one common share of Issuer or the cash value thereof.</w:t>
      </w:r>
    </w:p>
    <w:p>
      <w:pPr>
        <w:spacing w:after="0" w:line="54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240" w:firstLine="2"/>
        <w:spacing w:after="0" w:line="280" w:lineRule="auto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Shares of phantom stock are payable in cash following termination of the reporting person's employment with Issuer. The reporting person may transfer his/her phantom stock into an alternative investment at any time.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63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/s/ Kathy L. Uttley as attorney-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12/08/2025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700" w:type="dxa"/>
            <w:vAlign w:val="bottom"/>
            <w:vMerge w:val="restart"/>
          </w:tcPr>
          <w:p>
            <w:pPr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in-fact for James Hagedorn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7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87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40" w:orient="portrait"/>
      <w:cols w:equalWidth="0" w:num="1">
        <w:col w:w="10560"/>
      </w:cols>
      <w:pgMar w:left="660" w:top="556" w:right="68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0171" TargetMode="External"/><Relationship Id="rId13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2025-12-08T15:01:05Z</dcterms:created>
  <dcterms:modified xsi:type="dcterms:W3CDTF">2025-12-08T15:01:05Z</dcterms:modified>
</cp:coreProperties>
</file>