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3"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3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30, 2023</w:t>
      </w:r>
    </w:p>
    <w:p>
      <w:pPr>
        <w:spacing w:after="0" w:line="117"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3"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Scotts Miracle-Gro Company</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pacing w:after="0" w:line="24" w:lineRule="exact"/>
        <w:rPr>
          <w:sz w:val="24"/>
          <w:szCs w:val="24"/>
          <w:color w:val="auto"/>
        </w:rPr>
      </w:pPr>
    </w:p>
    <w:tbl>
      <w:tblPr>
        <w:tblLayout w:type="fixed"/>
        <w:tblInd w:w="1260" w:type="dxa"/>
        <w:tblCellMar>
          <w:top w:w="0" w:type="dxa"/>
          <w:left w:w="0" w:type="dxa"/>
          <w:bottom w:w="0" w:type="dxa"/>
          <w:right w:w="0" w:type="dxa"/>
        </w:tblCellMar>
      </w:tblPr>
      <w:tr>
        <w:trPr>
          <w:trHeight w:val="226"/>
        </w:trPr>
        <w:tc>
          <w:tcPr>
            <w:tcW w:w="4600" w:type="dxa"/>
            <w:vAlign w:val="bottom"/>
          </w:tcPr>
          <w:p>
            <w:pPr>
              <w:jc w:val="center"/>
              <w:ind w:right="2644"/>
              <w:spacing w:after="0"/>
              <w:rPr>
                <w:sz w:val="20"/>
                <w:szCs w:val="20"/>
                <w:color w:val="auto"/>
              </w:rPr>
            </w:pPr>
            <w:r>
              <w:rPr>
                <w:rFonts w:ascii="Times New Roman" w:cs="Times New Roman" w:eastAsia="Times New Roman" w:hAnsi="Times New Roman"/>
                <w:sz w:val="17"/>
                <w:szCs w:val="17"/>
                <w:b w:val="1"/>
                <w:bCs w:val="1"/>
                <w:color w:val="auto"/>
              </w:rPr>
              <w:t>Ohio</w:t>
            </w:r>
          </w:p>
        </w:tc>
        <w:tc>
          <w:tcPr>
            <w:tcW w:w="3860" w:type="dxa"/>
            <w:vAlign w:val="bottom"/>
          </w:tcPr>
          <w:p>
            <w:pPr>
              <w:jc w:val="center"/>
              <w:ind w:left="2644"/>
              <w:spacing w:after="0"/>
              <w:rPr>
                <w:sz w:val="20"/>
                <w:szCs w:val="20"/>
                <w:color w:val="auto"/>
              </w:rPr>
            </w:pPr>
            <w:r>
              <w:rPr>
                <w:rFonts w:ascii="Times New Roman" w:cs="Times New Roman" w:eastAsia="Times New Roman" w:hAnsi="Times New Roman"/>
                <w:sz w:val="17"/>
                <w:szCs w:val="17"/>
                <w:b w:val="1"/>
                <w:bCs w:val="1"/>
                <w:color w:val="auto"/>
                <w:w w:val="99"/>
              </w:rPr>
              <w:t>31-1414921</w:t>
            </w:r>
          </w:p>
        </w:tc>
      </w:tr>
      <w:tr>
        <w:trPr>
          <w:trHeight w:val="153"/>
        </w:trPr>
        <w:tc>
          <w:tcPr>
            <w:tcW w:w="4600" w:type="dxa"/>
            <w:vAlign w:val="bottom"/>
          </w:tcPr>
          <w:p>
            <w:pPr>
              <w:jc w:val="center"/>
              <w:ind w:right="2644"/>
              <w:spacing w:after="0" w:line="153"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left="2624"/>
              <w:spacing w:after="0" w:line="153"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600" w:type="dxa"/>
            <w:vAlign w:val="bottom"/>
          </w:tcPr>
          <w:p>
            <w:pPr>
              <w:jc w:val="center"/>
              <w:ind w:right="264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left="26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14111 Scottslawn Road, Marysville, Ohio 43041</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(937</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8"/>
          <w:szCs w:val="18"/>
          <w:color w:val="auto"/>
        </w:rPr>
        <w:t xml:space="preserve"> 644-0011</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51" w:lineRule="exact"/>
        <w:rPr>
          <w:sz w:val="24"/>
          <w:szCs w:val="24"/>
          <w:color w:val="auto"/>
        </w:rPr>
      </w:pPr>
    </w:p>
    <w:tbl>
      <w:tblPr>
        <w:tblLayout w:type="fixed"/>
        <w:tblInd w:w="400" w:type="dxa"/>
        <w:tblCellMar>
          <w:top w:w="0" w:type="dxa"/>
          <w:left w:w="0" w:type="dxa"/>
          <w:bottom w:w="0" w:type="dxa"/>
          <w:right w:w="0" w:type="dxa"/>
        </w:tblCellMar>
      </w:tblPr>
      <w:tr>
        <w:trPr>
          <w:trHeight w:val="184"/>
        </w:trPr>
        <w:tc>
          <w:tcPr>
            <w:tcW w:w="4420" w:type="dxa"/>
            <w:vAlign w:val="bottom"/>
            <w:gridSpan w:val="3"/>
          </w:tcPr>
          <w:p>
            <w:pPr>
              <w:jc w:val="center"/>
              <w:ind w:right="194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160" w:type="dxa"/>
            <w:vAlign w:val="bottom"/>
            <w:gridSpan w:val="2"/>
          </w:tcPr>
          <w:p>
            <w:pPr>
              <w:jc w:val="center"/>
              <w:ind w:right="1940"/>
              <w:spacing w:after="0"/>
              <w:rPr>
                <w:sz w:val="20"/>
                <w:szCs w:val="20"/>
                <w:color w:val="auto"/>
              </w:rPr>
            </w:pPr>
            <w:r>
              <w:rPr>
                <w:rFonts w:ascii="Times New Roman" w:cs="Times New Roman" w:eastAsia="Times New Roman" w:hAnsi="Times New Roman"/>
                <w:sz w:val="16"/>
                <w:szCs w:val="16"/>
                <w:color w:val="auto"/>
              </w:rPr>
              <w:t>Trading Symbol(s)</w:t>
            </w:r>
          </w:p>
        </w:tc>
        <w:tc>
          <w:tcPr>
            <w:tcW w:w="2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1960"/>
              <w:spacing w:after="0"/>
              <w:rPr>
                <w:sz w:val="20"/>
                <w:szCs w:val="20"/>
                <w:color w:val="auto"/>
              </w:rPr>
            </w:pPr>
            <w:r>
              <w:rPr>
                <w:rFonts w:ascii="Times New Roman" w:cs="Times New Roman" w:eastAsia="Times New Roman" w:hAnsi="Times New Roman"/>
                <w:sz w:val="17"/>
                <w:szCs w:val="17"/>
                <w:color w:val="auto"/>
              </w:rPr>
              <w:t>Common Shares, $0.01 stated value</w:t>
            </w:r>
          </w:p>
        </w:tc>
        <w:tc>
          <w:tcPr>
            <w:tcW w:w="316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7"/>
              </w:rPr>
              <w:t>SMG</w:t>
            </w:r>
          </w:p>
        </w:tc>
        <w:tc>
          <w:tcPr>
            <w:tcW w:w="2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NYSE</w:t>
            </w:r>
          </w:p>
        </w:tc>
      </w:tr>
    </w:tbl>
    <w:p>
      <w:pPr>
        <w:spacing w:after="0" w:line="154" w:lineRule="exact"/>
        <w:rPr>
          <w:sz w:val="24"/>
          <w:szCs w:val="24"/>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242" w:lineRule="exact"/>
        <w:tabs>
          <w:tab w:leader="none" w:pos="720" w:val="left"/>
          <w:tab w:leader="none" w:pos="1440" w:val="left"/>
        </w:tabs>
        <w:rPr>
          <w:sz w:val="20"/>
          <w:szCs w:val="20"/>
          <w:color w:val="auto"/>
        </w:rPr>
      </w:pPr>
      <w:r>
        <w:rPr>
          <w:rFonts w:ascii="Times New Roman" w:cs="Times New Roman" w:eastAsia="Times New Roman" w:hAnsi="Times New Roman"/>
          <w:sz w:val="17"/>
          <w:szCs w:val="17"/>
          <w:color w:val="auto"/>
        </w:rPr>
        <w:t>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90" w:lineRule="exact"/>
        <w:rPr>
          <w:sz w:val="24"/>
          <w:szCs w:val="24"/>
          <w:color w:val="auto"/>
        </w:rPr>
      </w:pPr>
    </w:p>
    <w:p>
      <w:pPr>
        <w:jc w:val="both"/>
        <w:spacing w:after="0" w:line="26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9"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7"/>
        </w:trPr>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57" w:lineRule="exact"/>
        <w:rPr>
          <w:sz w:val="24"/>
          <w:szCs w:val="24"/>
          <w:color w:val="auto"/>
        </w:rPr>
      </w:pPr>
    </w:p>
    <w:p>
      <w:pPr>
        <w:spacing w:after="0" w:line="23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080"/>
        <w:spacing w:after="0" w:line="3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w:t>
      </w:r>
      <w:r>
        <w:rPr>
          <w:rFonts w:ascii="Times New Roman" w:cs="Times New Roman" w:eastAsia="Times New Roman" w:hAnsi="Times New Roman"/>
          <w:sz w:val="35"/>
          <w:szCs w:val="35"/>
          <w:color w:val="auto"/>
          <w:vertAlign w:val="superscript"/>
        </w:rPr>
        <w:t>Yes</w:t>
      </w:r>
      <w:r>
        <w:rPr>
          <w:rFonts w:ascii="Times New Roman" w:cs="Times New Roman" w:eastAsia="Times New Roman" w:hAnsi="Times New Roman"/>
          <w:sz w:val="17"/>
          <w:szCs w:val="17"/>
          <w:color w:val="auto"/>
        </w:rPr>
        <w:t xml:space="preserve"> </w:t>
      </w:r>
      <w:r>
        <w:rPr>
          <w:rFonts w:ascii="MS PGothic" w:cs="MS PGothic" w:eastAsia="MS PGothic" w:hAnsi="MS PGothic"/>
          <w:sz w:val="35"/>
          <w:szCs w:val="35"/>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5"/>
          <w:szCs w:val="35"/>
          <w:color w:val="auto"/>
          <w:vertAlign w:val="superscript"/>
        </w:rPr>
        <w:t>No</w:t>
      </w:r>
      <w:r>
        <w:rPr>
          <w:rFonts w:ascii="Times New Roman" w:cs="Times New Roman" w:eastAsia="Times New Roman" w:hAnsi="Times New Roman"/>
          <w:sz w:val="17"/>
          <w:szCs w:val="17"/>
          <w:color w:val="auto"/>
        </w:rPr>
        <w:t xml:space="preserve"> </w:t>
      </w:r>
      <w:r>
        <w:rPr>
          <w:rFonts w:ascii="MS PGothic" w:cs="MS PGothic" w:eastAsia="MS PGothic" w:hAnsi="MS PGothic"/>
          <w:sz w:val="35"/>
          <w:szCs w:val="35"/>
          <w:color w:val="auto"/>
          <w:vertAlign w:val="superscript"/>
        </w:rPr>
        <w:t>☒</w:t>
      </w:r>
      <w:r>
        <w:rPr>
          <w:rFonts w:ascii="Times New Roman" w:cs="Times New Roman" w:eastAsia="Times New Roman" w:hAnsi="Times New Roman"/>
          <w:sz w:val="17"/>
          <w:szCs w:val="17"/>
          <w:color w:val="auto"/>
        </w:rPr>
        <w:t xml:space="preserve"> As of February 2, 2024, there were 56,692,312 Common Shares outstanding.</w:t>
      </w:r>
    </w:p>
    <w:p>
      <w:pPr>
        <w:sectPr>
          <w:pgSz w:w="11900" w:h="16838" w:orient="portrait"/>
          <w:cols w:equalWidth="0" w:num="1">
            <w:col w:w="11240"/>
          </w:cols>
          <w:pgMar w:left="320" w:top="790" w:right="339" w:bottom="1440" w:gutter="0" w:footer="0" w:header="0"/>
        </w:sectPr>
      </w:pP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SCOTTS MIRACLE-GRO COMPANY</w:t>
      </w:r>
    </w:p>
    <w:p>
      <w:pPr>
        <w:jc w:val="center"/>
        <w:ind w:right="-19"/>
        <w:spacing w:after="0"/>
        <w:rPr>
          <w:sz w:val="20"/>
          <w:szCs w:val="20"/>
          <w:color w:val="auto"/>
        </w:rPr>
      </w:pPr>
      <w:r>
        <w:rPr>
          <w:rFonts w:ascii="Times New Roman" w:cs="Times New Roman" w:eastAsia="Times New Roman" w:hAnsi="Times New Roman"/>
          <w:sz w:val="18"/>
          <w:szCs w:val="18"/>
          <w:color w:val="auto"/>
        </w:rPr>
        <w:t>INDEX</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 NO.</w:t>
            </w:r>
          </w:p>
        </w:tc>
        <w:tc>
          <w:tcPr>
            <w:tcW w:w="0" w:type="dxa"/>
            <w:vAlign w:val="bottom"/>
          </w:tcPr>
          <w:p>
            <w:pPr>
              <w:spacing w:after="0"/>
              <w:rPr>
                <w:sz w:val="1"/>
                <w:szCs w:val="1"/>
                <w:color w:val="auto"/>
              </w:rPr>
            </w:pPr>
          </w:p>
        </w:tc>
      </w:tr>
      <w:tr>
        <w:trPr>
          <w:trHeight w:val="215"/>
        </w:trPr>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9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 Three months ended December 30, 2023 and December 31, 2022</w:t>
            </w:r>
          </w:p>
        </w:tc>
        <w:tc>
          <w:tcPr>
            <w:tcW w:w="22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 — Three months ended December 30, 2023 and</w:t>
            </w:r>
          </w:p>
        </w:tc>
        <w:tc>
          <w:tcPr>
            <w:tcW w:w="220" w:type="dxa"/>
            <w:vAlign w:val="bottom"/>
          </w:tcPr>
          <w:p>
            <w:pPr>
              <w:spacing w:after="0"/>
              <w:rPr>
                <w:sz w:val="18"/>
                <w:szCs w:val="18"/>
                <w:color w:val="auto"/>
              </w:rPr>
            </w:pPr>
          </w:p>
        </w:tc>
        <w:tc>
          <w:tcPr>
            <w:tcW w:w="10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December 31, 2022</w:t>
            </w:r>
          </w:p>
        </w:tc>
        <w:tc>
          <w:tcPr>
            <w:tcW w:w="60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gridSpan w:val="2"/>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17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20" w:type="dxa"/>
            <w:vAlign w:val="bottom"/>
            <w:tcBorders>
              <w:left w:val="single" w:sz="8" w:color="0000FF"/>
            </w:tcBorders>
            <w:shd w:val="clear" w:color="auto" w:fill="0000FF"/>
          </w:tcPr>
          <w:p>
            <w:pPr>
              <w:spacing w:after="0"/>
              <w:rPr>
                <w:sz w:val="2"/>
                <w:szCs w:val="2"/>
                <w:color w:val="auto"/>
              </w:rPr>
            </w:pPr>
          </w:p>
        </w:tc>
        <w:tc>
          <w:tcPr>
            <w:tcW w:w="600" w:type="dxa"/>
            <w:vAlign w:val="bottom"/>
          </w:tcPr>
          <w:p>
            <w:pPr>
              <w:spacing w:after="0"/>
              <w:rPr>
                <w:sz w:val="2"/>
                <w:szCs w:val="2"/>
                <w:color w:val="auto"/>
              </w:rPr>
            </w:pPr>
          </w:p>
        </w:tc>
        <w:tc>
          <w:tcPr>
            <w:tcW w:w="198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 Three months ended December 30, 2023 and December 31, 2022</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Condensed Consolidated Balance Sheets — December 30, 2023, December 31, 2022 and September 30, 2023</w:t>
            </w:r>
          </w:p>
        </w:tc>
        <w:tc>
          <w:tcPr>
            <w:tcW w:w="220" w:type="dxa"/>
            <w:vAlign w:val="bottom"/>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40" w:type="dxa"/>
            <w:vAlign w:val="bottom"/>
            <w:gridSpan w:val="2"/>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9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43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140" w:type="dxa"/>
            <w:vAlign w:val="bottom"/>
          </w:tcPr>
          <w:p>
            <w:pPr>
              <w:spacing w:after="0"/>
              <w:rPr>
                <w:sz w:val="18"/>
                <w:szCs w:val="18"/>
                <w:color w:val="auto"/>
              </w:rPr>
            </w:pPr>
          </w:p>
        </w:tc>
        <w:tc>
          <w:tcPr>
            <w:tcW w:w="2720" w:type="dxa"/>
            <w:vAlign w:val="bottom"/>
            <w:gridSpan w:val="3"/>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Controls and Procedures</w:t>
            </w:r>
          </w:p>
        </w:tc>
        <w:tc>
          <w:tcPr>
            <w:tcW w:w="2580" w:type="dxa"/>
            <w:vAlign w:val="bottom"/>
            <w:gridSpan w:val="3"/>
          </w:tcPr>
          <w:p>
            <w:pPr>
              <w:spacing w:after="0"/>
              <w:rPr>
                <w:sz w:val="18"/>
                <w:szCs w:val="18"/>
                <w:color w:val="auto"/>
              </w:rPr>
            </w:pPr>
          </w:p>
        </w:tc>
        <w:tc>
          <w:tcPr>
            <w:tcW w:w="4860" w:type="dxa"/>
            <w:vAlign w:val="bottom"/>
            <w:gridSpan w:val="4"/>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1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9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00" w:type="dxa"/>
            <w:vAlign w:val="bottom"/>
          </w:tcPr>
          <w:p>
            <w:pPr>
              <w:spacing w:after="0"/>
              <w:rPr>
                <w:sz w:val="18"/>
                <w:szCs w:val="18"/>
                <w:color w:val="auto"/>
              </w:rPr>
            </w:pPr>
          </w:p>
        </w:tc>
        <w:tc>
          <w:tcPr>
            <w:tcW w:w="786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3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Unregistered Sales of Equity Securities and Use of Proceeds</w:t>
            </w:r>
          </w:p>
        </w:tc>
        <w:tc>
          <w:tcPr>
            <w:tcW w:w="4860" w:type="dxa"/>
            <w:vAlign w:val="bottom"/>
            <w:gridSpan w:val="4"/>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1980" w:type="dxa"/>
            <w:vAlign w:val="bottom"/>
            <w:gridSpan w:val="2"/>
          </w:tcPr>
          <w:p>
            <w:pPr>
              <w:spacing w:after="0"/>
              <w:rPr>
                <w:sz w:val="18"/>
                <w:szCs w:val="18"/>
                <w:color w:val="auto"/>
              </w:rPr>
            </w:pPr>
          </w:p>
        </w:tc>
        <w:tc>
          <w:tcPr>
            <w:tcW w:w="4860" w:type="dxa"/>
            <w:vAlign w:val="bottom"/>
            <w:gridSpan w:val="4"/>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2"/>
            <w:shd w:val="clear" w:color="auto" w:fill="0000FF"/>
          </w:tcPr>
          <w:p>
            <w:pPr>
              <w:spacing w:after="0" w:line="20" w:lineRule="exact"/>
              <w:rPr>
                <w:sz w:val="1"/>
                <w:szCs w:val="1"/>
                <w:color w:val="auto"/>
              </w:rPr>
            </w:pPr>
          </w:p>
        </w:tc>
        <w:tc>
          <w:tcPr>
            <w:tcW w:w="68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1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Mine Safety Disclosures</w:t>
            </w:r>
          </w:p>
        </w:tc>
        <w:tc>
          <w:tcPr>
            <w:tcW w:w="600" w:type="dxa"/>
            <w:vAlign w:val="bottom"/>
          </w:tcPr>
          <w:p>
            <w:pPr>
              <w:spacing w:after="0"/>
              <w:rPr>
                <w:sz w:val="18"/>
                <w:szCs w:val="18"/>
                <w:color w:val="auto"/>
              </w:rPr>
            </w:pPr>
          </w:p>
        </w:tc>
        <w:tc>
          <w:tcPr>
            <w:tcW w:w="6840" w:type="dxa"/>
            <w:vAlign w:val="bottom"/>
            <w:gridSpan w:val="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7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40" w:type="dxa"/>
            <w:vAlign w:val="bottom"/>
            <w:gridSpan w:val="7"/>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60" w:type="dxa"/>
            <w:vAlign w:val="bottom"/>
            <w:gridSpan w:val="8"/>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gridSpan w:val="2"/>
          </w:tcPr>
          <w:p>
            <w:pPr>
              <w:spacing w:after="0"/>
              <w:rPr>
                <w:sz w:val="18"/>
                <w:szCs w:val="18"/>
                <w:color w:val="auto"/>
              </w:rPr>
            </w:pPr>
          </w:p>
        </w:tc>
        <w:tc>
          <w:tcPr>
            <w:tcW w:w="7860" w:type="dxa"/>
            <w:vAlign w:val="bottom"/>
            <w:gridSpan w:val="8"/>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56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Index to Exhibits</w:t>
            </w:r>
          </w:p>
        </w:tc>
        <w:tc>
          <w:tcPr>
            <w:tcW w:w="8860" w:type="dxa"/>
            <w:vAlign w:val="bottom"/>
            <w:gridSpan w:val="12"/>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280" w:type="dxa"/>
            <w:vAlign w:val="bottom"/>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1"/>
        </w:trPr>
        <w:tc>
          <w:tcPr>
            <w:tcW w:w="814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common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70"/>
        </w:trPr>
        <w:tc>
          <w:tcPr>
            <w:tcW w:w="8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 plus dilutive potential common shares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4"/>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40" w:type="dxa"/>
            <w:vAlign w:val="bottom"/>
          </w:tcPr>
          <w:p>
            <w:pPr>
              <w:spacing w:after="0"/>
              <w:rPr>
                <w:sz w:val="11"/>
                <w:szCs w:val="11"/>
                <w:color w:val="auto"/>
              </w:rPr>
            </w:pPr>
          </w:p>
        </w:tc>
        <w:tc>
          <w:tcPr>
            <w:tcW w:w="1280" w:type="dxa"/>
            <w:vAlign w:val="bottom"/>
          </w:tcPr>
          <w:p>
            <w:pPr>
              <w:jc w:val="right"/>
              <w:ind w:right="25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loss on derivative instruments, net of tax</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Reclassification of net unrealized gains on derivative instruments to net loss, net of tax</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loss on securities, net of tax</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Pension and other post-retirement benefit adjustments,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280" w:type="dxa"/>
            <w:vAlign w:val="bottom"/>
          </w:tcPr>
          <w:p>
            <w:pPr>
              <w:jc w:val="right"/>
              <w:ind w:right="231"/>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Changes in assets and liabilities, net of acquired businesses: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29"/>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r>
      <w:tr>
        <w:trPr>
          <w:trHeight w:val="229"/>
        </w:trPr>
        <w:tc>
          <w:tcPr>
            <w:tcW w:w="81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30"/>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29"/>
        </w:trPr>
        <w:tc>
          <w:tcPr>
            <w:tcW w:w="81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r>
      <w:tr>
        <w:trPr>
          <w:trHeight w:val="229"/>
        </w:trPr>
        <w:tc>
          <w:tcPr>
            <w:tcW w:w="81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Other non-current items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1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14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r>
      <w:tr>
        <w:trPr>
          <w:trHeight w:val="236"/>
        </w:trPr>
        <w:tc>
          <w:tcPr>
            <w:tcW w:w="8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investing,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81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6"/>
        </w:trPr>
        <w:tc>
          <w:tcPr>
            <w:tcW w:w="8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revolving and bank lines of credit and term loans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under revolving and bank lines of credit and term loans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Common Shares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financing,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tcBorders>
              <w:bottom w:val="single" w:sz="8" w:color="CCEEFF"/>
            </w:tcBorders>
          </w:tcPr>
          <w:p>
            <w:pPr>
              <w:ind w:left="1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406.2</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520" w:type="dxa"/>
            <w:vAlign w:val="bottom"/>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29"/>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less allowances of $15.9, $12.0 and $15.1, respectively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29"/>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pledged</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r>
      <w:tr>
        <w:trPr>
          <w:trHeight w:val="229"/>
        </w:trPr>
        <w:tc>
          <w:tcPr>
            <w:tcW w:w="65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r>
      <w:tr>
        <w:trPr>
          <w:trHeight w:val="223"/>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176"/>
        </w:trPr>
        <w:tc>
          <w:tcPr>
            <w:tcW w:w="6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of accumulated depreciation of $760.5, $780.6 and</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$765.4, respectively</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w:t>
            </w: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3,413.7</w:t>
            </w:r>
          </w:p>
        </w:tc>
      </w:tr>
      <w:tr>
        <w:trPr>
          <w:trHeight w:val="20"/>
        </w:trPr>
        <w:tc>
          <w:tcPr>
            <w:tcW w:w="80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229"/>
        </w:trPr>
        <w:tc>
          <w:tcPr>
            <w:tcW w:w="8140" w:type="dxa"/>
            <w:vAlign w:val="bottom"/>
            <w:gridSpan w:val="4"/>
            <w:shd w:val="clear" w:color="auto" w:fill="CCEEFF"/>
          </w:tcPr>
          <w:p>
            <w:pPr>
              <w:ind w:left="402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w:t>
            </w:r>
          </w:p>
        </w:tc>
      </w:tr>
      <w:tr>
        <w:trPr>
          <w:trHeight w:val="223"/>
        </w:trPr>
        <w:tc>
          <w:tcPr>
            <w:tcW w:w="65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2,557.4</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23"/>
        </w:trPr>
        <w:tc>
          <w:tcPr>
            <w:tcW w:w="65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3,681.0</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(deficit):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75"/>
        </w:trPr>
        <w:tc>
          <w:tcPr>
            <w:tcW w:w="65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shares and capital in excess of $0.01 stated value per share; shares</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of 56.7, 55.9 and 56.5, respectively</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w:t>
            </w:r>
          </w:p>
        </w:tc>
      </w:tr>
      <w:tr>
        <w:trPr>
          <w:trHeight w:val="230"/>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Treasury shares, at cost; 11.5, 12.3 and 11.6 shares, respectively</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r>
      <w:tr>
        <w:trPr>
          <w:trHeight w:val="23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r>
      <w:tr>
        <w:trPr>
          <w:trHeight w:val="223"/>
        </w:trPr>
        <w:tc>
          <w:tcPr>
            <w:tcW w:w="65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 (deficit)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Operations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Scotts Miracle-Gro Company (“Scotts Miracle-Gro”) and its subsidiaries (collectively, with Scotts Miracle-Gro, the “Company”) are engaged in the manufacturing, marketing and sale of products for lawn and garden care and indoor and hydroponic gardening. The Company’s products are sold in North America, Europe and Asia.</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North America consumer lawn and garden business is highly seasonal, with approximately 75% of its annual net sales occurring in the second and third fiscal quarters. The Company’s Hawthorne segment is also impacted by seasonal sales patterns for certain product categories due to the timing of growing patterns in North America during the second and third fiscal quarters, and the timing of certain controlled agricultural lighting project sales during the third and fourth fiscal quarters.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Organization and Basis of Presentation</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for the three months ended December 30, 2023 and December 31, 2022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10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December 30, 2023 (this “Form 10-Q”) should be read in conjunction with Scotts Miracle-Gro’s Annual Report on Form 10-K for the fiscal year ended September 30, 2023 (the “2023 Annual Report”), which includes a complete set of footnote disclosures, including the Company’s significant accounting policies.</w:t>
      </w:r>
    </w:p>
    <w:p>
      <w:pPr>
        <w:spacing w:after="0" w:line="1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Balance Sheet at September 30, 2023 has been derived from the Company’s audited Consolidated Balance Sheet at that date, but does not include all of the information and footnotes required by GAAP for complete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w:t>
      </w:r>
    </w:p>
    <w:p>
      <w:pPr>
        <w:spacing w:after="0" w:line="14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27, 2023, the Company entered into a Master Receivables Purchase Agreement (the “Master Receivables Purchase Agreement”), under which it may sell up to $600.0 of available and eligible outstanding customer accounts receivable generated by sales to four specified customers. The agreement is uncommitted and has an initial term that expires October 25, 2024, unless earlier terminated by the purchaser. The receivable sales are non-recourse to the Company, other than with respect to (i) repurchase and indemnification obligations for any violations by the Company of its respective representations or obligations as seller or servicer and (ii) certain repurchase and payment obligations arising from any dilution of, or dispute with respect to, any purchased receivables that arise after the sale of such purchased receivables to the purchaser not contemplated in the applicable purchase price of such purchased receivable. The recourse obligations of the Company that may arise from time to time are supported by standby letters of credit of $70.0. Transactions under this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financial institution are classified as financing cash flows in the Condensed Consolidated Statements of Cash Flows. The Company records the discount in the “Other expense, net” line in the Condensed Consolidated Statements of Operations. At December 30, 2023, net receivables of $140.1 were derecognized. During the three months ended December 30, 2023, proceeds from the sale of receivables under the Master Receivables Purchase Agreement totaled $199.6.</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7" w:name="page8"/>
    <w:bookmarkEnd w:id="7"/>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Supplier Finance Program</w:t>
      </w:r>
    </w:p>
    <w:p>
      <w:pPr>
        <w:spacing w:after="0" w:line="14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has an agreement to provide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terms that the Company negotiates with its suppliers are consistent, regardless of whether a supplier participates in the program. The Company’s current payment terms with a majority of its suppliers generally range from 30 to 60 days, which is deemed to be commercially reasonable. The Company’s outstanding payment obligations under its supplier finance program were $30.8, $20.4, and $18.3 at December 30, 2023, December 31, 2022 and September 30, 2023, respectively, and are recorded within accounts payable in the Condensed Consolidated Balance Sheets. The associated payments were $69.8 and $50.5 for the three months ended December 30, 2023 and December 31, 2022, respectively, and are classified as operating activities in the Condensed Consolidated Statements of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Assets</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had non-cash investing activities of $8.6 and $19.2 during the three months ended December 30, 2023 and December 31, 2022, respectively, representing unpaid liabilities to acquire property, plant and equipment.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Statements of Cash Flows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280" w:type="dxa"/>
            <w:vAlign w:val="bottom"/>
          </w:tcPr>
          <w:p>
            <w:pPr>
              <w:jc w:val="center"/>
              <w:ind w:right="15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(refunded), net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pacing w:after="0" w:line="2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flow from operating activities for the three months ended December 31, 2022 was impacted by extended payment terms with vendors across the U.S. Consumer and Hawthorne segments for payments originally due in the final weeks of fiscal 2022 that were paid in the first quarter of fiscal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PRONOUNCEMENTS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Accounting Standards Update (“ASU”) No. 2022-04, “Liabilities — Supplier Finance Programs (Subtopic 405-50): Disclosure of Supplier Finance Program Obligations.” This ASU requires disclosure of the key terms of outstanding supplier finance programs and a roll-forward of the related obligations. ASU No. 2022-04 is effective for fiscal years beginning after December 15, 2022, except for the amendment on roll-forward information, which is effective for fiscal years beginning after December 15, 2023. The Company adopted the ASU as of October 1, 2023. The adoption relates to disclosures only and does not have any impact on the Company’s consolidated financial position, results of operations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PRONOUNCEMENTS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ASU requires enhanced disclosures about significant segment expenses regularly provided to the chief operating decision maker that are included within each reported measure of segment profit or loss, and also requires all annual disclosures currently required by Topic 280 to be included in interim periods. ASU No. 2023-07 is to be applied retrospectively for all periods presented in the financial statements and is effective for fiscal years beginning after December 15, 2023, and interim periods within fiscal years beginning after December 15, 2024, with early adoption permitted. The Company is currently evaluating the impact that the adoption of this guidance will have on the Company’s disclosures.</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ASU primarily requires enhanced disclosures and disaggregation of income tax information by jurisdiction in the annual income tax reconciliation and quantitative and qualitative disclosures regarding income taxes paid. ASU No. 2023-09 is to be applied prospectively, with the option to apply the standard retrospectively, effective for fiscal years beginning after December 15, 2024. The Company is currently evaluating the impact that the adoption of this guidance will have on the Company’s disclosures.</w:t>
      </w:r>
    </w:p>
    <w:p>
      <w:pPr>
        <w:spacing w:after="0" w:line="200" w:lineRule="exact"/>
        <w:rPr>
          <w:sz w:val="20"/>
          <w:szCs w:val="20"/>
          <w:color w:val="auto"/>
        </w:rPr>
      </w:pPr>
    </w:p>
    <w:p>
      <w:pPr>
        <w:spacing w:after="0" w:line="32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8" w:name="page9"/>
    <w:bookmarkEnd w:id="8"/>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 IN UNCONSOLIDATED AFFILIATES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On December 31, 2020, the Company acquired a 50% equity interest in Bonnie Plants, LLC, a joint venture with Alabama Farmers Cooperative, Inc. (“AFC”) focused on planting, growing, developing, distributing, marketing and selling live plants. During the three months ended December 31, 2022, the Company and AFC amended the joint venture agreement to allow AFC to make an additional equity contribution to Bonnie Plants, LLC, and, as a result of this contribution by AFC, the Company’s equity interest in Bonnie Plants, LLC was reduced to 45%. On November 7, 2023, the Company purchased an additional 5% equity interest in Bonnie Plants, LLC from AFC for $21.4, which restores its total equity interest back to 50%. The Company’s interest is accounted for using the equity method of accounting, with the Company’s proportionate share of Bonnie Plants, LLC earnings reflected in the Condensed Consolidated Statements of Operations.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30, 2023 and December 31, 2022, the Company recorded equity in loss of unconsolidated affiliates of $22.5 and $11.4, respectively, associated with Bonnie Plants, LLC. During the three months ended December 30, 2023, the Company recorded a pre-tax impairment charge of $10.4 associated with its investment in Bonnie Plants, LLC in the “Equity in loss of unconsolidated affiliates” line in the Condensed Consolidated Statements of Operations. The estimated fair value of Bonnie Plants, LLC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operating performance of the investment. The fair value estimate utilizes significant unobservable inputs and thus represents a Level 3 fair value measurement.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IMPAIRMENT, RESTRUCTURING AND OTHER</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280" w:type="dxa"/>
            <w:vAlign w:val="bottom"/>
          </w:tcPr>
          <w:p>
            <w:pPr>
              <w:jc w:val="right"/>
              <w:ind w:right="23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 (recoveries),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liabilities associated with restructuring activities during the three months ended December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44"/>
        </w:trPr>
        <w:tc>
          <w:tcPr>
            <w:tcW w:w="9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accrued at September 30, 2023</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accrued at December 30, 2023</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1"/>
        </w:trPr>
        <w:tc>
          <w:tcPr>
            <w:tcW w:w="9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30, 2023, restructuring accruals include $13.8 that is classified as long-term.</w:t>
      </w:r>
    </w:p>
    <w:p>
      <w:pPr>
        <w:spacing w:after="0" w:line="9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These changes and initiatives include reducing the size of the supply chain network, reducing staffing levels and implementing other cost-reduction initiatives. The Company has also accelerated the reduction of certain Hawthorne inventory, primarily lighting, growing environments and hardware products, to reduce its on hand inventory to align with the reduced network capacity. During the three months ended December 30, 2023, the Company recorded recoveries of $3.7 associated with this restructuring initiative, primarily related to the sale of certain previously-reserved inventory at amounts in excess of estimated net realizable value, partially offset by employee termination benefits and facility closure costs. The Company incurred costs of $2.0 in its U.S. Consumer segment and recorded recoveries of $7.7 in its Hawthorne segment in the “Cost of sales— impairment, restructuring and other” line in the Condensed Consolidated Statements of Operations during the three months ended December 30, 2023. The Company recorded recoveries of $0.8 in its U.S. Consumer segment and incurred costs of $0.3 in its Hawthorne segment and $2.4 at Corporate in the</w:t>
      </w:r>
    </w:p>
    <w:p>
      <w:pPr>
        <w:spacing w:after="0" w:line="200" w:lineRule="exact"/>
        <w:rPr>
          <w:sz w:val="20"/>
          <w:szCs w:val="20"/>
          <w:color w:val="auto"/>
        </w:rPr>
      </w:pPr>
    </w:p>
    <w:p>
      <w:pPr>
        <w:spacing w:after="0" w:line="32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9" w:name="page10"/>
    <w:bookmarkEnd w:id="9"/>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“Impairment, restructuring and other” line in the Condensed Consolidated Statements of Operations during the three months ended December 30, 2023. During the three months ended December 31, 2022, the Company incurred costs of $14.5 associated with this restructuring initiative primarily related to employee termination benefits, facility closure costs and impairment of property, plant and equipment. The Company incurred costs of $1.0 in its U.S. Consumer segment and $8.4 in its Hawthorne segment in the “Cost of sales—impairment, restructuring and other” line in the Condensed Consolidated Statements of Operations during the three months ended December 31, 2022. The Company incurred costs of $0.2 in its U.S. Consumer segment, $1.0 in its Hawthorne segment, $0.1 in its Other segment and $3.8 at Corporate in the “Impairment, restructuring and other” line in the Condensed Consolidated Statements of Operations during the three months ended December 31, 2022. Costs incurred since the inception of this restructuring initiative through December 30, 2023 were $217.1 for the Hawthorne segment, $46.7 for the U.S. Consumer segment, $1.6 for the Other segment and $25.1 for Corporate.</w:t>
      </w:r>
    </w:p>
    <w:p>
      <w:pPr>
        <w:spacing w:after="0" w:line="5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30, 2023, the Company recorded a gain of $12.1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INVENTORIES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consisted of the following for each of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3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6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MARKETING AGREEMENT</w:t>
      </w:r>
    </w:p>
    <w:p>
      <w:pPr>
        <w:spacing w:after="0" w:line="162" w:lineRule="exact"/>
        <w:rPr>
          <w:sz w:val="20"/>
          <w:szCs w:val="20"/>
          <w:color w:val="auto"/>
        </w:rPr>
      </w:pPr>
    </w:p>
    <w:p>
      <w:pPr>
        <w:jc w:val="both"/>
        <w:ind w:firstLine="405"/>
        <w:spacing w:after="0" w:line="226" w:lineRule="auto"/>
        <w:rPr>
          <w:sz w:val="20"/>
          <w:szCs w:val="20"/>
          <w:color w:val="auto"/>
        </w:rPr>
      </w:pPr>
      <w:r>
        <w:rPr>
          <w:rFonts w:ascii="Times New Roman" w:cs="Times New Roman" w:eastAsia="Times New Roman" w:hAnsi="Times New Roman"/>
          <w:sz w:val="18"/>
          <w:szCs w:val="18"/>
          <w:color w:val="auto"/>
        </w:rPr>
        <w:t>The Scotts Company LLC (“Scotts LLC”) is the exclusive agent of Monsanto Company, a subsidiary of Bayer AG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subject to reduction pursuant to the Third Restated Agreement for any program year in which the Program EBIT does not equal or exceed $36.0.</w:t>
      </w:r>
    </w:p>
    <w:p>
      <w:pPr>
        <w:spacing w:after="0" w:line="12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Unless Monsanto terminates the Third Restated Agreement due to an event of default by the Company, termination rights under the Third Restated Agreement include the following:</w:t>
      </w:r>
    </w:p>
    <w:p>
      <w:pPr>
        <w:spacing w:after="0" w:line="9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the Third Restated Agreement upon the insolvency or bankruptcy of Monsanto;</w:t>
      </w:r>
    </w:p>
    <w:p>
      <w:pPr>
        <w:spacing w:after="0" w:line="157" w:lineRule="exact"/>
        <w:rPr>
          <w:rFonts w:ascii="Times New Roman" w:cs="Times New Roman" w:eastAsia="Times New Roman" w:hAnsi="Times New Roman"/>
          <w:sz w:val="18"/>
          <w:szCs w:val="18"/>
          <w:color w:val="auto"/>
        </w:rPr>
      </w:pPr>
    </w:p>
    <w:p>
      <w:pPr>
        <w:jc w:val="both"/>
        <w:ind w:left="660" w:hanging="328"/>
        <w:spacing w:after="0" w:line="23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in the lawn and garden market (a “Brand Decommissioning Termination”); and</w:t>
      </w:r>
    </w:p>
    <w:p>
      <w:pPr>
        <w:spacing w:after="0" w:line="11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terminate the Third Restated Agreement if Program EBIT falls below $50.0 and, in such case, no termination fee would be payable to either party.</w:t>
      </w:r>
    </w:p>
    <w:p>
      <w:pPr>
        <w:spacing w:after="0" w:line="9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200" w:lineRule="exact"/>
        <w:rPr>
          <w:sz w:val="20"/>
          <w:szCs w:val="20"/>
          <w:color w:val="auto"/>
        </w:rPr>
      </w:pPr>
    </w:p>
    <w:p>
      <w:pPr>
        <w:spacing w:after="0" w:line="31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0" w:name="page11"/>
    <w:bookmarkEnd w:id="10"/>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elements of the net commission and reimbursements earned under the Third Restated Agreement and included in the “Net sales” line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Operations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gridSpan w:val="7"/>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6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right"/>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65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commission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Contribution expenses</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commission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net sales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DEBT</w:t>
            </w: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components of debt are as follows: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Revolving loans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40" w:type="dxa"/>
            <w:vAlign w:val="bottom"/>
          </w:tcPr>
          <w:p>
            <w:pPr>
              <w:spacing w:after="0"/>
              <w:rPr>
                <w:sz w:val="19"/>
                <w:szCs w:val="19"/>
                <w:color w:val="auto"/>
              </w:rPr>
            </w:pPr>
          </w:p>
        </w:tc>
        <w:tc>
          <w:tcPr>
            <w:tcW w:w="3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facility</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2,969.0</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w:t>
      </w:r>
    </w:p>
    <w:p>
      <w:pPr>
        <w:spacing w:after="0" w:line="200" w:lineRule="exact"/>
        <w:rPr>
          <w:sz w:val="20"/>
          <w:szCs w:val="20"/>
          <w:color w:val="auto"/>
        </w:rPr>
      </w:pPr>
    </w:p>
    <w:p>
      <w:pPr>
        <w:spacing w:after="0" w:line="32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1" w:name="page12"/>
    <w:bookmarkEnd w:id="11"/>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8, 2022, the Company entered into Amendment No. 1 to the Sixth A&amp;R Credit Agreement (“Amendment No. 1”).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the Company’s quarterly-tested leverage ratio exceeded 4.75.</w:t>
      </w:r>
    </w:p>
    <w:p>
      <w:pPr>
        <w:spacing w:after="0" w:line="9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July 31, 2023, the Company entered into Amendment No. 2 to the Sixth A&amp;R Credit Agreement (“Amendment No. 2”). Amendment No. 2 (i) reduces the revolving loan commitments by $250.0; (ii) increases the maximum permitted leverage ratio for the quarterly leverage covenant until the earlier of (a) October 1, 2025 and (b) subject to certain conditions specified in Amendment No. 2, the termination by the Company of such adjustment (such period,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the Company’s intellectual property (subject to certain exceptions) as collateral to secure its obligations under the Sixth A&amp;R Credit Agreement. Additionally, Amendment No. 2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other restricted payments in an aggregate amount not to exceed $25.0. Amendment No. 2 also subjects the Company’s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w:t>
      </w:r>
    </w:p>
    <w:p>
      <w:pPr>
        <w:spacing w:after="0" w:line="12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At December 30, 2023, the Company had letters of credit outstanding in the aggregate principal amount of $78.0, and had $660.7 of borrowing availability under the Sixth A&amp;R Credit Agreement. The weighted average interest rates on average borrowings under the credit facilities, excluding the impact of interest rate swaps, were 9.1% and 6.6% for the three months ended December 30, 2023 and December 31, 2022, respectively.</w:t>
      </w:r>
    </w:p>
    <w:p>
      <w:pPr>
        <w:spacing w:after="0" w:line="10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Amendment No. 2 (“Adjusted EBITDA”). Pursuant to Amendment No. 2, the maximum permitted leverage ratio is (i) 8.25 for the first quarter of fiscal 2024, (ii) 7.75 for the second quarter of fiscal 2024, (iii) 6.50 for the third quarter of fiscal 2024, (iv) 6.00 for the fourth quarter of fiscal 2024, (v) 5.50 for the first quarter of fiscal 2025, (vi) 5.25 for the second quarter of fiscal 2025, (vii) 5.00 for the third quarter of fiscal 2025, (viii) 4.75 for the fourth quarter of fiscal 2025 and (ix) 4.50 for the first quarter of fiscal 2026 and thereafter. The Company’s leverage ratio was 7.20 at December 30, 2023. Pursuant to Amendment No. 2, the Sixth A&amp;R Credit Agreement also contains an affirmative covenant regarding the Company’s fixed charge coverage ratio determined as of the end of each of its fiscal quarters, calculated as Adjusted EBITDA minus capital expenditures and expense for taxes paid in cash, divided by the sum of interest expense plus restricted payments, as described in Amendment No. 2. The minimum required fixed charge coverage ratio is (i) 0.75 for the first quarter of fiscal 2024 through the third quarter of fiscal 2024 and (ii) 1.00 for the fourth quarter of fiscal 2024 and thereafter. The Company’s fixed charge coverage ratio was 1.08 for the twelve months ended December 30, 2023.</w:t>
      </w:r>
    </w:p>
    <w:p>
      <w:pPr>
        <w:spacing w:after="0" w:line="8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December 30, 2023, the Company was in compliance with all applicable covenants in the agreements governing its debt. Based on the Company’s projections of its financial performance for the twelve-month period subsequent to the date of the filing of this Form 10-Q, the Company expects to remain in compliance with the financial covenants under the Sixth A&amp;R Credit Agreement. However, the Company’s assessment of its ability to meet its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as defined below, and cause the Senior Notes to become due and payable at that time. As of December 30, 2023, the Company’s indebtedness under the Sixth A&amp;R Credit Agreement and Senior Notes was $3,023.7. The Company does not have sufficient cash on hand or available liquidity that can be utilized to repay these outstanding amounts in the event of default.</w:t>
      </w:r>
    </w:p>
    <w:p>
      <w:pPr>
        <w:spacing w:after="0" w:line="200" w:lineRule="exact"/>
        <w:rPr>
          <w:sz w:val="20"/>
          <w:szCs w:val="20"/>
          <w:color w:val="auto"/>
        </w:rPr>
      </w:pPr>
    </w:p>
    <w:p>
      <w:pPr>
        <w:spacing w:after="0" w:line="32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2" w:name="page13"/>
    <w:bookmarkEnd w:id="12"/>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4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lenders to amend the terms of its financial covenants under the Sixth A&amp;R Credit Agreement and generating cash by completing other financing transactions, which may include issuing equity. There is no assurance that the Company will be successful in implementing these alternative plans.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Senior Notes contain an affirmative covenant regarding the Company’s interest coverage ratio determined as of the end of each of its fiscal quarters, calculated as Adjusted EBITDA divided by interest expense excluding costs related to refinancings. The minimum required interest coverage ratio is 2.00. The Company’s interest coverage ratio was 2.49 for the twelve months ended December 30,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162"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On April 7, 2017, the Company entered into a Master Repurchase Agreement (including the annexes thereto, the “Repurchase Agreement”) and a Master Framework Agreement, as amended (the “Framework Agreement” and, together with the Repurchase Agreement, the “Receivables Facility”), under which the Company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and the commitment amount during the seasonal commitment period that began on February 24, 2023 and ended on June 16, 2023 was $160.0. The Receivables Facility expired on August 18, 2023.</w:t>
      </w:r>
    </w:p>
    <w:p>
      <w:pPr>
        <w:spacing w:after="0" w:line="6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sale of receivables under the Receivables Facility was accounted for as short-term debt and the Company continued to carry the receivables on its Condensed Consolidated Balance Sheets, primarily as a result of its requirement to repurchase receivables sold. As of December 31, 2022, there were $161.0 in borrowings on receivables pledged as collateral under the Receivables Facility, and the carrying value of the receivables pledged as collateral was $178.9.</w:t>
      </w:r>
    </w:p>
    <w:p>
      <w:pPr>
        <w:spacing w:after="0" w:line="200" w:lineRule="exact"/>
        <w:rPr>
          <w:sz w:val="20"/>
          <w:szCs w:val="20"/>
          <w:color w:val="auto"/>
        </w:rPr>
      </w:pPr>
    </w:p>
    <w:p>
      <w:pPr>
        <w:spacing w:after="0" w:line="31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3" w:name="page14"/>
    <w:bookmarkEnd w:id="13"/>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December 30, 2023, December 31, 2022 and September 30, 2023 had a maximum total U.S. dollar equivalent notional amount of $700.0, $800.0 and $600.0, respectively. The notional amount, effective date, expiration date and rate of each of the swap agreements outstanding at December 30, 2023 are shown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40" w:type="dxa"/>
            <w:vAlign w:val="bottom"/>
          </w:tcPr>
          <w:p>
            <w:pPr>
              <w:spacing w:after="0"/>
              <w:rPr>
                <w:sz w:val="13"/>
                <w:szCs w:val="13"/>
                <w:color w:val="auto"/>
              </w:rPr>
            </w:pPr>
          </w:p>
        </w:tc>
        <w:tc>
          <w:tcPr>
            <w:tcW w:w="2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840" w:type="dxa"/>
            <w:vAlign w:val="bottom"/>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95"/>
        </w:trPr>
        <w:tc>
          <w:tcPr>
            <w:tcW w:w="24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34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840" w:type="dxa"/>
            <w:vAlign w:val="bottom"/>
          </w:tcPr>
          <w:p>
            <w:pPr>
              <w:jc w:val="right"/>
              <w:ind w:right="1195"/>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8"/>
        </w:trPr>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1/20/2022</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6/20/2024</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0.49 %</w:t>
            </w:r>
          </w:p>
        </w:tc>
      </w:tr>
      <w:tr>
        <w:trPr>
          <w:trHeight w:val="229"/>
        </w:trPr>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6/8/2026</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w:t>
            </w:r>
          </w:p>
        </w:tc>
      </w:tr>
      <w:tr>
        <w:trPr>
          <w:trHeight w:val="230"/>
        </w:trPr>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29"/>
        </w:trPr>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29"/>
        </w:trPr>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3/22/2027</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r>
    </w:tbl>
    <w:p>
      <w:pPr>
        <w:spacing w:after="0" w:line="76"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refers to the date on which interest payments are first hedged by the applicable swap agreement.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 adjusts in accordance with a specified seasonal schedule. This represents the maximum notional amount at any point in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Weighted Average Interest Rate</w:t>
      </w:r>
    </w:p>
    <w:p>
      <w:pPr>
        <w:spacing w:after="0" w:line="16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rates on the Company’s debt, including the impact of interest rate swaps, were 6.0% and 5.2% for the three months ended December 30, 2023 and December 31, 2022,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EQUITY (DEFICIT)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provide a summary of the changes in equity (deficit) for each of the periods indicated:</w:t>
      </w:r>
    </w:p>
    <w:p>
      <w:pPr>
        <w:sectPr>
          <w:pgSz w:w="11900" w:h="16838" w:orient="portrait"/>
          <w:cols w:equalWidth="0" w:num="1">
            <w:col w:w="11240"/>
          </w:cols>
          <w:pgMar w:left="320" w:top="15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 w:right="1180"/>
        <w:spacing w:after="0" w:line="268" w:lineRule="auto"/>
        <w:rPr>
          <w:sz w:val="20"/>
          <w:szCs w:val="20"/>
          <w:color w:val="auto"/>
        </w:rPr>
      </w:pPr>
      <w:r>
        <w:rPr>
          <w:rFonts w:ascii="Times New Roman" w:cs="Times New Roman" w:eastAsia="Times New Roman" w:hAnsi="Times New Roman"/>
          <w:sz w:val="18"/>
          <w:szCs w:val="18"/>
          <w:color w:val="auto"/>
        </w:rPr>
        <w:t>Balance at September 30, 2023 Net income (loss)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Share-based compensation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Dividends declared ($0.66 per share)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Treasury share purchases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Treasury share issuances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30,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Shares and</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13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Capital in</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Excess of Stated</w:t>
            </w: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9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7"/>
                <w:szCs w:val="17"/>
                <w:color w:val="auto"/>
              </w:rPr>
            </w:pPr>
          </w:p>
        </w:tc>
        <w:tc>
          <w:tcPr>
            <w:tcW w:w="11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0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Shares and</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Capital in</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12"/>
                <w:szCs w:val="12"/>
                <w:color w:val="auto"/>
              </w:rPr>
            </w:pP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60" w:type="dxa"/>
            <w:vAlign w:val="bottom"/>
          </w:tcPr>
          <w:p>
            <w:pPr>
              <w:spacing w:after="0"/>
              <w:rPr>
                <w:sz w:val="12"/>
                <w:szCs w:val="12"/>
                <w:color w:val="auto"/>
              </w:rPr>
            </w:pPr>
          </w:p>
        </w:tc>
        <w:tc>
          <w:tcPr>
            <w:tcW w:w="13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Excess of Stated</w:t>
            </w: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jc w:val="center"/>
              <w:ind w:right="198"/>
              <w:spacing w:after="0" w:line="146"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6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80" w:type="dxa"/>
            <w:vAlign w:val="bottom"/>
          </w:tcPr>
          <w:p>
            <w:pPr>
              <w:spacing w:after="0"/>
              <w:rPr>
                <w:sz w:val="16"/>
                <w:szCs w:val="16"/>
                <w:color w:val="auto"/>
              </w:rPr>
            </w:pPr>
          </w:p>
        </w:tc>
        <w:tc>
          <w:tcPr>
            <w:tcW w:w="1100" w:type="dxa"/>
            <w:vAlign w:val="bottom"/>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-1776095</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-1475740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-1184275</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-893445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440" w:space="520"/>
            <w:col w:w="7280"/>
          </w:cols>
          <w:pgMar w:left="320" w:top="158"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($0.66 per share)</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 purchases</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 issuances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1"/>
        </w:trPr>
        <w:tc>
          <w:tcPr>
            <w:tcW w:w="3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37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6"/>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FFFFFF"/>
              </w:rPr>
              <w:t>Contents</w:t>
            </w:r>
          </w:p>
        </w:tc>
        <w:tc>
          <w:tcPr>
            <w:tcW w:w="4720" w:type="dxa"/>
            <w:vAlign w:val="bottom"/>
            <w:gridSpan w:val="10"/>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9880" w:type="dxa"/>
            <w:vAlign w:val="bottom"/>
            <w:gridSpan w:val="15"/>
          </w:tcPr>
          <w:p>
            <w:pPr>
              <w:jc w:val="center"/>
              <w:ind w:left="127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80" w:type="dxa"/>
            <w:vAlign w:val="bottom"/>
            <w:gridSpan w:val="15"/>
          </w:tcPr>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loss (“AOCL”) by component were as follows for each of the periods indicated: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60" w:type="dxa"/>
            <w:vAlign w:val="bottom"/>
            <w:gridSpan w:val="3"/>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Net Unrealized Gain</w:t>
            </w:r>
          </w:p>
        </w:tc>
        <w:tc>
          <w:tcPr>
            <w:tcW w:w="14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14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3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44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60" w:type="dxa"/>
            <w:vAlign w:val="bottom"/>
          </w:tcPr>
          <w:p>
            <w:pPr>
              <w:spacing w:after="0"/>
              <w:rPr>
                <w:sz w:val="12"/>
                <w:szCs w:val="12"/>
                <w:color w:val="auto"/>
              </w:rPr>
            </w:pPr>
          </w:p>
        </w:tc>
        <w:tc>
          <w:tcPr>
            <w:tcW w:w="1200" w:type="dxa"/>
            <w:vAlign w:val="bottom"/>
          </w:tcPr>
          <w:p>
            <w:pPr>
              <w:jc w:val="center"/>
              <w:ind w:right="73"/>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On Securities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Benefit Adjustments</w:t>
            </w:r>
          </w:p>
        </w:tc>
        <w:tc>
          <w:tcPr>
            <w:tcW w:w="160" w:type="dxa"/>
            <w:vAlign w:val="bottom"/>
          </w:tcPr>
          <w:p>
            <w:pPr>
              <w:spacing w:after="0"/>
              <w:rPr>
                <w:sz w:val="17"/>
                <w:szCs w:val="17"/>
                <w:color w:val="auto"/>
              </w:rPr>
            </w:pPr>
          </w:p>
        </w:tc>
        <w:tc>
          <w:tcPr>
            <w:tcW w:w="120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28"/>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184"/>
        </w:trPr>
        <w:tc>
          <w:tcPr>
            <w:tcW w:w="370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84"/>
        </w:trPr>
        <w:tc>
          <w:tcPr>
            <w:tcW w:w="3700" w:type="dxa"/>
            <w:vAlign w:val="bottom"/>
            <w:gridSpan w:val="2"/>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December 30, 2023</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184"/>
        </w:trPr>
        <w:tc>
          <w:tcPr>
            <w:tcW w:w="3700" w:type="dxa"/>
            <w:vAlign w:val="bottom"/>
            <w:gridSpan w:val="2"/>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184"/>
        </w:trPr>
        <w:tc>
          <w:tcPr>
            <w:tcW w:w="370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Awards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January 2024, the shareholders of Scotts Miracle-Gro approved an amendment and restatement of The Scotts Miracle-Gro Company Long-Term Incentive Plan to increase the maximum number of Common Shares available for grant to participants under the Plan by 2.5 million Common Shares.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Total share-based compensation was as follows for each of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5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31"/>
        </w:trPr>
        <w:tc>
          <w:tcPr>
            <w:tcW w:w="5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3"/>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right"/>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1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tax benefit recognized</w:t>
            </w: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5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7"/>
        </w:trPr>
        <w:tc>
          <w:tcPr>
            <w:tcW w:w="5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Stock option activity was as follows:</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4"/>
        </w:trPr>
        <w:tc>
          <w:tcPr>
            <w:tcW w:w="5160" w:type="dxa"/>
            <w:vAlign w:val="bottom"/>
          </w:tcPr>
          <w:p>
            <w:pPr>
              <w:spacing w:after="0"/>
              <w:rPr>
                <w:sz w:val="14"/>
                <w:szCs w:val="14"/>
                <w:color w:val="auto"/>
              </w:rPr>
            </w:pPr>
          </w:p>
        </w:tc>
        <w:tc>
          <w:tcPr>
            <w:tcW w:w="14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No.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148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Wtd. Avg.</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95"/>
        </w:trPr>
        <w:tc>
          <w:tcPr>
            <w:tcW w:w="5160" w:type="dxa"/>
            <w:vAlign w:val="bottom"/>
          </w:tcPr>
          <w:p>
            <w:pPr>
              <w:spacing w:after="0"/>
              <w:rPr>
                <w:sz w:val="16"/>
                <w:szCs w:val="16"/>
                <w:color w:val="auto"/>
              </w:rPr>
            </w:pPr>
          </w:p>
        </w:tc>
        <w:tc>
          <w:tcPr>
            <w:tcW w:w="14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Remaining Life</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28"/>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2023</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1,191,183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6.6 years</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1,287,402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outstanding at December 30,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2,460,204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8.2 years</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1.9 years</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864"/>
        </w:trPr>
        <w:tc>
          <w:tcPr>
            <w:tcW w:w="5160" w:type="dxa"/>
            <w:vAlign w:val="bottom"/>
          </w:tcPr>
          <w:p>
            <w:pPr>
              <w:spacing w:after="0"/>
              <w:rPr>
                <w:sz w:val="24"/>
                <w:szCs w:val="24"/>
                <w:color w:val="auto"/>
              </w:rPr>
            </w:pPr>
          </w:p>
        </w:tc>
        <w:tc>
          <w:tcPr>
            <w:tcW w:w="144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5" w:name="page16"/>
    <w:bookmarkEnd w:id="15"/>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weighted-average fair value per share of each option granted during the three months ended December 30, 2023 and December 31, 2022 was $15.16 and $13.67, respectively. There were no options exercised during the three months ended December 30, 2023 and December 31, 2022. As of December 30, 2023, there was $11.7 of total unrecognized pre-tax compensation cost, net of estimated forfeitures, related to nonvested stock options that is expected to be recognized over a weighted-average period of 2.6 years. Cash received from the exercise of stock options, including amounts received from employee purchases under the employee stock purchase plan, was $0.5 and $0.6 for the three months ended December 30, 2023 and December 31, 2022, respectively.</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grant date fair value of stock option awards is estimated using a binomial model.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of the stock option is based on the U.S. Treasury yield curve in effect at the time of grant. The expected life of stock options is based on historical experience and expectations for grants outstanding. The weighted average assumptions for awards granted in fiscal 2024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rPr>
              <w:t>38.8 %</w:t>
            </w:r>
          </w:p>
        </w:tc>
      </w:tr>
      <w:tr>
        <w:trPr>
          <w:trHeight w:val="229"/>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years</w:t>
            </w:r>
          </w:p>
        </w:tc>
      </w:tr>
      <w:tr>
        <w:trPr>
          <w:trHeight w:val="441"/>
        </w:trPr>
        <w:tc>
          <w:tcPr>
            <w:tcW w:w="8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share-based awards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1"/>
        </w:trPr>
        <w:tc>
          <w:tcPr>
            <w:tcW w:w="84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Restricted share-based award activity (including restricted stock units and deferred stock units) was as follows: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10"/>
        </w:trPr>
        <w:tc>
          <w:tcPr>
            <w:tcW w:w="7180" w:type="dxa"/>
            <w:vAlign w:val="bottom"/>
          </w:tcPr>
          <w:p>
            <w:pPr>
              <w:spacing w:after="0"/>
              <w:rPr>
                <w:sz w:val="24"/>
                <w:szCs w:val="24"/>
                <w:color w:val="auto"/>
              </w:rPr>
            </w:pPr>
          </w:p>
        </w:tc>
        <w:tc>
          <w:tcPr>
            <w:tcW w:w="13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Wtd. Avg. Grant Date</w:t>
            </w:r>
          </w:p>
        </w:tc>
      </w:tr>
      <w:tr>
        <w:trPr>
          <w:trHeight w:val="196"/>
        </w:trPr>
        <w:tc>
          <w:tcPr>
            <w:tcW w:w="71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Fair Value per Unit</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2023</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611,838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w w:val="98"/>
              </w:rPr>
              <w:t>89.10</w:t>
            </w:r>
          </w:p>
        </w:tc>
      </w:tr>
      <w:tr>
        <w:trPr>
          <w:trHeight w:val="230"/>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204,249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center"/>
              <w:ind w:left="1113"/>
              <w:spacing w:after="0"/>
              <w:rPr>
                <w:sz w:val="20"/>
                <w:szCs w:val="20"/>
                <w:color w:val="auto"/>
              </w:rPr>
            </w:pPr>
            <w:r>
              <w:rPr>
                <w:rFonts w:ascii="Times New Roman" w:cs="Times New Roman" w:eastAsia="Times New Roman" w:hAnsi="Times New Roman"/>
                <w:sz w:val="18"/>
                <w:szCs w:val="18"/>
                <w:color w:val="auto"/>
                <w:w w:val="98"/>
              </w:rPr>
              <w:t>48.79</w:t>
            </w:r>
          </w:p>
        </w:tc>
      </w:tr>
      <w:tr>
        <w:trPr>
          <w:trHeight w:val="22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(11,620)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w w:val="98"/>
              </w:rPr>
              <w:t>79.38</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(18,362)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center"/>
              <w:ind w:left="1113"/>
              <w:spacing w:after="0"/>
              <w:rPr>
                <w:sz w:val="20"/>
                <w:szCs w:val="20"/>
                <w:color w:val="auto"/>
              </w:rPr>
            </w:pPr>
            <w:r>
              <w:rPr>
                <w:rFonts w:ascii="Times New Roman" w:cs="Times New Roman" w:eastAsia="Times New Roman" w:hAnsi="Times New Roman"/>
                <w:sz w:val="18"/>
                <w:szCs w:val="18"/>
                <w:color w:val="auto"/>
                <w:w w:val="98"/>
              </w:rPr>
              <w:t>67.76</w:t>
            </w:r>
          </w:p>
        </w:tc>
      </w:tr>
      <w:tr>
        <w:trPr>
          <w:trHeight w:val="243"/>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December 30, 2023</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786,105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8"/>
                <w:szCs w:val="18"/>
                <w:color w:val="auto"/>
                <w:w w:val="98"/>
              </w:rPr>
              <w:t>79.27</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stock-based awards granted during the three months ended December 30, 2023 and December 31, 2022 was $48.79 and $50.59 per share, respectively. As of December 30, 2023, there was $18.2 of total unrecognized pre-tax compensation cost, net of estimated forfeitures, related to nonvested restricted stock-based awards that is expected to be recognized over a weighted-average period of 1.9 years.</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Performance-based award activity was as follows (based on target award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Wtd. Avg. Grant Date</w:t>
            </w:r>
          </w:p>
        </w:tc>
      </w:tr>
      <w:tr>
        <w:trPr>
          <w:trHeight w:val="195"/>
        </w:trPr>
        <w:tc>
          <w:tcPr>
            <w:tcW w:w="7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 per Unit</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2023</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544,790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r>
      <w:tr>
        <w:trPr>
          <w:trHeight w:val="23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30"/>
        </w:trPr>
        <w:tc>
          <w:tcPr>
            <w:tcW w:w="84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64.31</w:t>
            </w:r>
          </w:p>
        </w:tc>
      </w:tr>
      <w:tr>
        <w:trPr>
          <w:trHeight w:val="24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December 30,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(a)</w:t>
        <w:tab/>
        <w:t>Vested at a weighted average of 100% of the target performance share units granted.</w:t>
      </w:r>
    </w:p>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weighted-average grant-date fair value of performance-based awards granted during the three months ended December 30, 2023 and December 31, 2022 was $44.86 and $63.61 per share, respectively. As of December 30, 2023, there was $2.2 of total unrecognized pre-tax compensation cost, net of estimated forfeitures, related to nonvested performance-based awards that is expected to be recognized over a weighted-average period of 2.3 years. The total fair value of performance-based units vested during the three months ended December 30, 2023 and December 31, 2022 was $10.6 and $6.0, respectively.</w:t>
      </w:r>
    </w:p>
    <w:p>
      <w:pPr>
        <w:spacing w:after="0" w:line="200" w:lineRule="exact"/>
        <w:rPr>
          <w:sz w:val="20"/>
          <w:szCs w:val="20"/>
          <w:color w:val="auto"/>
        </w:rPr>
      </w:pPr>
    </w:p>
    <w:p>
      <w:pPr>
        <w:spacing w:after="0" w:line="32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6" w:name="page17"/>
    <w:bookmarkEnd w:id="1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During the three months ended December 30, 2023, the Company determined that short-term variable incentive compensation for fiscal 2024 would be provided to certain employees as performance-based awards in lieu of a cash-based program. The program is structured so the fiscal 2024 incentive grant, if any, will be made on or near the incentive payout date, subject to certain performance conditions and a service requirement. The number of performance-based units that are ultimately issued to participating employees will be determined based on a target incentive payout amount for each employee adjusted up or down based on actual performance compared to the performance conditions, and then converted into a variable number of performance-based award units based on the fair value of the Company’s Common Shares on the grant date. The awards are classified as liability awards and, as of December 30, 2023, the Company had accrued $2.3 in the “Other current liabilities” line in the Condensed Consolidated Balance Sheets associated with these awards. As of December 30, 2023, there was $17.9 of total unrecognized pre-tax compensation cost related to these nonvested performance-based awards that is expected to be recognized over the remainder of fiscal 2024. The units associated with these awards are excluded from the table above.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necessary to calculate basic and diluted income (loss) per Common Share.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280" w:type="dxa"/>
            <w:vAlign w:val="bottom"/>
          </w:tcPr>
          <w:p>
            <w:pPr>
              <w:jc w:val="right"/>
              <w:ind w:right="23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6"/>
        </w:trPr>
        <w:tc>
          <w:tcPr>
            <w:tcW w:w="8140" w:type="dxa"/>
            <w:vAlign w:val="bottom"/>
            <w:tcBorders>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(80.5)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Basic net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4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loss per common share:</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during the period plus dilutive potential common shares</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Diluted net loss per common share:</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stock options outstanding</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Diluted average common shares used in the diluted loss per common share calculation for the three months ended December 30, 2023 and December 31, 2022 were 56.7 million and 55.5 million, respectively, which excluded potential Common Shares of 0.5 million and 0.2 million, respectively, because the effect of their inclusion would be anti-dilutive as the Company incurred a net loss for the three months ended December 30, 2023 and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effective tax rates for the three months ended December 30, 2023 and December 31, 2022 were 29.5% and 31.4%, respectively.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year-end.</w:t>
      </w:r>
    </w:p>
    <w:p>
      <w:pPr>
        <w:spacing w:after="0" w:line="4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2020. There are currently no ongoing audits with respect to the U.S. federal jurisdiction. With respect to the foreign jurisdictions, a Canadian audit covering fiscal years 2020 through 2021 is in process. The Company is currently under examination by certain U.S. state and local tax authorities covering various periods from fiscal years 2018 through 2019. In addition to the aforementioned audits, certain other tax deficiency notices and refund claims for previous years remain unresolved.</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7" w:name="page18"/>
    <w:bookmarkEnd w:id="17"/>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CONTINGENCIES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Matters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December 30, 2023, the Company had recorded liabilities of $2.6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condensed consolidated financial statements as the likelihood of a loss is not probable at this time; and the Company does not believe a reasonably possible loss would be material to, nor does it expect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 INSTRUMENTS AND HEDGING ACTIVITIES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 Risk Management</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$112.5, $159.9 and $123.1 at December 30, 2023, December 31, 2022 and September 30, 2023, respectively. Contracts outstanding at December 30, 2023 will mature over the next fiscal quarter.</w:t>
      </w:r>
    </w:p>
    <w:p>
      <w:pPr>
        <w:spacing w:after="0" w:line="200" w:lineRule="exact"/>
        <w:rPr>
          <w:sz w:val="20"/>
          <w:szCs w:val="20"/>
          <w:color w:val="auto"/>
        </w:rPr>
      </w:pPr>
    </w:p>
    <w:p>
      <w:pPr>
        <w:spacing w:after="0" w:line="31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8" w:name="page19"/>
    <w:bookmarkEnd w:id="18"/>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 Management</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December 30, 2023, December 31, 2022 and September 30, 2023 had a maximum total U.S. dollar equivalent notional amount of $700.0, $800.0 and $600.0, respectively. Refer to “NOTE 6. DEBT” for the terms of the swap agreements outstanding at December 30, 2023. Included in the AOCL balance at December 30, 2023 was a gain of $10.3 related to interest rate swap agreements that is expected to be reclassified to earnings during the next twelve months, consistent with the timing of the underlying hedged transactions.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 Management</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enters into hedging arrangements designed to fix the price of a portion of its projected future urea and diesel requirements. Commodity contracts are valued using observable commodity exchange prices in active markets. Included in the AOCL balance at December 30, 2023 was a loss of $3.3 related to commodity hedges that is expected to be reclassified to earnings during the next twelve months, consistent with the timing of the underlying hedged transactions.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had the following outstanding commodity contracts that were entered into to hedge forecasted purchases: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20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1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9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5080" w:type="dxa"/>
            <w:vAlign w:val="bottom"/>
            <w:gridSpan w:val="2"/>
            <w:vMerge w:val="continue"/>
          </w:tcPr>
          <w:p>
            <w:pPr>
              <w:spacing w:after="0"/>
              <w:rPr>
                <w:sz w:val="16"/>
                <w:szCs w:val="16"/>
                <w:color w:val="auto"/>
              </w:rPr>
            </w:pPr>
          </w:p>
        </w:tc>
        <w:tc>
          <w:tcPr>
            <w:tcW w:w="1980" w:type="dxa"/>
            <w:vAlign w:val="bottom"/>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8"/>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Urea</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 tons</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 tons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 tons</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Diesel</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2,226,000 gallons</w:t>
            </w:r>
          </w:p>
        </w:tc>
        <w:tc>
          <w:tcPr>
            <w:tcW w:w="2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2,058,000 gallons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1,974,000 gallons</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Heating Oil</w:t>
            </w:r>
          </w:p>
        </w:tc>
        <w:tc>
          <w:tcPr>
            <w:tcW w:w="2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1,008,000 gallons</w:t>
            </w:r>
          </w:p>
        </w:tc>
        <w:tc>
          <w:tcPr>
            <w:tcW w:w="2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1,092,000 gallons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966,000 gallons</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Values of Derivative Instruments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fair values of the Company’s derivative instruments, which represent Level 2 fair value measurements,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 /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1"/>
                <w:szCs w:val="11"/>
                <w:color w:val="auto"/>
              </w:rPr>
            </w:pPr>
          </w:p>
        </w:tc>
        <w:tc>
          <w:tcPr>
            <w:tcW w:w="1380" w:type="dxa"/>
            <w:vAlign w:val="bottom"/>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20" w:type="dxa"/>
            <w:vAlign w:val="bottom"/>
          </w:tcPr>
          <w:p>
            <w:pPr>
              <w:spacing w:after="0"/>
              <w:rPr>
                <w:sz w:val="11"/>
                <w:szCs w:val="11"/>
                <w:color w:val="auto"/>
              </w:rPr>
            </w:pPr>
          </w:p>
        </w:tc>
        <w:tc>
          <w:tcPr>
            <w:tcW w:w="14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1"/>
                <w:szCs w:val="11"/>
                <w:color w:val="auto"/>
              </w:rPr>
            </w:pPr>
          </w:p>
        </w:tc>
        <w:tc>
          <w:tcPr>
            <w:tcW w:w="1280" w:type="dxa"/>
            <w:vAlign w:val="bottom"/>
          </w:tcPr>
          <w:p>
            <w:pPr>
              <w:jc w:val="right"/>
              <w:ind w:right="213"/>
              <w:spacing w:after="0" w:line="12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500" w:type="dxa"/>
            <w:vAlign w:val="bottom"/>
            <w:gridSpan w:val="2"/>
            <w:vMerge w:val="continue"/>
          </w:tcPr>
          <w:p>
            <w:pPr>
              <w:spacing w:after="0"/>
              <w:rPr>
                <w:sz w:val="17"/>
                <w:szCs w:val="17"/>
                <w:color w:val="auto"/>
              </w:rPr>
            </w:pPr>
          </w:p>
        </w:tc>
        <w:tc>
          <w:tcPr>
            <w:tcW w:w="30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gridSpan w:val="4"/>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35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derivatives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19" w:name="page20"/>
    <w:bookmarkEnd w:id="19"/>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340"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effect of derivative instruments on AOCL, net of tax, and the Condensed Consolidated Statements of Operations for each of the periods presented was as follows:</w:t>
      </w:r>
    </w:p>
    <w:p>
      <w:pPr>
        <w:spacing w:after="0" w:line="20"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Amount of Gain / (Loss)</w:t>
      </w:r>
    </w:p>
    <w:p>
      <w:pPr>
        <w:spacing w:after="0" w:line="6"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4"/>
          <w:szCs w:val="14"/>
          <w:b w:val="1"/>
          <w:bCs w:val="1"/>
          <w:color w:val="auto"/>
        </w:rPr>
        <w:t>Recognized in AOCL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13335</wp:posOffset>
            </wp:positionV>
            <wp:extent cx="19716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33655</wp:posOffset>
            </wp:positionV>
            <wp:extent cx="19716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3960" w:type="dxa"/>
            <w:vAlign w:val="bottom"/>
          </w:tcPr>
          <w:p>
            <w:pPr>
              <w:jc w:val="center"/>
              <w:ind w:left="2288"/>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24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5700" w:type="dxa"/>
            <w:vAlign w:val="bottom"/>
            <w:vMerge w:val="continue"/>
          </w:tcPr>
          <w:p>
            <w:pPr>
              <w:spacing w:after="0"/>
              <w:rPr>
                <w:sz w:val="16"/>
                <w:szCs w:val="16"/>
                <w:color w:val="auto"/>
              </w:rPr>
            </w:pPr>
          </w:p>
        </w:tc>
        <w:tc>
          <w:tcPr>
            <w:tcW w:w="396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22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8"/>
                <w:szCs w:val="18"/>
                <w:color w:val="auto"/>
                <w:w w:val="98"/>
              </w:rPr>
              <w:t>(6.4)</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8"/>
                <w:szCs w:val="18"/>
                <w:color w:val="auto"/>
                <w:w w:val="98"/>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8"/>
                <w:szCs w:val="18"/>
                <w:color w:val="auto"/>
                <w:w w:val="98"/>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Reclassified from</w:t>
            </w: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AOCL into</w:t>
            </w: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4"/>
                <w:szCs w:val="14"/>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5780" w:type="dxa"/>
            <w:vAlign w:val="bottom"/>
            <w:gridSpan w:val="2"/>
            <w:vMerge w:val="continue"/>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2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819"/>
              <w:spacing w:after="0"/>
              <w:rPr>
                <w:sz w:val="20"/>
                <w:szCs w:val="20"/>
                <w:color w:val="auto"/>
              </w:rPr>
            </w:pPr>
            <w:r>
              <w:rPr>
                <w:rFonts w:ascii="Times New Roman" w:cs="Times New Roman" w:eastAsia="Times New Roman" w:hAnsi="Times New Roman"/>
                <w:sz w:val="18"/>
                <w:szCs w:val="18"/>
                <w:color w:val="auto"/>
                <w:w w:val="97"/>
              </w:rPr>
              <w:t>2.6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8"/>
                <w:szCs w:val="18"/>
                <w:color w:val="auto"/>
                <w:w w:val="98"/>
              </w:rPr>
              <w:t>(1.1)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819"/>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80" w:type="dxa"/>
            <w:vAlign w:val="bottom"/>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0" w:type="dxa"/>
            <w:vAlign w:val="bottom"/>
          </w:tcPr>
          <w:p>
            <w:pPr>
              <w:spacing w:after="0"/>
              <w:rPr>
                <w:sz w:val="1"/>
                <w:szCs w:val="1"/>
                <w:color w:val="auto"/>
              </w:rPr>
            </w:pPr>
          </w:p>
        </w:tc>
      </w:tr>
      <w:tr>
        <w:trPr>
          <w:trHeight w:val="23"/>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4"/>
        </w:trPr>
        <w:tc>
          <w:tcPr>
            <w:tcW w:w="5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4"/>
                <w:szCs w:val="14"/>
                <w:color w:val="auto"/>
              </w:rPr>
            </w:pPr>
          </w:p>
        </w:tc>
        <w:tc>
          <w:tcPr>
            <w:tcW w:w="12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5780" w:type="dxa"/>
            <w:vAlign w:val="bottom"/>
            <w:gridSpan w:val="2"/>
            <w:vMerge w:val="continue"/>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2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5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8"/>
                <w:szCs w:val="18"/>
                <w:color w:val="auto"/>
                <w:w w:val="98"/>
              </w:rPr>
              <w:t>(4.8)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2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779"/>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center"/>
              <w:ind w:left="779"/>
              <w:spacing w:after="0"/>
              <w:rPr>
                <w:sz w:val="20"/>
                <w:szCs w:val="20"/>
                <w:color w:val="auto"/>
              </w:rPr>
            </w:pPr>
            <w:r>
              <w:rPr>
                <w:rFonts w:ascii="Times New Roman" w:cs="Times New Roman" w:eastAsia="Times New Roman" w:hAnsi="Times New Roman"/>
                <w:sz w:val="18"/>
                <w:szCs w:val="18"/>
                <w:color w:val="auto"/>
                <w:w w:val="98"/>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0" w:name="page21"/>
    <w:bookmarkEnd w:id="20"/>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assets and liabilities for which disclosure of fair value is required: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60" w:type="dxa"/>
            <w:vAlign w:val="bottom"/>
          </w:tcPr>
          <w:p>
            <w:pPr>
              <w:spacing w:after="0"/>
              <w:rPr>
                <w:sz w:val="13"/>
                <w:szCs w:val="13"/>
                <w:color w:val="auto"/>
              </w:rPr>
            </w:pPr>
          </w:p>
        </w:tc>
        <w:tc>
          <w:tcPr>
            <w:tcW w:w="20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920" w:type="dxa"/>
            <w:vAlign w:val="bottom"/>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2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0"/>
                <w:szCs w:val="10"/>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0"/>
                <w:szCs w:val="10"/>
                <w:color w:val="auto"/>
              </w:rPr>
            </w:pPr>
          </w:p>
        </w:tc>
        <w:tc>
          <w:tcPr>
            <w:tcW w:w="8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Hierarchy</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Investment securities in non-qualified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retirement plan assets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instruments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Credit facilities – revolving loans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29"/>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facilities – term loans</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Receivables facility</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debt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balance of Level 3 convertible debt investments carried at fair value are presented below. There were no transfers into or out of Level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4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29"/>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realized / unrealized gains included in net earnings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 unrealized losses included in OCI</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1"/>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amortized cost basis of convertible debt investments was $225.9, $223.0 and $225.8 at December 30, 2023, December 31, 2022 and September 30, 2023, respectively. At December 30, 2023, December 31, 2022 and September 30, 2023, gross unrealized losses on convertible debt investments were $140.9, $131.9 and $140.0, respectively, and there were no gross unrealized gains. These investments have been in a continuous unrealized loss position for greater than 12 months as of December 30, 2023. The allowance for expected credit losses was $101.3, $0.0 and $101.3 at December 30, 2023, December 31, 2022 and September 30, 2023, respectively. At December 30, 2023, the period until scheduled maturity of the Company’s convertible debt investments was between 3.7 years and 5.7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1" w:name="page22"/>
    <w:bookmarkEnd w:id="21"/>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LEASES</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December 30, 2023, the Company had entered into operating leases that were yet to commence with a combined total expected lease liability of $23.3. From time to time, the Company will sublease portions of its facilities, resulting in sublease income. Sublease income and the related cash flows were not material to the condensed consolidated financial statements for the three months ended December 30, 2023 and December 31, 2022.</w:t>
      </w:r>
    </w:p>
    <w:p>
      <w:pPr>
        <w:spacing w:after="0" w:line="13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December 30, 2023, the Company’s residual value guarantee would have approximated $5.2.</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was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3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20" w:type="dxa"/>
            <w:vAlign w:val="bottom"/>
          </w:tcPr>
          <w:p>
            <w:pPr>
              <w:spacing w:after="0"/>
              <w:rPr>
                <w:sz w:val="13"/>
                <w:szCs w:val="13"/>
                <w:color w:val="auto"/>
              </w:rPr>
            </w:pP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2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4"/>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3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Components of lease cost were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5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4"/>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280" w:type="dxa"/>
            <w:vAlign w:val="bottom"/>
          </w:tcPr>
          <w:p>
            <w:pPr>
              <w:jc w:val="center"/>
              <w:ind w:right="11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24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324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(a)</w:t>
            </w: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6"/>
        </w:trPr>
        <w:tc>
          <w:tcPr>
            <w:tcW w:w="324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660" w:hanging="652"/>
        <w:spacing w:after="0" w:line="282"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cost includes amortization of right-of-use assets of $18.2 and $19.0 for the three months ended December 30, 2023 and December 31, 2022, respectively. Short-term lease expense is excluded from operating lease cost and is not material.</w:t>
      </w:r>
    </w:p>
    <w:p>
      <w:pPr>
        <w:spacing w:after="0" w:line="200" w:lineRule="exact"/>
        <w:rPr>
          <w:sz w:val="20"/>
          <w:szCs w:val="20"/>
          <w:color w:val="auto"/>
        </w:rPr>
      </w:pPr>
    </w:p>
    <w:p>
      <w:pPr>
        <w:spacing w:after="0" w:line="29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2" w:name="page23"/>
    <w:bookmarkEnd w:id="22"/>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leases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6"/>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31"/>
        </w:trPr>
        <w:tc>
          <w:tcPr>
            <w:tcW w:w="7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4"/>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1"/>
                <w:szCs w:val="11"/>
                <w:color w:val="auto"/>
              </w:rPr>
            </w:pPr>
          </w:p>
        </w:tc>
        <w:tc>
          <w:tcPr>
            <w:tcW w:w="1300" w:type="dxa"/>
            <w:vAlign w:val="bottom"/>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9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8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7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9"/>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4"/>
        </w:trPr>
        <w:tc>
          <w:tcPr>
            <w:tcW w:w="8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68"/>
        </w:trPr>
        <w:tc>
          <w:tcPr>
            <w:tcW w:w="81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the Company’s leases were as follows: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2"/>
        </w:trPr>
        <w:tc>
          <w:tcPr>
            <w:tcW w:w="7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4"/>
                <w:szCs w:val="14"/>
                <w:color w:val="auto"/>
              </w:rPr>
            </w:pPr>
          </w:p>
        </w:tc>
        <w:tc>
          <w:tcPr>
            <w:tcW w:w="13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8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8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56"/>
        </w:trPr>
        <w:tc>
          <w:tcPr>
            <w:tcW w:w="7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81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459"/>
        </w:trPr>
        <w:tc>
          <w:tcPr>
            <w:tcW w:w="974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leases as of December 30, 2023 were as follows: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6"/>
        </w:trPr>
        <w:tc>
          <w:tcPr>
            <w:tcW w:w="8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7"/>
                <w:szCs w:val="17"/>
                <w:color w:val="auto"/>
              </w:rPr>
            </w:pPr>
          </w:p>
        </w:tc>
        <w:tc>
          <w:tcPr>
            <w:tcW w:w="14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tcPr>
          <w:p>
            <w:pPr>
              <w:spacing w:after="0"/>
              <w:rPr>
                <w:sz w:val="17"/>
                <w:szCs w:val="17"/>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8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 of the year)</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81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81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8"/>
        </w:trPr>
        <w:tc>
          <w:tcPr>
            <w:tcW w:w="81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3" w:name="page24"/>
    <w:bookmarkEnd w:id="23"/>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INFORMATION</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in Canada.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w:t>
      </w:r>
    </w:p>
    <w:p>
      <w:pPr>
        <w:spacing w:after="0" w:line="11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tables present financial information for the Company’s reportable segments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280" w:type="dxa"/>
            <w:vAlign w:val="bottom"/>
          </w:tcPr>
          <w:p>
            <w:pPr>
              <w:jc w:val="right"/>
              <w:ind w:right="23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Consumer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r>
      <w:tr>
        <w:trPr>
          <w:trHeight w:val="229"/>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30"/>
        </w:trPr>
        <w:tc>
          <w:tcPr>
            <w:tcW w:w="8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48"/>
        </w:trPr>
        <w:tc>
          <w:tcPr>
            <w:tcW w:w="81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Consolidated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Consumer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8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30"/>
        </w:trPr>
        <w:tc>
          <w:tcPr>
            <w:tcW w:w="8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Segment Profit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1"/>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4" w:name="page25"/>
    <w:bookmarkEnd w:id="24"/>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 (UNAUDITED) — (Continued)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3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net sales by product category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280" w:type="dxa"/>
            <w:vAlign w:val="bottom"/>
          </w:tcPr>
          <w:p>
            <w:pPr>
              <w:jc w:val="center"/>
              <w:ind w:right="11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Lawn care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Growing media and mulch</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Controls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primarily gardening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Lighting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Nutrients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Growing environments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Growing media</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primarily hardware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Growing media</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Lawn care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primarily gardening and controls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net sales by geographic area for the periods indicated: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1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80" w:type="dxa"/>
            <w:vAlign w:val="bottom"/>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280" w:type="dxa"/>
            <w:vAlign w:val="bottom"/>
          </w:tcPr>
          <w:p>
            <w:pPr>
              <w:jc w:val="center"/>
              <w:ind w:right="113"/>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5" w:name="page26"/>
    <w:bookmarkEnd w:id="25"/>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purpose of this Management’s Discussion and Analysis (“MD&amp;A”) is to provide an understanding of our financial condition and results of operations by focusing on changes in certain key measures from year-to-year. This MD&amp;A includes the following sections:</w:t>
      </w:r>
    </w:p>
    <w:p>
      <w:pPr>
        <w:spacing w:after="0" w:line="54" w:lineRule="exact"/>
        <w:rPr>
          <w:sz w:val="20"/>
          <w:szCs w:val="20"/>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and estimates</w:t>
      </w:r>
    </w:p>
    <w:p>
      <w:pPr>
        <w:spacing w:after="0" w:line="9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This MD&amp;A should be read in conjunction with “Management’s Discussion and Analysis of Financial Condition and Results of Operations” included in Scotts Miracle-Gro’s Annual Report on Form 10-K for the fiscal year ended September 30, 2023 (the “2023 Annual Report”) and our condensed consolidated financial statements included in this Quarterly Report on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in Canada.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w:t>
      </w:r>
    </w:p>
    <w:p>
      <w:pPr>
        <w:spacing w:after="0" w:line="48" w:lineRule="exact"/>
        <w:rPr>
          <w:sz w:val="20"/>
          <w:szCs w:val="20"/>
          <w:color w:val="auto"/>
        </w:rPr>
      </w:pPr>
    </w:p>
    <w:p>
      <w:pPr>
        <w:jc w:val="both"/>
        <w:ind w:firstLine="445"/>
        <w:spacing w:after="0" w:line="226" w:lineRule="auto"/>
        <w:rPr>
          <w:sz w:val="20"/>
          <w:szCs w:val="20"/>
          <w:color w:val="auto"/>
        </w:rPr>
      </w:pPr>
      <w:r>
        <w:rPr>
          <w:rFonts w:ascii="Times New Roman" w:cs="Times New Roman" w:eastAsia="Times New Roman" w:hAnsi="Times New Roman"/>
          <w:sz w:val="18"/>
          <w:szCs w:val="18"/>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lawn fertilizer and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grass seed products;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soil, plant food and gardening products;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herbicide and pesticide products; and Tomcat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rodent control and animal repellent products. We are the exclusive agent of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within the United States and certain other specified countries. In addition, we have an equity interest in Bonnie Plants, LLC, a joint venture with AFC focused on planting, growing, developing, distributing, marketing and selling live plants.</w:t>
      </w:r>
    </w:p>
    <w:p>
      <w:pPr>
        <w:spacing w:after="0" w:line="80"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color w:val="auto"/>
        </w:rPr>
        <w:t>Through our Hawthorne segment, we are a leading manufacturer, marketer and distributor of lighting, nutrients, growing media, growing environments and hardware products for indoor and hydroponic gardening in North America. Our key brands include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Due to the seasonal nature of the consumer lawn and garden business, significant portions of our U.S. Consumer and Other segment sales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Our Hawthorne segment is also impacted by seasonal sales patterns for certain product categories due to the timing of growing patterns in North America during our second and third fiscal quarters, and the timing of certain controlled agricultural lighting project sales during our third and fourth fiscal quarters.</w:t>
      </w:r>
    </w:p>
    <w:p>
      <w:pPr>
        <w:jc w:val="center"/>
        <w:ind w:left="6180"/>
        <w:spacing w:after="0" w:line="230" w:lineRule="auto"/>
        <w:rPr>
          <w:sz w:val="20"/>
          <w:szCs w:val="20"/>
          <w:color w:val="auto"/>
        </w:rPr>
      </w:pPr>
      <w:r>
        <w:rPr>
          <w:rFonts w:ascii="Times New Roman" w:cs="Times New Roman" w:eastAsia="Times New Roman" w:hAnsi="Times New Roman"/>
          <w:sz w:val="14"/>
          <w:szCs w:val="14"/>
          <w:b w:val="1"/>
          <w:bCs w:val="1"/>
          <w:color w:val="auto"/>
        </w:rPr>
        <w:t>Percent of Net Sales from Continuing</w:t>
      </w: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Operations by Quarter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0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r>
      <w:tr>
        <w:trPr>
          <w:trHeight w:val="230"/>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37.1 %</w:t>
            </w:r>
          </w:p>
        </w:tc>
      </w:tr>
      <w:tr>
        <w:trPr>
          <w:trHeight w:val="230"/>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34"/>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6" w:name="page27"/>
    <w:bookmarkEnd w:id="2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During fiscal 2022, we began implementing a series of Company-wide organizational changes and initiatives intended to create operational and management-level efficiencies. These changes and initiatives include reducing the size of our supply chain network, reducing staffing levels and implementing other cost-reduction initiatives. We have also accelerated the reduction of certain Hawthorne inventory, primarily lighting, growing environments and hardware products, to reduce our on hand inventory to align with the reduced network capacity. We expect these efforts to deliver run-rate annualized savings of at least $300.0, nearly all of which is expected to be realized by the end of fiscal 2024. The restructuring initiative is expected to improve our gross margin rate and decrease SG&amp;A. During the three months ended December 30, 2023, we recorded recoveries of $5.8 in the “Cost of sales—impairment, restructuring and other” line in the Condensed Consolidated Statements of Operations and incurred costs of $2.0 in the “Impairment, restructuring and other” line in the Condensed Consolidated Statements of Operations associated with this restructuring initiative, primarily related to the sale of certain previously-reserved inventory at amounts in excess of estimated net realizable value, partially offset by employee termination benefits and facility closure costs. Costs incurred from the inception of this restructuring initiative through December 30, 2023 were $290.5.</w:t>
      </w:r>
    </w:p>
    <w:p>
      <w:pPr>
        <w:spacing w:after="0" w:line="5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three months ended December 30, 2023, our Hawthorne segment continued to experience adverse financial results primarily due to decreased sales volume. The decrease in sales volume is attributable to an oversupply of cannabis, which significantly decreased cannabis wholesale prices and indoor and outdoor cannabis cultivation. The oversupply has been driven by increased licensing activity across the U.S., significant capital investment in the cannabis production marketplace over the past several years, inconsistent enforcement of regulations and the market impacts of the COVID-19 pandemic. We expect that the oversupply of cannabis will continue to adversely impact our Hawthorne segment. If the oversupply of cannabis persists longer, or is more significant than we expect, our results of operations could be materially and adversely impacted for a longer period and to a greater extent than we currently anticipate.</w:t>
      </w:r>
    </w:p>
    <w:p>
      <w:pPr>
        <w:spacing w:after="0" w:line="6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three months ended December 30, 2023, we continued to experience the impacts of cost inflation, resulting in persistently high manufacturing costs, and volatile commodity costs. Higher costs over the past several years required us to implement significant price increases across our business in fiscal 2022 and 2023, and we expect targeted price reductions on certain products during fiscal 2024. Inflationary headwinds, volatile commodity costs and higher interest rates are expected to continue. The impact that these trends will continue to have on our operational and financial performance will depend on future developments, including inflationary and macroeconomic conditions and their impact on consumer behavior, which are difficult to predict.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components of earnings as a percentage of net sales for the three months ended December 30,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95"/>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Sales</w:t>
            </w:r>
          </w:p>
        </w:tc>
        <w:tc>
          <w:tcPr>
            <w:tcW w:w="160" w:type="dxa"/>
            <w:vAlign w:val="bottom"/>
          </w:tcPr>
          <w:p>
            <w:pPr>
              <w:spacing w:after="0"/>
              <w:rPr>
                <w:sz w:val="16"/>
                <w:szCs w:val="16"/>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3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Net Sales</w:t>
            </w:r>
          </w:p>
        </w:tc>
      </w:tr>
      <w:tr>
        <w:trPr>
          <w:trHeight w:val="228"/>
        </w:trPr>
        <w:tc>
          <w:tcPr>
            <w:tcW w:w="5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79.9</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18.2</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5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5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7" w:name="page28"/>
    <w:bookmarkEnd w:id="27"/>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sales for the three months ended December 30, 2023 were $410.4, a decrease of 22.1% from net sales of $526.6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Factors contributing to the change in net sales are outlined in the following table: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4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800" w:type="dxa"/>
            <w:vAlign w:val="bottom"/>
          </w:tcPr>
          <w:p>
            <w:pPr>
              <w:spacing w:after="0"/>
              <w:rPr>
                <w:sz w:val="17"/>
                <w:szCs w:val="17"/>
                <w:color w:val="auto"/>
              </w:rPr>
            </w:pPr>
          </w:p>
        </w:tc>
        <w:tc>
          <w:tcPr>
            <w:tcW w:w="24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3"/>
        </w:trPr>
        <w:tc>
          <w:tcPr>
            <w:tcW w:w="88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and mix</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24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24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net sales</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880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decrease in net sales for the three months ended December 30, 2023 as compared to the three months ended December 31, 2022 was primarily driven by:</w:t>
      </w:r>
    </w:p>
    <w:p>
      <w:pPr>
        <w:spacing w:after="0" w:line="54" w:lineRule="exact"/>
        <w:rPr>
          <w:sz w:val="20"/>
          <w:szCs w:val="20"/>
          <w:color w:val="auto"/>
        </w:rPr>
      </w:pPr>
    </w:p>
    <w:p>
      <w:pPr>
        <w:ind w:left="980" w:hanging="324"/>
        <w:spacing w:after="0" w:line="282" w:lineRule="auto"/>
        <w:tabs>
          <w:tab w:leader="none" w:pos="976" w:val="left"/>
        </w:tabs>
        <w:numPr>
          <w:ilvl w:val="0"/>
          <w:numId w:val="7"/>
        </w:numPr>
        <w:rPr>
          <w:rFonts w:ascii="Times New Roman" w:cs="Times New Roman" w:eastAsia="Times New Roman" w:hAnsi="Times New Roman"/>
          <w:sz w:val="14"/>
          <w:szCs w:val="14"/>
          <w:color w:val="333333"/>
        </w:rPr>
      </w:pPr>
      <w:r>
        <w:rPr>
          <w:rFonts w:ascii="Times New Roman" w:cs="Times New Roman" w:eastAsia="Times New Roman" w:hAnsi="Times New Roman"/>
          <w:sz w:val="18"/>
          <w:szCs w:val="18"/>
          <w:color w:val="auto"/>
        </w:rPr>
        <w:t>decreased sales volume driven by lighting, growing environments, growing media, hardware and nutrients products in our Hawthorne segment; and lawn care, gardens and controls products in our U.S. Consumer segment; and</w:t>
      </w:r>
    </w:p>
    <w:p>
      <w:pPr>
        <w:spacing w:after="0" w:line="53" w:lineRule="exact"/>
        <w:rPr>
          <w:rFonts w:ascii="Times New Roman" w:cs="Times New Roman" w:eastAsia="Times New Roman" w:hAnsi="Times New Roman"/>
          <w:sz w:val="14"/>
          <w:szCs w:val="14"/>
          <w:color w:val="333333"/>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pricing in our U.S. Consumer, Hawthorne and Other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major components of cost of sales: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1"/>
                <w:szCs w:val="11"/>
                <w:color w:val="auto"/>
              </w:rPr>
            </w:pPr>
          </w:p>
        </w:tc>
        <w:tc>
          <w:tcPr>
            <w:tcW w:w="1140" w:type="dxa"/>
            <w:vAlign w:val="bottom"/>
          </w:tcPr>
          <w:p>
            <w:pPr>
              <w:jc w:val="right"/>
              <w:ind w:right="152"/>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and warehousing</w:t>
            </w: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labor and overhead</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w w:val="98"/>
              </w:rPr>
              <w:t>(5.8)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Factors contributing to the change in cost of sales are outlined in the following table: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8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mix and other</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 changes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cost of sales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cost of sales for the three months ended December 30, 2023 as compared to the three months ended December 31, 2022 was primarily driven by:</w:t>
      </w:r>
    </w:p>
    <w:p>
      <w:pPr>
        <w:spacing w:after="0" w:line="5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volume in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warehousing costs included within “volume, mix and other” in our U.S. Consumer and Hawthorne segments;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higher material costs in our U.S. Consumer and Other segments;</w:t>
      </w:r>
    </w:p>
    <w:p>
      <w:pPr>
        <w:sectPr>
          <w:pgSz w:w="11900" w:h="16838" w:orient="portrait"/>
          <w:cols w:equalWidth="0" w:num="1">
            <w:col w:w="11240"/>
          </w:cols>
          <w:pgMar w:left="320" w:top="15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type w:val="continuous"/>
        </w:sectPr>
      </w:pPr>
    </w:p>
    <w:bookmarkStart w:id="28" w:name="page29"/>
    <w:bookmarkEnd w:id="28"/>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381" w:lineRule="exact"/>
        <w:rPr>
          <w:sz w:val="20"/>
          <w:szCs w:val="20"/>
          <w:color w:val="auto"/>
        </w:rPr>
      </w:pPr>
    </w:p>
    <w:p>
      <w:pPr>
        <w:ind w:left="980" w:hanging="324"/>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manufacturing costs, primarily labor, included with “volume, mix and other” in our U.S. Consumer, Hawthorne and Other segments; and</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a percentage of net sales, our gross margin rate was 15.2% and 18.2% for the three months ended December 30, 2023 and December 31, 2022, respectively. Factors contributing to the change in gross margin rate are outlined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4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3"/>
        </w:trPr>
        <w:tc>
          <w:tcPr>
            <w:tcW w:w="8800" w:type="dxa"/>
            <w:vAlign w:val="bottom"/>
          </w:tcPr>
          <w:p>
            <w:pPr>
              <w:spacing w:after="0"/>
              <w:rPr>
                <w:sz w:val="17"/>
                <w:szCs w:val="17"/>
                <w:color w:val="auto"/>
              </w:rPr>
            </w:pPr>
          </w:p>
        </w:tc>
        <w:tc>
          <w:tcPr>
            <w:tcW w:w="24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3"/>
        </w:trPr>
        <w:tc>
          <w:tcPr>
            <w:tcW w:w="88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244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costs</w:t>
            </w:r>
          </w:p>
        </w:tc>
        <w:tc>
          <w:tcPr>
            <w:tcW w:w="24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mix and other</w:t>
            </w:r>
          </w:p>
        </w:tc>
        <w:tc>
          <w:tcPr>
            <w:tcW w:w="244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8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commissions and reimbursements</w:t>
            </w:r>
          </w:p>
        </w:tc>
        <w:tc>
          <w:tcPr>
            <w:tcW w:w="244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800" w:type="dxa"/>
            <w:vAlign w:val="bottom"/>
            <w:shd w:val="clear" w:color="auto" w:fill="CCEEFF"/>
          </w:tcPr>
          <w:p>
            <w:pPr>
              <w:spacing w:after="0"/>
              <w:rPr>
                <w:sz w:val="19"/>
                <w:szCs w:val="19"/>
                <w:color w:val="auto"/>
              </w:rPr>
            </w:pPr>
          </w:p>
        </w:tc>
        <w:tc>
          <w:tcPr>
            <w:tcW w:w="244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4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gross margin rate</w:t>
            </w:r>
          </w:p>
        </w:tc>
        <w:tc>
          <w:tcPr>
            <w:tcW w:w="2440" w:type="dxa"/>
            <w:vAlign w:val="bottom"/>
            <w:tcBorders>
              <w:bottom w:val="single" w:sz="8" w:color="auto"/>
            </w:tcBorders>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decrease in gross margin rate for the three months ended December 30, 2023 as compared to the three months ended December 31, 2022 was primarily driven by:</w:t>
      </w:r>
    </w:p>
    <w:p>
      <w:pPr>
        <w:spacing w:after="0" w:line="54"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decreased pricing in our U.S. Consumer, Hawthorne and Other segments;</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material costs in our U.S. Consumer and Other segments;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leverage of fixed costs, included with “volume, mix and other,” driven by lower sales volume in our U.S. Consumer and Hawthorne segments;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manufacturing costs, primarily labor, included with “volume, mix and other” in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lower warehousing costs included within “volume, mix and other” in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mix associated with our Hawthorne segment;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components of selling, general and administrative expenses (“SG&amp;A”):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1"/>
                <w:szCs w:val="11"/>
                <w:color w:val="auto"/>
              </w:rPr>
            </w:pPr>
          </w:p>
        </w:tc>
        <w:tc>
          <w:tcPr>
            <w:tcW w:w="1140" w:type="dxa"/>
            <w:vAlign w:val="bottom"/>
          </w:tcPr>
          <w:p>
            <w:pPr>
              <w:jc w:val="right"/>
              <w:ind w:right="15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r>
      <w:tr>
        <w:trPr>
          <w:trHeight w:val="223"/>
        </w:trPr>
        <w:tc>
          <w:tcPr>
            <w:tcW w:w="8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SG&amp;A decreased $13.7, or 10.7%, during the three months ended December 30, 2023 compared to the three months ended December 31, 2022. Advertising expense increased $2.1, or 13.7%, due to higher media spending in our U.S. Consumer segment. Share-based compensation expense, which excludes certain advertising expenses paid for in Common Shares, decreased $5.4, or 28.7%, driven by management’s assessment of a lower probability of achievement of performance goals for certain long-term performance-based award units as well as a decrease in short-term variable incentive compensation provided to employees as share-based awards. Amortization expense decreased $3.6 or 50.7%, driven by the impairment of certain</w:t>
      </w:r>
    </w:p>
    <w:p>
      <w:pPr>
        <w:spacing w:after="0" w:line="200" w:lineRule="exact"/>
        <w:rPr>
          <w:sz w:val="20"/>
          <w:szCs w:val="20"/>
          <w:color w:val="auto"/>
        </w:rPr>
      </w:pPr>
    </w:p>
    <w:p>
      <w:pPr>
        <w:spacing w:after="0" w:line="32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29" w:name="page30"/>
    <w:bookmarkEnd w:id="29"/>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Hawthorne segment intangible assets during fiscal 2023. Other SG&amp;A decreased $6.3, or 8.0%, driven by reductions in staffing levels and other cost-reduction initiatives.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(recoveries) for each of the periods presented: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28"/>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1"/>
                <w:szCs w:val="11"/>
                <w:color w:val="auto"/>
              </w:rPr>
            </w:pPr>
          </w:p>
        </w:tc>
        <w:tc>
          <w:tcPr>
            <w:tcW w:w="1140" w:type="dxa"/>
            <w:vAlign w:val="bottom"/>
          </w:tcPr>
          <w:p>
            <w:pPr>
              <w:jc w:val="right"/>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 (recoveries),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During fiscal 2022, we began implementing a series of Company-wide organizational changes and initiatives intended to create operational and management-level efficiencies. These changes and initiatives include reducing the size of our supply chain network, reducing staffing levels and implementing other cost-reduction initiatives. We have also accelerated the reduction of certain Hawthorne inventory, primarily lighting, growing environments and hardware products, to reduce our on hand inventory to align with the reduced network capacity. During the three months ended December 30, 2023, we recorded recoveries of $3.7 associated with this restructuring initiative, primarily related to the sale of certain previously-reserved inventory at amounts in excess of estimated net realizable value, partially offset by employee termination benefits and facility closure costs. We incurred costs of $2.0 in our U.S. Consumer segment and recorded recoveries of $7.7 in our Hawthorne segment in the “Cost of sales—impairment, restructuring and other” line in the Condensed Consolidated Statements of Operations during the three months ended December 30, 2023. We recorded recoveries of $0.8 in our U.S. Consumer segment and incurred costs of $0.3 in our Hawthorne segment and $2.4 at Corporate in the “Impairment, restructuring and other” line in the Condensed Consolidated Statements of Operations during the three months ended December 30, 2023. During the three months ended December 31, 2022, we incurred costs of $14.5 associated with this restructuring initiative primarily related to employee termination benefits, facility closure costs and impairment of property, plant and equipment. We incurred costs of $1.0 in our U.S. Consumer segment and $8.4 in our Hawthorne segment in the “Cost of sales—impairment, restructuring and other” line in the Condensed Consolidated Statements of Operations during the three months ended December 31, 2022. We incurred costs of $0.2 in our U.S. Consumer segment, $1.0 in our Hawthorne segment, $0.1 in our Other segment and $3.8 at Corporate in the “Impairment, restructuring and other” line in the Condensed Consolidated Statements of Operations during the three months ended December 31, 2022. Costs incurred since the inception of this restructuring initiative through December 30, 2023 were $217.1 for our Hawthorne segment, $46.7 for our U.S. Consumer segment, $1.6 for our Other segment and $25.1 for Corporate. We continue to evaluate additional network and organizational changes, which, if executed, may result in additional restructuring charges in future periods.</w:t>
      </w:r>
    </w:p>
    <w:p>
      <w:pPr>
        <w:spacing w:after="0" w:line="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30, 2023, we recorded a gain of $12.1 in the “Impairment, restructuring and other” line in the Condensed Consolidated Statements of Operations associated with a payment received in resolution of a dispute with the former ownership group of a business that was acquired in fiscal 2022. This payment was classified as an operating activity in the Condensed Consolidated Statements of Cash Flows.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Loss from operations was $47.3 for the three months ended December 30, 2023, an increase of 13.2% compared to $41.8 for the three months ended December 31, 2022. The increase was driven by lower net sales and a decrease in gross margin rate, partially offset by lower impairment, restructuring and other charges and lower SG&amp;A.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Loss of Unconsolidated Affiliates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Equity in loss of unconsolidated affiliates associated with Bonnie Plants, LLC was $22.5 and $11.4 during the three months ended December 30, 2023 and December 31, 2022, respectively. We anticipated a net loss for Bonnie Plants, LLC in the first quarter due to the seasonal nature of its business, in which sales are heavily weighted to the spring and summer selling periods. During the three months ended December 30, 2023, equity in loss of unconsolidated affiliates also included a pre-tax impairment charge of $10.4 associated with our investment in Bonnie Plants, LLC.</w:t>
      </w:r>
    </w:p>
    <w:p>
      <w:pPr>
        <w:spacing w:after="0" w:line="200" w:lineRule="exact"/>
        <w:rPr>
          <w:sz w:val="20"/>
          <w:szCs w:val="20"/>
          <w:color w:val="auto"/>
        </w:rPr>
      </w:pPr>
    </w:p>
    <w:p>
      <w:pPr>
        <w:spacing w:after="0" w:line="31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0" w:name="page31"/>
    <w:bookmarkEnd w:id="30"/>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Interest expense was $42.8 for the three months ended December 30, 2023, an increase of 0.2% compared to $42.7 for the three months ended December 31, 2022. The increase was driven by an increase in our weighted average interest rate, net of the impact of interest rate swaps, of 80 basis points, partially offset by lower average borrowings of $428.9. The increase in our weighted average interest rate was primarily driven by higher borrowing rates on the Sixth A&amp;R Credit Agreement. The decrease in average borrowings was primarily driven by net debt repayments during fiscal 2023 that resulted in a lower beginning debt balance for the three months ended December 30, 2023 as well as the impact of the expiration of the Receivables Facility and the execution of the Master Receivables Purchase Agreement.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effective tax rates for the three months ended December 30, 2023 and December 31, 2022 were 29.5% and 31.4%, respectively.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Net loss was $80.5, or $1.42 per diluted share, for the three months ended December 30, 2023 compared to $64.7, or $1.17 per diluted share, for the three months ended December 31, 2022. The increase was driven by lower net sales, a decrease in gross margin rate and higher equity in loss of unconsolidated affiliates, partially offset by lower impairment, restructuring and other charges and lower SG&amp;A.</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Diluted average common shares used in the diluted loss per common share calculation for the three months ended December 30, 2023 and December 31, 2022 were 56.7 million and 55.5 million, respectively, which excluded potential Common Shares of 0.5 million and 0.2 million, respectively, because the effect of their inclusion would be anti-dilutive as we incurred a net loss for the three months ended December 30, 2023 and December 31, 2022. The increase in diluted average common shares was primarily the result of the exercise and issuance of share-based compensation awards.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net sales by segment: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1"/>
                <w:szCs w:val="11"/>
                <w:color w:val="auto"/>
              </w:rPr>
            </w:pPr>
          </w:p>
        </w:tc>
        <w:tc>
          <w:tcPr>
            <w:tcW w:w="1140" w:type="dxa"/>
            <w:vAlign w:val="bottom"/>
          </w:tcPr>
          <w:p>
            <w:pPr>
              <w:jc w:val="right"/>
              <w:ind w:right="156"/>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8"/>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49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3"/>
        </w:trPr>
        <w:tc>
          <w:tcPr>
            <w:tcW w:w="3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Consolidated</w:t>
            </w:r>
          </w:p>
        </w:tc>
        <w:tc>
          <w:tcPr>
            <w:tcW w:w="49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900" w:type="dxa"/>
            <w:vAlign w:val="bottom"/>
            <w:vMerge w:val="restart"/>
          </w:tcPr>
          <w:p>
            <w:pPr>
              <w:jc w:val="right"/>
              <w:ind w:right="2450"/>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5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1" w:name="page32"/>
    <w:bookmarkEnd w:id="31"/>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Segment Profit (Loss) as well as a reconciliation to loss before income taxes, the most directly comparable GAAP measure: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31"/>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80" w:type="dxa"/>
            <w:vAlign w:val="bottom"/>
          </w:tcPr>
          <w:p>
            <w:pPr>
              <w:spacing w:after="0"/>
              <w:rPr>
                <w:sz w:val="11"/>
                <w:szCs w:val="11"/>
                <w:color w:val="auto"/>
              </w:rPr>
            </w:pPr>
          </w:p>
        </w:tc>
        <w:tc>
          <w:tcPr>
            <w:tcW w:w="1140" w:type="dxa"/>
            <w:vAlign w:val="bottom"/>
          </w:tcPr>
          <w:p>
            <w:pPr>
              <w:jc w:val="right"/>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Segment Profit (Loss) (Non-GAAP)</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Loss before income taxes (GAAP)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Consumer</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U.S. Consumer segment net sales were $306.7 in the first quarter of fiscal 2024, a decrease of 16.9% from first quarter of fiscal 2023 net sales of $369.0. The decrease was driven by lower sales volume of 13.3% and decreased pricing of 3.6%. The decrease in sales volume was driven by lawn care, gardens and controls products.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U.S. Consumer Segment Loss was $15.5 in the first quarter of fiscal 2024, a decrease from first quarter of fiscal 2023 Segment Profit of $31.3. The decrease was due to lower net sales and a lower gross margin rate, partially offset by lower SG&amp;A.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Hawthorne</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Hawthorne segment net sales were $80.1 in the first quarter of fiscal 2024, a decrease of 39.1% from first quarter of fiscal 2023 net sales of $131.5. The decrease was driven by lower sales volume of 38.0% and decreased pricing of 1.9%, partially offset by favorable foreign exchange rates of 0.8%. The decrease in sales volume was driven by lighting, growing environments, growing media, hardware and nutrients products.</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Hawthorne Segment Loss was $9.7 in the first quarter of fiscal 2024, a decrease from first quarter of fiscal 2023 Segment Loss of $16.2. The decrease was driven by a higher gross margin rate and lower SG&amp;A, partially offset by lower net sales.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segment net sales were $23.6 in the first quarter of fiscal 2024, a decrease of 9.6% from the first quarter of fiscal 2023 net sales of $26.1. The decrease was driven by lower sales volume of 8.0%, decreased pricing of 1.2% and unfavorable foreign exchange rates of 0.4%.</w:t>
      </w:r>
    </w:p>
    <w:p>
      <w:pPr>
        <w:spacing w:after="0" w:line="9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Other Segment Loss was $5.0 in the first quarter of fiscal 2024, a decrease from first quarter of fiscal 2023 Segment Profit of $1.4. The decrease was driven by lower net sales, a lower gross margin rate and higher SG&amp;A.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Corporate expenses were $26.0 in the first quarter of fiscal 2024, a decrease of 18.5% from first quarter of fiscal 2023 expenses of $31.9. The decrease was driven by lower share-based compensation expense and reductions in staffing levels and other cost-reduction initiatives.</w:t>
      </w:r>
    </w:p>
    <w:p>
      <w:pPr>
        <w:spacing w:after="0" w:line="200" w:lineRule="exact"/>
        <w:rPr>
          <w:sz w:val="20"/>
          <w:szCs w:val="20"/>
          <w:color w:val="auto"/>
        </w:rPr>
      </w:pPr>
    </w:p>
    <w:p>
      <w:pPr>
        <w:spacing w:after="0" w:line="29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Contents</w:t>
            </w:r>
          </w:p>
        </w:tc>
        <w:tc>
          <w:tcPr>
            <w:tcW w:w="4500" w:type="dxa"/>
            <w:vAlign w:val="bottom"/>
            <w:gridSpan w:val="2"/>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2"/>
        </w:trPr>
        <w:tc>
          <w:tcPr>
            <w:tcW w:w="3860" w:type="dxa"/>
            <w:vAlign w:val="bottom"/>
          </w:tcPr>
          <w:p>
            <w:pPr>
              <w:spacing w:after="0"/>
              <w:rPr>
                <w:sz w:val="18"/>
                <w:szCs w:val="18"/>
                <w:color w:val="auto"/>
              </w:rPr>
            </w:pPr>
          </w:p>
        </w:tc>
        <w:tc>
          <w:tcPr>
            <w:tcW w:w="4500" w:type="dxa"/>
            <w:vAlign w:val="bottom"/>
            <w:gridSpan w:val="2"/>
          </w:tcPr>
          <w:p>
            <w:pPr>
              <w:jc w:val="center"/>
              <w:ind w:right="91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829"/>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8"/>
        </w:trPr>
        <w:tc>
          <w:tcPr>
            <w:tcW w:w="38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The following table summarizes cash activities:</w:t>
            </w: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3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3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1"/>
        </w:trPr>
        <w:tc>
          <w:tcPr>
            <w:tcW w:w="38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20" w:type="dxa"/>
            <w:vAlign w:val="bottom"/>
          </w:tcPr>
          <w:p>
            <w:pPr>
              <w:spacing w:after="0"/>
              <w:rPr>
                <w:sz w:val="11"/>
                <w:szCs w:val="11"/>
                <w:color w:val="auto"/>
              </w:rPr>
            </w:pPr>
          </w:p>
        </w:tc>
        <w:tc>
          <w:tcPr>
            <w:tcW w:w="1280" w:type="dxa"/>
            <w:vAlign w:val="bottom"/>
          </w:tcPr>
          <w:p>
            <w:pPr>
              <w:jc w:val="right"/>
              <w:ind w:right="237"/>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6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Cash used in operating activities totaled $343.2 for the three months ended December 30, 2023, a decrease of $88.4 compared to $431.6 for the three months ended December 31, 2022. This decrease was driven by lower accounts receivable, accounts payable timing and lower SG&amp;A, partially offset by higher inventory production, lower gross margin, higher payments to customers related to promotional programs and lower income tax refunds received. Lower accounts receivable is driven by the favorable impact of accounts receivable sold under the Master Receivables Purchase Agreement which was entered into on October 27, 2023. Accounts payable timing is driven by the impact of extended payment terms with vendors for payments originally due in the final weeks of fiscal 2022 that were paid in the first quarter of fiscal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totaled $53.2 for the three months ended December 30, 2023, an increase of $17.2 compared to $36.0 for the three months ended December 31, 2022. Cash used for investments in property, plant and equipment during the first three months of fiscal 2024 and 2023 was $37.9 and $29.6, respectively. During the three months ended December 30, 2023, we acquired an additional equity interest in Bonnie Plants, LLC for $21.4. During the three months ended December 30, 2023 and December 31, 2022, we had other investing cash inflows (outflows) of $6.1 and $(6.4), respectively, primarily associated with currency forward contracts.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totaled $374.2 for the three months ended December 30, 2023 compared to $406.2 for the three months ended December 31, 2022. During the three months ended December 30, 2023, we had net borrowings on our debt instruments of $410.2 due to our seasonal working capital build, paid dividends of $37.4 and repurchased Common Shares for $3.1 (which includes cash paid to tax authorities to satisfy statutory income tax withholding obligations related to share-based compensation). During the three months ended December 31, 2022, we had net borrowings on our debt instruments of $443.0 and paid dividends of $36.6.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Sales</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October 27, 2023, we entered into the Master Receivables Purchase Agreement under which we may sell up to $600.0 of available and eligible outstanding customer accounts receivable generated by sales to four specified customers. The agreement is uncommitted and has an initial term that expires October 25, 2024, unless earlier terminated by the purchaser. Transactions under this agreement are accounted for as sales of accounts receivable, and the receivables sold are removed from the Condensed Consolidated Balance Sheets at the time of the sales transaction. Proceeds received from the sales of accounts receivable are classified as operating cash flows and collections of previously sold accounts receivable not yet submitted to the financial institution are classified as financing cash flows in the Condensed Consolidated Statements of Cash Flows. We record the discount in the “Other expense, net” line in the Condensed Consolidated Statements of Operations. At December 30, 2023, net receivables of $140.1 were derecognized. During the three months ended December 30, 2023, proceeds from the sale of receivables under the Master Receivables Purchase Agreement totaled $199.6.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have an agreement to provide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3" w:name="page34"/>
    <w:bookmarkEnd w:id="33"/>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obligations under our supplier finance program were $30.8, $20.4 and $18.3 at December 30, 2023, December 31, 2022 and September 30, 2023, respectively, and are recorded within accounts payable in the Condensed Consolidated Balance Sheets. The associated payments were $69.8 and $50.5 for the three months ended December 30, 2023 and December 31, 2022, respectively, and are classified as operating activities in the Condensed Consolidated Statements of Cash Flows.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$10.4, $25.6 and $31.9 as of December 30, 2023, December 31, 2022 and September 30, 2023, respectively, included $4.0, $11.6 and $26.6, respectively, held by controlled foreign corporations. As of December 30, 2023, we maintain our assertion of indefinite reinvestment of the earnings of all material foreign subsidiaries.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Agreements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generated by operations and borrowings under our credit facilities, which are guaranteed by substantially all of Scotts Miracle-Gro’s domestic subsidiaries. 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terms of the Sixth A&amp;R Credit Agreement, loans bear interest, at our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8, 2022, we entered into Amendment No. 1 to the Sixth A&amp;R Credit Agreement.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our quarterly-tested leverage ratio exceeded 4.75.</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31, 2023, we entered into Amendment No. 2 to the Sixth A&amp;R Credit Agreement. Amendment No. 2 (i) reduces the revolving loan commitments by $250.0; (ii) increases the maximum permitted leverage ratio for the quarterly leverage covenant during the Leverage Adjustment Period;</w:t>
      </w:r>
    </w:p>
    <w:p>
      <w:pPr>
        <w:jc w:val="both"/>
        <w:ind w:firstLine="8"/>
        <w:spacing w:after="0" w:line="251" w:lineRule="auto"/>
        <w:tabs>
          <w:tab w:leader="none" w:pos="3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our intellectual property (subject to certain exceptions) as collateral to secure our obligations under the Sixth A&amp;R Credit Agreement. Additionally, Amendment No. 2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other restricted payments in an aggregate amount not to exceed $25.0. Amendment No. 2 also subjects our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w:t>
      </w:r>
    </w:p>
    <w:p>
      <w:pPr>
        <w:spacing w:after="0" w:line="11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At December 30, 2023, we had letters of credit outstanding in the aggregate principal amount of $78.0, and had $660.7 of borrowing availability under the Sixth A&amp;R Credit Agreement. The weighted average interest rates on average borrowings</w:t>
      </w:r>
    </w:p>
    <w:p>
      <w:pPr>
        <w:spacing w:after="0" w:line="200" w:lineRule="exact"/>
        <w:rPr>
          <w:sz w:val="20"/>
          <w:szCs w:val="20"/>
          <w:color w:val="auto"/>
        </w:rPr>
      </w:pPr>
    </w:p>
    <w:p>
      <w:pPr>
        <w:spacing w:after="0" w:line="29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4" w:name="page35"/>
    <w:bookmarkEnd w:id="34"/>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credit facilities, excluding the impact of interest rate swaps, were 9.1% and 6.6% for the three months ended December 30, 2023 and December 31, 2022, respectively.</w:t>
      </w:r>
    </w:p>
    <w:p>
      <w:pPr>
        <w:spacing w:after="0" w:line="8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Sixth A&amp;R Credit Agreement contains, among other obligations, an affirmative covenant regarding our leverage ratio determined as of the end of each of our fiscal quarters calculated as average total indebtedness, divided by our Adjusted EBITDA. Pursuant to Amendment No. 2, the maximum permitted leverage ratio is (i) 8.25 for the first quarter of fiscal 2024, (ii) 7.75 for the second quarter of fiscal 2024, (iii) 6.50 for the third quarter of fiscal 2024, (iv) 6.00 for the fourth quarter of fiscal 2024, (v) 5.50 for the first quarter of fiscal 2025, (vi) 5.25 for the second quarter of fiscal 2025, (vii) 5.00 for the third quarter of fiscal 2025, (viii) 4.75 for the fourth quarter of fiscal 2025 and (ix) 4.50 for the first quarter of fiscal 2026 and thereafter. Our leverage ratio was 7.20 at December 30, 2023. Pursuant to Amendment No. 2, the Sixth A&amp;R Credit Agreement also contains an affirmative covenant regarding our fixed charge coverage ratio determined as of the end of each of our fiscal quarters, calculated as Adjusted EBITDA minus capital expenditures and expense for taxes paid in cash, divided by the sum of interest expense plus restricted payments, as described in Amendment No. 2. The minimum required fixed charge coverage ratio is (i) 0.75 for the first quarter of fiscal 2024 through the third quarter of fiscal 2024 and (ii) 1.00 for the fourth quarter of fiscal 2024 and thereafter. Our fixed charge coverage ratio was 1.08 for the twelve months ended December 30, 2023.</w:t>
      </w:r>
    </w:p>
    <w:p>
      <w:pPr>
        <w:spacing w:after="0" w:line="8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December 30, 2023, we were in compliance with all applicable covenants in the agreements governing our debt. Based on our projections of financial performance for the twelve-month period subsequent to the date of the filing of this Form 10-Q,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December 30, 2023, our indebtedness under the Sixth A&amp;R Credit Agreement and Senior Notes was $3,023.7. We do not have sufficient cash on hand or available liquidity that can be utilized to repay these outstanding amounts in the event of default.</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lenders to amend the terms of our financial covenants under the Sixth A&amp;R Credit Agreement and generating cash by completing other financing transactions, which may include issuing equity. There is no assurance that we will be successful in implementing these alternative plans.</w:t>
      </w:r>
    </w:p>
    <w:p>
      <w:pPr>
        <w:spacing w:after="0" w:line="1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w:t>
      </w:r>
    </w:p>
    <w:p>
      <w:pPr>
        <w:spacing w:after="0" w:line="9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w:t>
      </w:r>
    </w:p>
    <w:p>
      <w:pPr>
        <w:spacing w:after="0" w:line="9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Senior Notes contain an affirmative covenant regarding our interest coverage ratio determined as of the end of each of our fiscal quarters, calculated as Adjusted EBITDA divided by interest expense excluding costs related to refinancings. The minimum required interest coverage ratio is 2.00. Our interest coverage ratio was 2.49 for the twelve months ended December 30, 2023.</w:t>
      </w:r>
    </w:p>
    <w:p>
      <w:pPr>
        <w:spacing w:after="0" w:line="200" w:lineRule="exact"/>
        <w:rPr>
          <w:sz w:val="20"/>
          <w:szCs w:val="20"/>
          <w:color w:val="auto"/>
        </w:rPr>
      </w:pPr>
    </w:p>
    <w:p>
      <w:pPr>
        <w:spacing w:after="0" w:line="31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5" w:name="page36"/>
    <w:bookmarkEnd w:id="35"/>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also maintained a Receivables Facility under which we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and the commitment amount during the seasonal commitment period that began on February 24, 2023 and ended on June 16, 2023 was $160.0. The Receivables Facility expired on August 18, 2023.</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sale of receivables under the Receivables Facility was accounted for as short-term debt and we continued to carry the receivables on our Condensed Consolidated Balance Sheets, primarily as a result of our requirement to repurchase receivables sold. As of December 31, 2022, there were $161.0 in borrowings on receivables pledged as collateral under the Receivables Facility, and the carrying value of the receivables pledged as collateral was $178.9.</w:t>
      </w:r>
    </w:p>
    <w:p>
      <w:pPr>
        <w:spacing w:after="0" w:line="1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4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December 30, 2023, December 31, 2022 and September 30, 2023 had a maximum total U.S. dollar equivalent notional amount of $700.0, $800.0 and $600.0, respectively. The notional amount, effective date, expiration date and rate of each of the swap agreements outstanding at December 30, 2023 are shown in the table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60" w:type="dxa"/>
            <w:vAlign w:val="bottom"/>
          </w:tcPr>
          <w:p>
            <w:pPr>
              <w:spacing w:after="0"/>
              <w:rPr>
                <w:sz w:val="13"/>
                <w:szCs w:val="13"/>
                <w:color w:val="auto"/>
              </w:rPr>
            </w:pPr>
          </w:p>
        </w:tc>
        <w:tc>
          <w:tcPr>
            <w:tcW w:w="2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840" w:type="dxa"/>
            <w:vAlign w:val="bottom"/>
          </w:tcPr>
          <w:p>
            <w:pPr>
              <w:jc w:val="right"/>
              <w:ind w:right="1175"/>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95"/>
        </w:trPr>
        <w:tc>
          <w:tcPr>
            <w:tcW w:w="238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36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840" w:type="dxa"/>
            <w:vAlign w:val="bottom"/>
          </w:tcPr>
          <w:p>
            <w:pPr>
              <w:jc w:val="right"/>
              <w:ind w:right="1195"/>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8"/>
        </w:trPr>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1/20/2022</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6/20/2024</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0.49 %</w:t>
            </w:r>
          </w:p>
        </w:tc>
      </w:tr>
      <w:tr>
        <w:trPr>
          <w:trHeight w:val="229"/>
        </w:trPr>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6/8/2026</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0.80 %</w:t>
            </w:r>
          </w:p>
        </w:tc>
      </w:tr>
      <w:tr>
        <w:trPr>
          <w:trHeight w:val="229"/>
        </w:trPr>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30"/>
        </w:trPr>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29"/>
        </w:trPr>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3/22/2027</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r>
    </w:tbl>
    <w:p>
      <w:pPr>
        <w:spacing w:after="0" w:line="76"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refers to the date on which interest payments are first hedged by the applicable swap agreement.</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 adjusts in accordance with a specified seasonal schedule. This represents the maximum notional amount at any point in time.</w:t>
      </w:r>
    </w:p>
    <w:p>
      <w:pPr>
        <w:spacing w:after="0" w:line="1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Availability and Use of Cash</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2023 Annual Report, under “ITEM 1A. RISK FACTORS — Risks Related to Our M&amp;A, Lending and Financing Activities — Our indebtedness could limit our flexibility and adversely affect our financial condition.”</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Disclosures About Guarantors and Issuers of Guaranteed Securities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5.250% Senior Notes, 4.500% Senior Notes, 4.000% Senior Notes and 4.375% Senior Notes (collectively, the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11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w:t>
      </w:r>
    </w:p>
    <w:p>
      <w:pPr>
        <w:spacing w:after="0" w:line="200" w:lineRule="exact"/>
        <w:rPr>
          <w:sz w:val="20"/>
          <w:szCs w:val="20"/>
          <w:color w:val="auto"/>
        </w:rPr>
      </w:pPr>
    </w:p>
    <w:p>
      <w:pPr>
        <w:spacing w:after="0" w:line="32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6" w:name="page37"/>
    <w:bookmarkEnd w:id="36"/>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w:t>
      </w:r>
    </w:p>
    <w:p>
      <w:pPr>
        <w:spacing w:after="0" w:line="8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spacing w:after="0" w:line="12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spacing w:after="0" w:line="10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w:t>
      </w:r>
    </w:p>
    <w:p>
      <w:pPr>
        <w:spacing w:after="0" w:line="11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116" w:lineRule="exact"/>
        <w:rPr>
          <w:sz w:val="20"/>
          <w:szCs w:val="20"/>
          <w:color w:val="auto"/>
        </w:rPr>
      </w:pPr>
    </w:p>
    <w:p>
      <w:pPr>
        <w:jc w:val="both"/>
        <w:ind w:firstLine="405"/>
        <w:spacing w:after="0" w:line="263"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Layout w:type="fixed"/>
        <w:tblInd w:w="0" w:type="dxa"/>
        <w:tblCellMar>
          <w:top w:w="0" w:type="dxa"/>
          <w:left w:w="0" w:type="dxa"/>
          <w:bottom w:w="0" w:type="dxa"/>
          <w:right w:w="0" w:type="dxa"/>
        </w:tblCellMar>
      </w:tblPr>
      <w:tr>
        <w:trPr>
          <w:trHeight w:val="148"/>
        </w:trPr>
        <w:tc>
          <w:tcPr>
            <w:tcW w:w="7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2"/>
          </w:tcPr>
          <w:p>
            <w:pPr>
              <w:ind w:left="180"/>
              <w:spacing w:after="0" w:line="148"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280" w:type="dxa"/>
            <w:vAlign w:val="bottom"/>
          </w:tcPr>
          <w:p>
            <w:pPr>
              <w:spacing w:after="0"/>
              <w:rPr>
                <w:sz w:val="12"/>
                <w:szCs w:val="12"/>
                <w:color w:val="auto"/>
              </w:rPr>
            </w:pPr>
          </w:p>
        </w:tc>
        <w:tc>
          <w:tcPr>
            <w:tcW w:w="1520" w:type="dxa"/>
            <w:vAlign w:val="bottom"/>
          </w:tcPr>
          <w:p>
            <w:pPr>
              <w:jc w:val="right"/>
              <w:ind w:right="376"/>
              <w:spacing w:after="0" w:line="148"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75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r>
      <w:tr>
        <w:trPr>
          <w:trHeight w:val="230"/>
        </w:trPr>
        <w:tc>
          <w:tcPr>
            <w:tcW w:w="75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1,911.2</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2,833.3</w:t>
            </w:r>
          </w:p>
        </w:tc>
      </w:tr>
    </w:tbl>
    <w:p>
      <w:pPr>
        <w:spacing w:after="0" w:line="5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from Non-Guarantor subsidiaries of $20.2 and $26.2,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52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3"/>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31"/>
        </w:trPr>
        <w:tc>
          <w:tcPr>
            <w:tcW w:w="7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December 30,</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99"/>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5"/>
        </w:trPr>
        <w:tc>
          <w:tcPr>
            <w:tcW w:w="75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3,203.3</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r>
      <w:tr>
        <w:trPr>
          <w:trHeight w:val="230"/>
        </w:trPr>
        <w:tc>
          <w:tcPr>
            <w:tcW w:w="75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r>
    </w:tbl>
    <w:p>
      <w:pPr>
        <w:spacing w:after="0" w:line="76" w:lineRule="exact"/>
        <w:rPr>
          <w:sz w:val="20"/>
          <w:szCs w:val="20"/>
          <w:color w:val="auto"/>
        </w:rPr>
      </w:pPr>
    </w:p>
    <w:p>
      <w:pPr>
        <w:ind w:left="5760" w:right="3580" w:hanging="5752"/>
        <w:spacing w:after="0" w:line="923" w:lineRule="auto"/>
        <w:tabs>
          <w:tab w:leader="none" w:pos="6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intercompany expense from Non-Guarantor subsidiaries of $0.4 and $12.1, respectively.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7" w:name="page38"/>
    <w:bookmarkEnd w:id="37"/>
    <w:p>
      <w:pPr>
        <w:ind w:left="20"/>
        <w:spacing w:after="0"/>
        <w:tabs>
          <w:tab w:leader="none" w:pos="3860" w:val="left"/>
        </w:tabs>
        <w:rPr>
          <w:sz w:val="20"/>
          <w:szCs w:val="20"/>
          <w:color w:val="auto"/>
        </w:rPr>
      </w:pPr>
      <w:r>
        <w:rPr>
          <w:rFonts w:ascii="Times New Roman" w:cs="Times New Roman" w:eastAsia="Times New Roman" w:hAnsi="Times New Roman"/>
          <w:sz w:val="18"/>
          <w:szCs w:val="18"/>
          <w:color w:val="FFFFFF"/>
        </w:rPr>
        <w:t>Contents</w:t>
      </w:r>
      <w:r>
        <w:rPr>
          <w:sz w:val="20"/>
          <w:szCs w:val="20"/>
          <w:color w:val="auto"/>
        </w:rPr>
        <w:tab/>
      </w: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Judicial and Administrative Proceedings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6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2023 Annual Report, under “ITEM 1. BUSINESS — Regulatory Considerations” and “ITEM 3. LEGAL PROCEEDINGS.”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and on various other sources that we believe to be reasonable under the circumstances. Certain accounting policies are particularly significant, including those related to revenue recognition, income taxes and goodwill and intangible assets. Our critical accounting policies are reviewed periodically with the Audit Committee of the Board of Directors of Scotts Miracle-Gro. Our critical accounting policies and estimates have not changed materially from those disclosed in the 2023 Annual Report.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Market risks have not changed materially from those disclosed in the 2023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48"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Scotts Miracle-Gro Company (the “Registrant”) maintains “disclosure controls and procedures,” as such term is defined under Securities Exchange Act Rule 13a-15(e), that are designed to ensure that information required to be disclosed in the Registrant’s Securities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2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Securities Exchange Act, as amended (the “Securities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December 30, 2023.</w:t>
      </w:r>
    </w:p>
    <w:p>
      <w:pPr>
        <w:spacing w:after="0" w:line="200" w:lineRule="exact"/>
        <w:rPr>
          <w:sz w:val="20"/>
          <w:szCs w:val="20"/>
          <w:color w:val="auto"/>
        </w:rPr>
      </w:pPr>
    </w:p>
    <w:p>
      <w:pPr>
        <w:spacing w:after="0" w:line="32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addition, there were no changes in the Registrant’s internal control over financial reporting (as defined in Rule 13a-15(f) under the Exchange Act) that occurred during the Registrant’s fiscal quarter ended December 30, 2023 that have materially affected, or are reasonably likely to materially affect, the Registrant’s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Reference is made to the legal proceedings that have been previously disclosed in Part I, Item 3 of the 2023 Annual Report. There have been no material developments to the pending legal proceedings set forth therein.</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involved in other lawsuits and claims which arise in the normal course of our business including the initiation and defense of proceedings to protect intellectual property rights, advertising claims, securities matters and employment disputes. In our opinion, these claims individually and in the aggregate are not expected to have a material adverse effect on our financial condition, results of operations or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risk factors, as of December 30, 2023, have not materially changed from those described in Part I, Item 1A of the 2023 Annual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the exhibits hereto and the information incorporated by reference herein, contains “forward-looking statements” within the meaning of Section 27A of the Securities Act of 1933, as amended, and Section 21E of the Securities Exchange Act,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Forward-looking statements in this Quarterly Report on Form 10-Q are predictions only and actual results could differ materially from management’s expectations due to a variety of factors, including those described in “ITEM 1A. RISK FACTORS” in the 2023 Annual Report. All forward-looking statements attributable to us or persons working on our behalf are expressly qualified in their entirety by such risk factors.</w:t>
      </w:r>
    </w:p>
    <w:p>
      <w:pPr>
        <w:spacing w:after="0" w:line="10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00" w:lineRule="exact"/>
        <w:rPr>
          <w:sz w:val="20"/>
          <w:szCs w:val="20"/>
          <w:color w:val="auto"/>
        </w:rPr>
      </w:pPr>
    </w:p>
    <w:p>
      <w:pPr>
        <w:spacing w:after="0" w:line="317"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Amendment No. 2 to the Sixth A&amp;R Credit Agreement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million per fiscal year and (ii) other dividends, distributions or other restricted payments in an aggregate amount not to exceed $25.0 million.</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the purchases of Common Shares made by or on behalf of Scotts Miracle-Gro or any “affiliated purchaser” (as defined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10b-18(a)(3) under the Securities Exchange Act) of Scotts Miracle-Gro for each of the three fiscal months in the quarter ended December 30,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6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tcPr>
          <w:p>
            <w:pPr>
              <w:jc w:val="center"/>
              <w:ind w:left="168"/>
              <w:spacing w:after="0" w:line="137"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Value of Common Shares</w:t>
            </w:r>
          </w:p>
        </w:tc>
        <w:tc>
          <w:tcPr>
            <w:tcW w:w="0" w:type="dxa"/>
            <w:vAlign w:val="bottom"/>
          </w:tcPr>
          <w:p>
            <w:pPr>
              <w:spacing w:after="0"/>
              <w:rPr>
                <w:sz w:val="1"/>
                <w:szCs w:val="1"/>
                <w:color w:val="auto"/>
              </w:rPr>
            </w:pPr>
          </w:p>
        </w:tc>
      </w:tr>
      <w:tr>
        <w:trPr>
          <w:trHeight w:val="146"/>
        </w:trPr>
        <w:tc>
          <w:tcPr>
            <w:tcW w:w="406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tcPr>
          <w:p>
            <w:pPr>
              <w:jc w:val="center"/>
              <w:ind w:left="168"/>
              <w:spacing w:after="0" w:line="146"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Common Share (2)</w:t>
            </w:r>
          </w:p>
        </w:tc>
        <w:tc>
          <w:tcPr>
            <w:tcW w:w="15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Programs (3)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(3)</w:t>
            </w: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2023 through October 28, 2023</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3"/>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October 29, 2023 through November 25, 2023</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1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November 26, 2023 through December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9"/>
        </w:trPr>
        <w:tc>
          <w:tcPr>
            <w:tcW w:w="4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56.22</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60" w:right="20" w:hanging="328"/>
        <w:spacing w:after="0" w:line="266" w:lineRule="auto"/>
        <w:tabs>
          <w:tab w:leader="none" w:pos="6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Common Shares purchased during the first quarter of fiscal 2024 were purchased in open market transactions. The Common Shares purchased during the quarter consisted of 7,335 Common Shares purchased by the trustee of the rabbi trust established by the Company as permitted pursuant to the terms of The Scotts Company LLC Executive Retirement Plan.</w:t>
      </w:r>
    </w:p>
    <w:p>
      <w:pPr>
        <w:spacing w:after="0" w:line="20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Common Share is calculated on a settlement basis and includes commissions.</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1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On February 6, 2020, the Company announced a repurchase program allowing for repurchases of up to $750.0 million of Common Shares from April 30, 2020 through March 25, 2023. The program expired on March 25, 2023 and, as of December 30, 2023, the Company does not have an active repurchase program.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Index to Exhibits at page 41 for a list of the exhibits included herewith.</w:t>
      </w: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FFFFFF"/>
              </w:rPr>
              <w:t>Contents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21"/>
          </w:tcPr>
          <w:p>
            <w:pPr>
              <w:jc w:val="center"/>
              <w:spacing w:after="0"/>
              <w:rPr>
                <w:sz w:val="20"/>
                <w:szCs w:val="20"/>
                <w:color w:val="auto"/>
              </w:rPr>
            </w:pPr>
            <w:r>
              <w:rPr>
                <w:rFonts w:ascii="Times New Roman" w:cs="Times New Roman" w:eastAsia="Times New Roman" w:hAnsi="Times New Roman"/>
                <w:sz w:val="18"/>
                <w:szCs w:val="18"/>
                <w:color w:val="auto"/>
                <w:w w:val="99"/>
              </w:rPr>
              <w:t>THE SCOTTS MIRACLE-GRO COMPANY</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21"/>
          </w:tcPr>
          <w:p>
            <w:pPr>
              <w:jc w:val="center"/>
              <w:ind w:left="10"/>
              <w:spacing w:after="0"/>
              <w:rPr>
                <w:sz w:val="20"/>
                <w:szCs w:val="20"/>
                <w:color w:val="auto"/>
              </w:rPr>
            </w:pPr>
            <w:r>
              <w:rPr>
                <w:rFonts w:ascii="Times New Roman" w:cs="Times New Roman" w:eastAsia="Times New Roman" w:hAnsi="Times New Roman"/>
                <w:sz w:val="18"/>
                <w:szCs w:val="18"/>
                <w:color w:val="auto"/>
                <w:w w:val="98"/>
              </w:rPr>
              <w:t>QUARTERLY REPORT ON FORM 10-Q</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80" w:type="dxa"/>
            <w:vAlign w:val="bottom"/>
            <w:gridSpan w:val="25"/>
          </w:tcPr>
          <w:p>
            <w:pPr>
              <w:jc w:val="center"/>
              <w:spacing w:after="0"/>
              <w:rPr>
                <w:sz w:val="20"/>
                <w:szCs w:val="20"/>
                <w:color w:val="auto"/>
              </w:rPr>
            </w:pPr>
            <w:r>
              <w:rPr>
                <w:rFonts w:ascii="Times New Roman" w:cs="Times New Roman" w:eastAsia="Times New Roman" w:hAnsi="Times New Roman"/>
                <w:sz w:val="18"/>
                <w:szCs w:val="18"/>
                <w:color w:val="auto"/>
                <w:w w:val="99"/>
              </w:rPr>
              <w:t>FOR THE QUARTERLY PERIOD ENDED DECEMBER 30, 2023</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60" w:type="dxa"/>
            <w:vAlign w:val="bottom"/>
            <w:gridSpan w:val="19"/>
          </w:tcPr>
          <w:p>
            <w:pPr>
              <w:jc w:val="center"/>
              <w:ind w:right="580"/>
              <w:spacing w:after="0"/>
              <w:rPr>
                <w:sz w:val="20"/>
                <w:szCs w:val="20"/>
                <w:color w:val="auto"/>
              </w:rPr>
            </w:pPr>
            <w:r>
              <w:rPr>
                <w:rFonts w:ascii="Times New Roman" w:cs="Times New Roman" w:eastAsia="Times New Roman" w:hAnsi="Times New Roman"/>
                <w:sz w:val="18"/>
                <w:szCs w:val="18"/>
                <w:color w:val="auto"/>
                <w:w w:val="99"/>
              </w:rPr>
              <w:t>INDEX TO EXHIBITS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40" w:type="dxa"/>
            <w:vAlign w:val="bottom"/>
            <w:gridSpan w:val="22"/>
          </w:tcPr>
          <w:p>
            <w:pPr>
              <w:ind w:left="120"/>
              <w:spacing w:after="0"/>
              <w:rPr>
                <w:sz w:val="20"/>
                <w:szCs w:val="20"/>
                <w:color w:val="auto"/>
              </w:rPr>
            </w:pPr>
            <w:r>
              <w:rPr>
                <w:rFonts w:ascii="Times New Roman" w:cs="Times New Roman" w:eastAsia="Times New Roman" w:hAnsi="Times New Roman"/>
                <w:sz w:val="18"/>
                <w:szCs w:val="18"/>
                <w:color w:val="auto"/>
              </w:rPr>
              <w:t>Description</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Form</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Exhibit</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Filing Date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60" w:type="dxa"/>
            <w:vAlign w:val="bottom"/>
            <w:tcBorders>
              <w:top w:val="single" w:sz="8" w:color="auto"/>
            </w:tcBorders>
            <w:gridSpan w:val="25"/>
          </w:tcPr>
          <w:p>
            <w:pPr>
              <w:spacing w:after="0" w:line="182"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Separation Agreement and Release of All Claims by and between The Scotts</w:t>
              </w:r>
            </w:hyperlink>
          </w:p>
        </w:tc>
        <w:tc>
          <w:tcPr>
            <w:tcW w:w="120" w:type="dxa"/>
            <w:vAlign w:val="bottom"/>
          </w:tcPr>
          <w:p>
            <w:pPr>
              <w:spacing w:after="0"/>
              <w:rPr>
                <w:sz w:val="15"/>
                <w:szCs w:val="15"/>
                <w:color w:val="auto"/>
              </w:rPr>
            </w:pPr>
          </w:p>
        </w:tc>
        <w:tc>
          <w:tcPr>
            <w:tcW w:w="70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October 10,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Company LLC and Michael C. Lukemire</w:t>
              </w:r>
            </w:hyperlink>
          </w:p>
        </w:tc>
        <w:tc>
          <w:tcPr>
            <w:tcW w:w="256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23"/>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26"/>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Master Receivables Purchase Agreement, dated October 27, 2023, by and among</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The Scotts Company LLC, The Scotts Miracle-Gro Company and JPMorgan</w:t>
              </w:r>
            </w:hyperlink>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57">
              <w:r>
                <w:rPr>
                  <w:rFonts w:ascii="Times New Roman" w:cs="Times New Roman" w:eastAsia="Times New Roman" w:hAnsi="Times New Roman"/>
                  <w:sz w:val="18"/>
                  <w:szCs w:val="18"/>
                  <w:color w:val="0000FF"/>
                  <w:w w:val="98"/>
                </w:rPr>
                <w:t>Chase Bank, N.A.</w:t>
              </w:r>
            </w:hyperlink>
          </w:p>
        </w:tc>
        <w:tc>
          <w:tcPr>
            <w:tcW w:w="4220" w:type="dxa"/>
            <w:vAlign w:val="bottom"/>
            <w:tcBorders>
              <w:top w:val="single" w:sz="8" w:color="0000FF"/>
            </w:tcBorders>
            <w:gridSpan w:val="11"/>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2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6"/>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Performance Undertaking, dated October 27, 2023, by The Scotts Miracle-Gro</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Company in favor of JP Morgan Chase Bank, N.A.</w:t>
              </w:r>
            </w:hyperlink>
          </w:p>
        </w:tc>
        <w:tc>
          <w:tcPr>
            <w:tcW w:w="1980" w:type="dxa"/>
            <w:vAlign w:val="bottom"/>
            <w:tcBorders>
              <w:top w:val="single" w:sz="8" w:color="0000FF"/>
            </w:tcBorders>
            <w:gridSpan w:val="11"/>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23"/>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26"/>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Separation Agreement and Release of All Claims by and between The Scotts</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Company LLC and Denise Stump</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16, 2023</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26"/>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The Scotts Miracle-Gro Company Long-Term Incentive Plan (Effective January</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60">
              <w:r>
                <w:rPr>
                  <w:rFonts w:ascii="Times New Roman" w:cs="Times New Roman" w:eastAsia="Times New Roman" w:hAnsi="Times New Roman"/>
                  <w:sz w:val="18"/>
                  <w:szCs w:val="18"/>
                  <w:color w:val="0000FF"/>
                  <w:w w:val="95"/>
                </w:rPr>
                <w:t>22, 2024)</w:t>
              </w:r>
            </w:hyperlink>
          </w:p>
        </w:tc>
        <w:tc>
          <w:tcPr>
            <w:tcW w:w="6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13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23"/>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26"/>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Form of Standard Restricted Stock Unit Award Agreement for Non-Employee</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Directors (with Related Dividend Equivalents) which may be made under The</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40" w:type="dxa"/>
            <w:vAlign w:val="bottom"/>
            <w:gridSpan w:val="19"/>
          </w:tcPr>
          <w:p>
            <w:pPr>
              <w:spacing w:after="0" w:line="169"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Scotts Miracle-Gro Company Long-Term Incentive Plan</w:t>
              </w:r>
            </w:hyperlink>
          </w:p>
        </w:tc>
        <w:tc>
          <w:tcPr>
            <w:tcW w:w="80" w:type="dxa"/>
            <w:vAlign w:val="bottom"/>
            <w:gridSpan w:val="2"/>
          </w:tcPr>
          <w:p>
            <w:pPr>
              <w:spacing w:after="0"/>
              <w:rPr>
                <w:sz w:val="14"/>
                <w:szCs w:val="14"/>
                <w:color w:val="auto"/>
              </w:rPr>
            </w:pPr>
          </w:p>
        </w:tc>
        <w:tc>
          <w:tcPr>
            <w:tcW w:w="160" w:type="dxa"/>
            <w:vAlign w:val="bottom"/>
            <w:gridSpan w:val="3"/>
          </w:tcPr>
          <w:p>
            <w:pPr>
              <w:spacing w:after="0"/>
              <w:rPr>
                <w:sz w:val="14"/>
                <w:szCs w:val="14"/>
                <w:color w:val="auto"/>
              </w:rPr>
            </w:pPr>
          </w:p>
        </w:tc>
        <w:tc>
          <w:tcPr>
            <w:tcW w:w="2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6"/>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Form of Deferred Stock Unit Award Agreement for Non-Employee Directors</w:t>
              </w:r>
            </w:hyperlink>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(with Related Dividend Equivalents) which may be made under The Scotts</w:t>
              </w:r>
            </w:hyperlink>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160" w:type="dxa"/>
            <w:vAlign w:val="bottom"/>
            <w:gridSpan w:val="3"/>
          </w:tcPr>
          <w:p>
            <w:pPr>
              <w:spacing w:after="0"/>
              <w:rPr>
                <w:sz w:val="13"/>
                <w:szCs w:val="13"/>
                <w:color w:val="auto"/>
              </w:rPr>
            </w:pPr>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Miracle-Gro Company Long-Term Incentive Plan</w:t>
              </w:r>
            </w:hyperlink>
          </w:p>
        </w:tc>
        <w:tc>
          <w:tcPr>
            <w:tcW w:w="1820" w:type="dxa"/>
            <w:vAlign w:val="bottom"/>
            <w:tcBorders>
              <w:top w:val="single" w:sz="8" w:color="0000FF"/>
            </w:tcBorders>
            <w:gridSpan w:val="4"/>
          </w:tcPr>
          <w:p>
            <w:pPr>
              <w:spacing w:after="0"/>
              <w:rPr>
                <w:sz w:val="14"/>
                <w:szCs w:val="14"/>
                <w:color w:val="auto"/>
              </w:rPr>
            </w:pPr>
          </w:p>
        </w:tc>
        <w:tc>
          <w:tcPr>
            <w:tcW w:w="1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4"/>
          </w:tcPr>
          <w:p>
            <w:pPr>
              <w:spacing w:after="0"/>
              <w:rPr>
                <w:sz w:val="14"/>
                <w:szCs w:val="14"/>
                <w:color w:val="auto"/>
              </w:rPr>
            </w:pPr>
          </w:p>
        </w:tc>
        <w:tc>
          <w:tcPr>
            <w:tcW w:w="160" w:type="dxa"/>
            <w:vAlign w:val="bottom"/>
            <w:gridSpan w:val="3"/>
          </w:tcPr>
          <w:p>
            <w:pPr>
              <w:spacing w:after="0"/>
              <w:rPr>
                <w:sz w:val="14"/>
                <w:szCs w:val="14"/>
                <w:color w:val="auto"/>
              </w:rPr>
            </w:pPr>
          </w:p>
        </w:tc>
        <w:tc>
          <w:tcPr>
            <w:tcW w:w="2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Standard Nonqualified Stock Option Award Agreement for Employees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used to evidence grants which may be made under The Scotts Miracle-Gro</w:t>
            </w:r>
          </w:p>
        </w:tc>
        <w:tc>
          <w:tcPr>
            <w:tcW w:w="160" w:type="dxa"/>
            <w:vAlign w:val="bottom"/>
            <w:gridSpan w:val="3"/>
          </w:tcPr>
          <w:p>
            <w:pPr>
              <w:spacing w:after="0"/>
              <w:rPr>
                <w:sz w:val="13"/>
                <w:szCs w:val="13"/>
                <w:color w:val="auto"/>
              </w:rPr>
            </w:pPr>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4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8"/>
              </w:rPr>
              <w:t>Company Long-Term Incentive Plan</w:t>
            </w:r>
          </w:p>
        </w:tc>
        <w:tc>
          <w:tcPr>
            <w:tcW w:w="2740" w:type="dxa"/>
            <w:vAlign w:val="bottom"/>
            <w:tcBorders>
              <w:top w:val="single" w:sz="8" w:color="0000FF"/>
            </w:tcBorders>
            <w:gridSpan w:val="6"/>
          </w:tcPr>
          <w:p>
            <w:pPr>
              <w:spacing w:after="0"/>
              <w:rPr>
                <w:sz w:val="14"/>
                <w:szCs w:val="14"/>
                <w:color w:val="auto"/>
              </w:rPr>
            </w:pPr>
          </w:p>
        </w:tc>
        <w:tc>
          <w:tcPr>
            <w:tcW w:w="1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80" w:type="dxa"/>
            <w:vAlign w:val="bottom"/>
            <w:gridSpan w:val="7"/>
          </w:tcPr>
          <w:p>
            <w:pPr>
              <w:spacing w:after="0"/>
              <w:rPr>
                <w:sz w:val="14"/>
                <w:szCs w:val="14"/>
                <w:color w:val="auto"/>
              </w:rPr>
            </w:pPr>
          </w:p>
        </w:tc>
        <w:tc>
          <w:tcPr>
            <w:tcW w:w="20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Standard Restricted Stock Unit Award Agreement for Employees used to</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evidence grants which may be made under The Scotts Miracle-Gro Company</w:t>
            </w:r>
          </w:p>
        </w:tc>
        <w:tc>
          <w:tcPr>
            <w:tcW w:w="20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Long-Term Incentive Plan</w:t>
            </w:r>
          </w:p>
        </w:tc>
        <w:tc>
          <w:tcPr>
            <w:tcW w:w="3700" w:type="dxa"/>
            <w:vAlign w:val="bottom"/>
            <w:tcBorders>
              <w:top w:val="single" w:sz="8" w:color="0000FF"/>
            </w:tcBorders>
            <w:gridSpan w:val="14"/>
          </w:tcPr>
          <w:p>
            <w:pPr>
              <w:spacing w:after="0"/>
              <w:rPr>
                <w:sz w:val="14"/>
                <w:szCs w:val="14"/>
                <w:color w:val="auto"/>
              </w:rPr>
            </w:pPr>
          </w:p>
        </w:tc>
        <w:tc>
          <w:tcPr>
            <w:tcW w:w="480" w:type="dxa"/>
            <w:vAlign w:val="bottom"/>
            <w:gridSpan w:val="9"/>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of Performance Unit Award Agreement which may be made under The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8"/>
              </w:rPr>
              <w:t>Scotts Miracle-Gro Long-Term Incentive Plan</w:t>
            </w:r>
          </w:p>
        </w:tc>
        <w:tc>
          <w:tcPr>
            <w:tcW w:w="2240" w:type="dxa"/>
            <w:vAlign w:val="bottom"/>
            <w:tcBorders>
              <w:top w:val="single" w:sz="8" w:color="0000FF"/>
            </w:tcBorders>
            <w:gridSpan w:val="8"/>
          </w:tcPr>
          <w:p>
            <w:pPr>
              <w:spacing w:after="0"/>
              <w:rPr>
                <w:sz w:val="13"/>
                <w:szCs w:val="13"/>
                <w:color w:val="auto"/>
              </w:rPr>
            </w:pPr>
          </w:p>
        </w:tc>
        <w:tc>
          <w:tcPr>
            <w:tcW w:w="520" w:type="dxa"/>
            <w:vAlign w:val="bottom"/>
            <w:gridSpan w:val="11"/>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220" w:hanging="1181"/>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Scotts Miracle-Gro Company</w:t>
      </w:r>
    </w:p>
    <w:p>
      <w:pPr>
        <w:spacing w:after="0" w:line="27" w:lineRule="exact"/>
        <w:rPr>
          <w:rFonts w:ascii="Times New Roman" w:cs="Times New Roman" w:eastAsia="Times New Roman" w:hAnsi="Times New Roman"/>
          <w:sz w:val="18"/>
          <w:szCs w:val="18"/>
          <w:color w:val="auto"/>
        </w:rPr>
      </w:pPr>
    </w:p>
    <w:p>
      <w:pPr>
        <w:ind w:left="1220" w:hanging="1181"/>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Guarantor Subsidiaries</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5"/>
              </w:rPr>
              <w:t>31.1</w:t>
            </w:r>
          </w:p>
        </w:tc>
        <w:tc>
          <w:tcPr>
            <w:tcW w:w="1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Rule 13a-14(a)/15d-14(a)</w:t>
            </w:r>
          </w:p>
        </w:tc>
        <w:tc>
          <w:tcPr>
            <w:tcW w:w="314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Certifications (Principal Executive Officer)</w:t>
            </w:r>
          </w:p>
        </w:tc>
      </w:tr>
      <w:tr>
        <w:trPr>
          <w:trHeight w:val="210"/>
        </w:trPr>
        <w:tc>
          <w:tcPr>
            <w:tcW w:w="11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5"/>
              </w:rPr>
              <w:t>31.2</w:t>
            </w:r>
          </w:p>
        </w:tc>
        <w:tc>
          <w:tcPr>
            <w:tcW w:w="1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Rule 13a-14(a)/15d-14(a)</w:t>
            </w:r>
          </w:p>
        </w:tc>
        <w:tc>
          <w:tcPr>
            <w:tcW w:w="310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Certifications (Principal Financial Officer)</w:t>
            </w:r>
          </w:p>
        </w:tc>
        <w:tc>
          <w:tcPr>
            <w:tcW w:w="40" w:type="dxa"/>
            <w:vAlign w:val="bottom"/>
          </w:tcPr>
          <w:p>
            <w:pPr>
              <w:spacing w:after="0"/>
              <w:rPr>
                <w:sz w:val="18"/>
                <w:szCs w:val="18"/>
                <w:color w:val="auto"/>
              </w:rPr>
            </w:pPr>
          </w:p>
        </w:tc>
      </w:tr>
    </w:tbl>
    <w:p>
      <w:pPr>
        <w:spacing w:after="0" w:line="22" w:lineRule="exact"/>
        <w:rPr>
          <w:sz w:val="20"/>
          <w:szCs w:val="20"/>
          <w:color w:val="auto"/>
        </w:rPr>
      </w:pPr>
    </w:p>
    <w:p>
      <w:pPr>
        <w:ind w:left="1220" w:right="3120" w:hanging="1181"/>
        <w:spacing w:after="0" w:line="237"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Section 1350 Certifications (Principal Executive Officer and Principal Financial Officer)</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w:t>
            </w:r>
          </w:p>
        </w:tc>
      </w:tr>
    </w:tbl>
    <w:p>
      <w:pPr>
        <w:ind w:left="1220" w:right="3300" w:hanging="1181"/>
        <w:spacing w:after="0" w:line="234" w:lineRule="auto"/>
        <w:tabs>
          <w:tab w:leader="none" w:pos="1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Filed</w:t>
      </w:r>
    </w:p>
    <w:p>
      <w:pPr>
        <w:jc w:val="center"/>
        <w:spacing w:after="0"/>
        <w:rPr>
          <w:sz w:val="20"/>
          <w:szCs w:val="20"/>
          <w:color w:val="auto"/>
        </w:rPr>
      </w:pPr>
      <w:r>
        <w:rPr>
          <w:rFonts w:ascii="Times New Roman" w:cs="Times New Roman" w:eastAsia="Times New Roman" w:hAnsi="Times New Roman"/>
          <w:sz w:val="18"/>
          <w:szCs w:val="18"/>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13335</wp:posOffset>
            </wp:positionV>
            <wp:extent cx="643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100" w:space="280"/>
            <w:col w:w="680"/>
          </w:cols>
          <w:pgMar w:left="320" w:top="121" w:right="5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44"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THE SCOTTS MIRACLE-GRO COMPANY</w:t>
            </w:r>
          </w:p>
        </w:tc>
      </w:tr>
      <w:tr>
        <w:trPr>
          <w:trHeight w:val="50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2024</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E. GARTH</w:t>
            </w:r>
          </w:p>
        </w:tc>
      </w:tr>
      <w:tr>
        <w:trPr>
          <w:trHeight w:val="218"/>
        </w:trPr>
        <w:tc>
          <w:tcPr>
            <w:tcW w:w="57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Printed Name: Matthew E. Garth</w:t>
            </w:r>
          </w:p>
        </w:tc>
      </w:tr>
      <w:tr>
        <w:trPr>
          <w:trHeight w:val="189"/>
        </w:trPr>
        <w:tc>
          <w:tcPr>
            <w:tcW w:w="5720" w:type="dxa"/>
            <w:vAlign w:val="bottom"/>
          </w:tcPr>
          <w:p>
            <w:pPr>
              <w:spacing w:after="0"/>
              <w:rPr>
                <w:sz w:val="16"/>
                <w:szCs w:val="16"/>
                <w:color w:val="auto"/>
              </w:rPr>
            </w:pPr>
          </w:p>
        </w:tc>
        <w:tc>
          <w:tcPr>
            <w:tcW w:w="54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 Executive Vice President, Chief Financial Officer &amp; Chief</w:t>
            </w:r>
          </w:p>
        </w:tc>
      </w:tr>
      <w:tr>
        <w:trPr>
          <w:trHeight w:val="234"/>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Associate 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 Type: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MIRACLE-GRO COMPANY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NONQUALIFIED STOCK OPTION AWARD AGREEMENT FOR EMPLOYEES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Agreement describes the type of Award that you have been granted and the terms and conditions of your Award.</w:t>
      </w:r>
    </w:p>
    <w:p>
      <w:pPr>
        <w:spacing w:after="0" w:line="243" w:lineRule="exact"/>
        <w:rPr>
          <w:sz w:val="20"/>
          <w:szCs w:val="20"/>
          <w:color w:val="auto"/>
        </w:rPr>
      </w:pPr>
    </w:p>
    <w:p>
      <w:pPr>
        <w:jc w:val="both"/>
        <w:ind w:firstLine="8"/>
        <w:spacing w:after="0" w:line="253" w:lineRule="auto"/>
        <w:tabs>
          <w:tab w:leader="none" w:pos="427"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DESCRIPTION OF YOUR NONQUALIFIED STOCK OPTION. </w:t>
      </w:r>
      <w:r>
        <w:rPr>
          <w:rFonts w:ascii="Times New Roman" w:cs="Times New Roman" w:eastAsia="Times New Roman" w:hAnsi="Times New Roman"/>
          <w:sz w:val="22"/>
          <w:szCs w:val="22"/>
          <w:color w:val="auto"/>
        </w:rPr>
        <w:t>You have been granted a Nonqualified Stock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(“NSO”) to purchase [</w:t>
      </w:r>
      <w:r>
        <w:rPr>
          <w:rFonts w:ascii="Times New Roman" w:cs="Times New Roman" w:eastAsia="Times New Roman" w:hAnsi="Times New Roman"/>
          <w:sz w:val="22"/>
          <w:szCs w:val="22"/>
          <w:b w:val="1"/>
          <w:bCs w:val="1"/>
          <w:color w:val="auto"/>
        </w:rPr>
        <w:t>Number of Common Shares</w:t>
      </w:r>
      <w:r>
        <w:rPr>
          <w:rFonts w:ascii="Times New Roman" w:cs="Times New Roman" w:eastAsia="Times New Roman" w:hAnsi="Times New Roman"/>
          <w:sz w:val="22"/>
          <w:szCs w:val="22"/>
          <w:color w:val="auto"/>
        </w:rPr>
        <w:t>] Shares at an exercise price of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for each Share (“Exercise Price”) on or before [</w:t>
      </w:r>
      <w:r>
        <w:rPr>
          <w:rFonts w:ascii="Times New Roman" w:cs="Times New Roman" w:eastAsia="Times New Roman" w:hAnsi="Times New Roman"/>
          <w:sz w:val="22"/>
          <w:szCs w:val="22"/>
          <w:b w:val="1"/>
          <w:bCs w:val="1"/>
          <w:color w:val="auto"/>
        </w:rPr>
        <w:t>Day Prior to Tenth Anniversary of Grant Date</w:t>
      </w:r>
      <w:r>
        <w:rPr>
          <w:rFonts w:ascii="Times New Roman" w:cs="Times New Roman" w:eastAsia="Times New Roman" w:hAnsi="Times New Roman"/>
          <w:sz w:val="22"/>
          <w:szCs w:val="22"/>
          <w:color w:val="auto"/>
        </w:rPr>
        <w:t>] (“Expiration Date”), as described in Section 6. The Grant Date of your Award is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00" w:right="339" w:bottom="1440" w:gutter="0" w:footer="0" w:header="0"/>
        </w:sectPr>
      </w:pP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To accept this NSO Award, you must provide your acknowledgement and completing the on-line grant agreement process facilitated by </w:t>
      </w:r>
      <w:r>
        <w:rPr>
          <w:rFonts w:ascii="Times New Roman" w:cs="Times New Roman" w:eastAsia="Times New Roman" w:hAnsi="Times New Roman"/>
          <w:sz w:val="22"/>
          <w:szCs w:val="22"/>
          <w:b w:val="1"/>
          <w:bCs w:val="1"/>
          <w:color w:val="auto"/>
        </w:rPr>
        <w:t>Merrill Lynch</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firstLine="82"/>
        <w:spacing w:after="0" w:line="271" w:lineRule="auto"/>
        <w:rPr>
          <w:sz w:val="20"/>
          <w:szCs w:val="20"/>
          <w:color w:val="auto"/>
        </w:rPr>
      </w:pPr>
      <w:r>
        <w:rPr>
          <w:rFonts w:ascii="Times New Roman" w:cs="Times New Roman" w:eastAsia="Times New Roman" w:hAnsi="Times New Roman"/>
          <w:sz w:val="22"/>
          <w:szCs w:val="22"/>
          <w:color w:val="auto"/>
        </w:rPr>
        <w:t>acceptance of the terms contained herein by (the “Third Party Administrator”) no later than</w:t>
      </w:r>
    </w:p>
    <w:p>
      <w:pPr>
        <w:spacing w:after="0" w:line="441" w:lineRule="exact"/>
        <w:rPr>
          <w:sz w:val="20"/>
          <w:szCs w:val="20"/>
          <w:color w:val="auto"/>
        </w:rPr>
      </w:pPr>
    </w:p>
    <w:p>
      <w:pPr>
        <w:sectPr>
          <w:pgSz w:w="11900" w:h="16838" w:orient="portrait"/>
          <w:cols w:equalWidth="0" w:num="2">
            <w:col w:w="6960" w:space="40"/>
            <w:col w:w="4240"/>
          </w:cols>
          <w:pgMar w:left="320" w:top="100" w:right="339" w:bottom="1440" w:gutter="0" w:footer="0" w:header="0"/>
          <w:type w:val="continuous"/>
        </w:sectPr>
      </w:pPr>
    </w:p>
    <w:p>
      <w:pPr>
        <w:spacing w:after="0" w:line="239"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INCORPORATION OF PLAN AND DEFINITIONS.</w:t>
      </w:r>
    </w:p>
    <w:p>
      <w:pPr>
        <w:spacing w:after="0" w:line="250" w:lineRule="exact"/>
        <w:rPr>
          <w:rFonts w:ascii="Times New Roman" w:cs="Times New Roman" w:eastAsia="Times New Roman" w:hAnsi="Times New Roman"/>
          <w:sz w:val="22"/>
          <w:szCs w:val="22"/>
          <w:b w:val="1"/>
          <w:bCs w:val="1"/>
          <w:color w:val="auto"/>
        </w:rPr>
      </w:pPr>
    </w:p>
    <w:p>
      <w:pPr>
        <w:jc w:val="both"/>
        <w:ind w:left="1320" w:hanging="664"/>
        <w:spacing w:after="0" w:line="253" w:lineRule="auto"/>
        <w:tabs>
          <w:tab w:leader="none" w:pos="1317"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and your NSO are granted pursuant to and in accordance with The Scotts Miracle-Gro Company Long-Term Incentive Plan effective January 22, 2024 (the “Plan”) and this Award Agreement. All provisions of the Plan are incorporated herein by reference, and your NSO is subject to the terms of the Plan and this Award Agreement. To the extent there is a conflict between this Award Agreement and the Plan, the Plan will govern.</w:t>
      </w:r>
    </w:p>
    <w:p>
      <w:pPr>
        <w:spacing w:after="0" w:line="205"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that are not defined in this Award Agreement have the same meanings as in the Plan.</w:t>
      </w:r>
    </w:p>
    <w:p>
      <w:pPr>
        <w:spacing w:after="0" w:line="242" w:lineRule="exact"/>
        <w:rPr>
          <w:rFonts w:ascii="Times New Roman" w:cs="Times New Roman" w:eastAsia="Times New Roman" w:hAnsi="Times New Roman"/>
          <w:sz w:val="22"/>
          <w:szCs w:val="22"/>
          <w:color w:val="auto"/>
        </w:rPr>
      </w:pPr>
    </w:p>
    <w:p>
      <w:pPr>
        <w:ind w:right="20" w:firstLine="8"/>
        <w:spacing w:after="0" w:line="287" w:lineRule="auto"/>
        <w:tabs>
          <w:tab w:leader="none" w:pos="648"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Except as provided in Section 6 of this Award Agreement, the NSO described in this Award Agreement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 as follows:</w:t>
      </w:r>
    </w:p>
    <w:p>
      <w:pPr>
        <w:spacing w:after="0" w:line="164" w:lineRule="exact"/>
        <w:rPr>
          <w:rFonts w:ascii="Times New Roman" w:cs="Times New Roman" w:eastAsia="Times New Roman" w:hAnsi="Times New Roman"/>
          <w:sz w:val="22"/>
          <w:szCs w:val="22"/>
          <w:b w:val="1"/>
          <w:bCs w:val="1"/>
          <w:color w:val="auto"/>
        </w:rPr>
      </w:pPr>
    </w:p>
    <w:p>
      <w:pPr>
        <w:jc w:val="both"/>
        <w:ind w:left="1320" w:hanging="664"/>
        <w:spacing w:after="0" w:line="258" w:lineRule="auto"/>
        <w:tabs>
          <w:tab w:leader="none" w:pos="1314" w:val="left"/>
        </w:tabs>
        <w:numPr>
          <w:ilvl w:val="1"/>
          <w:numId w:val="20"/>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Normal Vesting. </w:t>
      </w:r>
      <w:r>
        <w:rPr>
          <w:rFonts w:ascii="Times New Roman" w:cs="Times New Roman" w:eastAsia="Times New Roman" w:hAnsi="Times New Roman"/>
          <w:sz w:val="22"/>
          <w:szCs w:val="22"/>
          <w:color w:val="auto"/>
        </w:rPr>
        <w:t>If your employment with the Company or any of its Subsidiaries or Affiliates continues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Grant Date until the [___] anniversary of the Grant Date, in this case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xml:space="preserve"> (the “Normal Vesting Date”), your NSO described in this Award Agreement will vest (and become exercisable) on the Vesting Date;</w:t>
      </w:r>
    </w:p>
    <w:p>
      <w:pPr>
        <w:sectPr>
          <w:pgSz w:w="11900" w:h="16838" w:orient="portrait"/>
          <w:cols w:equalWidth="0" w:num="1">
            <w:col w:w="11240"/>
          </w:cols>
          <w:pgMar w:left="320" w:top="100" w:right="339" w:bottom="1440" w:gutter="0" w:footer="0" w:header="0"/>
          <w:type w:val="continuous"/>
        </w:sectPr>
      </w:pPr>
    </w:p>
    <w:bookmarkStart w:id="43" w:name="page44"/>
    <w:bookmarkEnd w:id="43"/>
    <w:p>
      <w:pPr>
        <w:ind w:left="1320" w:hanging="664"/>
        <w:spacing w:after="0" w:line="275" w:lineRule="auto"/>
        <w:tabs>
          <w:tab w:leader="none" w:pos="1315"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Accelerated Vesting. </w:t>
      </w:r>
      <w:r>
        <w:rPr>
          <w:rFonts w:ascii="Times New Roman" w:cs="Times New Roman" w:eastAsia="Times New Roman" w:hAnsi="Times New Roman"/>
          <w:sz w:val="22"/>
          <w:szCs w:val="22"/>
          <w:color w:val="auto"/>
        </w:rPr>
        <w:t>Under the following circumstances, the NSO described in this Award Agreement may vest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earlier than the Normal Vesting Date as follows:</w:t>
      </w:r>
    </w:p>
    <w:p>
      <w:pPr>
        <w:spacing w:after="0" w:line="180" w:lineRule="exact"/>
        <w:rPr>
          <w:rFonts w:ascii="Times New Roman" w:cs="Times New Roman" w:eastAsia="Times New Roman" w:hAnsi="Times New Roman"/>
          <w:sz w:val="22"/>
          <w:szCs w:val="22"/>
          <w:color w:val="auto"/>
        </w:rPr>
      </w:pPr>
    </w:p>
    <w:p>
      <w:pPr>
        <w:jc w:val="both"/>
        <w:ind w:left="1960" w:hanging="656"/>
        <w:spacing w:after="0" w:line="253" w:lineRule="auto"/>
        <w:tabs>
          <w:tab w:leader="none" w:pos="1948"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Terminate prior to the Normal Vesting Date because of your death or due to a disability for which you qualify for benefits under Scotts Miracle-Gro Company’s Long-term Disability Plan or another long-term disability plan sponsored by the Company or any of its Subsidiaries or Affiliates (“Disabled”), your NSO described in this Award Agreement will become fully vested and exercisable as of the date of Termination and expire as provided in Section 6;</w:t>
      </w:r>
    </w:p>
    <w:p>
      <w:pPr>
        <w:spacing w:after="0" w:line="205" w:lineRule="exact"/>
        <w:rPr>
          <w:rFonts w:ascii="Times New Roman" w:cs="Times New Roman" w:eastAsia="Times New Roman" w:hAnsi="Times New Roman"/>
          <w:sz w:val="22"/>
          <w:szCs w:val="22"/>
          <w:color w:val="auto"/>
        </w:rPr>
      </w:pPr>
    </w:p>
    <w:p>
      <w:pPr>
        <w:ind w:left="1960" w:hanging="656"/>
        <w:spacing w:after="0" w:line="253" w:lineRule="auto"/>
        <w:tabs>
          <w:tab w:leader="none" w:pos="1825"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Terminate prior to the Normal Vesting Date for a reason other than Cause, and you have reached age [___] and completed at least [___] years of continuous employment with the Company or any of its Subsidiaries or Affiliates, your NSO described in this Award Agreement will become fully vested and become exercisable as of the date of Termination and will expire on the Expiration Date, unless otherwise provided in Section 6;</w:t>
      </w:r>
    </w:p>
    <w:p>
      <w:pPr>
        <w:spacing w:after="0" w:line="205" w:lineRule="exact"/>
        <w:rPr>
          <w:rFonts w:ascii="Times New Roman" w:cs="Times New Roman" w:eastAsia="Times New Roman" w:hAnsi="Times New Roman"/>
          <w:sz w:val="22"/>
          <w:szCs w:val="22"/>
          <w:color w:val="auto"/>
        </w:rPr>
      </w:pPr>
    </w:p>
    <w:p>
      <w:pPr>
        <w:ind w:left="1960" w:hanging="656"/>
        <w:spacing w:after="0" w:line="256" w:lineRule="auto"/>
        <w:tabs>
          <w:tab w:leader="none" w:pos="1860"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Terminate due to an involuntary Termination by the Company or its Subsidiaries or Affiliates without Cause no earlier than [___] days before the Normal Vesting Date, your NSO described in this Award Agreement will become fully vested and exercisable on the date of Termination and will expire as provided in Section 6; or</w:t>
      </w:r>
    </w:p>
    <w:p>
      <w:pPr>
        <w:spacing w:after="0" w:line="203"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48"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a Change in Control, your NSO may vest earlier in accordance with the Plan and pursuant to the discretion of the Committee. See the Plan for further details.</w:t>
      </w:r>
    </w:p>
    <w:p>
      <w:pPr>
        <w:spacing w:after="0" w:line="180" w:lineRule="exact"/>
        <w:rPr>
          <w:rFonts w:ascii="Times New Roman" w:cs="Times New Roman" w:eastAsia="Times New Roman" w:hAnsi="Times New Roman"/>
          <w:sz w:val="22"/>
          <w:szCs w:val="22"/>
          <w:color w:val="auto"/>
        </w:rPr>
      </w:pPr>
    </w:p>
    <w:p>
      <w:pPr>
        <w:ind w:right="20" w:firstLine="8"/>
        <w:spacing w:after="0" w:line="287" w:lineRule="auto"/>
        <w:tabs>
          <w:tab w:leader="none" w:pos="408"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BEFORE YOUR NSO IS EXERCISED</w:t>
      </w:r>
      <w:r>
        <w:rPr>
          <w:rFonts w:ascii="Times New Roman" w:cs="Times New Roman" w:eastAsia="Times New Roman" w:hAnsi="Times New Roman"/>
          <w:sz w:val="22"/>
          <w:szCs w:val="22"/>
          <w:color w:val="auto"/>
        </w:rPr>
        <w:t>. You may not vote or receive any dividends associated with the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underlying your NSO before your NSO is exercised with respect to such Shares.</w:t>
      </w:r>
    </w:p>
    <w:p>
      <w:pPr>
        <w:spacing w:after="0" w:line="164" w:lineRule="exact"/>
        <w:rPr>
          <w:rFonts w:ascii="Times New Roman" w:cs="Times New Roman" w:eastAsia="Times New Roman" w:hAnsi="Times New Roman"/>
          <w:sz w:val="22"/>
          <w:szCs w:val="22"/>
          <w:b w:val="1"/>
          <w:bCs w:val="1"/>
          <w:color w:val="auto"/>
        </w:rPr>
      </w:pPr>
    </w:p>
    <w:p>
      <w:pPr>
        <w:ind w:left="660" w:hanging="652"/>
        <w:spacing w:after="0" w:line="275" w:lineRule="auto"/>
        <w:tabs>
          <w:tab w:leader="none" w:pos="6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EXERCISING YOUR NSO. </w:t>
      </w:r>
      <w:r>
        <w:rPr>
          <w:rFonts w:ascii="Times New Roman" w:cs="Times New Roman" w:eastAsia="Times New Roman" w:hAnsi="Times New Roman"/>
          <w:sz w:val="22"/>
          <w:szCs w:val="22"/>
          <w:color w:val="auto"/>
        </w:rPr>
        <w:t>After your NSO vests, you may exercise the NSO at any time prior to the Expiration Date,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such earlier date as provided in Section 6.</w:t>
      </w:r>
    </w:p>
    <w:p>
      <w:pPr>
        <w:spacing w:after="0" w:line="180" w:lineRule="exact"/>
        <w:rPr>
          <w:rFonts w:ascii="Times New Roman" w:cs="Times New Roman" w:eastAsia="Times New Roman" w:hAnsi="Times New Roman"/>
          <w:sz w:val="22"/>
          <w:szCs w:val="22"/>
          <w:b w:val="1"/>
          <w:bCs w:val="1"/>
          <w:color w:val="auto"/>
        </w:rPr>
      </w:pPr>
    </w:p>
    <w:p>
      <w:pPr>
        <w:jc w:val="both"/>
        <w:ind w:left="1300" w:hanging="644"/>
        <w:spacing w:after="0" w:line="263" w:lineRule="auto"/>
        <w:tabs>
          <w:tab w:leader="none" w:pos="123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exercise the vested NSO you must make a written request to the Third Party Administrator and follow the exercise process prescribed by the Company. At any one time, you must exercise your NSO to buy no fewer than [___] Shares, or, you must exercise the balance of your NSO if the value is less than [___] Shares.</w:t>
      </w:r>
    </w:p>
    <w:p>
      <w:pPr>
        <w:spacing w:after="0" w:line="194" w:lineRule="exact"/>
        <w:rPr>
          <w:rFonts w:ascii="Times New Roman" w:cs="Times New Roman" w:eastAsia="Times New Roman" w:hAnsi="Times New Roman"/>
          <w:sz w:val="22"/>
          <w:szCs w:val="22"/>
          <w:color w:val="auto"/>
        </w:rPr>
      </w:pPr>
    </w:p>
    <w:p>
      <w:pPr>
        <w:ind w:left="1300" w:hanging="644"/>
        <w:spacing w:after="0" w:line="271" w:lineRule="auto"/>
        <w:tabs>
          <w:tab w:leader="none" w:pos="1166"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use one of the following three methods to exercise your vested NSO and to pay any taxes related to that exercise. You will decide on the method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44" w:name="page45"/>
    <w:bookmarkEnd w:id="44"/>
    <w:p>
      <w:pPr>
        <w:ind w:left="1300"/>
        <w:spacing w:after="0" w:line="271" w:lineRule="auto"/>
        <w:rPr>
          <w:sz w:val="20"/>
          <w:szCs w:val="20"/>
          <w:color w:val="auto"/>
        </w:rPr>
      </w:pPr>
      <w:r>
        <w:rPr>
          <w:rFonts w:ascii="Times New Roman" w:cs="Times New Roman" w:eastAsia="Times New Roman" w:hAnsi="Times New Roman"/>
          <w:sz w:val="22"/>
          <w:szCs w:val="22"/>
          <w:color w:val="auto"/>
        </w:rPr>
        <w:t>time of exercise. If you do not elect one of these methods, the Company will apply the Cashless Exercise and Sell method described below:</w:t>
      </w:r>
    </w:p>
    <w:p>
      <w:pPr>
        <w:spacing w:after="0" w:line="185" w:lineRule="exact"/>
        <w:rPr>
          <w:sz w:val="20"/>
          <w:szCs w:val="20"/>
          <w:color w:val="auto"/>
        </w:rPr>
      </w:pPr>
    </w:p>
    <w:p>
      <w:pPr>
        <w:jc w:val="both"/>
        <w:ind w:left="1960" w:hanging="656"/>
        <w:spacing w:after="0" w:line="268" w:lineRule="auto"/>
        <w:tabs>
          <w:tab w:leader="none" w:pos="2029"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CASHLESS EXERCISE AND SELL: If you elect this alternative, you will be deemed to have simultaneously exercised the NSO and to have sold the Shares underlying the portion of the NSO you exercised. When the transaction is complete, you will receive cash (but no Shares) from the broker equal to the difference between the aggregate market value of the Shares deemed to have been acquired through the exercise minus the aggregate Exercise Price and related taxes that are required to be withheld.</w:t>
      </w:r>
    </w:p>
    <w:p>
      <w:pPr>
        <w:spacing w:after="0" w:line="190" w:lineRule="exact"/>
        <w:rPr>
          <w:rFonts w:ascii="Times New Roman" w:cs="Times New Roman" w:eastAsia="Times New Roman" w:hAnsi="Times New Roman"/>
          <w:sz w:val="21"/>
          <w:szCs w:val="21"/>
          <w:color w:val="auto"/>
        </w:rPr>
      </w:pPr>
    </w:p>
    <w:p>
      <w:pPr>
        <w:ind w:left="1960" w:hanging="656"/>
        <w:spacing w:after="0" w:line="253" w:lineRule="auto"/>
        <w:tabs>
          <w:tab w:leader="none" w:pos="1856"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CASHLESS HOLD (Sell to Cover): If you elect this alternative, you will be deemed to have simultaneously exercised the NSO and to have sold a number of those Shares with a Fair Market Value sufficient to cover the aggregate Exercise Price and for taxes that are required to be withheld on account of the exercise. When the transaction is complete, the balance of the Shares subject to the portion of the NSO you exercised will be transferred to you.</w:t>
      </w:r>
    </w:p>
    <w:p>
      <w:pPr>
        <w:spacing w:after="0" w:line="205" w:lineRule="exact"/>
        <w:rPr>
          <w:rFonts w:ascii="Times New Roman" w:cs="Times New Roman" w:eastAsia="Times New Roman" w:hAnsi="Times New Roman"/>
          <w:sz w:val="22"/>
          <w:szCs w:val="22"/>
          <w:color w:val="auto"/>
        </w:rPr>
      </w:pPr>
    </w:p>
    <w:p>
      <w:pPr>
        <w:jc w:val="both"/>
        <w:ind w:left="1960" w:hanging="656"/>
        <w:spacing w:after="0" w:line="251" w:lineRule="auto"/>
        <w:tabs>
          <w:tab w:leader="none" w:pos="1977"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PURCHASE (Exercise and Hold): If you elect this alternative, you must pay (out of your pocket) the full Exercise Price plus related taxes that are required to be withheld in cash or in Shares having a Fair Market Value equal to the Exercise Price and which you have owned for at least six months before the exercise date. In other words, none of the acquired Shares will be used to cover the Exercise Price or related tax withholdings. When the transaction is complete, you will receive the number of Shares purchased.</w:t>
      </w:r>
    </w:p>
    <w:p>
      <w:pPr>
        <w:spacing w:after="0" w:line="208" w:lineRule="exact"/>
        <w:rPr>
          <w:rFonts w:ascii="Times New Roman" w:cs="Times New Roman" w:eastAsia="Times New Roman" w:hAnsi="Times New Roman"/>
          <w:sz w:val="22"/>
          <w:szCs w:val="22"/>
          <w:color w:val="auto"/>
        </w:rPr>
      </w:pPr>
    </w:p>
    <w:p>
      <w:pPr>
        <w:ind w:left="1300" w:hanging="644"/>
        <w:spacing w:after="0" w:line="284" w:lineRule="auto"/>
        <w:tabs>
          <w:tab w:leader="none" w:pos="114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never exercise your NSO to purchase a fractional Share. Any fractional Share shall be redeemed for cash equal to the Fair Market Value of such fractional Share.</w:t>
      </w:r>
    </w:p>
    <w:p>
      <w:pPr>
        <w:spacing w:after="0" w:line="166" w:lineRule="exact"/>
        <w:rPr>
          <w:rFonts w:ascii="Times New Roman" w:cs="Times New Roman" w:eastAsia="Times New Roman" w:hAnsi="Times New Roman"/>
          <w:sz w:val="22"/>
          <w:szCs w:val="22"/>
          <w:color w:val="auto"/>
        </w:rPr>
      </w:pPr>
    </w:p>
    <w:p>
      <w:pPr>
        <w:jc w:val="both"/>
        <w:ind w:firstLine="8"/>
        <w:spacing w:after="0" w:line="259" w:lineRule="auto"/>
        <w:tabs>
          <w:tab w:leader="none" w:pos="417"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EXPIRATION FORFEITURE AND RECOUPMENT. </w:t>
      </w:r>
      <w:r>
        <w:rPr>
          <w:rFonts w:ascii="Times New Roman" w:cs="Times New Roman" w:eastAsia="Times New Roman" w:hAnsi="Times New Roman"/>
          <w:sz w:val="22"/>
          <w:szCs w:val="22"/>
          <w:color w:val="auto"/>
        </w:rPr>
        <w:t>It is your responsibility to keep track of when your NSO expires.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NSO will expire and/or you will forfeit your NSO (i.e. you will no longer have the right to exercise any portion of your NSO) under each of the following circumstances:</w:t>
      </w:r>
    </w:p>
    <w:p>
      <w:pPr>
        <w:spacing w:after="0" w:line="193" w:lineRule="exact"/>
        <w:rPr>
          <w:rFonts w:ascii="Times New Roman" w:cs="Times New Roman" w:eastAsia="Times New Roman" w:hAnsi="Times New Roman"/>
          <w:sz w:val="22"/>
          <w:szCs w:val="22"/>
          <w:b w:val="1"/>
          <w:bCs w:val="1"/>
          <w:color w:val="auto"/>
        </w:rPr>
      </w:pPr>
    </w:p>
    <w:p>
      <w:pPr>
        <w:ind w:left="1300" w:hanging="644"/>
        <w:spacing w:after="0" w:line="287" w:lineRule="auto"/>
        <w:tabs>
          <w:tab w:leader="none" w:pos="129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General Expiration Rule. </w:t>
      </w:r>
      <w:r>
        <w:rPr>
          <w:rFonts w:ascii="Times New Roman" w:cs="Times New Roman" w:eastAsia="Times New Roman" w:hAnsi="Times New Roman"/>
          <w:sz w:val="22"/>
          <w:szCs w:val="22"/>
          <w:color w:val="auto"/>
        </w:rPr>
        <w:t>In general, your vested NSO will expire on the Expiration Date, unless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in this Section 6.</w:t>
      </w:r>
    </w:p>
    <w:p>
      <w:pPr>
        <w:spacing w:after="0" w:line="16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Early Expiration. </w:t>
      </w:r>
      <w:r>
        <w:rPr>
          <w:rFonts w:ascii="Times New Roman" w:cs="Times New Roman" w:eastAsia="Times New Roman" w:hAnsi="Times New Roman"/>
          <w:sz w:val="22"/>
          <w:szCs w:val="22"/>
          <w:color w:val="auto"/>
        </w:rPr>
        <w:t>In the following instances, your vested NSO will expire before the Expiration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45" w:name="page46"/>
    <w:bookmarkEnd w:id="45"/>
    <w:p>
      <w:pPr>
        <w:jc w:val="both"/>
        <w:ind w:left="1284" w:hanging="647"/>
        <w:spacing w:after="0" w:line="257" w:lineRule="auto"/>
        <w:tabs>
          <w:tab w:leader="none" w:pos="1264" w:val="left"/>
        </w:tabs>
        <w:rPr>
          <w:sz w:val="20"/>
          <w:szCs w:val="20"/>
          <w:color w:val="auto"/>
        </w:rPr>
      </w:pPr>
      <w:r>
        <w:rPr>
          <w:rFonts w:ascii="Arial" w:cs="Arial" w:eastAsia="Arial" w:hAnsi="Arial"/>
          <w:sz w:val="22"/>
          <w:szCs w:val="22"/>
          <w:color w:val="auto"/>
        </w:rPr>
        <w:t>(i.)</w:t>
      </w:r>
      <w:r>
        <w:rPr>
          <w:sz w:val="20"/>
          <w:szCs w:val="20"/>
          <w:color w:val="auto"/>
        </w:rPr>
        <w:tab/>
      </w:r>
      <w:r>
        <w:rPr>
          <w:rFonts w:ascii="Times New Roman" w:cs="Times New Roman" w:eastAsia="Times New Roman" w:hAnsi="Times New Roman"/>
          <w:sz w:val="22"/>
          <w:szCs w:val="22"/>
          <w:color w:val="auto"/>
        </w:rPr>
        <w:t>If you Terminate for any reason other than for Cause after the Normal Vesting Date, except as provided in Section 3(b)(ii), the portion of your NSO that is vested but has not been exercised will expire on the earlier of the Expiration Date or [___] days after the date of termination.</w:t>
      </w:r>
    </w:p>
    <w:p>
      <w:pPr>
        <w:spacing w:after="0" w:line="213" w:lineRule="exact"/>
        <w:rPr>
          <w:sz w:val="20"/>
          <w:szCs w:val="20"/>
          <w:color w:val="auto"/>
        </w:rPr>
      </w:pPr>
    </w:p>
    <w:p>
      <w:pPr>
        <w:jc w:val="both"/>
        <w:ind w:left="1284" w:hanging="647"/>
        <w:spacing w:after="0" w:line="250" w:lineRule="auto"/>
        <w:tabs>
          <w:tab w:leader="none" w:pos="1264" w:val="left"/>
        </w:tabs>
        <w:rPr>
          <w:sz w:val="20"/>
          <w:szCs w:val="20"/>
          <w:color w:val="auto"/>
        </w:rPr>
      </w:pPr>
      <w:r>
        <w:rPr>
          <w:rFonts w:ascii="Arial" w:cs="Arial" w:eastAsia="Arial" w:hAnsi="Arial"/>
          <w:sz w:val="18"/>
          <w:szCs w:val="18"/>
          <w:color w:val="auto"/>
        </w:rPr>
        <w:t>(ii.)</w:t>
      </w:r>
      <w:r>
        <w:rPr>
          <w:sz w:val="20"/>
          <w:szCs w:val="20"/>
          <w:color w:val="auto"/>
        </w:rPr>
        <w:tab/>
      </w:r>
      <w:r>
        <w:rPr>
          <w:rFonts w:ascii="Times New Roman" w:cs="Times New Roman" w:eastAsia="Times New Roman" w:hAnsi="Times New Roman"/>
          <w:sz w:val="22"/>
          <w:szCs w:val="22"/>
          <w:color w:val="auto"/>
        </w:rPr>
        <w:t xml:space="preserve">If you Terminate for Cause after the Normal Vesting Date, the portion of your NSO that is vested but has not been exercised will immediately be forfeited and will expire on the date of Termination. </w:t>
      </w:r>
      <w:r>
        <w:rPr>
          <w:rFonts w:ascii="Times New Roman" w:cs="Times New Roman" w:eastAsia="Times New Roman" w:hAnsi="Times New Roman"/>
          <w:sz w:val="22"/>
          <w:szCs w:val="22"/>
          <w:color w:val="222222"/>
        </w:rPr>
        <w:t>In addition,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22222"/>
        </w:rPr>
        <w:t>the Committee may determine that some or all of any Shares or other amounts you have received through this Award Agreement or the Plan are subject to forfeiture and recoupment as described in this Section 6 and in the Plan.</w:t>
      </w:r>
    </w:p>
    <w:p>
      <w:pPr>
        <w:spacing w:after="0" w:line="221" w:lineRule="exact"/>
        <w:rPr>
          <w:sz w:val="20"/>
          <w:szCs w:val="20"/>
          <w:color w:val="auto"/>
        </w:rPr>
      </w:pPr>
    </w:p>
    <w:p>
      <w:pPr>
        <w:jc w:val="both"/>
        <w:ind w:left="1284" w:right="20" w:hanging="647"/>
        <w:spacing w:after="0" w:line="271" w:lineRule="auto"/>
        <w:tabs>
          <w:tab w:leader="none" w:pos="1264"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22"/>
          <w:szCs w:val="22"/>
          <w:color w:val="auto"/>
        </w:rPr>
        <w:t>If there is a Change in Control, your NSO may expire earlier than the Expiration Date. See the Plan for further details.</w:t>
      </w:r>
    </w:p>
    <w:p>
      <w:pPr>
        <w:spacing w:after="0" w:line="181" w:lineRule="exact"/>
        <w:rPr>
          <w:sz w:val="20"/>
          <w:szCs w:val="20"/>
          <w:color w:val="auto"/>
        </w:rPr>
      </w:pPr>
    </w:p>
    <w:p>
      <w:pPr>
        <w:ind w:left="644" w:right="20" w:hanging="644"/>
        <w:spacing w:after="0" w:line="275" w:lineRule="auto"/>
        <w:tabs>
          <w:tab w:leader="none" w:pos="6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Forfeiture and Recoupment Rules. </w:t>
      </w:r>
      <w:r>
        <w:rPr>
          <w:rFonts w:ascii="Times New Roman" w:cs="Times New Roman" w:eastAsia="Times New Roman" w:hAnsi="Times New Roman"/>
          <w:sz w:val="22"/>
          <w:szCs w:val="22"/>
          <w:color w:val="auto"/>
        </w:rPr>
        <w:t>In the following instances, your NSO will expire and you will forfeit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NSO prior to the Expiration Date:</w:t>
      </w:r>
    </w:p>
    <w:p>
      <w:pPr>
        <w:spacing w:after="0" w:line="180" w:lineRule="exact"/>
        <w:rPr>
          <w:sz w:val="20"/>
          <w:szCs w:val="20"/>
          <w:color w:val="auto"/>
        </w:rPr>
      </w:pPr>
    </w:p>
    <w:tbl>
      <w:tblPr>
        <w:tblLayout w:type="fixed"/>
        <w:tblInd w:w="644" w:type="dxa"/>
        <w:tblCellMar>
          <w:top w:w="0" w:type="dxa"/>
          <w:left w:w="0" w:type="dxa"/>
          <w:bottom w:w="0" w:type="dxa"/>
          <w:right w:w="0" w:type="dxa"/>
        </w:tblCellMar>
      </w:tblPr>
      <w:tr>
        <w:trPr>
          <w:trHeight w:val="256"/>
        </w:trPr>
        <w:tc>
          <w:tcPr>
            <w:tcW w:w="4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94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If you Terminate before the Normal Vesting Date, except as provided in Section 3 above, you will forfeit</w:t>
            </w:r>
          </w:p>
        </w:tc>
      </w:tr>
      <w:tr>
        <w:trPr>
          <w:trHeight w:val="282"/>
        </w:trPr>
        <w:tc>
          <w:tcPr>
            <w:tcW w:w="480" w:type="dxa"/>
            <w:vAlign w:val="bottom"/>
          </w:tcPr>
          <w:p>
            <w:pPr>
              <w:spacing w:after="0"/>
              <w:rPr>
                <w:sz w:val="24"/>
                <w:szCs w:val="24"/>
                <w:color w:val="auto"/>
              </w:rPr>
            </w:pPr>
          </w:p>
        </w:tc>
        <w:tc>
          <w:tcPr>
            <w:tcW w:w="94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your NSO in its entirety;</w:t>
            </w:r>
          </w:p>
        </w:tc>
      </w:tr>
      <w:tr>
        <w:trPr>
          <w:trHeight w:val="352"/>
        </w:trPr>
        <w:tc>
          <w:tcPr>
            <w:tcW w:w="480" w:type="dxa"/>
            <w:vAlign w:val="bottom"/>
          </w:tcPr>
          <w:p>
            <w:pPr>
              <w:spacing w:after="0"/>
              <w:rPr>
                <w:sz w:val="20"/>
                <w:szCs w:val="20"/>
                <w:color w:val="auto"/>
              </w:rPr>
            </w:pPr>
            <w:r>
              <w:rPr>
                <w:rFonts w:ascii="Arial" w:cs="Arial" w:eastAsia="Arial" w:hAnsi="Arial"/>
                <w:sz w:val="22"/>
                <w:szCs w:val="22"/>
                <w:color w:val="auto"/>
              </w:rPr>
              <w:t>(ii.)</w:t>
            </w:r>
          </w:p>
        </w:tc>
        <w:tc>
          <w:tcPr>
            <w:tcW w:w="946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If, without prior authorization in writing from the Company, you engage in “Conduct That is Harmful to</w:t>
            </w:r>
          </w:p>
        </w:tc>
      </w:tr>
      <w:tr>
        <w:trPr>
          <w:trHeight w:val="256"/>
        </w:trPr>
        <w:tc>
          <w:tcPr>
            <w:tcW w:w="480" w:type="dxa"/>
            <w:vAlign w:val="bottom"/>
          </w:tcPr>
          <w:p>
            <w:pPr>
              <w:spacing w:after="0"/>
              <w:rPr>
                <w:sz w:val="22"/>
                <w:szCs w:val="22"/>
                <w:color w:val="auto"/>
              </w:rPr>
            </w:pPr>
          </w:p>
        </w:tc>
        <w:tc>
          <w:tcPr>
            <w:tcW w:w="94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8"/>
              </w:rPr>
              <w:t>the Company” at any time during the course of your employment or within [___] days after you Terminate,</w:t>
            </w:r>
          </w:p>
        </w:tc>
      </w:tr>
      <w:tr>
        <w:trPr>
          <w:trHeight w:val="257"/>
        </w:trPr>
        <w:tc>
          <w:tcPr>
            <w:tcW w:w="480" w:type="dxa"/>
            <w:vAlign w:val="bottom"/>
          </w:tcPr>
          <w:p>
            <w:pPr>
              <w:spacing w:after="0"/>
              <w:rPr>
                <w:sz w:val="22"/>
                <w:szCs w:val="22"/>
                <w:color w:val="auto"/>
              </w:rPr>
            </w:pPr>
          </w:p>
        </w:tc>
        <w:tc>
          <w:tcPr>
            <w:tcW w:w="94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8"/>
              </w:rPr>
              <w:t>you will forfeit the portion of your NSO that has not been exercised, whether it is vested or not. In addition</w:t>
            </w:r>
          </w:p>
        </w:tc>
      </w:tr>
      <w:tr>
        <w:trPr>
          <w:trHeight w:val="256"/>
        </w:trPr>
        <w:tc>
          <w:tcPr>
            <w:tcW w:w="480" w:type="dxa"/>
            <w:vAlign w:val="bottom"/>
          </w:tcPr>
          <w:p>
            <w:pPr>
              <w:spacing w:after="0"/>
              <w:rPr>
                <w:sz w:val="22"/>
                <w:szCs w:val="22"/>
                <w:color w:val="auto"/>
              </w:rPr>
            </w:pPr>
          </w:p>
        </w:tc>
        <w:tc>
          <w:tcPr>
            <w:tcW w:w="94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w w:val="99"/>
              </w:rPr>
              <w:t>to this forfeiture, the Committee may determine that some or all of any Shares or other amounts you have</w:t>
            </w:r>
          </w:p>
        </w:tc>
      </w:tr>
      <w:tr>
        <w:trPr>
          <w:trHeight w:val="270"/>
        </w:trPr>
        <w:tc>
          <w:tcPr>
            <w:tcW w:w="480" w:type="dxa"/>
            <w:vAlign w:val="bottom"/>
          </w:tcPr>
          <w:p>
            <w:pPr>
              <w:spacing w:after="0"/>
              <w:rPr>
                <w:sz w:val="23"/>
                <w:szCs w:val="23"/>
                <w:color w:val="auto"/>
              </w:rPr>
            </w:pPr>
          </w:p>
        </w:tc>
        <w:tc>
          <w:tcPr>
            <w:tcW w:w="94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received through the Plan or this Award Agreement are subject to recoupment, where allowable by law,</w:t>
            </w:r>
          </w:p>
        </w:tc>
      </w:tr>
      <w:tr>
        <w:trPr>
          <w:trHeight w:val="282"/>
        </w:trPr>
        <w:tc>
          <w:tcPr>
            <w:tcW w:w="480" w:type="dxa"/>
            <w:vAlign w:val="bottom"/>
          </w:tcPr>
          <w:p>
            <w:pPr>
              <w:spacing w:after="0"/>
              <w:rPr>
                <w:sz w:val="24"/>
                <w:szCs w:val="24"/>
                <w:color w:val="auto"/>
              </w:rPr>
            </w:pPr>
          </w:p>
        </w:tc>
        <w:tc>
          <w:tcPr>
            <w:tcW w:w="946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and must be returned to the Company. “Conduct That is Harmful to the Company” is:</w:t>
            </w:r>
          </w:p>
        </w:tc>
      </w:tr>
      <w:tr>
        <w:trPr>
          <w:trHeight w:val="474"/>
        </w:trPr>
        <w:tc>
          <w:tcPr>
            <w:tcW w:w="48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w:t>
            </w:r>
          </w:p>
        </w:tc>
        <w:tc>
          <w:tcPr>
            <w:tcW w:w="8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Your breach of any confidentiality, nondisclosure, and/or noncompetition obligations under any</w:t>
            </w:r>
          </w:p>
        </w:tc>
      </w:tr>
      <w:tr>
        <w:trPr>
          <w:trHeight w:val="282"/>
        </w:trPr>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agreement or plan with the Company or any Subsidiary or Affiliate;</w:t>
            </w:r>
          </w:p>
        </w:tc>
      </w:tr>
      <w:tr>
        <w:trPr>
          <w:trHeight w:val="474"/>
        </w:trPr>
        <w:tc>
          <w:tcPr>
            <w:tcW w:w="48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(b)</w:t>
            </w:r>
          </w:p>
        </w:tc>
        <w:tc>
          <w:tcPr>
            <w:tcW w:w="8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Your engaging in conduct that the Committee reasonably concludes requires the forfeiture and</w:t>
            </w:r>
          </w:p>
        </w:tc>
      </w:tr>
      <w:tr>
        <w:trPr>
          <w:trHeight w:val="270"/>
        </w:trPr>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recoupment of the Award under the terms of any Company recoupment or clawback policy, any</w:t>
            </w:r>
          </w:p>
        </w:tc>
      </w:tr>
      <w:tr>
        <w:trPr>
          <w:trHeight w:val="282"/>
        </w:trPr>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other applicable policy of the Company, and any applicable laws and regulations;</w:t>
            </w:r>
          </w:p>
        </w:tc>
      </w:tr>
      <w:tr>
        <w:trPr>
          <w:trHeight w:val="474"/>
        </w:trPr>
        <w:tc>
          <w:tcPr>
            <w:tcW w:w="480" w:type="dxa"/>
            <w:vAlign w:val="bottom"/>
          </w:tcPr>
          <w:p>
            <w:pPr>
              <w:spacing w:after="0"/>
              <w:rPr>
                <w:sz w:val="24"/>
                <w:szCs w:val="24"/>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w:t>
            </w:r>
          </w:p>
        </w:tc>
        <w:tc>
          <w:tcPr>
            <w:tcW w:w="8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Your failure or refusal to consult with, supply information to or otherwise cooperate with the</w:t>
            </w:r>
          </w:p>
        </w:tc>
      </w:tr>
      <w:tr>
        <w:trPr>
          <w:trHeight w:val="282"/>
        </w:trPr>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Company or any Subsidiary or Affiliate after having been requested to do so;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4"/>
          </w:cols>
          <w:pgMar w:left="976" w:top="1422" w:right="339" w:bottom="1440" w:gutter="0" w:footer="0" w:header="0"/>
        </w:sectPr>
      </w:pPr>
    </w:p>
    <w:bookmarkStart w:id="46" w:name="page47"/>
    <w:bookmarkEnd w:id="46"/>
    <w:p>
      <w:pPr>
        <w:spacing w:after="0" w:line="225" w:lineRule="exact"/>
        <w:rPr>
          <w:sz w:val="20"/>
          <w:szCs w:val="20"/>
          <w:color w:val="auto"/>
        </w:rPr>
      </w:pPr>
    </w:p>
    <w:p>
      <w:pPr>
        <w:jc w:val="both"/>
        <w:ind w:left="2600" w:hanging="648"/>
        <w:spacing w:after="0" w:line="257" w:lineRule="auto"/>
        <w:tabs>
          <w:tab w:leader="none" w:pos="2595"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deliberately engaging in any action that the Company concludes has caused substantial harm to the interests of the Company or any Subsidiary or Affiliate, including but not limited to, violations of applicable securities laws or the Company’s Insider Trading Policy;</w:t>
      </w:r>
    </w:p>
    <w:p>
      <w:pPr>
        <w:spacing w:after="0" w:line="213" w:lineRule="exact"/>
        <w:rPr>
          <w:rFonts w:ascii="Times New Roman" w:cs="Times New Roman" w:eastAsia="Times New Roman" w:hAnsi="Times New Roman"/>
          <w:sz w:val="22"/>
          <w:szCs w:val="22"/>
          <w:color w:val="auto"/>
        </w:rPr>
      </w:pPr>
    </w:p>
    <w:p>
      <w:pPr>
        <w:jc w:val="both"/>
        <w:ind w:left="2600" w:hanging="648"/>
        <w:spacing w:after="0" w:line="251" w:lineRule="auto"/>
        <w:tabs>
          <w:tab w:leader="none" w:pos="2597"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failure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Subsidiary or Affiliate; or</w:t>
      </w:r>
    </w:p>
    <w:p>
      <w:pPr>
        <w:spacing w:after="0" w:line="208" w:lineRule="exact"/>
        <w:rPr>
          <w:rFonts w:ascii="Times New Roman" w:cs="Times New Roman" w:eastAsia="Times New Roman" w:hAnsi="Times New Roman"/>
          <w:sz w:val="22"/>
          <w:szCs w:val="22"/>
          <w:color w:val="auto"/>
        </w:rPr>
      </w:pPr>
    </w:p>
    <w:p>
      <w:pPr>
        <w:jc w:val="both"/>
        <w:ind w:left="2600" w:hanging="648"/>
        <w:spacing w:after="0" w:line="252" w:lineRule="auto"/>
        <w:tabs>
          <w:tab w:leader="none" w:pos="2600"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Discovery after you Terminated that you engaged in conduct while employed by the Company that the Committee reasonably concludes would have given rise to a Termination for Cause had it been discovered before you Terminated, including but not limited to having engaged in or contributed to criminal misconduct.</w:t>
      </w:r>
    </w:p>
    <w:p>
      <w:pPr>
        <w:spacing w:after="0" w:line="202" w:lineRule="exact"/>
        <w:rPr>
          <w:rFonts w:ascii="Times New Roman" w:cs="Times New Roman" w:eastAsia="Times New Roman" w:hAnsi="Times New Roman"/>
          <w:sz w:val="22"/>
          <w:szCs w:val="22"/>
          <w:color w:val="auto"/>
        </w:rPr>
      </w:pPr>
    </w:p>
    <w:p>
      <w:pPr>
        <w:ind w:firstLine="8"/>
        <w:spacing w:after="0" w:line="287" w:lineRule="auto"/>
        <w:tabs>
          <w:tab w:leader="none" w:pos="366"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AND TERMINATION</w:t>
      </w:r>
      <w:r>
        <w:rPr>
          <w:rFonts w:ascii="Times New Roman" w:cs="Times New Roman" w:eastAsia="Times New Roman" w:hAnsi="Times New Roman"/>
          <w:sz w:val="22"/>
          <w:szCs w:val="22"/>
          <w:color w:val="auto"/>
        </w:rPr>
        <w:t>. Subject to the terms of the Plan, the Company may amend or terminate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the Plan at any time.</w:t>
      </w:r>
    </w:p>
    <w:p>
      <w:pPr>
        <w:spacing w:after="0" w:line="164" w:lineRule="exact"/>
        <w:rPr>
          <w:rFonts w:ascii="Times New Roman" w:cs="Times New Roman" w:eastAsia="Times New Roman" w:hAnsi="Times New Roman"/>
          <w:sz w:val="22"/>
          <w:szCs w:val="22"/>
          <w:b w:val="1"/>
          <w:bCs w:val="1"/>
          <w:color w:val="auto"/>
        </w:rPr>
      </w:pPr>
    </w:p>
    <w:p>
      <w:pPr>
        <w:jc w:val="both"/>
        <w:ind w:firstLine="8"/>
        <w:spacing w:after="0" w:line="269" w:lineRule="auto"/>
        <w:tabs>
          <w:tab w:leader="none" w:pos="389" w:val="left"/>
        </w:tabs>
        <w:numPr>
          <w:ilvl w:val="0"/>
          <w:numId w:val="2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BENEFICIARY DESIGNATION</w:t>
      </w:r>
      <w:r>
        <w:rPr>
          <w:rFonts w:ascii="Times New Roman" w:cs="Times New Roman" w:eastAsia="Times New Roman" w:hAnsi="Times New Roman"/>
          <w:sz w:val="21"/>
          <w:szCs w:val="21"/>
          <w:color w:val="auto"/>
        </w:rPr>
        <w:t>. You may name a beneficiary or beneficiaries to receive or to exercise the vested portion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your NSO that is unexercised when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85" w:lineRule="exact"/>
        <w:rPr>
          <w:rFonts w:ascii="Times New Roman" w:cs="Times New Roman" w:eastAsia="Times New Roman" w:hAnsi="Times New Roman"/>
          <w:sz w:val="21"/>
          <w:szCs w:val="21"/>
          <w:b w:val="1"/>
          <w:bCs w:val="1"/>
          <w:color w:val="auto"/>
        </w:rPr>
      </w:pPr>
    </w:p>
    <w:p>
      <w:pPr>
        <w:jc w:val="both"/>
        <w:ind w:firstLine="8"/>
        <w:spacing w:after="0" w:line="259" w:lineRule="auto"/>
        <w:tabs>
          <w:tab w:leader="none" w:pos="374"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TRANSFERRING YOUR NSO</w:t>
      </w:r>
      <w:r>
        <w:rPr>
          <w:rFonts w:ascii="Times New Roman" w:cs="Times New Roman" w:eastAsia="Times New Roman" w:hAnsi="Times New Roman"/>
          <w:sz w:val="22"/>
          <w:szCs w:val="22"/>
          <w:color w:val="auto"/>
        </w:rPr>
        <w:t>. Except as described in Section 8, your NSO may not be transferred to another person.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may allow you to place your NSO into a trust established for your benefit or for the benefit of your family. Contact the Third Party Administrator for further details.</w:t>
      </w:r>
    </w:p>
    <w:p>
      <w:pPr>
        <w:spacing w:after="0" w:line="193" w:lineRule="exact"/>
        <w:rPr>
          <w:rFonts w:ascii="Times New Roman" w:cs="Times New Roman" w:eastAsia="Times New Roman" w:hAnsi="Times New Roman"/>
          <w:sz w:val="22"/>
          <w:szCs w:val="22"/>
          <w:b w:val="1"/>
          <w:bCs w:val="1"/>
          <w:color w:val="auto"/>
        </w:rPr>
      </w:pPr>
    </w:p>
    <w:p>
      <w:pPr>
        <w:jc w:val="both"/>
        <w:ind w:firstLine="8"/>
        <w:spacing w:after="0" w:line="265" w:lineRule="auto"/>
        <w:tabs>
          <w:tab w:leader="none" w:pos="518"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This Award Agreement shall be governed by the laws of the State of Ohio, excluding any conflicts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choice of law rule or principle that might otherwise refer construction or interpretation of the Plan to the substantive law of another jurisdiction.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71" w:lineRule="auto"/>
        <w:rPr>
          <w:sz w:val="20"/>
          <w:szCs w:val="20"/>
          <w:color w:val="auto"/>
        </w:rPr>
      </w:pPr>
      <w:r>
        <w:rPr>
          <w:rFonts w:ascii="Times New Roman" w:cs="Times New Roman" w:eastAsia="Times New Roman" w:hAnsi="Times New Roman"/>
          <w:sz w:val="22"/>
          <w:szCs w:val="22"/>
          <w:color w:val="auto"/>
        </w:rPr>
        <w:t>Award Agreement and the delivery of any Shares hereunder shall be governed by applicable federal and state securities laws and exchanges.</w:t>
      </w:r>
    </w:p>
    <w:p>
      <w:pPr>
        <w:spacing w:after="0" w:line="181" w:lineRule="exact"/>
        <w:rPr>
          <w:sz w:val="20"/>
          <w:szCs w:val="20"/>
          <w:color w:val="auto"/>
        </w:rPr>
      </w:pPr>
    </w:p>
    <w:p>
      <w:pPr>
        <w:jc w:val="both"/>
        <w:ind w:firstLine="8"/>
        <w:spacing w:after="0" w:line="254" w:lineRule="auto"/>
        <w:tabs>
          <w:tab w:leader="none" w:pos="582"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AGREEMENTS AND POLICIES</w:t>
      </w:r>
      <w:r>
        <w:rPr>
          <w:rFonts w:ascii="Times New Roman" w:cs="Times New Roman" w:eastAsia="Times New Roman" w:hAnsi="Times New Roman"/>
          <w:sz w:val="22"/>
          <w:szCs w:val="22"/>
          <w:color w:val="auto"/>
        </w:rPr>
        <w:t>. Your NSO will be subject to the terms of any other written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you and the Company or any Subsidiary or Affiliate to the extent that those other agreements do not directly conflict with the terms of the Plan or this Award Agreement. Your NSO granted under the Plan shall be subject to any applicable Company clawback or recoupment policies, share trading policies and other policies that may be implemented by the Company from time to time.</w:t>
      </w:r>
    </w:p>
    <w:p>
      <w:pPr>
        <w:spacing w:after="0" w:line="200" w:lineRule="exact"/>
        <w:rPr>
          <w:rFonts w:ascii="Times New Roman" w:cs="Times New Roman" w:eastAsia="Times New Roman" w:hAnsi="Times New Roman"/>
          <w:sz w:val="22"/>
          <w:szCs w:val="22"/>
          <w:b w:val="1"/>
          <w:bCs w:val="1"/>
          <w:color w:val="auto"/>
        </w:rPr>
      </w:pPr>
    </w:p>
    <w:p>
      <w:pPr>
        <w:jc w:val="both"/>
        <w:ind w:firstLine="8"/>
        <w:spacing w:after="0" w:line="265" w:lineRule="auto"/>
        <w:tabs>
          <w:tab w:leader="none" w:pos="528"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 TO YOUR NSO</w:t>
      </w:r>
      <w:r>
        <w:rPr>
          <w:rFonts w:ascii="Times New Roman" w:cs="Times New Roman" w:eastAsia="Times New Roman" w:hAnsi="Times New Roman"/>
          <w:sz w:val="22"/>
          <w:szCs w:val="22"/>
          <w:color w:val="auto"/>
        </w:rPr>
        <w:t>. Subject to the terms of the Plan, your NSO and the terms of this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adjusted, if appropriate, to reflect any change to the Company’s capital structure (e.g., the number of Shares underlying your NSO and the Exercise Price will be adjusted to reflect a stock split).</w:t>
      </w:r>
    </w:p>
    <w:p>
      <w:pPr>
        <w:spacing w:after="0" w:line="188" w:lineRule="exact"/>
        <w:rPr>
          <w:rFonts w:ascii="Times New Roman" w:cs="Times New Roman" w:eastAsia="Times New Roman" w:hAnsi="Times New Roman"/>
          <w:sz w:val="22"/>
          <w:szCs w:val="22"/>
          <w:b w:val="1"/>
          <w:bCs w:val="1"/>
          <w:color w:val="auto"/>
        </w:rPr>
      </w:pPr>
    </w:p>
    <w:p>
      <w:pPr>
        <w:ind w:left="480" w:hanging="472"/>
        <w:spacing w:after="0"/>
        <w:tabs>
          <w:tab w:leader="none" w:pos="48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YOUR ACKNOWLEDGMENT OF AND AGREEMENT TO AWARD CONDITIONS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you acknowledge and agree that:</w:t>
      </w:r>
    </w:p>
    <w:p>
      <w:pPr>
        <w:spacing w:after="0" w:line="247" w:lineRule="exact"/>
        <w:rPr>
          <w:sz w:val="20"/>
          <w:szCs w:val="20"/>
          <w:color w:val="auto"/>
        </w:rPr>
      </w:pPr>
    </w:p>
    <w:p>
      <w:pPr>
        <w:ind w:left="1100" w:hanging="444"/>
        <w:spacing w:after="0"/>
        <w:tabs>
          <w:tab w:leader="none" w:pos="11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Plan has been made available to you;</w:t>
      </w:r>
    </w:p>
    <w:p>
      <w:pPr>
        <w:spacing w:after="0" w:line="246"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and accept the terms and conditions of your NSO;</w:t>
      </w:r>
    </w:p>
    <w:p>
      <w:pPr>
        <w:spacing w:after="0" w:line="260" w:lineRule="exact"/>
        <w:rPr>
          <w:rFonts w:ascii="Times New Roman" w:cs="Times New Roman" w:eastAsia="Times New Roman" w:hAnsi="Times New Roman"/>
          <w:sz w:val="22"/>
          <w:szCs w:val="22"/>
          <w:color w:val="auto"/>
        </w:rPr>
      </w:pPr>
    </w:p>
    <w:p>
      <w:pPr>
        <w:ind w:left="1300" w:hanging="644"/>
        <w:spacing w:after="0" w:line="271" w:lineRule="auto"/>
        <w:tabs>
          <w:tab w:leader="none" w:pos="1122"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Award under the Plan, you agree to all Committee determinations as described in the Plan and this Award Agreement;</w:t>
      </w:r>
    </w:p>
    <w:p>
      <w:pPr>
        <w:spacing w:after="0" w:line="184" w:lineRule="exact"/>
        <w:rPr>
          <w:rFonts w:ascii="Times New Roman" w:cs="Times New Roman" w:eastAsia="Times New Roman" w:hAnsi="Times New Roman"/>
          <w:sz w:val="22"/>
          <w:szCs w:val="22"/>
          <w:color w:val="auto"/>
        </w:rPr>
      </w:pPr>
    </w:p>
    <w:p>
      <w:pPr>
        <w:ind w:left="1300" w:hanging="644"/>
        <w:spacing w:after="0" w:line="256" w:lineRule="auto"/>
        <w:tabs>
          <w:tab w:leader="none" w:pos="117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consent (on your own behalf and on behalf of your beneficiaries and transferees and without any further consideration) to any necessary change to your NSO or this Award Agreement to comply with any law and to avoid paying penalties under Section 409A of the Code, even if those changes affect the terms of your NSO and reduce its value or potential value; and</w:t>
      </w:r>
    </w:p>
    <w:p>
      <w:pPr>
        <w:spacing w:after="0" w:line="203" w:lineRule="exact"/>
        <w:rPr>
          <w:rFonts w:ascii="Times New Roman" w:cs="Times New Roman" w:eastAsia="Times New Roman" w:hAnsi="Times New Roman"/>
          <w:sz w:val="22"/>
          <w:szCs w:val="22"/>
          <w:color w:val="auto"/>
        </w:rPr>
      </w:pPr>
    </w:p>
    <w:p>
      <w:pPr>
        <w:ind w:left="1300" w:hanging="644"/>
        <w:spacing w:after="0" w:line="271" w:lineRule="auto"/>
        <w:tabs>
          <w:tab w:leader="none" w:pos="1115"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You must return a signed copy of this Award Agreement utilizing the on-line grant agreement process defined above before </w:t>
      </w:r>
      <w:r>
        <w:rPr>
          <w:rFonts w:ascii="Times New Roman" w:cs="Times New Roman" w:eastAsia="Times New Roman" w:hAnsi="Times New Roman"/>
          <w:sz w:val="22"/>
          <w:szCs w:val="22"/>
          <w:b w:val="1"/>
          <w:bCs w:val="1"/>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48" w:name="page49"/>
    <w:bookmarkEnd w:id="48"/>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Grantee’s Name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SCOTTS MIRACLE-GRO COMPANY</w:t>
      </w:r>
    </w:p>
    <w:p>
      <w:pPr>
        <w:spacing w:after="0" w:line="200" w:lineRule="exact"/>
        <w:rPr>
          <w:sz w:val="20"/>
          <w:szCs w:val="20"/>
          <w:color w:val="auto"/>
        </w:rPr>
      </w:pPr>
    </w:p>
    <w:p>
      <w:pPr>
        <w:sectPr>
          <w:pgSz w:w="11900" w:h="16838" w:orient="portrait"/>
          <w:cols w:equalWidth="0" w:num="2">
            <w:col w:w="4900" w:space="720"/>
            <w:col w:w="4439"/>
          </w:cols>
          <w:pgMar w:left="400" w:top="1440" w:right="1440"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BY:__________________________________</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signed: ________________________</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BY:__________________________________</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Company representative]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Company representative]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signed:______________________</w:t>
      </w:r>
    </w:p>
    <w:p>
      <w:pPr>
        <w:spacing w:after="0" w:line="200" w:lineRule="exact"/>
        <w:rPr>
          <w:sz w:val="20"/>
          <w:szCs w:val="20"/>
          <w:color w:val="auto"/>
        </w:rPr>
      </w:pPr>
    </w:p>
    <w:p>
      <w:pPr>
        <w:sectPr>
          <w:pgSz w:w="11900" w:h="16838" w:orient="portrait"/>
          <w:cols w:equalWidth="0" w:num="2">
            <w:col w:w="4900" w:space="720"/>
            <w:col w:w="4439"/>
          </w:cols>
          <w:pgMar w:left="4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059"/>
          </w:cols>
          <w:pgMar w:left="400" w:top="1440" w:right="1440" w:bottom="1440" w:gutter="0" w:footer="0" w:header="0"/>
          <w:type w:val="continuous"/>
        </w:sectPr>
      </w:pPr>
    </w:p>
    <w:bookmarkStart w:id="49" w:name="page50"/>
    <w:bookmarkEnd w:id="49"/>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Granted To: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Associate ID: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Award Type: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MIRACLE-GRO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 FOR EMPLOYEES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(with related Dividend Equivalents)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Agreement describes the type of Award that you have been granted and the terms and conditions of your Award.</w:t>
      </w:r>
    </w:p>
    <w:p>
      <w:pPr>
        <w:spacing w:after="0" w:line="243" w:lineRule="exact"/>
        <w:rPr>
          <w:sz w:val="20"/>
          <w:szCs w:val="20"/>
          <w:color w:val="auto"/>
        </w:rPr>
      </w:pPr>
    </w:p>
    <w:p>
      <w:pPr>
        <w:jc w:val="both"/>
        <w:ind w:firstLine="8"/>
        <w:spacing w:after="0" w:line="252" w:lineRule="auto"/>
        <w:tabs>
          <w:tab w:leader="none" w:pos="443"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DESCRIPTION OF YOUR RESTRICTED STOCK UNITS. </w:t>
      </w:r>
      <w:r>
        <w:rPr>
          <w:rFonts w:ascii="Times New Roman" w:cs="Times New Roman" w:eastAsia="Times New Roman" w:hAnsi="Times New Roman"/>
          <w:sz w:val="22"/>
          <w:szCs w:val="22"/>
          <w:color w:val="auto"/>
        </w:rPr>
        <w:t>You have been granted [</w:t>
      </w:r>
      <w:r>
        <w:rPr>
          <w:rFonts w:ascii="Times New Roman" w:cs="Times New Roman" w:eastAsia="Times New Roman" w:hAnsi="Times New Roman"/>
          <w:sz w:val="22"/>
          <w:szCs w:val="22"/>
          <w:b w:val="1"/>
          <w:bCs w:val="1"/>
          <w:color w:val="auto"/>
        </w:rPr>
        <w:t>Number</w:t>
      </w:r>
      <w:r>
        <w:rPr>
          <w:rFonts w:ascii="Times New Roman" w:cs="Times New Roman" w:eastAsia="Times New Roman" w:hAnsi="Times New Roman"/>
          <w:sz w:val="22"/>
          <w:szCs w:val="22"/>
          <w:color w:val="auto"/>
        </w:rPr>
        <w:t>] Restricted Stock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and an equal number of related Dividend Equivalents. The “Grant Date” of your Award is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 Each whole RSU represents the right to receive one full Share at the time and in the manner described in this Award Agreement. Subject to Section 5 of this Award Agreement, each Dividend Equivalent represents the right to receive an amount equal to the dividends that are declared and paid during the period beginning on the Grant Date and ending on the Settlement Date (as described in Section 4(a)) with respect to the Share represented by the related vested RSU.</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To accept this Award Agreement, you must provide your acknowledgement and acceptance of the terms contained herein by completing the on-line grant agreement process facilitated by </w:t>
      </w:r>
      <w:r>
        <w:rPr>
          <w:rFonts w:ascii="Times New Roman" w:cs="Times New Roman" w:eastAsia="Times New Roman" w:hAnsi="Times New Roman"/>
          <w:sz w:val="22"/>
          <w:szCs w:val="22"/>
          <w:b w:val="1"/>
          <w:bCs w:val="1"/>
          <w:color w:val="auto"/>
        </w:rPr>
        <w:t>Merrill Lynch</w:t>
      </w:r>
      <w:r>
        <w:rPr>
          <w:rFonts w:ascii="Times New Roman" w:cs="Times New Roman" w:eastAsia="Times New Roman" w:hAnsi="Times New Roman"/>
          <w:sz w:val="22"/>
          <w:szCs w:val="22"/>
          <w:color w:val="auto"/>
        </w:rPr>
        <w:t xml:space="preserve"> (the “Third Party Administrator”) no later than [</w:t>
      </w:r>
      <w:r>
        <w:rPr>
          <w:rFonts w:ascii="Times New Roman" w:cs="Times New Roman" w:eastAsia="Times New Roman" w:hAnsi="Times New Roman"/>
          <w:sz w:val="22"/>
          <w:szCs w:val="22"/>
          <w:b w:val="1"/>
          <w:bCs w:val="1"/>
          <w:color w:val="auto"/>
        </w:rPr>
        <w:t>Acceptance Date</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INCORPORATION OF PLAN AND DEFINITIONS.</w:t>
      </w:r>
    </w:p>
    <w:p>
      <w:pPr>
        <w:spacing w:after="0" w:line="250" w:lineRule="exact"/>
        <w:rPr>
          <w:rFonts w:ascii="Times New Roman" w:cs="Times New Roman" w:eastAsia="Times New Roman" w:hAnsi="Times New Roman"/>
          <w:sz w:val="22"/>
          <w:szCs w:val="22"/>
          <w:b w:val="1"/>
          <w:bCs w:val="1"/>
          <w:color w:val="auto"/>
        </w:rPr>
      </w:pPr>
    </w:p>
    <w:p>
      <w:pPr>
        <w:jc w:val="both"/>
        <w:ind w:left="1320" w:hanging="664"/>
        <w:spacing w:after="0" w:line="253" w:lineRule="auto"/>
        <w:tabs>
          <w:tab w:leader="none" w:pos="131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and your RSUs are granted pursuant to and in accordance with The Scotts Miracle-Gro Company Long-Term Incentive Plan effective January 22, 2024 (the “Plan”) and this Award Agreement. All provisions of the Plan are incorporated herein by reference, and your RSUs and related Dividend Equivalents are subject to the terms of the Plan and this Award Agreement. To the extent there is a conflict between this Award Agreement and the Plan, the Plan will govern.</w:t>
      </w:r>
    </w:p>
    <w:p>
      <w:pPr>
        <w:spacing w:after="0" w:line="205" w:lineRule="exact"/>
        <w:rPr>
          <w:rFonts w:ascii="Times New Roman" w:cs="Times New Roman" w:eastAsia="Times New Roman" w:hAnsi="Times New Roman"/>
          <w:sz w:val="22"/>
          <w:szCs w:val="22"/>
          <w:color w:val="auto"/>
        </w:rPr>
      </w:pPr>
    </w:p>
    <w:p>
      <w:pPr>
        <w:ind w:left="1320" w:hanging="664"/>
        <w:spacing w:after="0"/>
        <w:tabs>
          <w:tab w:leader="none" w:pos="132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that are not defined in this Award Agreement have the same meanings as in the Plan.</w:t>
      </w:r>
    </w:p>
    <w:p>
      <w:pPr>
        <w:spacing w:after="0" w:line="242" w:lineRule="exact"/>
        <w:rPr>
          <w:rFonts w:ascii="Times New Roman" w:cs="Times New Roman" w:eastAsia="Times New Roman" w:hAnsi="Times New Roman"/>
          <w:sz w:val="22"/>
          <w:szCs w:val="22"/>
          <w:color w:val="auto"/>
        </w:rPr>
      </w:pPr>
    </w:p>
    <w:p>
      <w:pPr>
        <w:ind w:right="100" w:firstLine="8"/>
        <w:spacing w:after="0" w:line="275" w:lineRule="auto"/>
        <w:tabs>
          <w:tab w:leader="none" w:pos="648"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Except as provided in Section 6 of this Award Agreement, the RSUs described in this Award Agreement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vest as follows:</w:t>
      </w:r>
    </w:p>
    <w:p>
      <w:pPr>
        <w:spacing w:after="0" w:line="189" w:lineRule="exact"/>
        <w:rPr>
          <w:rFonts w:ascii="Times New Roman" w:cs="Times New Roman" w:eastAsia="Times New Roman" w:hAnsi="Times New Roman"/>
          <w:sz w:val="22"/>
          <w:szCs w:val="22"/>
          <w:b w:val="1"/>
          <w:bCs w:val="1"/>
          <w:color w:val="auto"/>
        </w:rPr>
      </w:pPr>
    </w:p>
    <w:p>
      <w:pPr>
        <w:jc w:val="both"/>
        <w:ind w:left="1320" w:hanging="664"/>
        <w:spacing w:after="0" w:line="259" w:lineRule="auto"/>
        <w:tabs>
          <w:tab w:leader="none" w:pos="131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Normal Vesting. </w:t>
      </w:r>
      <w:r>
        <w:rPr>
          <w:rFonts w:ascii="Times New Roman" w:cs="Times New Roman" w:eastAsia="Times New Roman" w:hAnsi="Times New Roman"/>
          <w:sz w:val="22"/>
          <w:szCs w:val="22"/>
          <w:color w:val="auto"/>
        </w:rPr>
        <w:t>Your RSUs described in this Award Agreement will become [___]% vested if your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or any of its Subsidiaries or Affiliates continues from the Grant Date until the third anniversary of the Grant Date,</w:t>
      </w:r>
    </w:p>
    <w:p>
      <w:pPr>
        <w:sectPr>
          <w:pgSz w:w="11900" w:h="16838" w:orient="portrait"/>
          <w:cols w:equalWidth="0" w:num="1">
            <w:col w:w="11240"/>
          </w:cols>
          <w:pgMar w:left="320" w:top="100" w:right="339" w:bottom="1440" w:gutter="0" w:footer="0" w:header="0"/>
        </w:sectPr>
      </w:pPr>
    </w:p>
    <w:bookmarkStart w:id="50" w:name="page51"/>
    <w:bookmarkEnd w:id="50"/>
    <w:p>
      <w:pPr>
        <w:ind w:left="1320"/>
        <w:spacing w:after="0"/>
        <w:rPr>
          <w:sz w:val="20"/>
          <w:szCs w:val="20"/>
          <w:color w:val="auto"/>
        </w:rPr>
      </w:pPr>
      <w:r>
        <w:rPr>
          <w:rFonts w:ascii="Times New Roman" w:cs="Times New Roman" w:eastAsia="Times New Roman" w:hAnsi="Times New Roman"/>
          <w:sz w:val="22"/>
          <w:szCs w:val="22"/>
          <w:color w:val="auto"/>
        </w:rPr>
        <w:t xml:space="preserve">in this case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xml:space="preserve"> (the “Normal Vesting Date”), and will be settled in accordance with Section 4; or</w:t>
      </w:r>
    </w:p>
    <w:p>
      <w:pPr>
        <w:spacing w:after="0" w:line="260" w:lineRule="exact"/>
        <w:rPr>
          <w:sz w:val="20"/>
          <w:szCs w:val="20"/>
          <w:color w:val="auto"/>
        </w:rPr>
      </w:pPr>
    </w:p>
    <w:p>
      <w:pPr>
        <w:ind w:left="1320" w:right="20" w:hanging="664"/>
        <w:spacing w:after="0" w:line="275" w:lineRule="auto"/>
        <w:tabs>
          <w:tab w:leader="none" w:pos="131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Special Vesting. </w:t>
      </w:r>
      <w:r>
        <w:rPr>
          <w:rFonts w:ascii="Times New Roman" w:cs="Times New Roman" w:eastAsia="Times New Roman" w:hAnsi="Times New Roman"/>
          <w:sz w:val="22"/>
          <w:szCs w:val="22"/>
          <w:color w:val="auto"/>
        </w:rPr>
        <w:t>Under the following circumstances, your RSUs described in this Award Agreement may vest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earlier than the Normal Vesting Date:</w:t>
      </w:r>
    </w:p>
    <w:p>
      <w:pPr>
        <w:spacing w:after="0" w:line="180" w:lineRule="exact"/>
        <w:rPr>
          <w:rFonts w:ascii="Times New Roman" w:cs="Times New Roman" w:eastAsia="Times New Roman" w:hAnsi="Times New Roman"/>
          <w:sz w:val="22"/>
          <w:szCs w:val="22"/>
          <w:color w:val="auto"/>
        </w:rPr>
      </w:pPr>
    </w:p>
    <w:p>
      <w:pPr>
        <w:jc w:val="both"/>
        <w:ind w:left="1960" w:hanging="656"/>
        <w:spacing w:after="0" w:line="253" w:lineRule="auto"/>
        <w:tabs>
          <w:tab w:leader="none" w:pos="1948"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Terminate prior to the Normal Vesting Date because of your death or due to a disability for which you qualify for benefits under Scotts Miracle-Gro Company’s Long-term Disability Plan or another long-term disability plan sponsored by the Company or any of its Subsidiaries or Affiliates (“Disabled”), your RSUs described in this Award Agreement will become [___]% vested as of the date of Termination and will be settled in accordance with Section 4 of this Award Agreement; or</w:t>
      </w:r>
    </w:p>
    <w:p>
      <w:pPr>
        <w:spacing w:after="0" w:line="205" w:lineRule="exact"/>
        <w:rPr>
          <w:rFonts w:ascii="Times New Roman" w:cs="Times New Roman" w:eastAsia="Times New Roman" w:hAnsi="Times New Roman"/>
          <w:sz w:val="22"/>
          <w:szCs w:val="22"/>
          <w:color w:val="auto"/>
        </w:rPr>
      </w:pPr>
    </w:p>
    <w:p>
      <w:pPr>
        <w:ind w:left="1960" w:hanging="656"/>
        <w:spacing w:after="0" w:line="272" w:lineRule="auto"/>
        <w:tabs>
          <w:tab w:leader="none" w:pos="1834"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you Terminate prior to the Normal Vesting Date for a reason other than Cause and you have reached age [___] and completed at least [___] years of continuous employment with the Company or any of its Subsidiaries or Affiliates, your RSUs described in this Award Agreement will become [___]% vested as of the Normal Vesting Date and will be settled in accordance with Section 4 of this Award Agreement; or</w:t>
      </w:r>
    </w:p>
    <w:p>
      <w:pPr>
        <w:spacing w:after="0" w:line="187" w:lineRule="exact"/>
        <w:rPr>
          <w:rFonts w:ascii="Times New Roman" w:cs="Times New Roman" w:eastAsia="Times New Roman" w:hAnsi="Times New Roman"/>
          <w:sz w:val="21"/>
          <w:szCs w:val="21"/>
          <w:color w:val="auto"/>
        </w:rPr>
      </w:pPr>
    </w:p>
    <w:p>
      <w:pPr>
        <w:ind w:left="1960" w:hanging="656"/>
        <w:spacing w:after="0" w:line="252" w:lineRule="auto"/>
        <w:tabs>
          <w:tab w:leader="none" w:pos="1883"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Terminate due to an involuntary Termination by the Company or any of its Subsidiaries or Affiliates without Cause within [___] days before the Normal Vesting Date, your RSUs described in this Award Agreement will become [___]% vested as of the Normal Vesting Date and will be settled in accordance with Section 4 of this Award Agreement; or</w:t>
      </w:r>
    </w:p>
    <w:p>
      <w:pPr>
        <w:spacing w:after="0" w:line="206" w:lineRule="exact"/>
        <w:rPr>
          <w:rFonts w:ascii="Times New Roman" w:cs="Times New Roman" w:eastAsia="Times New Roman" w:hAnsi="Times New Roman"/>
          <w:sz w:val="22"/>
          <w:szCs w:val="22"/>
          <w:color w:val="auto"/>
        </w:rPr>
      </w:pPr>
    </w:p>
    <w:p>
      <w:pPr>
        <w:ind w:left="1960" w:hanging="656"/>
        <w:spacing w:after="0" w:line="309" w:lineRule="auto"/>
        <w:tabs>
          <w:tab w:leader="none" w:pos="1862" w:val="left"/>
        </w:tabs>
        <w:numPr>
          <w:ilvl w:val="2"/>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there is a Change in Control, your RSUs may vest earlier in accordance with the Plan and pursuant to the discretion of the Committee. See Section 4(d) of this Award Agreement and the Plan for further details.</w:t>
      </w:r>
    </w:p>
    <w:p>
      <w:pPr>
        <w:spacing w:after="0" w:line="143" w:lineRule="exact"/>
        <w:rPr>
          <w:rFonts w:ascii="Times New Roman" w:cs="Times New Roman" w:eastAsia="Times New Roman" w:hAnsi="Times New Roman"/>
          <w:sz w:val="21"/>
          <w:szCs w:val="21"/>
          <w:color w:val="auto"/>
        </w:rPr>
      </w:pPr>
    </w:p>
    <w:p>
      <w:pPr>
        <w:ind w:left="380" w:hanging="372"/>
        <w:spacing w:after="0"/>
        <w:tabs>
          <w:tab w:leader="none" w:pos="38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line="250" w:lineRule="auto"/>
        <w:tabs>
          <w:tab w:leader="none" w:pos="115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the Plan and this Award Agreement, your vested RSUs, minus any Shares that are withheld for taxes as provided under Section 4(c), shall be settled in a lump sum as soon as administratively practicable following the earliest date to occur of: (i) your Termination due to your death or Disability; as described in Section 3(b)(i); or (ii) the [___] anniversary of the Grant Date (the “Settlement Date”). Your whole RSUs shall be settled in full Shares, and any fractional RSU shall be settled in cash, determined based upon the Fair Market Value of a Share on the Settlement Date, which shall be equal to the closing price of a Share on the Settlement Date if it is a trading day or, if such date is not a trading day, on the next trading day.</w:t>
      </w:r>
    </w:p>
    <w:p>
      <w:pPr>
        <w:spacing w:after="0" w:line="180" w:lineRule="exact"/>
        <w:rPr>
          <w:rFonts w:ascii="Times New Roman" w:cs="Times New Roman" w:eastAsia="Times New Roman" w:hAnsi="Times New Roman"/>
          <w:sz w:val="22"/>
          <w:szCs w:val="22"/>
          <w:color w:val="auto"/>
        </w:rPr>
      </w:pPr>
    </w:p>
    <w:p>
      <w:pPr>
        <w:ind w:left="1300" w:hanging="644"/>
        <w:spacing w:after="0" w:line="284" w:lineRule="auto"/>
        <w:tabs>
          <w:tab w:leader="none" w:pos="1185"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5 of this Award Agreement, you will have none of the rights of a shareholder with respect to Shares underlying the RSUs unless and until you become the record holder of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269" w:right="339" w:bottom="1440" w:gutter="0" w:footer="0" w:header="0"/>
        </w:sectPr>
      </w:pPr>
    </w:p>
    <w:bookmarkStart w:id="51" w:name="page52"/>
    <w:bookmarkEnd w:id="51"/>
    <w:p>
      <w:pPr>
        <w:jc w:val="both"/>
        <w:ind w:left="644" w:hanging="644"/>
        <w:spacing w:after="0" w:line="263" w:lineRule="auto"/>
        <w:tabs>
          <w:tab w:leader="none" w:pos="61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use one of the following methods to pay the required withholding taxes related to the vesting and settlement of your RSUs. You will decide on the method at the time prescribed by the Company. If you do not elect one of these methods, the Company will apply the Net Settlement method described below:</w:t>
      </w:r>
    </w:p>
    <w:p>
      <w:pPr>
        <w:spacing w:after="0" w:line="167" w:lineRule="exact"/>
        <w:rPr>
          <w:rFonts w:ascii="Times New Roman" w:cs="Times New Roman" w:eastAsia="Times New Roman" w:hAnsi="Times New Roman"/>
          <w:sz w:val="22"/>
          <w:szCs w:val="22"/>
          <w:color w:val="auto"/>
        </w:rPr>
      </w:pPr>
    </w:p>
    <w:p>
      <w:pPr>
        <w:ind w:left="1304" w:hanging="656"/>
        <w:spacing w:after="0" w:line="271" w:lineRule="auto"/>
        <w:tabs>
          <w:tab w:leader="none" w:pos="1095"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PAYMENT: If you elect this alternative, you will be responsible for paying the Company, through the Third-Party Administrator, cash equal to the required withholding Taxes applicable on your RSUs.</w:t>
      </w:r>
    </w:p>
    <w:p>
      <w:pPr>
        <w:spacing w:after="0" w:line="184" w:lineRule="exact"/>
        <w:rPr>
          <w:rFonts w:ascii="Times New Roman" w:cs="Times New Roman" w:eastAsia="Times New Roman" w:hAnsi="Times New Roman"/>
          <w:sz w:val="22"/>
          <w:szCs w:val="22"/>
          <w:color w:val="auto"/>
        </w:rPr>
      </w:pPr>
    </w:p>
    <w:p>
      <w:pPr>
        <w:ind w:left="1304" w:hanging="656"/>
        <w:spacing w:after="0" w:line="256" w:lineRule="auto"/>
        <w:tabs>
          <w:tab w:leader="none" w:pos="1196"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SETTLEMENT: If you elect this alternative, the Company will retain the number of Shares with a Fair Market Value equal to the required withholding Taxes applicable on your RSUs, provided that such withholding can be no more than the maximum withholding rate applicable to each jurisdiction for which the Company is required to withhold.</w:t>
      </w:r>
    </w:p>
    <w:p>
      <w:pPr>
        <w:spacing w:after="0" w:line="199" w:lineRule="exact"/>
        <w:rPr>
          <w:rFonts w:ascii="Times New Roman" w:cs="Times New Roman" w:eastAsia="Times New Roman" w:hAnsi="Times New Roman"/>
          <w:sz w:val="22"/>
          <w:szCs w:val="22"/>
          <w:color w:val="auto"/>
        </w:rPr>
      </w:pPr>
    </w:p>
    <w:p>
      <w:pPr>
        <w:jc w:val="both"/>
        <w:ind w:left="664" w:hanging="583"/>
        <w:spacing w:after="0" w:line="247" w:lineRule="auto"/>
        <w:tabs>
          <w:tab w:leader="none" w:pos="659"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Change in Control: </w:t>
      </w:r>
      <w:r>
        <w:rPr>
          <w:rFonts w:ascii="Times New Roman" w:cs="Times New Roman" w:eastAsia="Times New Roman" w:hAnsi="Times New Roman"/>
          <w:sz w:val="22"/>
          <w:szCs w:val="22"/>
          <w:color w:val="auto"/>
        </w:rPr>
        <w:t>If there is a Change in Control, your RSUs may vest earlier in accordance with the Plan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the discretion of the Committee. See the Plan for further details. Notwithstanding any other provisions of this Award Agreement to the contrary, in the event that as a result of any acceleration of vesting under the Plan or this Award Agreement in connection with a Change in Control it is determined that any payment or distribution in the nature of compensation (within the meaning of Section 280G(b)(2) of the Code) to or for the benefit of the Participant, whether paid or payable or distributed or distributable pursuant to the terms of this Award Agreement or otherwise (the “Payments”), would constitute an “excess parachute payment” within the meaning of Section 280G of the Code, the Company shall reduce (but not below zero) the aggregate value of the Payments under this Award Agreement to the Reduced Amount (as defined below), if reducing the Payments under this Award Agreement will provide the Participant with a greater net after-tax amount than would be the case if no reduction was made. The Payments shall be reduced as described in the preceding sentence only if (i) the net amount of the Payments, as so reduced (and after subtracting the net amount of applicable federal, state and local income and payroll taxes on the reduced Payments), is greater than or equal to (ii) the net amount of the Payments without such reduction (but after subtracting the net amount of applicable federal, state and local income and payroll taxes on the Payments and the amount of Excise Tax (as defined below) to which the Participant would be subject with respect to the unreduced Payments). Only amounts payable under this Award Agreement shall be reduced pursuant to this subsection (d). The “Reduced Amount” shall be an amount that maximizes the aggregate value of Payments under this Award Agreement without causing any Payment under this Award Agreement to be subject to the Excise Tax, determined in accordance with Section 280G(d)(4) of the Code. The term “Excise Tax” means the excise tax imposed under Section 4999 of the Code, together with any interest or penalties imposed with respect to such excise tax.</w:t>
      </w:r>
    </w:p>
    <w:p>
      <w:pPr>
        <w:spacing w:after="0" w:line="220" w:lineRule="exact"/>
        <w:rPr>
          <w:rFonts w:ascii="Times New Roman" w:cs="Times New Roman" w:eastAsia="Times New Roman" w:hAnsi="Times New Roman"/>
          <w:sz w:val="22"/>
          <w:szCs w:val="22"/>
          <w:color w:val="auto"/>
        </w:rPr>
      </w:pPr>
    </w:p>
    <w:p>
      <w:pPr>
        <w:ind w:left="1304" w:hanging="656"/>
        <w:spacing w:after="0" w:line="271" w:lineRule="auto"/>
        <w:tabs>
          <w:tab w:leader="none" w:pos="1218" w:val="left"/>
        </w:tabs>
        <w:numPr>
          <w:ilvl w:val="2"/>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determinations to be made under this Section 4(d) shall be made by an independent registered public accounting firm or consulting firm selected by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4"/>
          </w:cols>
          <w:pgMar w:left="976" w:top="1273" w:right="339" w:bottom="1440" w:gutter="0" w:footer="0" w:header="0"/>
        </w:sectPr>
      </w:pPr>
    </w:p>
    <w:bookmarkStart w:id="52" w:name="page53"/>
    <w:bookmarkEnd w:id="52"/>
    <w:p>
      <w:pPr>
        <w:jc w:val="both"/>
        <w:ind w:left="1960"/>
        <w:spacing w:after="0" w:line="253" w:lineRule="auto"/>
        <w:rPr>
          <w:sz w:val="20"/>
          <w:szCs w:val="20"/>
          <w:color w:val="auto"/>
        </w:rPr>
      </w:pPr>
      <w:r>
        <w:rPr>
          <w:rFonts w:ascii="Times New Roman" w:cs="Times New Roman" w:eastAsia="Times New Roman" w:hAnsi="Times New Roman"/>
          <w:sz w:val="22"/>
          <w:szCs w:val="22"/>
          <w:color w:val="auto"/>
        </w:rPr>
        <w:t>the Company immediately prior to a change in control, which shall provide its determinations and any supporting calculations both to the Company and the Participant within [___] ([___]) days of the change in control. Any such determination by such firm shall be binding upon the Company and the Participant. All of the fees and expenses of the accounting or consulting firm in performing the determinations referred to in this Section shall be borne solely by the Company.</w:t>
      </w:r>
    </w:p>
    <w:p>
      <w:pPr>
        <w:spacing w:after="0" w:line="202" w:lineRule="exact"/>
        <w:rPr>
          <w:sz w:val="20"/>
          <w:szCs w:val="20"/>
          <w:color w:val="auto"/>
        </w:rPr>
      </w:pPr>
    </w:p>
    <w:p>
      <w:pPr>
        <w:jc w:val="both"/>
        <w:ind w:firstLine="8"/>
        <w:spacing w:after="0" w:line="266" w:lineRule="auto"/>
        <w:tabs>
          <w:tab w:leader="none" w:pos="421" w:val="left"/>
        </w:tabs>
        <w:numPr>
          <w:ilvl w:val="0"/>
          <w:numId w:val="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 EQUIVALENTS. </w:t>
      </w:r>
      <w:r>
        <w:rPr>
          <w:rFonts w:ascii="Times New Roman" w:cs="Times New Roman" w:eastAsia="Times New Roman" w:hAnsi="Times New Roman"/>
          <w:sz w:val="21"/>
          <w:szCs w:val="21"/>
          <w:color w:val="auto"/>
        </w:rPr>
        <w:t>Each Dividend Equivalent represents the right to receive an amount equal to the dividends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are declared and paid during the period beginning on the Grant Date and ending on the Settlement Date with respect to the Shares represented by a related RSU, subject to the same terms and conditions as the related RSU. Any Dividend Equivalents will be distributed to you in accordance with Section 4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pacing w:after="0" w:line="203" w:lineRule="exact"/>
        <w:rPr>
          <w:rFonts w:ascii="Times New Roman" w:cs="Times New Roman" w:eastAsia="Times New Roman" w:hAnsi="Times New Roman"/>
          <w:sz w:val="21"/>
          <w:szCs w:val="21"/>
          <w:b w:val="1"/>
          <w:bCs w:val="1"/>
          <w:color w:val="auto"/>
        </w:rPr>
      </w:pPr>
    </w:p>
    <w:p>
      <w:pPr>
        <w:ind w:left="380" w:hanging="372"/>
        <w:spacing w:after="0"/>
        <w:tabs>
          <w:tab w:leader="none" w:pos="38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FORFEITURE AND RECOUPMENT.</w:t>
      </w:r>
    </w:p>
    <w:p>
      <w:pPr>
        <w:spacing w:after="0" w:line="250" w:lineRule="exact"/>
        <w:rPr>
          <w:rFonts w:ascii="Times New Roman" w:cs="Times New Roman" w:eastAsia="Times New Roman" w:hAnsi="Times New Roman"/>
          <w:sz w:val="22"/>
          <w:szCs w:val="22"/>
          <w:b w:val="1"/>
          <w:bCs w:val="1"/>
          <w:color w:val="auto"/>
        </w:rPr>
      </w:pPr>
    </w:p>
    <w:p>
      <w:pPr>
        <w:ind w:left="1300" w:hanging="644"/>
        <w:spacing w:after="0" w:line="271" w:lineRule="auto"/>
        <w:tabs>
          <w:tab w:leader="none" w:pos="129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3 of this Award Agreement, you will forfeit your unvested RSUs if you Terminate prior to the Normal Vesting Date.</w:t>
      </w:r>
    </w:p>
    <w:p>
      <w:pPr>
        <w:spacing w:after="0" w:line="184" w:lineRule="exact"/>
        <w:rPr>
          <w:rFonts w:ascii="Times New Roman" w:cs="Times New Roman" w:eastAsia="Times New Roman" w:hAnsi="Times New Roman"/>
          <w:sz w:val="22"/>
          <w:szCs w:val="22"/>
          <w:color w:val="auto"/>
        </w:rPr>
      </w:pPr>
    </w:p>
    <w:p>
      <w:pPr>
        <w:jc w:val="both"/>
        <w:ind w:left="1300" w:hanging="644"/>
        <w:spacing w:after="0" w:line="251" w:lineRule="auto"/>
        <w:tabs>
          <w:tab w:leader="none" w:pos="1295"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without prior authorization in writing from the Company, you engage in “Conduct That is Harmful to the Company” at any time during the course of your employment or within [___] days after you Terminate, you will forfeit your RSUs and related Dividend Equivalents, whether they are vested or not. In addition to this forfeiture, the Committee may determine that some or all of any Shares and other amounts you have received through the Plan or this Award Agreement are subject to recoupment, where allowable by law, and must be returned to the Company. “Conduct That is Harmful to the Company” is:</w:t>
      </w:r>
    </w:p>
    <w:p>
      <w:pPr>
        <w:spacing w:after="0" w:line="208"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48"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breach of any confidentiality, nondisclosure, and/or noncompetition obligations under any agreement or plan with the Company or any Subsidiary or Affiliate;</w:t>
      </w:r>
    </w:p>
    <w:p>
      <w:pPr>
        <w:spacing w:after="0" w:line="198" w:lineRule="exact"/>
        <w:rPr>
          <w:rFonts w:ascii="Times New Roman" w:cs="Times New Roman" w:eastAsia="Times New Roman" w:hAnsi="Times New Roman"/>
          <w:sz w:val="22"/>
          <w:szCs w:val="22"/>
          <w:color w:val="auto"/>
        </w:rPr>
      </w:pPr>
    </w:p>
    <w:p>
      <w:pPr>
        <w:jc w:val="both"/>
        <w:ind w:left="1960" w:hanging="656"/>
        <w:spacing w:after="0" w:line="257" w:lineRule="auto"/>
        <w:tabs>
          <w:tab w:leader="none" w:pos="1954"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engaging in conduct that the Committee reasonably concludes requires the forfeiture and recoupment of the Award under the terms of any Company recoupment or clawback policy, any other applicable policy of the Company, and any applicable laws and regulations;</w:t>
      </w:r>
    </w:p>
    <w:p>
      <w:pPr>
        <w:spacing w:after="0" w:line="199" w:lineRule="exact"/>
        <w:rPr>
          <w:rFonts w:ascii="Times New Roman" w:cs="Times New Roman" w:eastAsia="Times New Roman" w:hAnsi="Times New Roman"/>
          <w:sz w:val="22"/>
          <w:szCs w:val="22"/>
          <w:color w:val="auto"/>
        </w:rPr>
      </w:pPr>
    </w:p>
    <w:p>
      <w:pPr>
        <w:ind w:left="1960" w:hanging="656"/>
        <w:spacing w:after="0" w:line="271" w:lineRule="auto"/>
        <w:tabs>
          <w:tab w:leader="none" w:pos="1960"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failure or refusal to consult with, supply information to or otherwise cooperate with the Company or any Subsidiary or Affiliate after having been requested to do so;</w:t>
      </w:r>
    </w:p>
    <w:p>
      <w:pPr>
        <w:spacing w:after="0" w:line="198" w:lineRule="exact"/>
        <w:rPr>
          <w:rFonts w:ascii="Times New Roman" w:cs="Times New Roman" w:eastAsia="Times New Roman" w:hAnsi="Times New Roman"/>
          <w:sz w:val="22"/>
          <w:szCs w:val="22"/>
          <w:color w:val="auto"/>
        </w:rPr>
      </w:pPr>
    </w:p>
    <w:p>
      <w:pPr>
        <w:ind w:left="1960" w:right="20" w:hanging="656"/>
        <w:spacing w:after="0" w:line="271" w:lineRule="auto"/>
        <w:tabs>
          <w:tab w:leader="none" w:pos="1948"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deliberately engaging in any action that the Company concludes has caused substantial harm to the interests of the Company or any Subsidiary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273" w:right="339" w:bottom="1440" w:gutter="0" w:footer="0" w:header="0"/>
        </w:sectPr>
      </w:pPr>
    </w:p>
    <w:bookmarkStart w:id="53" w:name="page54"/>
    <w:bookmarkEnd w:id="53"/>
    <w:p>
      <w:pPr>
        <w:ind w:left="1960"/>
        <w:spacing w:after="0" w:line="284" w:lineRule="auto"/>
        <w:rPr>
          <w:sz w:val="20"/>
          <w:szCs w:val="20"/>
          <w:color w:val="auto"/>
        </w:rPr>
      </w:pPr>
      <w:r>
        <w:rPr>
          <w:rFonts w:ascii="Times New Roman" w:cs="Times New Roman" w:eastAsia="Times New Roman" w:hAnsi="Times New Roman"/>
          <w:sz w:val="22"/>
          <w:szCs w:val="22"/>
          <w:color w:val="auto"/>
        </w:rPr>
        <w:t>Affiliate, including, but not limited to, violations of applicable securities laws or the Company's Insider Trading Policy;</w:t>
      </w:r>
    </w:p>
    <w:p>
      <w:pPr>
        <w:spacing w:after="0" w:line="171" w:lineRule="exact"/>
        <w:rPr>
          <w:sz w:val="20"/>
          <w:szCs w:val="20"/>
          <w:color w:val="auto"/>
        </w:rPr>
      </w:pPr>
    </w:p>
    <w:p>
      <w:pPr>
        <w:jc w:val="both"/>
        <w:ind w:left="1960" w:hanging="656"/>
        <w:spacing w:after="0" w:line="251" w:lineRule="auto"/>
        <w:tabs>
          <w:tab w:leader="none" w:pos="1955"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failure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Subsidiary or Affiliate; or</w:t>
      </w:r>
    </w:p>
    <w:p>
      <w:pPr>
        <w:spacing w:after="0" w:line="208"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48"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Discovery after you Terminated that you engaged in conduct while employed by the Company that the Committee reasonably concludes would have given rise to a Termination for Cause had it been discovered before you Terminated, including but not limited to having engaged in or contributed to criminal misconduct.</w:t>
      </w:r>
    </w:p>
    <w:p>
      <w:pPr>
        <w:spacing w:after="0" w:line="199" w:lineRule="exact"/>
        <w:rPr>
          <w:rFonts w:ascii="Times New Roman" w:cs="Times New Roman" w:eastAsia="Times New Roman" w:hAnsi="Times New Roman"/>
          <w:sz w:val="22"/>
          <w:szCs w:val="22"/>
          <w:color w:val="auto"/>
        </w:rPr>
      </w:pPr>
    </w:p>
    <w:p>
      <w:pPr>
        <w:ind w:firstLine="8"/>
        <w:spacing w:after="0" w:line="275" w:lineRule="auto"/>
        <w:tabs>
          <w:tab w:leader="none" w:pos="36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AND TERMINATION. </w:t>
      </w:r>
      <w:r>
        <w:rPr>
          <w:rFonts w:ascii="Times New Roman" w:cs="Times New Roman" w:eastAsia="Times New Roman" w:hAnsi="Times New Roman"/>
          <w:sz w:val="22"/>
          <w:szCs w:val="22"/>
          <w:color w:val="auto"/>
        </w:rPr>
        <w:t>Subject to the terms of the Plan, the Company may amend or terminate this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or the Plan at any time.</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52" w:lineRule="auto"/>
        <w:tabs>
          <w:tab w:leader="none" w:pos="40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You may name a beneficiary or beneficiaries to receive any RSUs and related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that may vest per the terms of this Award Agreement but are settled after you die. This may be done only on the Beneficiary Designation Form prescribed by the Company or the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74" w:lineRule="exact"/>
        <w:rPr>
          <w:rFonts w:ascii="Times New Roman" w:cs="Times New Roman" w:eastAsia="Times New Roman" w:hAnsi="Times New Roman"/>
          <w:sz w:val="22"/>
          <w:szCs w:val="22"/>
          <w:b w:val="1"/>
          <w:bCs w:val="1"/>
          <w:color w:val="auto"/>
        </w:rPr>
      </w:pPr>
    </w:p>
    <w:p>
      <w:pPr>
        <w:jc w:val="both"/>
        <w:ind w:firstLine="8"/>
        <w:spacing w:after="0" w:line="258" w:lineRule="auto"/>
        <w:tabs>
          <w:tab w:leader="none" w:pos="39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TRANSFERRING YOUR RSUs AND RELATED DIVIDEND EQUIVALENTS. </w:t>
      </w:r>
      <w:r>
        <w:rPr>
          <w:rFonts w:ascii="Times New Roman" w:cs="Times New Roman" w:eastAsia="Times New Roman" w:hAnsi="Times New Roman"/>
          <w:sz w:val="22"/>
          <w:szCs w:val="22"/>
          <w:color w:val="auto"/>
        </w:rPr>
        <w:t>Except as described in Section 8,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and related Dividend Equivalents may not be transferred to another person. Also, the Committee may allow you to place your RSUs and related Dividend Equivalents into a trust established for your benefit or the benefit of your family. Contact the Third Party Administrator for further details.</w:t>
      </w:r>
    </w:p>
    <w:p>
      <w:pPr>
        <w:spacing w:after="0" w:line="194" w:lineRule="exact"/>
        <w:rPr>
          <w:rFonts w:ascii="Times New Roman" w:cs="Times New Roman" w:eastAsia="Times New Roman" w:hAnsi="Times New Roman"/>
          <w:sz w:val="22"/>
          <w:szCs w:val="22"/>
          <w:b w:val="1"/>
          <w:bCs w:val="1"/>
          <w:color w:val="auto"/>
        </w:rPr>
      </w:pPr>
    </w:p>
    <w:p>
      <w:pPr>
        <w:jc w:val="both"/>
        <w:ind w:firstLine="8"/>
        <w:spacing w:after="0" w:line="258" w:lineRule="auto"/>
        <w:tabs>
          <w:tab w:leader="none" w:pos="48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Award Agreement shall be governed by the laws of the State of Ohio, excluding any conflicts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spacing w:after="0" w:line="194" w:lineRule="exact"/>
        <w:rPr>
          <w:rFonts w:ascii="Times New Roman" w:cs="Times New Roman" w:eastAsia="Times New Roman" w:hAnsi="Times New Roman"/>
          <w:sz w:val="22"/>
          <w:szCs w:val="22"/>
          <w:b w:val="1"/>
          <w:bCs w:val="1"/>
          <w:color w:val="auto"/>
        </w:rPr>
      </w:pPr>
    </w:p>
    <w:p>
      <w:pPr>
        <w:jc w:val="both"/>
        <w:ind w:firstLine="8"/>
        <w:spacing w:after="0" w:line="253" w:lineRule="auto"/>
        <w:tabs>
          <w:tab w:leader="none" w:pos="497"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AGREEMENTS AND POLICIES. </w:t>
      </w:r>
      <w:r>
        <w:rPr>
          <w:rFonts w:ascii="Times New Roman" w:cs="Times New Roman" w:eastAsia="Times New Roman" w:hAnsi="Times New Roman"/>
          <w:sz w:val="22"/>
          <w:szCs w:val="22"/>
          <w:color w:val="auto"/>
        </w:rPr>
        <w:t>Your RSUs and related Dividend Equivalents will be subject to the terms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written agreements between you and the Company or any Subsidiary or Affiliate to the extent that those other agreements do not directly conflict with the terms of the Plan or this Award Agreement. Your RSUs and related Dividend Equivalents granted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273" w:right="339" w:bottom="1440" w:gutter="0" w:footer="0" w:header="0"/>
        </w:sectPr>
      </w:pPr>
    </w:p>
    <w:bookmarkStart w:id="54" w:name="page55"/>
    <w:bookmarkEnd w:id="54"/>
    <w:p>
      <w:pPr>
        <w:spacing w:after="0" w:line="284" w:lineRule="auto"/>
        <w:rPr>
          <w:sz w:val="20"/>
          <w:szCs w:val="20"/>
          <w:color w:val="auto"/>
        </w:rPr>
      </w:pPr>
      <w:r>
        <w:rPr>
          <w:rFonts w:ascii="Times New Roman" w:cs="Times New Roman" w:eastAsia="Times New Roman" w:hAnsi="Times New Roman"/>
          <w:sz w:val="22"/>
          <w:szCs w:val="22"/>
          <w:color w:val="auto"/>
        </w:rPr>
        <w:t>under the Plan shall be subject to any applicable Company clawback or recoupment policies, share trading policies and other policies that may be implemented by the Company from time to time.</w:t>
      </w:r>
    </w:p>
    <w:p>
      <w:pPr>
        <w:spacing w:after="0" w:line="167" w:lineRule="exact"/>
        <w:rPr>
          <w:sz w:val="20"/>
          <w:szCs w:val="20"/>
          <w:color w:val="auto"/>
        </w:rPr>
      </w:pPr>
    </w:p>
    <w:p>
      <w:pPr>
        <w:jc w:val="both"/>
        <w:ind w:firstLine="8"/>
        <w:spacing w:after="0" w:line="259" w:lineRule="auto"/>
        <w:tabs>
          <w:tab w:leader="none" w:pos="482"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ADJUSTMENTS TO YOUR RSUs. </w:t>
      </w:r>
      <w:r>
        <w:rPr>
          <w:rFonts w:ascii="Times New Roman" w:cs="Times New Roman" w:eastAsia="Times New Roman" w:hAnsi="Times New Roman"/>
          <w:sz w:val="22"/>
          <w:szCs w:val="22"/>
          <w:color w:val="auto"/>
        </w:rPr>
        <w:t>Subject to the terms of the Plan, your RSUs and related Dividend Equivalents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adjusted, if appropriate, to reflect any change to the Company’s capital structure (e.g., the number of Shares underlying your RSUs will be adjusted to reflect a stock split).</w:t>
      </w:r>
    </w:p>
    <w:p>
      <w:pPr>
        <w:spacing w:after="0" w:line="166" w:lineRule="exact"/>
        <w:rPr>
          <w:rFonts w:ascii="Times New Roman" w:cs="Times New Roman" w:eastAsia="Times New Roman" w:hAnsi="Times New Roman"/>
          <w:sz w:val="22"/>
          <w:szCs w:val="22"/>
          <w:b w:val="1"/>
          <w:bCs w:val="1"/>
          <w:color w:val="auto"/>
        </w:rPr>
      </w:pPr>
    </w:p>
    <w:p>
      <w:pPr>
        <w:ind w:left="480" w:hanging="472"/>
        <w:spacing w:after="0"/>
        <w:tabs>
          <w:tab w:leader="none" w:pos="48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YOUR ACKNOWLEDGMENT OF AND AGREEMENT TO AWARD CONDITIONS.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you acknowledge and agree that:</w:t>
      </w:r>
    </w:p>
    <w:p>
      <w:pPr>
        <w:spacing w:after="0" w:line="220" w:lineRule="exact"/>
        <w:rPr>
          <w:sz w:val="20"/>
          <w:szCs w:val="20"/>
          <w:color w:val="auto"/>
        </w:rPr>
      </w:pPr>
    </w:p>
    <w:p>
      <w:pPr>
        <w:ind w:left="1100" w:hanging="444"/>
        <w:spacing w:after="0"/>
        <w:tabs>
          <w:tab w:leader="none" w:pos="11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Plan has been made available to you;</w:t>
      </w:r>
    </w:p>
    <w:p>
      <w:pPr>
        <w:spacing w:after="0" w:line="219"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and accept the terms and conditions of your Award;</w:t>
      </w:r>
    </w:p>
    <w:p>
      <w:pPr>
        <w:spacing w:after="0" w:line="219" w:lineRule="exact"/>
        <w:rPr>
          <w:rFonts w:ascii="Times New Roman" w:cs="Times New Roman" w:eastAsia="Times New Roman" w:hAnsi="Times New Roman"/>
          <w:sz w:val="22"/>
          <w:szCs w:val="22"/>
          <w:color w:val="auto"/>
        </w:rPr>
      </w:pPr>
    </w:p>
    <w:p>
      <w:pPr>
        <w:ind w:left="1300" w:hanging="644"/>
        <w:spacing w:after="0" w:line="271" w:lineRule="auto"/>
        <w:tabs>
          <w:tab w:leader="none" w:pos="112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Award under the Plan, you agree to all Committee determinations as described in the Plan and this Award Agreement;</w:t>
      </w:r>
    </w:p>
    <w:p>
      <w:pPr>
        <w:spacing w:after="0" w:line="171" w:lineRule="exact"/>
        <w:rPr>
          <w:rFonts w:ascii="Times New Roman" w:cs="Times New Roman" w:eastAsia="Times New Roman" w:hAnsi="Times New Roman"/>
          <w:sz w:val="22"/>
          <w:szCs w:val="22"/>
          <w:color w:val="auto"/>
        </w:rPr>
      </w:pPr>
    </w:p>
    <w:p>
      <w:pPr>
        <w:ind w:left="1300" w:hanging="644"/>
        <w:spacing w:after="0" w:line="252" w:lineRule="auto"/>
        <w:tabs>
          <w:tab w:leader="none" w:pos="117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79" w:lineRule="exact"/>
        <w:rPr>
          <w:rFonts w:ascii="Times New Roman" w:cs="Times New Roman" w:eastAsia="Times New Roman" w:hAnsi="Times New Roman"/>
          <w:sz w:val="22"/>
          <w:szCs w:val="22"/>
          <w:color w:val="auto"/>
        </w:rPr>
      </w:pPr>
    </w:p>
    <w:p>
      <w:pPr>
        <w:ind w:left="1300" w:hanging="644"/>
        <w:spacing w:after="0" w:line="271" w:lineRule="auto"/>
        <w:tabs>
          <w:tab w:leader="none" w:pos="1115"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must return a signed copy of this Award Agreement utilizing the on-line grant agreement process defined above before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Grantee’s Name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SCOTTS MIRACLE-GRO COMPANY</w:t>
      </w:r>
    </w:p>
    <w:p>
      <w:pPr>
        <w:spacing w:after="0" w:line="200" w:lineRule="exact"/>
        <w:rPr>
          <w:sz w:val="20"/>
          <w:szCs w:val="20"/>
          <w:color w:val="auto"/>
        </w:rPr>
      </w:pPr>
    </w:p>
    <w:p>
      <w:pPr>
        <w:sectPr>
          <w:pgSz w:w="11900" w:h="16838" w:orient="portrait"/>
          <w:cols w:equalWidth="0" w:num="2">
            <w:col w:w="4680" w:space="720"/>
            <w:col w:w="5840"/>
          </w:cols>
          <w:pgMar w:left="320" w:top="1273" w:right="339" w:bottom="1440" w:gutter="0" w:footer="0" w:header="0"/>
          <w:type w:val="continuous"/>
        </w:sectPr>
      </w:pP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___________________________________</w:t>
      </w:r>
    </w:p>
    <w:p>
      <w:pPr>
        <w:spacing w:after="0" w:line="200" w:lineRule="exact"/>
        <w:rPr>
          <w:sz w:val="20"/>
          <w:szCs w:val="20"/>
          <w:color w:val="auto"/>
        </w:rPr>
      </w:pPr>
    </w:p>
    <w:p>
      <w:pPr>
        <w:sectPr>
          <w:pgSz w:w="11900" w:h="16838" w:orient="portrait"/>
          <w:cols w:equalWidth="0" w:num="2">
            <w:col w:w="4760" w:space="720"/>
            <w:col w:w="5760"/>
          </w:cols>
          <w:pgMar w:left="320" w:top="1273" w:right="339" w:bottom="1440" w:gutter="0" w:footer="0" w:header="0"/>
          <w:type w:val="continuous"/>
        </w:sectPr>
      </w:pPr>
    </w:p>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Date signed: ________________________</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Company Representative]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Company Representative]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signed: ____________________________</w:t>
      </w:r>
    </w:p>
    <w:p>
      <w:pPr>
        <w:spacing w:after="0" w:line="200" w:lineRule="exact"/>
        <w:rPr>
          <w:sz w:val="20"/>
          <w:szCs w:val="20"/>
          <w:color w:val="auto"/>
        </w:rPr>
      </w:pPr>
    </w:p>
    <w:p>
      <w:pPr>
        <w:sectPr>
          <w:pgSz w:w="11900" w:h="16838" w:orient="portrait"/>
          <w:cols w:equalWidth="0" w:num="2">
            <w:col w:w="4760" w:space="720"/>
            <w:col w:w="5760"/>
          </w:cols>
          <w:pgMar w:left="320" w:top="127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273" w:right="339" w:bottom="1440" w:gutter="0" w:footer="0" w:header="0"/>
          <w:type w:val="continuous"/>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Granted To: </w:t>
      </w:r>
      <w:r>
        <w:rPr>
          <w:rFonts w:ascii="Calibri" w:cs="Calibri" w:eastAsia="Calibri" w:hAnsi="Calibri"/>
          <w:sz w:val="22"/>
          <w:szCs w:val="22"/>
          <w:color w:val="auto"/>
        </w:rPr>
        <w:t>[___]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Associate ID: </w:t>
      </w:r>
      <w:r>
        <w:rPr>
          <w:rFonts w:ascii="Calibri" w:cs="Calibri" w:eastAsia="Calibri" w:hAnsi="Calibri"/>
          <w:sz w:val="22"/>
          <w:szCs w:val="22"/>
          <w:color w:val="auto"/>
        </w:rPr>
        <w:t>[___]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Award Type: </w:t>
      </w:r>
      <w:r>
        <w:rPr>
          <w:rFonts w:ascii="Calibri" w:cs="Calibri" w:eastAsia="Calibri" w:hAnsi="Calibri"/>
          <w:sz w:val="22"/>
          <w:szCs w:val="22"/>
          <w:color w:val="auto"/>
        </w:rPr>
        <w:t>[___]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Grant Date: </w:t>
      </w:r>
      <w:r>
        <w:rPr>
          <w:rFonts w:ascii="Calibri" w:cs="Calibri" w:eastAsia="Calibri" w:hAnsi="Calibri"/>
          <w:sz w:val="22"/>
          <w:szCs w:val="22"/>
          <w:color w:val="auto"/>
        </w:rPr>
        <w:t>[___]</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MIRACLE-GRO COMPANY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UNIT AWARD AGREEMENT FOR EMPLOYEES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(with related Dividend Equivalents)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Award Agreement describes the type of Award that you have been granted and the terms and conditions of your Award.</w:t>
      </w:r>
    </w:p>
    <w:p>
      <w:pPr>
        <w:spacing w:after="0" w:line="148" w:lineRule="exact"/>
        <w:rPr>
          <w:sz w:val="20"/>
          <w:szCs w:val="20"/>
          <w:color w:val="auto"/>
        </w:rPr>
      </w:pPr>
    </w:p>
    <w:p>
      <w:pPr>
        <w:jc w:val="both"/>
        <w:ind w:firstLine="8"/>
        <w:spacing w:after="0" w:line="251" w:lineRule="auto"/>
        <w:tabs>
          <w:tab w:leader="none" w:pos="432"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DESCRIPTION OF YOUR PERFORMANCE UNITS. </w:t>
      </w:r>
      <w:r>
        <w:rPr>
          <w:rFonts w:ascii="Times New Roman" w:cs="Times New Roman" w:eastAsia="Times New Roman" w:hAnsi="Times New Roman"/>
          <w:sz w:val="22"/>
          <w:szCs w:val="22"/>
          <w:color w:val="auto"/>
        </w:rPr>
        <w:t>You have been granted</w:t>
      </w:r>
      <w:r>
        <w:rPr>
          <w:rFonts w:ascii="Times New Roman" w:cs="Times New Roman" w:eastAsia="Times New Roman" w:hAnsi="Times New Roman"/>
          <w:sz w:val="22"/>
          <w:szCs w:val="22"/>
          <w:b w:val="1"/>
          <w:bCs w:val="1"/>
          <w:color w:val="auto"/>
        </w:rPr>
        <w:t xml:space="preserve"> </w:t>
      </w:r>
      <w:r>
        <w:rPr>
          <w:rFonts w:ascii="Calibri" w:cs="Calibri" w:eastAsia="Calibri" w:hAnsi="Calibri"/>
          <w:sz w:val="22"/>
          <w:szCs w:val="22"/>
          <w:color w:val="auto"/>
        </w:rPr>
        <w:t>[___]</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Units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Units”), based on a target level of performance, and an equal number of related Dividend Equivalents. The “Grant Date” of your Award is </w:t>
      </w:r>
      <w:r>
        <w:rPr>
          <w:rFonts w:ascii="Calibri" w:cs="Calibri" w:eastAsia="Calibri" w:hAnsi="Calibri"/>
          <w:sz w:val="22"/>
          <w:szCs w:val="22"/>
          <w:color w:val="auto"/>
        </w:rPr>
        <w:t>[___]</w:t>
      </w:r>
      <w:r>
        <w:rPr>
          <w:rFonts w:ascii="Times New Roman" w:cs="Times New Roman" w:eastAsia="Times New Roman" w:hAnsi="Times New Roman"/>
          <w:sz w:val="22"/>
          <w:szCs w:val="22"/>
          <w:color w:val="auto"/>
        </w:rPr>
        <w:t xml:space="preserve">. Each whole Performance Unit represents the right to receive one full Share at the time and in the manner described in this Award Agreement based upon the performance criteria described in the attached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Subject to Section 6 of this Award Agreement, each Dividend Equivalent represents the right to receive an amount equal to the dividends that are declared and paid during the period beginning on the Grant Date and ending on the Settlement Date (as described in Section 5(a) of this Award Agreement) with respect to the Share represented by the related Performance Unit. As described herein, the Performance Units and related Dividend Equivalents that will actually be paid out to you may be more or less than the number of Performance Units granted. See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for more details.</w:t>
      </w:r>
    </w:p>
    <w:p>
      <w:pPr>
        <w:spacing w:after="0" w:line="2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To accept this Award Agreement, you must provide your acknowledgement and acceptance of the terms contained herein by completing the on-line grant agreement process facilitated by </w:t>
      </w:r>
      <w:r>
        <w:rPr>
          <w:rFonts w:ascii="Times New Roman" w:cs="Times New Roman" w:eastAsia="Times New Roman" w:hAnsi="Times New Roman"/>
          <w:sz w:val="22"/>
          <w:szCs w:val="22"/>
          <w:b w:val="1"/>
          <w:bCs w:val="1"/>
          <w:color w:val="auto"/>
        </w:rPr>
        <w:t>Merrill Lynch</w:t>
      </w:r>
      <w:r>
        <w:rPr>
          <w:rFonts w:ascii="Times New Roman" w:cs="Times New Roman" w:eastAsia="Times New Roman" w:hAnsi="Times New Roman"/>
          <w:sz w:val="22"/>
          <w:szCs w:val="22"/>
          <w:color w:val="auto"/>
        </w:rPr>
        <w:t xml:space="preserve"> (the “Third Party Administrator”) no later than </w:t>
      </w:r>
      <w:r>
        <w:rPr>
          <w:rFonts w:ascii="Calibri" w:cs="Calibri" w:eastAsia="Calibri" w:hAnsi="Calibri"/>
          <w:sz w:val="22"/>
          <w:szCs w:val="22"/>
          <w:color w:val="auto"/>
        </w:rPr>
        <w:t>[___]</w:t>
      </w:r>
      <w:r>
        <w:rPr>
          <w:rFonts w:ascii="Times New Roman" w:cs="Times New Roman" w:eastAsia="Times New Roman" w:hAnsi="Times New Roman"/>
          <w:sz w:val="22"/>
          <w:szCs w:val="22"/>
          <w:color w:val="auto"/>
        </w:rPr>
        <w:t>.</w:t>
      </w:r>
    </w:p>
    <w:p>
      <w:pPr>
        <w:spacing w:after="0" w:line="232" w:lineRule="exact"/>
        <w:rPr>
          <w:sz w:val="20"/>
          <w:szCs w:val="20"/>
          <w:color w:val="auto"/>
        </w:rPr>
      </w:pPr>
    </w:p>
    <w:p>
      <w:pPr>
        <w:ind w:left="440" w:hanging="432"/>
        <w:spacing w:after="0"/>
        <w:tabs>
          <w:tab w:leader="none" w:pos="44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INCORPORATION OF PLAN AND DEFINITIONS.</w:t>
      </w:r>
    </w:p>
    <w:p>
      <w:pPr>
        <w:spacing w:after="0" w:line="156" w:lineRule="exact"/>
        <w:rPr>
          <w:rFonts w:ascii="Times New Roman" w:cs="Times New Roman" w:eastAsia="Times New Roman" w:hAnsi="Times New Roman"/>
          <w:sz w:val="22"/>
          <w:szCs w:val="22"/>
          <w:b w:val="1"/>
          <w:bCs w:val="1"/>
          <w:color w:val="auto"/>
        </w:rPr>
      </w:pPr>
    </w:p>
    <w:p>
      <w:pPr>
        <w:ind w:left="1320" w:hanging="664"/>
        <w:spacing w:after="0" w:line="253" w:lineRule="auto"/>
        <w:tabs>
          <w:tab w:leader="none" w:pos="114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Agreement and your Performance Units are granted pursuant to the terms and conditions of The Scotts Miracle-Gro Company Long-Term Incentive Plan effective January 22, 2024 (the “Plan”) and this Award Agreement. All provisions of the Plan are incorporated herein by reference, and your Performance Units and related Dividend Equivalents are subject to the terms of the Plan and this Award Agreement. To the extent there is a conflict between this Award Agreement and the Plan, the Plan will govern.</w:t>
      </w:r>
    </w:p>
    <w:p>
      <w:pPr>
        <w:spacing w:after="0" w:line="111"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Capitalized terms that are not defined in this Award Agreement have the same meanings as in the Plan.</w:t>
      </w:r>
    </w:p>
    <w:p>
      <w:pPr>
        <w:spacing w:after="0" w:line="134" w:lineRule="exact"/>
        <w:rPr>
          <w:rFonts w:ascii="Times New Roman" w:cs="Times New Roman" w:eastAsia="Times New Roman" w:hAnsi="Times New Roman"/>
          <w:sz w:val="22"/>
          <w:szCs w:val="22"/>
          <w:color w:val="auto"/>
        </w:rPr>
      </w:pPr>
    </w:p>
    <w:p>
      <w:pPr>
        <w:ind w:firstLine="8"/>
        <w:spacing w:after="0" w:line="287" w:lineRule="auto"/>
        <w:tabs>
          <w:tab w:leader="none" w:pos="451"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PERFORMANCE UNIT ACHIEVEMENT. </w:t>
      </w:r>
      <w:r>
        <w:rPr>
          <w:rFonts w:ascii="Times New Roman" w:cs="Times New Roman" w:eastAsia="Times New Roman" w:hAnsi="Times New Roman"/>
          <w:sz w:val="22"/>
          <w:szCs w:val="22"/>
          <w:color w:val="auto"/>
        </w:rPr>
        <w:t>The number of “Performance Units Achieved” will be calculated as follows: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Performance Units Achieved = Performance Units *</w:t>
      </w:r>
    </w:p>
    <w:p>
      <w:pPr>
        <w:sectPr>
          <w:pgSz w:w="11900" w:h="16838" w:orient="portrait"/>
          <w:cols w:equalWidth="0" w:num="1">
            <w:col w:w="11240"/>
          </w:cols>
          <w:pgMar w:left="320" w:top="369" w:right="339" w:bottom="1440" w:gutter="0" w:footer="0" w:header="0"/>
        </w:sectPr>
      </w:pPr>
    </w:p>
    <w:bookmarkStart w:id="56" w:name="page57"/>
    <w:bookmarkEnd w:id="56"/>
    <w:p>
      <w:pPr>
        <w:jc w:val="both"/>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Payout Percentage Achieved. </w:t>
      </w:r>
      <w:r>
        <w:rPr>
          <w:rFonts w:ascii="Times New Roman" w:cs="Times New Roman" w:eastAsia="Times New Roman" w:hAnsi="Times New Roman"/>
          <w:sz w:val="22"/>
          <w:szCs w:val="22"/>
          <w:color w:val="auto"/>
        </w:rPr>
        <w:t>The number of Performance Units Achieved, if any, is subject to satisfaction of the performance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criteria set forth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over the period beginning on </w:t>
      </w:r>
      <w:r>
        <w:rPr>
          <w:rFonts w:ascii="Times New Roman" w:cs="Times New Roman" w:eastAsia="Times New Roman" w:hAnsi="Times New Roman"/>
          <w:sz w:val="22"/>
          <w:szCs w:val="22"/>
          <w:b w:val="1"/>
          <w:bCs w:val="1"/>
          <w:color w:val="auto"/>
        </w:rPr>
        <w:t>[period start date]</w:t>
      </w:r>
      <w:r>
        <w:rPr>
          <w:rFonts w:ascii="Times New Roman" w:cs="Times New Roman" w:eastAsia="Times New Roman" w:hAnsi="Times New Roman"/>
          <w:sz w:val="22"/>
          <w:szCs w:val="22"/>
          <w:color w:val="auto"/>
        </w:rPr>
        <w:t xml:space="preserve"> and ending on </w:t>
      </w:r>
      <w:r>
        <w:rPr>
          <w:rFonts w:ascii="Times New Roman" w:cs="Times New Roman" w:eastAsia="Times New Roman" w:hAnsi="Times New Roman"/>
          <w:sz w:val="22"/>
          <w:szCs w:val="22"/>
          <w:b w:val="1"/>
          <w:bCs w:val="1"/>
          <w:color w:val="auto"/>
        </w:rPr>
        <w:t>[period end date]</w:t>
      </w:r>
      <w:r>
        <w:rPr>
          <w:rFonts w:ascii="Times New Roman" w:cs="Times New Roman" w:eastAsia="Times New Roman" w:hAnsi="Times New Roman"/>
          <w:sz w:val="22"/>
          <w:szCs w:val="22"/>
          <w:color w:val="auto"/>
        </w:rPr>
        <w:t xml:space="preserve"> (the “Performance Period”), and will be determined at the end of the Performance Period. Each whole Performance Unit Achieved represents the right to receive one full Share at the time and in the manner described in this Award Agreement.</w:t>
      </w:r>
    </w:p>
    <w:p>
      <w:pPr>
        <w:spacing w:after="0" w:line="195" w:lineRule="exact"/>
        <w:rPr>
          <w:sz w:val="20"/>
          <w:szCs w:val="20"/>
          <w:color w:val="auto"/>
        </w:rPr>
      </w:pPr>
    </w:p>
    <w:p>
      <w:pPr>
        <w:ind w:firstLine="8"/>
        <w:spacing w:after="0" w:line="275" w:lineRule="auto"/>
        <w:tabs>
          <w:tab w:leader="none" w:pos="428"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VESTING. </w:t>
      </w:r>
      <w:r>
        <w:rPr>
          <w:rFonts w:ascii="Times New Roman" w:cs="Times New Roman" w:eastAsia="Times New Roman" w:hAnsi="Times New Roman"/>
          <w:sz w:val="22"/>
          <w:szCs w:val="22"/>
          <w:color w:val="auto"/>
        </w:rPr>
        <w:t>Except as provided in Section 7 of this Award Agreement, the Performance Units Achieved are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following vesting criteria:</w:t>
      </w:r>
    </w:p>
    <w:p>
      <w:pPr>
        <w:spacing w:after="0" w:line="81" w:lineRule="exact"/>
        <w:rPr>
          <w:rFonts w:ascii="Times New Roman" w:cs="Times New Roman" w:eastAsia="Times New Roman" w:hAnsi="Times New Roman"/>
          <w:sz w:val="22"/>
          <w:szCs w:val="22"/>
          <w:b w:val="1"/>
          <w:bCs w:val="1"/>
          <w:color w:val="auto"/>
        </w:rPr>
      </w:pPr>
    </w:p>
    <w:p>
      <w:pPr>
        <w:ind w:left="1300" w:hanging="644"/>
        <w:spacing w:after="0" w:line="275" w:lineRule="auto"/>
        <w:tabs>
          <w:tab w:leader="none" w:pos="1202"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Normal Vesting. </w:t>
      </w:r>
      <w:r>
        <w:rPr>
          <w:rFonts w:ascii="Times New Roman" w:cs="Times New Roman" w:eastAsia="Times New Roman" w:hAnsi="Times New Roman"/>
          <w:sz w:val="21"/>
          <w:szCs w:val="21"/>
          <w:color w:val="auto"/>
        </w:rPr>
        <w:t>You will become</w:t>
      </w:r>
      <w:r>
        <w:rPr>
          <w:rFonts w:ascii="Times New Roman" w:cs="Times New Roman" w:eastAsia="Times New Roman" w:hAnsi="Times New Roman"/>
          <w:sz w:val="21"/>
          <w:szCs w:val="21"/>
          <w:b w:val="1"/>
          <w:bCs w:val="1"/>
          <w:color w:val="auto"/>
        </w:rPr>
        <w:t xml:space="preserve"> </w:t>
      </w:r>
      <w:r>
        <w:rPr>
          <w:rFonts w:ascii="Calibri" w:cs="Calibri" w:eastAsia="Calibri" w:hAnsi="Calibri"/>
          <w:sz w:val="21"/>
          <w:szCs w:val="21"/>
          <w:color w:val="auto"/>
        </w:rPr>
        <w:t>[___]</w:t>
      </w:r>
      <w:r>
        <w:rPr>
          <w:rFonts w:ascii="Times New Roman" w:cs="Times New Roman" w:eastAsia="Times New Roman" w:hAnsi="Times New Roman"/>
          <w:sz w:val="21"/>
          <w:szCs w:val="21"/>
          <w:color w:val="auto"/>
        </w:rPr>
        <w:t>% vested in the number of Performance Units Achieved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performance criteria as described in Section 3 and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if your employment with the Company or any of its Subsidiaries or Affiliates continues from the Grant Date until the </w:t>
      </w:r>
      <w:r>
        <w:rPr>
          <w:rFonts w:ascii="Calibri" w:cs="Calibri" w:eastAsia="Calibri" w:hAnsi="Calibri"/>
          <w:sz w:val="21"/>
          <w:szCs w:val="21"/>
          <w:color w:val="auto"/>
        </w:rPr>
        <w:t>[___]</w:t>
      </w:r>
      <w:r>
        <w:rPr>
          <w:rFonts w:ascii="Times New Roman" w:cs="Times New Roman" w:eastAsia="Times New Roman" w:hAnsi="Times New Roman"/>
          <w:sz w:val="21"/>
          <w:szCs w:val="21"/>
          <w:color w:val="auto"/>
        </w:rPr>
        <w:t xml:space="preserve"> anniversary of the Grant Date, in this case </w:t>
      </w:r>
      <w:r>
        <w:rPr>
          <w:rFonts w:ascii="Calibri" w:cs="Calibri" w:eastAsia="Calibri" w:hAnsi="Calibri"/>
          <w:sz w:val="21"/>
          <w:szCs w:val="21"/>
          <w:color w:val="auto"/>
        </w:rPr>
        <w:t>[___]</w:t>
      </w:r>
      <w:r>
        <w:rPr>
          <w:rFonts w:ascii="Times New Roman" w:cs="Times New Roman" w:eastAsia="Times New Roman" w:hAnsi="Times New Roman"/>
          <w:sz w:val="21"/>
          <w:szCs w:val="21"/>
          <w:color w:val="auto"/>
        </w:rPr>
        <w:t>, (the “Normal Vesting Date”), and will be settled in accordance with Section 5 of this Award Agreement; or</w:t>
      </w:r>
    </w:p>
    <w:p>
      <w:pPr>
        <w:spacing w:after="0" w:line="97" w:lineRule="exact"/>
        <w:rPr>
          <w:rFonts w:ascii="Times New Roman" w:cs="Times New Roman" w:eastAsia="Times New Roman" w:hAnsi="Times New Roman"/>
          <w:sz w:val="21"/>
          <w:szCs w:val="21"/>
          <w:color w:val="auto"/>
        </w:rPr>
      </w:pPr>
    </w:p>
    <w:p>
      <w:pPr>
        <w:ind w:left="1320" w:hanging="664"/>
        <w:spacing w:after="0" w:line="265" w:lineRule="auto"/>
        <w:tabs>
          <w:tab w:leader="none" w:pos="11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Special Vesting. </w:t>
      </w:r>
      <w:r>
        <w:rPr>
          <w:rFonts w:ascii="Times New Roman" w:cs="Times New Roman" w:eastAsia="Times New Roman" w:hAnsi="Times New Roman"/>
          <w:sz w:val="22"/>
          <w:szCs w:val="22"/>
          <w:color w:val="auto"/>
        </w:rPr>
        <w:t>Under the following circumstances, the Performance Units Achieved (subject to the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criteria as described in Section 3 and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described in this Award Agreement may vest earlier than the Normal Vesting Date:</w:t>
      </w:r>
    </w:p>
    <w:p>
      <w:pPr>
        <w:spacing w:after="0" w:line="97" w:lineRule="exact"/>
        <w:rPr>
          <w:rFonts w:ascii="Times New Roman" w:cs="Times New Roman" w:eastAsia="Times New Roman" w:hAnsi="Times New Roman"/>
          <w:sz w:val="22"/>
          <w:szCs w:val="22"/>
          <w:color w:val="auto"/>
        </w:rPr>
      </w:pPr>
    </w:p>
    <w:p>
      <w:pPr>
        <w:ind w:left="1960" w:hanging="656"/>
        <w:spacing w:after="0" w:line="253" w:lineRule="auto"/>
        <w:tabs>
          <w:tab w:leader="none" w:pos="1809"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you Terminate because of your death or due to a disability for which you qualify for benefits under the Scotts Miracle-Gro Company’s Long-term Disability Plan or another long-term disability plan sponsored by the Company or any of its Subsidiaries or Affiliates (“Disabled”), the number of Performance Units Achieved as described in this Award Agreement will become </w:t>
      </w:r>
      <w:r>
        <w:rPr>
          <w:rFonts w:ascii="Calibri" w:cs="Calibri" w:eastAsia="Calibri" w:hAnsi="Calibri"/>
          <w:sz w:val="22"/>
          <w:szCs w:val="22"/>
          <w:color w:val="auto"/>
        </w:rPr>
        <w:t>[___]</w:t>
      </w:r>
      <w:r>
        <w:rPr>
          <w:rFonts w:ascii="Times New Roman" w:cs="Times New Roman" w:eastAsia="Times New Roman" w:hAnsi="Times New Roman"/>
          <w:sz w:val="22"/>
          <w:szCs w:val="22"/>
          <w:color w:val="auto"/>
        </w:rPr>
        <w:t>% vested as of the Normal Vesting Date and will continue to be settled on the original Settlement Date in accordance with Section 5 of this Award Agreement; or</w:t>
      </w:r>
    </w:p>
    <w:p>
      <w:pPr>
        <w:spacing w:after="0" w:line="97" w:lineRule="exact"/>
        <w:rPr>
          <w:rFonts w:ascii="Times New Roman" w:cs="Times New Roman" w:eastAsia="Times New Roman" w:hAnsi="Times New Roman"/>
          <w:sz w:val="22"/>
          <w:szCs w:val="22"/>
          <w:color w:val="auto"/>
        </w:rPr>
      </w:pPr>
    </w:p>
    <w:p>
      <w:pPr>
        <w:ind w:left="1960" w:hanging="656"/>
        <w:spacing w:after="0" w:line="258" w:lineRule="auto"/>
        <w:tabs>
          <w:tab w:leader="none" w:pos="1885"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you Terminate prior to the Normal Vesting Date for a reason other than Cause and you have reached age </w:t>
      </w:r>
      <w:r>
        <w:rPr>
          <w:rFonts w:ascii="Calibri" w:cs="Calibri" w:eastAsia="Calibri" w:hAnsi="Calibri"/>
          <w:sz w:val="22"/>
          <w:szCs w:val="22"/>
          <w:color w:val="auto"/>
        </w:rPr>
        <w:t xml:space="preserve">[___] </w:t>
      </w:r>
      <w:r>
        <w:rPr>
          <w:rFonts w:ascii="Times New Roman" w:cs="Times New Roman" w:eastAsia="Times New Roman" w:hAnsi="Times New Roman"/>
          <w:sz w:val="22"/>
          <w:szCs w:val="22"/>
          <w:color w:val="auto"/>
        </w:rPr>
        <w:t>and completed at least</w:t>
      </w:r>
      <w:r>
        <w:rPr>
          <w:rFonts w:ascii="Calibri" w:cs="Calibri" w:eastAsia="Calibri" w:hAnsi="Calibri"/>
          <w:sz w:val="22"/>
          <w:szCs w:val="22"/>
          <w:color w:val="auto"/>
        </w:rPr>
        <w:t xml:space="preserve"> [___] </w:t>
      </w:r>
      <w:r>
        <w:rPr>
          <w:rFonts w:ascii="Times New Roman" w:cs="Times New Roman" w:eastAsia="Times New Roman" w:hAnsi="Times New Roman"/>
          <w:sz w:val="22"/>
          <w:szCs w:val="22"/>
          <w:color w:val="auto"/>
        </w:rPr>
        <w:t>years of continuous employment with the Company, or any of its</w:t>
      </w:r>
      <w:r>
        <w:rPr>
          <w:rFonts w:ascii="Calibri" w:cs="Calibri" w:eastAsia="Calibri" w:hAnsi="Calibri"/>
          <w:sz w:val="22"/>
          <w:szCs w:val="22"/>
          <w:color w:val="auto"/>
        </w:rPr>
        <w:t xml:space="preserve"> </w:t>
      </w:r>
      <w:r>
        <w:rPr>
          <w:rFonts w:ascii="Times New Roman" w:cs="Times New Roman" w:eastAsia="Times New Roman" w:hAnsi="Times New Roman"/>
          <w:sz w:val="22"/>
          <w:szCs w:val="22"/>
          <w:color w:val="auto"/>
        </w:rPr>
        <w:t xml:space="preserve">Subsidiaries or Affiliates, the number of Performance Units Achieved will become </w:t>
      </w:r>
      <w:r>
        <w:rPr>
          <w:rFonts w:ascii="Calibri" w:cs="Calibri" w:eastAsia="Calibri" w:hAnsi="Calibri"/>
          <w:sz w:val="22"/>
          <w:szCs w:val="22"/>
          <w:color w:val="auto"/>
        </w:rPr>
        <w:t>[___]</w:t>
      </w:r>
      <w:r>
        <w:rPr>
          <w:rFonts w:ascii="Times New Roman" w:cs="Times New Roman" w:eastAsia="Times New Roman" w:hAnsi="Times New Roman"/>
          <w:sz w:val="22"/>
          <w:szCs w:val="22"/>
          <w:color w:val="auto"/>
        </w:rPr>
        <w:t>% vested as of the Normal Vesting Date and will continue to be settled on the original Settlement Date in accordance with Section 5 of this Award Agreement; or</w:t>
      </w:r>
    </w:p>
    <w:p>
      <w:pPr>
        <w:spacing w:after="0" w:line="172" w:lineRule="exact"/>
        <w:rPr>
          <w:rFonts w:ascii="Times New Roman" w:cs="Times New Roman" w:eastAsia="Times New Roman" w:hAnsi="Times New Roman"/>
          <w:sz w:val="22"/>
          <w:szCs w:val="22"/>
          <w:color w:val="auto"/>
        </w:rPr>
      </w:pPr>
    </w:p>
    <w:p>
      <w:pPr>
        <w:ind w:left="1960" w:hanging="656"/>
        <w:spacing w:after="0" w:line="263" w:lineRule="auto"/>
        <w:tabs>
          <w:tab w:leader="none" w:pos="1883" w:val="left"/>
        </w:tabs>
        <w:numPr>
          <w:ilvl w:val="2"/>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you Terminate due to an involuntary Termination by the Company or any of its Subsidiaries or Affiliates without Cause within </w:t>
      </w:r>
      <w:r>
        <w:rPr>
          <w:rFonts w:ascii="Calibri" w:cs="Calibri" w:eastAsia="Calibri" w:hAnsi="Calibri"/>
          <w:sz w:val="22"/>
          <w:szCs w:val="22"/>
          <w:color w:val="auto"/>
        </w:rPr>
        <w:t>[___]</w:t>
      </w:r>
      <w:r>
        <w:rPr>
          <w:rFonts w:ascii="Times New Roman" w:cs="Times New Roman" w:eastAsia="Times New Roman" w:hAnsi="Times New Roman"/>
          <w:sz w:val="22"/>
          <w:szCs w:val="22"/>
          <w:color w:val="auto"/>
        </w:rPr>
        <w:t xml:space="preserve"> days before the Normal Vesting Date, the number of Performance Units Achieved will be become </w:t>
      </w:r>
      <w:r>
        <w:rPr>
          <w:rFonts w:ascii="Calibri" w:cs="Calibri" w:eastAsia="Calibri" w:hAnsi="Calibri"/>
          <w:sz w:val="22"/>
          <w:szCs w:val="22"/>
          <w:color w:val="auto"/>
        </w:rPr>
        <w:t>[___]</w:t>
      </w:r>
      <w:r>
        <w:rPr>
          <w:rFonts w:ascii="Times New Roman" w:cs="Times New Roman" w:eastAsia="Times New Roman" w:hAnsi="Times New Roman"/>
          <w:sz w:val="22"/>
          <w:szCs w:val="22"/>
          <w:color w:val="auto"/>
        </w:rPr>
        <w:t>% vested as of the Normal Vesting Date and will continue to be settled on the original Settlement Date in accordance with Section 5 of this Award Agreement.</w:t>
      </w:r>
    </w:p>
    <w:p>
      <w:pPr>
        <w:sectPr>
          <w:pgSz w:w="11900" w:h="16838" w:orient="portrait"/>
          <w:cols w:equalWidth="0" w:num="1">
            <w:col w:w="11240"/>
          </w:cols>
          <w:pgMar w:left="320" w:top="1418" w:right="339" w:bottom="1440" w:gutter="0" w:footer="0" w:header="0"/>
        </w:sectPr>
      </w:pPr>
    </w:p>
    <w:bookmarkStart w:id="57" w:name="page58"/>
    <w:bookmarkEnd w:id="57"/>
    <w:p>
      <w:pPr>
        <w:jc w:val="both"/>
        <w:ind w:left="1952" w:hanging="656"/>
        <w:spacing w:after="0" w:line="257" w:lineRule="auto"/>
        <w:tabs>
          <w:tab w:leader="none" w:pos="1896" w:val="left"/>
        </w:tabs>
        <w:numPr>
          <w:ilvl w:val="2"/>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there is a Change in Control, your Performance Units may vest earlier in accordance with the Plan and pursuant to the discretion of the Committee. See Section 5(d) of this Award Agreement and the Plan for further details.</w:t>
      </w:r>
    </w:p>
    <w:p>
      <w:pPr>
        <w:spacing w:after="0" w:line="182" w:lineRule="exact"/>
        <w:rPr>
          <w:rFonts w:ascii="Times New Roman" w:cs="Times New Roman" w:eastAsia="Times New Roman" w:hAnsi="Times New Roman"/>
          <w:sz w:val="22"/>
          <w:szCs w:val="22"/>
          <w:color w:val="auto"/>
        </w:rPr>
      </w:pPr>
    </w:p>
    <w:p>
      <w:pPr>
        <w:ind w:left="372" w:hanging="372"/>
        <w:spacing w:after="0"/>
        <w:tabs>
          <w:tab w:leader="none" w:pos="372"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SETTLEMENT.</w:t>
      </w:r>
    </w:p>
    <w:p>
      <w:pPr>
        <w:spacing w:after="0" w:line="156" w:lineRule="exact"/>
        <w:rPr>
          <w:rFonts w:ascii="Times New Roman" w:cs="Times New Roman" w:eastAsia="Times New Roman" w:hAnsi="Times New Roman"/>
          <w:sz w:val="22"/>
          <w:szCs w:val="22"/>
          <w:b w:val="1"/>
          <w:bCs w:val="1"/>
          <w:color w:val="auto"/>
        </w:rPr>
      </w:pPr>
    </w:p>
    <w:p>
      <w:pPr>
        <w:ind w:left="1292" w:hanging="644"/>
        <w:spacing w:after="0" w:line="250" w:lineRule="auto"/>
        <w:tabs>
          <w:tab w:leader="none" w:pos="1195"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of the Plan and this Award Agreement, the number of vested Performance Units Achieved, minus any Shares that are withheld for taxes as provided under Section 5(c), shall be settled in a lump sum as soon as administratively practicable following the Normal Vesting Date (the “Settlement Date”). Your whole Performance Units Achieved shall be settled in full Shares, and any fractional Performance Unit Achieved shall be settled in cash, determined based upon the Fair Market Value of a Share on the Settlement Date, which shall be equal to the closing price of a Share on the Settlement Date if it is a trading day or, if such date is not a trading day, on the next trading day.</w:t>
      </w:r>
    </w:p>
    <w:p>
      <w:pPr>
        <w:spacing w:after="0" w:line="99" w:lineRule="exact"/>
        <w:rPr>
          <w:rFonts w:ascii="Times New Roman" w:cs="Times New Roman" w:eastAsia="Times New Roman" w:hAnsi="Times New Roman"/>
          <w:sz w:val="22"/>
          <w:szCs w:val="22"/>
          <w:color w:val="auto"/>
        </w:rPr>
      </w:pPr>
    </w:p>
    <w:p>
      <w:pPr>
        <w:jc w:val="right"/>
        <w:ind w:left="1292" w:hanging="644"/>
        <w:spacing w:after="0" w:line="309" w:lineRule="auto"/>
        <w:tabs>
          <w:tab w:leader="none" w:pos="1177"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Section 6 of this Award Agreement, you will have none of the rights of a shareholder with respect to Shares underlying the Performance Units unless and until you become the record holder of such Shares.</w:t>
      </w:r>
    </w:p>
    <w:p>
      <w:pPr>
        <w:spacing w:after="0" w:line="53" w:lineRule="exact"/>
        <w:rPr>
          <w:rFonts w:ascii="Times New Roman" w:cs="Times New Roman" w:eastAsia="Times New Roman" w:hAnsi="Times New Roman"/>
          <w:sz w:val="21"/>
          <w:szCs w:val="21"/>
          <w:color w:val="auto"/>
        </w:rPr>
      </w:pPr>
    </w:p>
    <w:p>
      <w:pPr>
        <w:jc w:val="both"/>
        <w:ind w:left="1292" w:hanging="644"/>
        <w:spacing w:after="0" w:line="252" w:lineRule="auto"/>
        <w:tabs>
          <w:tab w:leader="none" w:pos="1334"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may use one of the following methods to pay the required withholding taxes related to the vesting and settlement of your Performance Units Achieved. You will decide on the method at the time prescribed by the Company. If you do not elect one of these methods, the Company will apply the Net Settlement method described below:</w:t>
      </w:r>
    </w:p>
    <w:p>
      <w:pPr>
        <w:spacing w:after="0" w:line="179" w:lineRule="exact"/>
        <w:rPr>
          <w:rFonts w:ascii="Times New Roman" w:cs="Times New Roman" w:eastAsia="Times New Roman" w:hAnsi="Times New Roman"/>
          <w:sz w:val="22"/>
          <w:szCs w:val="22"/>
          <w:color w:val="auto"/>
        </w:rPr>
      </w:pPr>
    </w:p>
    <w:p>
      <w:pPr>
        <w:ind w:left="1952" w:hanging="656"/>
        <w:spacing w:after="0" w:line="263" w:lineRule="auto"/>
        <w:tabs>
          <w:tab w:leader="none" w:pos="1743"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PAYMENT: If you elect this alternative, you will be responsible for paying the Company, through the Third Party Administrator, cash equal to the required withholding Taxes applicable on your Performance Units.</w:t>
      </w:r>
    </w:p>
    <w:p>
      <w:pPr>
        <w:spacing w:after="0" w:line="86" w:lineRule="exact"/>
        <w:rPr>
          <w:rFonts w:ascii="Times New Roman" w:cs="Times New Roman" w:eastAsia="Times New Roman" w:hAnsi="Times New Roman"/>
          <w:sz w:val="22"/>
          <w:szCs w:val="22"/>
          <w:color w:val="auto"/>
        </w:rPr>
      </w:pPr>
    </w:p>
    <w:p>
      <w:pPr>
        <w:ind w:left="1952" w:hanging="656"/>
        <w:spacing w:after="0" w:line="256" w:lineRule="auto"/>
        <w:tabs>
          <w:tab w:leader="none" w:pos="1799" w:val="left"/>
        </w:tabs>
        <w:numPr>
          <w:ilvl w:val="2"/>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SETTLEMENT: If you elect this alternative, the Company will retain the number of Shares with a Fair Market Value equal to the required withholding Taxes applicable on your Performance Units, provided that such withholding can be no more than the maximum withholding rate applicable to each jurisdiction for which the Company is required to withhold.</w:t>
      </w:r>
    </w:p>
    <w:p>
      <w:pPr>
        <w:spacing w:after="0" w:line="104" w:lineRule="exact"/>
        <w:rPr>
          <w:rFonts w:ascii="Times New Roman" w:cs="Times New Roman" w:eastAsia="Times New Roman" w:hAnsi="Times New Roman"/>
          <w:sz w:val="22"/>
          <w:szCs w:val="22"/>
          <w:color w:val="auto"/>
        </w:rPr>
      </w:pPr>
    </w:p>
    <w:p>
      <w:pPr>
        <w:jc w:val="both"/>
        <w:ind w:left="1292" w:hanging="644"/>
        <w:spacing w:after="0" w:line="263" w:lineRule="auto"/>
        <w:tabs>
          <w:tab w:leader="none" w:pos="1233"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Change in Control: </w:t>
      </w:r>
      <w:r>
        <w:rPr>
          <w:rFonts w:ascii="Times New Roman" w:cs="Times New Roman" w:eastAsia="Times New Roman" w:hAnsi="Times New Roman"/>
          <w:sz w:val="21"/>
          <w:szCs w:val="21"/>
          <w:color w:val="auto"/>
        </w:rPr>
        <w:t>If there is a Change in Control, your Performance Units may vest earlier at Target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Plan and pursuant to the discretion of the Committee. See the Plan for further details. Notwithstanding any other provisions of this Award Agreement to the contrary, in the event that as a result of any acceleration of vesting under the Plan or this Award Agreement in connection with a Change in Control it is determined that any payment or distribution in the nature of compensation (within the meaning of Section 280G(b)</w:t>
      </w:r>
    </w:p>
    <w:p>
      <w:pPr>
        <w:ind w:left="1292"/>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of the Code) to or for the benefit of the Participant, whether paid or payable or distributed or distributable pursuant to the terms of this Award</w:t>
      </w:r>
    </w:p>
    <w:p>
      <w:pPr>
        <w:sectPr>
          <w:pgSz w:w="11900" w:h="16838" w:orient="portrait"/>
          <w:cols w:equalWidth="0" w:num="1">
            <w:col w:w="11232"/>
          </w:cols>
          <w:pgMar w:left="328" w:top="1422" w:right="339" w:bottom="1440" w:gutter="0" w:footer="0" w:header="0"/>
        </w:sectPr>
      </w:pPr>
    </w:p>
    <w:bookmarkStart w:id="58" w:name="page59"/>
    <w:bookmarkEnd w:id="58"/>
    <w:p>
      <w:pPr>
        <w:jc w:val="both"/>
        <w:ind w:left="1292"/>
        <w:spacing w:after="0" w:line="248" w:lineRule="auto"/>
        <w:rPr>
          <w:sz w:val="20"/>
          <w:szCs w:val="20"/>
          <w:color w:val="auto"/>
        </w:rPr>
      </w:pPr>
      <w:r>
        <w:rPr>
          <w:rFonts w:ascii="Times New Roman" w:cs="Times New Roman" w:eastAsia="Times New Roman" w:hAnsi="Times New Roman"/>
          <w:sz w:val="22"/>
          <w:szCs w:val="22"/>
          <w:color w:val="auto"/>
        </w:rPr>
        <w:t>Agreement or otherwise (the “Payments”), would constitute an “excess parachute payment” within the meaning of Section 280G of the Code, the Company shall reduce (but not below zero) the aggregate value of the Payments under this Award Agreement to the Reduced Amount (as defined below), if reducing the Payments under this Award Agreement will provide the Participant with a greater net after-tax amount than would be the case if no reduction was made. The Payments shall be reduced as described in the preceding sentence only if (i) the net amount of the Payments, as so reduced (and after subtracting the net amount of applicable federal, state and local income and payroll taxes on the reduced Payments), is greater than or equal to (ii) the net amount of the Payments without such reduction (but after subtracting the net amount of applicable federal, state and local income and payroll taxes on the Payments and the amount of Excise Tax (as defined below) to which the Participant would be subject with respect to the unreduced Payments). Only amounts payable under this Award Agreement shall be reduced pursuant to this subsection (d). The “Reduced Amount” shall be an amount that maximizes the aggregate value of Payments under this Award Agreement without causing any Payment under this Award Agreement to be subject to the Excise Tax, determined in accordance with Section 280G(d)(4) of the Code. The term “Excise Tax” means the excise tax imposed under Section 4999 of the Code, together with any interest or penalties imposed with respect to such excise tax.</w:t>
      </w:r>
    </w:p>
    <w:p>
      <w:pPr>
        <w:spacing w:after="0" w:line="115" w:lineRule="exact"/>
        <w:rPr>
          <w:sz w:val="20"/>
          <w:szCs w:val="20"/>
          <w:color w:val="auto"/>
        </w:rPr>
      </w:pPr>
    </w:p>
    <w:p>
      <w:pPr>
        <w:ind w:left="1952" w:hanging="656"/>
        <w:spacing w:after="0" w:line="251" w:lineRule="auto"/>
        <w:tabs>
          <w:tab w:leader="none" w:pos="187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determinations to be made under this Section 5(d) shall be made by an independent registered public accounting firm or consulting firm selected by the Company immediately prior to a change in control, which shall provide its determinations and any supporting calculations both to the Company and the Participant within </w:t>
      </w:r>
      <w:r>
        <w:rPr>
          <w:rFonts w:ascii="Calibri" w:cs="Calibri" w:eastAsia="Calibri" w:hAnsi="Calibri"/>
          <w:sz w:val="22"/>
          <w:szCs w:val="22"/>
          <w:color w:val="auto"/>
        </w:rPr>
        <w:t>[___]</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[___]</w:t>
      </w:r>
      <w:r>
        <w:rPr>
          <w:rFonts w:ascii="Times New Roman" w:cs="Times New Roman" w:eastAsia="Times New Roman" w:hAnsi="Times New Roman"/>
          <w:sz w:val="22"/>
          <w:szCs w:val="22"/>
          <w:color w:val="auto"/>
        </w:rPr>
        <w:t>) days of the change in control. Any such determination by such firm shall be binding upon the Company and the Participant. All of the fees and expenses of the accounting or consulting firm in performing the determinations referred to in this Section shall be borne solely by the Company.</w:t>
      </w:r>
    </w:p>
    <w:p>
      <w:pPr>
        <w:spacing w:after="0" w:line="112" w:lineRule="exact"/>
        <w:rPr>
          <w:rFonts w:ascii="Times New Roman" w:cs="Times New Roman" w:eastAsia="Times New Roman" w:hAnsi="Times New Roman"/>
          <w:sz w:val="22"/>
          <w:szCs w:val="22"/>
          <w:color w:val="auto"/>
        </w:rPr>
      </w:pPr>
    </w:p>
    <w:p>
      <w:pPr>
        <w:jc w:val="both"/>
        <w:ind w:left="-8" w:firstLine="8"/>
        <w:spacing w:after="0" w:line="249" w:lineRule="auto"/>
        <w:tabs>
          <w:tab w:leader="none" w:pos="469"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 EQUIVALENTS. </w:t>
      </w:r>
      <w:r>
        <w:rPr>
          <w:rFonts w:ascii="Times New Roman" w:cs="Times New Roman" w:eastAsia="Times New Roman" w:hAnsi="Times New Roman"/>
          <w:sz w:val="22"/>
          <w:szCs w:val="22"/>
          <w:color w:val="auto"/>
        </w:rPr>
        <w:t>Each Dividend Equivalent represents the right to receive an amount equal to the dividends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are declared and paid during the period beginning on the Grant Date and ending on the Settlement Date with respect to the Shares represented by the related Performance Units Achieved, subject to the same terms and conditions. The Dividend Equivalents on Performance Units Achieved shall be payable only when and to the extent that the underlying Performance Unit vests and becomes payable. Any Dividend Equivalents will be distributed to you in accordance with Section 5 of this Award Agreement or forfeited, depending on whether or not you have met the conditions described in this Award Agreement and the Plan. Any such distributions will be made in (i) cash, for any Dividend Equivalents relating to cash dividends and/or (ii) Shares, for any Dividend Equivalents relating to Share dividends.</w:t>
      </w:r>
    </w:p>
    <w:p>
      <w:pPr>
        <w:sectPr>
          <w:pgSz w:w="11900" w:h="16838" w:orient="portrait"/>
          <w:cols w:equalWidth="0" w:num="1">
            <w:col w:w="11232"/>
          </w:cols>
          <w:pgMar w:left="328" w:top="1422" w:right="339" w:bottom="1440" w:gutter="0" w:footer="0" w:header="0"/>
        </w:sectPr>
      </w:pPr>
    </w:p>
    <w:bookmarkStart w:id="59" w:name="page60"/>
    <w:bookmarkEnd w:id="59"/>
    <w:p>
      <w:pPr>
        <w:ind w:left="432" w:hanging="432"/>
        <w:spacing w:after="0"/>
        <w:tabs>
          <w:tab w:leader="none" w:pos="432"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FORFEITURE AND RECOUPMENT.</w:t>
      </w:r>
    </w:p>
    <w:p>
      <w:pPr>
        <w:spacing w:after="0" w:line="156" w:lineRule="exact"/>
        <w:rPr>
          <w:rFonts w:ascii="Times New Roman" w:cs="Times New Roman" w:eastAsia="Times New Roman" w:hAnsi="Times New Roman"/>
          <w:sz w:val="22"/>
          <w:szCs w:val="22"/>
          <w:b w:val="1"/>
          <w:bCs w:val="1"/>
          <w:color w:val="auto"/>
        </w:rPr>
      </w:pPr>
    </w:p>
    <w:p>
      <w:pPr>
        <w:ind w:left="1292" w:hanging="644"/>
        <w:spacing w:after="0" w:line="271" w:lineRule="auto"/>
        <w:tabs>
          <w:tab w:leader="none" w:pos="118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 4 of this Award Agreement, you will forfeit your unvested Performance Units if you Terminate prior to the Normal Vesting Date, whether the performance criteria are achieved or not.</w:t>
      </w:r>
    </w:p>
    <w:p>
      <w:pPr>
        <w:spacing w:after="0" w:line="90" w:lineRule="exact"/>
        <w:rPr>
          <w:rFonts w:ascii="Times New Roman" w:cs="Times New Roman" w:eastAsia="Times New Roman" w:hAnsi="Times New Roman"/>
          <w:sz w:val="22"/>
          <w:szCs w:val="22"/>
          <w:color w:val="auto"/>
        </w:rPr>
      </w:pPr>
    </w:p>
    <w:p>
      <w:pPr>
        <w:jc w:val="both"/>
        <w:ind w:left="1292" w:hanging="644"/>
        <w:spacing w:after="0" w:line="253" w:lineRule="auto"/>
        <w:tabs>
          <w:tab w:leader="none" w:pos="1261"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without prior authorization in writing from the Company, you engage in “Conduct That is Harmful to the Company” at any time during the course of your employment or within </w:t>
      </w:r>
      <w:r>
        <w:rPr>
          <w:rFonts w:ascii="Calibri" w:cs="Calibri" w:eastAsia="Calibri" w:hAnsi="Calibri"/>
          <w:sz w:val="22"/>
          <w:szCs w:val="22"/>
          <w:color w:val="auto"/>
        </w:rPr>
        <w:t>[___]</w:t>
      </w:r>
      <w:r>
        <w:rPr>
          <w:rFonts w:ascii="Times New Roman" w:cs="Times New Roman" w:eastAsia="Times New Roman" w:hAnsi="Times New Roman"/>
          <w:sz w:val="22"/>
          <w:szCs w:val="22"/>
          <w:color w:val="auto"/>
        </w:rPr>
        <w:t xml:space="preserve"> days after you Terminate, you will forfeit your Performance Units and related Dividend Equivalents, whether they are vested or not. In addition to this forfeiture, the Committee may determine that some or all of any Shares and other amounts you have received through the Plan or this Award Agreement are subject to recoupment, where allowable by law, and must be returned to the Company. “Conduct That is Harmful to the Company” is:</w:t>
      </w:r>
    </w:p>
    <w:p>
      <w:pPr>
        <w:spacing w:after="0" w:line="111" w:lineRule="exact"/>
        <w:rPr>
          <w:rFonts w:ascii="Times New Roman" w:cs="Times New Roman" w:eastAsia="Times New Roman" w:hAnsi="Times New Roman"/>
          <w:sz w:val="22"/>
          <w:szCs w:val="22"/>
          <w:color w:val="auto"/>
        </w:rPr>
      </w:pPr>
    </w:p>
    <w:p>
      <w:pPr>
        <w:ind w:left="1952" w:hanging="656"/>
        <w:spacing w:after="0" w:line="271" w:lineRule="auto"/>
        <w:tabs>
          <w:tab w:leader="none" w:pos="1736"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breach of any confidentiality, nondisclosure, and/or noncompetition obligations under any agreement or plan with the Company or any Subsidiary or Affiliate;</w:t>
      </w:r>
    </w:p>
    <w:p>
      <w:pPr>
        <w:spacing w:after="0" w:line="90" w:lineRule="exact"/>
        <w:rPr>
          <w:rFonts w:ascii="Times New Roman" w:cs="Times New Roman" w:eastAsia="Times New Roman" w:hAnsi="Times New Roman"/>
          <w:sz w:val="22"/>
          <w:szCs w:val="22"/>
          <w:color w:val="auto"/>
        </w:rPr>
      </w:pPr>
    </w:p>
    <w:p>
      <w:pPr>
        <w:ind w:left="1952" w:hanging="656"/>
        <w:spacing w:after="0" w:line="257" w:lineRule="auto"/>
        <w:tabs>
          <w:tab w:leader="none" w:pos="1776"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engaging in conduct that the Committee reasonably concludes requires the forfeiture and recoupment of the Award under the terms of any Company recoupment or clawback policy, any other applicable policy of the Company, and any applicable laws and regulations;</w:t>
      </w:r>
    </w:p>
    <w:p>
      <w:pPr>
        <w:spacing w:after="0" w:line="105" w:lineRule="exact"/>
        <w:rPr>
          <w:rFonts w:ascii="Times New Roman" w:cs="Times New Roman" w:eastAsia="Times New Roman" w:hAnsi="Times New Roman"/>
          <w:sz w:val="22"/>
          <w:szCs w:val="22"/>
          <w:color w:val="auto"/>
        </w:rPr>
      </w:pPr>
    </w:p>
    <w:p>
      <w:pPr>
        <w:ind w:left="1952" w:hanging="656"/>
        <w:spacing w:after="0" w:line="271" w:lineRule="auto"/>
        <w:tabs>
          <w:tab w:leader="none" w:pos="1887"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failure or refusal to consult with, supply information to or otherwise cooperate with the Company or any Subsidiary or Affiliate after having been requested to do so;</w:t>
      </w:r>
    </w:p>
    <w:p>
      <w:pPr>
        <w:spacing w:after="0" w:line="90" w:lineRule="exact"/>
        <w:rPr>
          <w:rFonts w:ascii="Times New Roman" w:cs="Times New Roman" w:eastAsia="Times New Roman" w:hAnsi="Times New Roman"/>
          <w:sz w:val="22"/>
          <w:szCs w:val="22"/>
          <w:color w:val="auto"/>
        </w:rPr>
      </w:pPr>
    </w:p>
    <w:p>
      <w:pPr>
        <w:jc w:val="both"/>
        <w:ind w:left="1952" w:hanging="656"/>
        <w:spacing w:after="0" w:line="257" w:lineRule="auto"/>
        <w:tabs>
          <w:tab w:leader="none" w:pos="1906"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deliberately engaging in any action that the Company concludes has caused substantial harm to the interests of the Company or any Subsidiary or Affiliate, including, but not limited to, violations of applicable securities laws or the Company's Insider Trading Policy;</w:t>
      </w:r>
    </w:p>
    <w:p>
      <w:pPr>
        <w:spacing w:after="0" w:line="105" w:lineRule="exact"/>
        <w:rPr>
          <w:rFonts w:ascii="Times New Roman" w:cs="Times New Roman" w:eastAsia="Times New Roman" w:hAnsi="Times New Roman"/>
          <w:sz w:val="22"/>
          <w:szCs w:val="22"/>
          <w:color w:val="auto"/>
        </w:rPr>
      </w:pPr>
    </w:p>
    <w:p>
      <w:pPr>
        <w:jc w:val="both"/>
        <w:ind w:left="1952" w:hanging="656"/>
        <w:spacing w:after="0" w:line="251" w:lineRule="auto"/>
        <w:tabs>
          <w:tab w:leader="none" w:pos="1899"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Your failure to return all property (other than personal property), including vehicles, computer or other equipment or electronic devices, keys, notes, memoranda, writings, lists, files, reports, customer lists, correspondence, tapes, disks, cards, surveys, maps, logs, machines, technical data, formulae or any other tangible property or document and any and all copies, duplicates or reproductions that you have produced or received or have otherwise been provided to you in the course of your employment with the Company or any Subsidiary or Affiliate; or</w:t>
      </w:r>
    </w:p>
    <w:p>
      <w:pPr>
        <w:spacing w:after="0" w:line="113" w:lineRule="exact"/>
        <w:rPr>
          <w:rFonts w:ascii="Times New Roman" w:cs="Times New Roman" w:eastAsia="Times New Roman" w:hAnsi="Times New Roman"/>
          <w:sz w:val="22"/>
          <w:szCs w:val="22"/>
          <w:color w:val="auto"/>
        </w:rPr>
      </w:pPr>
    </w:p>
    <w:p>
      <w:pPr>
        <w:jc w:val="both"/>
        <w:ind w:left="1952" w:hanging="656"/>
        <w:spacing w:after="0" w:line="256" w:lineRule="auto"/>
        <w:tabs>
          <w:tab w:leader="none" w:pos="1946"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Discovery after you Terminated that you engaged in conduct while employed by the Company that the Committee reasonably concludes would have given rise to a Termination for Cause had it been discovered before you Terminated, including but not limited to having engaged in or contributed to criminal misconduct.</w:t>
      </w:r>
    </w:p>
    <w:p>
      <w:pPr>
        <w:sectPr>
          <w:pgSz w:w="11900" w:h="16838" w:orient="portrait"/>
          <w:cols w:equalWidth="0" w:num="1">
            <w:col w:w="11232"/>
          </w:cols>
          <w:pgMar w:left="328" w:top="1418" w:right="339" w:bottom="1440" w:gutter="0" w:footer="0" w:header="0"/>
        </w:sectPr>
      </w:pPr>
    </w:p>
    <w:bookmarkStart w:id="60" w:name="page61"/>
    <w:bookmarkEnd w:id="60"/>
    <w:p>
      <w:pPr>
        <w:ind w:firstLine="8"/>
        <w:spacing w:after="0" w:line="275" w:lineRule="auto"/>
        <w:tabs>
          <w:tab w:leader="none" w:pos="555"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AMENDMENT AND TERMINATION. </w:t>
      </w:r>
      <w:r>
        <w:rPr>
          <w:rFonts w:ascii="Times New Roman" w:cs="Times New Roman" w:eastAsia="Times New Roman" w:hAnsi="Times New Roman"/>
          <w:sz w:val="22"/>
          <w:szCs w:val="22"/>
          <w:color w:val="auto"/>
        </w:rPr>
        <w:t>Subject to the terms of the Plan, the Company may amend or terminate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Agreement or the Plan at any time.</w:t>
      </w:r>
    </w:p>
    <w:p>
      <w:pPr>
        <w:spacing w:after="0" w:line="81" w:lineRule="exact"/>
        <w:rPr>
          <w:rFonts w:ascii="Times New Roman" w:cs="Times New Roman" w:eastAsia="Times New Roman" w:hAnsi="Times New Roman"/>
          <w:sz w:val="22"/>
          <w:szCs w:val="22"/>
          <w:b w:val="1"/>
          <w:bCs w:val="1"/>
          <w:color w:val="auto"/>
        </w:rPr>
      </w:pPr>
    </w:p>
    <w:p>
      <w:pPr>
        <w:jc w:val="both"/>
        <w:ind w:firstLine="8"/>
        <w:spacing w:after="0" w:line="252" w:lineRule="auto"/>
        <w:tabs>
          <w:tab w:leader="none" w:pos="432"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BENEFICIARY DESIGNATION. </w:t>
      </w:r>
      <w:r>
        <w:rPr>
          <w:rFonts w:ascii="Times New Roman" w:cs="Times New Roman" w:eastAsia="Times New Roman" w:hAnsi="Times New Roman"/>
          <w:sz w:val="22"/>
          <w:szCs w:val="22"/>
          <w:color w:val="auto"/>
        </w:rPr>
        <w:t>You may name a beneficiary or beneficiaries to receive any vested Performance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related Dividend Equivalents that may be achieved under this Award Agreement but are settled after you die. This may be done only on the Beneficiary Designation Form prescribed by the Company or Third Party Administrator. The Beneficiary Designation Form need not be completed now and is not required as a condition of receiving your Award. If you die without completing a Beneficiary Designation Form or if you do not complete that Form correctly, your beneficiary will be your surviving spouse or, if you do not have a surviving spouse, your estate.</w:t>
      </w:r>
    </w:p>
    <w:p>
      <w:pPr>
        <w:spacing w:after="0" w:line="107" w:lineRule="exact"/>
        <w:rPr>
          <w:rFonts w:ascii="Times New Roman" w:cs="Times New Roman" w:eastAsia="Times New Roman" w:hAnsi="Times New Roman"/>
          <w:sz w:val="22"/>
          <w:szCs w:val="22"/>
          <w:b w:val="1"/>
          <w:bCs w:val="1"/>
          <w:color w:val="auto"/>
        </w:rPr>
      </w:pPr>
    </w:p>
    <w:p>
      <w:pPr>
        <w:jc w:val="both"/>
        <w:ind w:firstLine="8"/>
        <w:spacing w:after="0" w:line="253" w:lineRule="auto"/>
        <w:tabs>
          <w:tab w:leader="none" w:pos="652"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TRANSFERRING YOUR PERFORMANCE UNITS AND RELATED DIVIDEND EQUIVALENTS. </w:t>
      </w:r>
      <w:r>
        <w:rPr>
          <w:rFonts w:ascii="Times New Roman" w:cs="Times New Roman" w:eastAsia="Times New Roman" w:hAnsi="Times New Roman"/>
          <w:sz w:val="22"/>
          <w:szCs w:val="22"/>
          <w:color w:val="auto"/>
        </w:rPr>
        <w:t>Except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described in Section 9, your Performance Units and related Dividend Equivalents may not be transferred to another person. Also, the Committee may allow you to place your Performance Units and related Dividend Equivalents into a trust established for your benefit or the benefit of your family. Contact the Third Party Administrator for further details.</w:t>
      </w:r>
    </w:p>
    <w:p>
      <w:pPr>
        <w:spacing w:after="0" w:line="107" w:lineRule="exact"/>
        <w:rPr>
          <w:rFonts w:ascii="Times New Roman" w:cs="Times New Roman" w:eastAsia="Times New Roman" w:hAnsi="Times New Roman"/>
          <w:sz w:val="22"/>
          <w:szCs w:val="22"/>
          <w:b w:val="1"/>
          <w:bCs w:val="1"/>
          <w:color w:val="auto"/>
        </w:rPr>
      </w:pPr>
    </w:p>
    <w:p>
      <w:pPr>
        <w:jc w:val="both"/>
        <w:ind w:firstLine="8"/>
        <w:spacing w:after="0" w:line="258" w:lineRule="auto"/>
        <w:tabs>
          <w:tab w:leader="none" w:pos="474"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GOVERNING LAW. </w:t>
      </w:r>
      <w:r>
        <w:rPr>
          <w:rFonts w:ascii="Times New Roman" w:cs="Times New Roman" w:eastAsia="Times New Roman" w:hAnsi="Times New Roman"/>
          <w:sz w:val="22"/>
          <w:szCs w:val="22"/>
          <w:color w:val="auto"/>
        </w:rPr>
        <w:t>This Award Agreement shall be governed by the laws of the State of Ohio, excluding any conflicts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choice of law rule or principle that might otherwise refer construction or interpretation of the Plan to the substantive law of another jurisdiction. This Award Agreement and the delivery of any Shares hereunder shall be governed by applicable federal and state securities laws and exchanges.</w:t>
      </w:r>
    </w:p>
    <w:p>
      <w:pPr>
        <w:spacing w:after="0" w:line="100" w:lineRule="exact"/>
        <w:rPr>
          <w:rFonts w:ascii="Times New Roman" w:cs="Times New Roman" w:eastAsia="Times New Roman" w:hAnsi="Times New Roman"/>
          <w:sz w:val="22"/>
          <w:szCs w:val="22"/>
          <w:b w:val="1"/>
          <w:bCs w:val="1"/>
          <w:color w:val="auto"/>
        </w:rPr>
      </w:pPr>
    </w:p>
    <w:p>
      <w:pPr>
        <w:jc w:val="both"/>
        <w:ind w:firstLine="8"/>
        <w:spacing w:after="0" w:line="252" w:lineRule="auto"/>
        <w:tabs>
          <w:tab w:leader="none" w:pos="702"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OTHER AGREEMENTS AND POLICIES. </w:t>
      </w:r>
      <w:r>
        <w:rPr>
          <w:rFonts w:ascii="Times New Roman" w:cs="Times New Roman" w:eastAsia="Times New Roman" w:hAnsi="Times New Roman"/>
          <w:sz w:val="22"/>
          <w:szCs w:val="22"/>
          <w:color w:val="auto"/>
        </w:rPr>
        <w:t>Your Performance Units and related Dividend Equivalents, whether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achieved or not, will be subject to the terms of any other written agreements between you and the Company or any Subsidiary or Affiliate to the extent that those other agreements do not directly conflict with the terms of the Plan or this Award Agreement. Your Performance Units and related Dividend Equivalents granted under the Plan shall be subject to any applicable Company clawback or recoupment policies, share trading policies and other policies that may be implemented by the Company from time to time.</w:t>
      </w:r>
    </w:p>
    <w:p>
      <w:pPr>
        <w:spacing w:after="0" w:line="107" w:lineRule="exact"/>
        <w:rPr>
          <w:rFonts w:ascii="Times New Roman" w:cs="Times New Roman" w:eastAsia="Times New Roman" w:hAnsi="Times New Roman"/>
          <w:sz w:val="22"/>
          <w:szCs w:val="22"/>
          <w:b w:val="1"/>
          <w:bCs w:val="1"/>
          <w:color w:val="auto"/>
        </w:rPr>
      </w:pPr>
    </w:p>
    <w:p>
      <w:pPr>
        <w:jc w:val="both"/>
        <w:ind w:firstLine="8"/>
        <w:spacing w:after="0" w:line="259" w:lineRule="auto"/>
        <w:tabs>
          <w:tab w:leader="none" w:pos="528"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ADJUSTMENTS TO YOUR PERFORMANCE UNITS. </w:t>
      </w:r>
      <w:r>
        <w:rPr>
          <w:rFonts w:ascii="Times New Roman" w:cs="Times New Roman" w:eastAsia="Times New Roman" w:hAnsi="Times New Roman"/>
          <w:sz w:val="22"/>
          <w:szCs w:val="22"/>
          <w:color w:val="auto"/>
        </w:rPr>
        <w:t>Subject to the terms of the Plan, your Performance Units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Dividend Equivalents will be adjusted, if appropriate, to reflect any change to the Company’s capital structure (e.g., the number of Shares underlying your Performance Units will be adjusted to reflect a stock split).</w:t>
      </w:r>
    </w:p>
    <w:p>
      <w:pPr>
        <w:spacing w:after="0" w:line="98" w:lineRule="exact"/>
        <w:rPr>
          <w:rFonts w:ascii="Times New Roman" w:cs="Times New Roman" w:eastAsia="Times New Roman" w:hAnsi="Times New Roman"/>
          <w:sz w:val="22"/>
          <w:szCs w:val="22"/>
          <w:b w:val="1"/>
          <w:bCs w:val="1"/>
          <w:color w:val="auto"/>
        </w:rPr>
      </w:pPr>
    </w:p>
    <w:p>
      <w:pPr>
        <w:ind w:left="540" w:hanging="532"/>
        <w:spacing w:after="0"/>
        <w:tabs>
          <w:tab w:leader="none" w:pos="540"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YOUR ACKNOWLEDGMENT OF AND AGREEMENT TO AWARD CONDITIONS.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you acknowledge and agree that:</w:t>
      </w:r>
    </w:p>
    <w:p>
      <w:pPr>
        <w:spacing w:after="0" w:line="220" w:lineRule="exact"/>
        <w:rPr>
          <w:sz w:val="20"/>
          <w:szCs w:val="20"/>
          <w:color w:val="auto"/>
        </w:rPr>
      </w:pPr>
    </w:p>
    <w:p>
      <w:pPr>
        <w:ind w:left="1160" w:hanging="504"/>
        <w:spacing w:after="0"/>
        <w:tabs>
          <w:tab w:leader="none" w:pos="11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Plan has been made available to you;</w:t>
      </w:r>
    </w:p>
    <w:p>
      <w:pPr>
        <w:spacing w:after="0" w:line="219" w:lineRule="exact"/>
        <w:rPr>
          <w:rFonts w:ascii="Times New Roman" w:cs="Times New Roman" w:eastAsia="Times New Roman" w:hAnsi="Times New Roman"/>
          <w:sz w:val="22"/>
          <w:szCs w:val="22"/>
          <w:color w:val="auto"/>
        </w:rPr>
      </w:pPr>
    </w:p>
    <w:p>
      <w:pPr>
        <w:ind w:left="1160" w:hanging="504"/>
        <w:spacing w:after="0"/>
        <w:tabs>
          <w:tab w:leader="none" w:pos="11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understand and accept the terms and conditions of your Award;</w:t>
      </w:r>
    </w:p>
    <w:p>
      <w:pPr>
        <w:sectPr>
          <w:pgSz w:w="11900" w:h="16838" w:orient="portrait"/>
          <w:cols w:equalWidth="0" w:num="1">
            <w:col w:w="11240"/>
          </w:cols>
          <w:pgMar w:left="320" w:top="1418" w:right="339" w:bottom="1440" w:gutter="0" w:footer="0" w:header="0"/>
        </w:sectPr>
      </w:pPr>
    </w:p>
    <w:bookmarkStart w:id="61" w:name="page62"/>
    <w:bookmarkEnd w:id="61"/>
    <w:p>
      <w:pPr>
        <w:ind w:left="1200" w:hanging="644"/>
        <w:spacing w:after="0" w:line="271" w:lineRule="auto"/>
        <w:tabs>
          <w:tab w:leader="none" w:pos="1022"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Award under the Plan, you agree to all Committee determinations as described in the Plan and this Award Agreement;</w:t>
      </w:r>
    </w:p>
    <w:p>
      <w:pPr>
        <w:spacing w:after="0" w:line="157" w:lineRule="exact"/>
        <w:rPr>
          <w:rFonts w:ascii="Times New Roman" w:cs="Times New Roman" w:eastAsia="Times New Roman" w:hAnsi="Times New Roman"/>
          <w:sz w:val="22"/>
          <w:szCs w:val="22"/>
          <w:color w:val="auto"/>
        </w:rPr>
      </w:pPr>
    </w:p>
    <w:p>
      <w:pPr>
        <w:ind w:left="1200" w:hanging="644"/>
        <w:spacing w:after="0" w:line="256" w:lineRule="auto"/>
        <w:tabs>
          <w:tab w:leader="none" w:pos="107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consent (on your own behalf and on behalf of your beneficiaries and transferees and without any further consideration) to any necessary change to your Award or this Award Agreement to comply with any law and to avoid paying penalties under Section 409A of the Code, even if those changes affect the terms of your Award and reduce its value or potential value; and</w:t>
      </w:r>
    </w:p>
    <w:p>
      <w:pPr>
        <w:spacing w:after="0" w:line="176" w:lineRule="exact"/>
        <w:rPr>
          <w:rFonts w:ascii="Times New Roman" w:cs="Times New Roman" w:eastAsia="Times New Roman" w:hAnsi="Times New Roman"/>
          <w:sz w:val="22"/>
          <w:szCs w:val="22"/>
          <w:color w:val="auto"/>
        </w:rPr>
      </w:pPr>
    </w:p>
    <w:p>
      <w:pPr>
        <w:ind w:left="1200" w:hanging="644"/>
        <w:spacing w:after="0" w:line="255" w:lineRule="auto"/>
        <w:tabs>
          <w:tab w:leader="none" w:pos="101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You must return a signed copy of this Award Agreement utilizing the on-line grant agreement process defined above before </w:t>
      </w:r>
      <w:r>
        <w:rPr>
          <w:rFonts w:ascii="Calibri" w:cs="Calibri" w:eastAsia="Calibri" w:hAnsi="Calibri"/>
          <w:sz w:val="22"/>
          <w:szCs w:val="22"/>
          <w:color w:val="auto"/>
        </w:rPr>
        <w:t>[___]</w:t>
      </w:r>
      <w:r>
        <w:rPr>
          <w:rFonts w:ascii="Times New Roman" w:cs="Times New Roman" w:eastAsia="Times New Roman" w:hAnsi="Times New Roman"/>
          <w:sz w:val="22"/>
          <w:szCs w:val="22"/>
          <w:color w:val="auto"/>
        </w:rPr>
        <w:t>.</w:t>
      </w:r>
    </w:p>
    <w:p>
      <w:pPr>
        <w:sectPr>
          <w:pgSz w:w="11900" w:h="16838" w:orient="portrait"/>
          <w:cols w:equalWidth="0" w:num="1">
            <w:col w:w="11140"/>
          </w:cols>
          <w:pgMar w:left="4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Grantee's Name</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SCOTTS MIRACLE-GRO COMPANY</w:t>
      </w:r>
    </w:p>
    <w:p>
      <w:pPr>
        <w:spacing w:after="0" w:line="200" w:lineRule="exact"/>
        <w:rPr>
          <w:sz w:val="20"/>
          <w:szCs w:val="20"/>
          <w:color w:val="auto"/>
        </w:rPr>
      </w:pPr>
    </w:p>
    <w:p>
      <w:pPr>
        <w:sectPr>
          <w:pgSz w:w="11900" w:h="16838" w:orient="portrait"/>
          <w:cols w:equalWidth="0" w:num="2">
            <w:col w:w="4640" w:space="720"/>
            <w:col w:w="5780"/>
          </w:cols>
          <w:pgMar w:left="420" w:top="1422"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By: ___________________________________</w:t>
      </w:r>
    </w:p>
    <w:p>
      <w:pPr>
        <w:spacing w:after="0" w:line="200" w:lineRule="exact"/>
        <w:rPr>
          <w:sz w:val="20"/>
          <w:szCs w:val="20"/>
          <w:color w:val="auto"/>
        </w:rPr>
      </w:pPr>
    </w:p>
    <w:p>
      <w:pPr>
        <w:sectPr>
          <w:pgSz w:w="11900" w:h="16838" w:orient="portrait"/>
          <w:cols w:equalWidth="0" w:num="2">
            <w:col w:w="4700" w:space="720"/>
            <w:col w:w="5720"/>
          </w:cols>
          <w:pgMar w:left="420" w:top="1422"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signed: 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[Name of Company Representative]</w:t>
      </w:r>
    </w:p>
    <w:p>
      <w:pPr>
        <w:spacing w:after="0" w:line="204" w:lineRule="auto"/>
        <w:rPr>
          <w:sz w:val="20"/>
          <w:szCs w:val="20"/>
          <w:color w:val="auto"/>
        </w:rPr>
      </w:pPr>
      <w:r>
        <w:rPr>
          <w:rFonts w:ascii="Times New Roman" w:cs="Times New Roman" w:eastAsia="Times New Roman" w:hAnsi="Times New Roman"/>
          <w:sz w:val="22"/>
          <w:szCs w:val="22"/>
          <w:color w:val="auto"/>
        </w:rPr>
        <w:t>[Title of Company Representative]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 signed: ___________________________</w:t>
      </w:r>
    </w:p>
    <w:p>
      <w:pPr>
        <w:sectPr>
          <w:pgSz w:w="11900" w:h="16838" w:orient="portrait"/>
          <w:cols w:equalWidth="0" w:num="2">
            <w:col w:w="4700" w:space="720"/>
            <w:col w:w="5720"/>
          </w:cols>
          <w:pgMar w:left="420" w:top="1422" w:right="339" w:bottom="1440" w:gutter="0" w:footer="0" w:header="0"/>
          <w:type w:val="continuous"/>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PERFORMANCE CRITERIA</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(STANDARD PERFORMANCE UNIT AWARD)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960"/>
        <w:spacing w:after="0" w:line="271" w:lineRule="auto"/>
        <w:rPr>
          <w:sz w:val="20"/>
          <w:szCs w:val="20"/>
          <w:color w:val="auto"/>
        </w:rPr>
      </w:pPr>
      <w:r>
        <w:rPr>
          <w:rFonts w:ascii="Times New Roman" w:cs="Times New Roman" w:eastAsia="Times New Roman" w:hAnsi="Times New Roman"/>
          <w:sz w:val="22"/>
          <w:szCs w:val="22"/>
          <w:color w:val="auto"/>
        </w:rPr>
        <w:t>The number of Performance Units Achieved under this Award Agreement is subject to the satisfaction of the following performance criteria and will be determined as of the end of the Performance Period, as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Performance Period: [period start date] </w:t>
      </w:r>
      <w:r>
        <w:rPr>
          <w:rFonts w:ascii="Times New Roman" w:cs="Times New Roman" w:eastAsia="Times New Roman" w:hAnsi="Times New Roman"/>
          <w:sz w:val="22"/>
          <w:szCs w:val="22"/>
          <w:color w:val="auto"/>
        </w:rPr>
        <w:t>to</w:t>
      </w:r>
      <w:r>
        <w:rPr>
          <w:rFonts w:ascii="Times New Roman" w:cs="Times New Roman" w:eastAsia="Times New Roman" w:hAnsi="Times New Roman"/>
          <w:sz w:val="22"/>
          <w:szCs w:val="22"/>
          <w:b w:val="1"/>
          <w:bCs w:val="1"/>
          <w:color w:val="auto"/>
        </w:rPr>
        <w:t xml:space="preserve"> [period end date]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Performance Units Achieved = Performance Units * Payout Percentage Achieved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Payout Percentage = Portion of Performance Units achieved based on actual results against the following performance goals:</w:t>
      </w:r>
    </w:p>
    <w:p>
      <w:pPr>
        <w:spacing w:after="0" w:line="200" w:lineRule="exact"/>
        <w:rPr>
          <w:sz w:val="20"/>
          <w:szCs w:val="20"/>
          <w:color w:val="auto"/>
        </w:rPr>
      </w:pPr>
    </w:p>
    <w:p>
      <w:pPr>
        <w:spacing w:after="0" w:line="368" w:lineRule="exact"/>
        <w:rPr>
          <w:sz w:val="20"/>
          <w:szCs w:val="20"/>
          <w:color w:val="auto"/>
        </w:rPr>
      </w:pPr>
    </w:p>
    <w:tbl>
      <w:tblPr>
        <w:tblLayout w:type="fixed"/>
        <w:tblInd w:w="670" w:type="dxa"/>
        <w:tblCellMar>
          <w:top w:w="0" w:type="dxa"/>
          <w:left w:w="0" w:type="dxa"/>
          <w:bottom w:w="0" w:type="dxa"/>
          <w:right w:w="0" w:type="dxa"/>
        </w:tblCellMar>
      </w:tblPr>
      <w:tr>
        <w:trPr>
          <w:trHeight w:val="255"/>
        </w:trPr>
        <w:tc>
          <w:tcPr>
            <w:tcW w:w="2020" w:type="dxa"/>
            <w:vAlign w:val="bottom"/>
            <w:tcBorders>
              <w:right w:val="single" w:sz="8" w:color="auto"/>
            </w:tcBorders>
          </w:tcPr>
          <w:p>
            <w:pPr>
              <w:spacing w:after="0"/>
              <w:rPr>
                <w:sz w:val="22"/>
                <w:szCs w:val="22"/>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Metric Weighting</w:t>
            </w:r>
          </w:p>
        </w:tc>
        <w:tc>
          <w:tcPr>
            <w:tcW w:w="1800" w:type="dxa"/>
            <w:vAlign w:val="bottom"/>
            <w:tcBorders>
              <w:top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Minimum</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Target</w:t>
            </w:r>
          </w:p>
        </w:tc>
        <w:tc>
          <w:tcPr>
            <w:tcW w:w="180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22"/>
                <w:szCs w:val="22"/>
                <w:b w:val="1"/>
                <w:bCs w:val="1"/>
                <w:color w:val="auto"/>
              </w:rPr>
              <w:t>Max</w:t>
            </w:r>
          </w:p>
        </w:tc>
      </w:tr>
      <w:tr>
        <w:trPr>
          <w:trHeight w:val="269"/>
        </w:trPr>
        <w:tc>
          <w:tcPr>
            <w:tcW w:w="2020" w:type="dxa"/>
            <w:vAlign w:val="bottom"/>
            <w:tcBorders>
              <w:right w:val="single" w:sz="8" w:color="auto"/>
            </w:tcBorders>
          </w:tcPr>
          <w:p>
            <w:pPr>
              <w:spacing w:after="0"/>
              <w:rPr>
                <w:sz w:val="23"/>
                <w:szCs w:val="23"/>
                <w:color w:val="auto"/>
              </w:rPr>
            </w:pPr>
          </w:p>
        </w:tc>
        <w:tc>
          <w:tcPr>
            <w:tcW w:w="1780" w:type="dxa"/>
            <w:vAlign w:val="bottom"/>
            <w:tcBorders>
              <w:right w:val="single" w:sz="8" w:color="auto"/>
            </w:tcBorders>
          </w:tcPr>
          <w:p>
            <w:pPr>
              <w:spacing w:after="0"/>
              <w:rPr>
                <w:sz w:val="23"/>
                <w:szCs w:val="23"/>
                <w:color w:val="auto"/>
              </w:rPr>
            </w:pPr>
          </w:p>
        </w:tc>
        <w:tc>
          <w:tcPr>
            <w:tcW w:w="1800" w:type="dxa"/>
            <w:vAlign w:val="bottom"/>
            <w:tcBorders>
              <w:right w:val="single" w:sz="8" w:color="auto"/>
            </w:tcBorders>
          </w:tcPr>
          <w:p>
            <w:pPr>
              <w:jc w:val="right"/>
              <w:ind w:right="732"/>
              <w:spacing w:after="0" w:line="258" w:lineRule="exact"/>
              <w:rPr>
                <w:sz w:val="20"/>
                <w:szCs w:val="20"/>
                <w:color w:val="auto"/>
              </w:rPr>
            </w:pPr>
            <w:r>
              <w:rPr>
                <w:rFonts w:ascii="Calibri" w:cs="Calibri" w:eastAsia="Calibri" w:hAnsi="Calibri"/>
                <w:sz w:val="22"/>
                <w:szCs w:val="22"/>
                <w:color w:val="auto"/>
              </w:rPr>
              <w:t>[___]</w:t>
            </w:r>
          </w:p>
        </w:tc>
        <w:tc>
          <w:tcPr>
            <w:tcW w:w="1800" w:type="dxa"/>
            <w:vAlign w:val="bottom"/>
            <w:tcBorders>
              <w:right w:val="single" w:sz="8" w:color="auto"/>
            </w:tcBorders>
          </w:tcPr>
          <w:p>
            <w:pPr>
              <w:jc w:val="right"/>
              <w:ind w:right="572"/>
              <w:spacing w:after="0"/>
              <w:rPr>
                <w:sz w:val="20"/>
                <w:szCs w:val="20"/>
                <w:color w:val="auto"/>
              </w:rPr>
            </w:pPr>
            <w:r>
              <w:rPr>
                <w:rFonts w:ascii="Calibri" w:cs="Calibri" w:eastAsia="Calibri" w:hAnsi="Calibri"/>
                <w:sz w:val="22"/>
                <w:szCs w:val="22"/>
                <w:color w:val="auto"/>
              </w:rPr>
              <w:t>[___]</w:t>
            </w:r>
          </w:p>
        </w:tc>
        <w:tc>
          <w:tcPr>
            <w:tcW w:w="1800" w:type="dxa"/>
            <w:vAlign w:val="bottom"/>
            <w:tcBorders>
              <w:right w:val="single" w:sz="8" w:color="auto"/>
            </w:tcBorders>
          </w:tcPr>
          <w:p>
            <w:pPr>
              <w:ind w:left="660"/>
              <w:spacing w:after="0"/>
              <w:rPr>
                <w:sz w:val="20"/>
                <w:szCs w:val="20"/>
                <w:color w:val="auto"/>
              </w:rPr>
            </w:pPr>
            <w:r>
              <w:rPr>
                <w:rFonts w:ascii="Calibri" w:cs="Calibri" w:eastAsia="Calibri" w:hAnsi="Calibri"/>
                <w:sz w:val="22"/>
                <w:szCs w:val="22"/>
                <w:color w:val="auto"/>
              </w:rPr>
              <w:t>[___]</w:t>
            </w:r>
          </w:p>
        </w:tc>
      </w:tr>
      <w:tr>
        <w:trPr>
          <w:trHeight w:val="56"/>
        </w:trPr>
        <w:tc>
          <w:tcPr>
            <w:tcW w:w="202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r>
      <w:tr>
        <w:trPr>
          <w:trHeight w:val="285"/>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Metric 1</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x%</w:t>
            </w: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r>
        <w:trPr>
          <w:trHeight w:val="290"/>
        </w:trPr>
        <w:tc>
          <w:tcPr>
            <w:tcW w:w="20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Metric 2</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x%</w:t>
            </w: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r>
    </w:tbl>
    <w:p>
      <w:pPr>
        <w:spacing w:after="0" w:line="171" w:lineRule="exact"/>
        <w:rPr>
          <w:sz w:val="20"/>
          <w:szCs w:val="20"/>
          <w:color w:val="auto"/>
        </w:rPr>
      </w:pPr>
    </w:p>
    <w:p>
      <w:pPr>
        <w:jc w:val="both"/>
        <w:ind w:left="66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Note 1: </w:t>
      </w:r>
      <w:r>
        <w:rPr>
          <w:rFonts w:ascii="Times New Roman" w:cs="Times New Roman" w:eastAsia="Times New Roman" w:hAnsi="Times New Roman"/>
          <w:sz w:val="22"/>
          <w:szCs w:val="22"/>
          <w:color w:val="auto"/>
        </w:rPr>
        <w:t>Performance goals may be adjusted as applicable over the performance period (subject to the Compensation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Organization Committee approval) to account for material acquisitions, new or expanded JVs, divestitures and certain other pre-defined events</w:t>
      </w:r>
    </w:p>
    <w:p>
      <w:pPr>
        <w:spacing w:after="0" w:line="53" w:lineRule="exact"/>
        <w:rPr>
          <w:sz w:val="20"/>
          <w:szCs w:val="20"/>
          <w:color w:val="auto"/>
        </w:rPr>
      </w:pPr>
    </w:p>
    <w:p>
      <w:pPr>
        <w:jc w:val="both"/>
        <w:ind w:left="660" w:right="20"/>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22"/>
          <w:szCs w:val="22"/>
          <w:color w:val="auto"/>
        </w:rPr>
        <w:t>If actual performance is below the Minimum performance level indicated for each metric, no Performance Units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be achieved.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Metric 1 Definition: [insert metric definition]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Metric 2 Definition: [insert metric definition]</w:t>
      </w:r>
    </w:p>
    <w:p>
      <w:pPr>
        <w:spacing w:after="0" w:line="243" w:lineRule="exact"/>
        <w:rPr>
          <w:sz w:val="20"/>
          <w:szCs w:val="20"/>
          <w:color w:val="auto"/>
        </w:rPr>
      </w:pPr>
    </w:p>
    <w:p>
      <w:pPr>
        <w:ind w:right="3000"/>
        <w:spacing w:after="0" w:line="272" w:lineRule="auto"/>
        <w:rPr>
          <w:sz w:val="20"/>
          <w:szCs w:val="20"/>
          <w:color w:val="auto"/>
        </w:rPr>
      </w:pPr>
      <w:r>
        <w:rPr>
          <w:rFonts w:ascii="Times New Roman" w:cs="Times New Roman" w:eastAsia="Times New Roman" w:hAnsi="Times New Roman"/>
          <w:sz w:val="22"/>
          <w:szCs w:val="22"/>
          <w:i w:val="1"/>
          <w:iCs w:val="1"/>
          <w:color w:val="auto"/>
        </w:rPr>
        <w:t>Note: Actual award agreements issued in connection with any grant will reflect one or more performance metrics subject to the Compensation and Organization Committee approval of the applicable performance criteria.</w:t>
      </w:r>
    </w:p>
    <w:p>
      <w:pPr>
        <w:sectPr>
          <w:pgSz w:w="11900" w:h="16838" w:orient="portrait"/>
          <w:cols w:equalWidth="0" w:num="1">
            <w:col w:w="11240"/>
          </w:cols>
          <w:pgMar w:left="320" w:top="1418"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 AND INDIRECT SUBSIDIARIES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3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Directly owned subsidiaries, as of December 30, 2023, are located at the left margin, each subsidiary tier thereunder is indented. Subsidiaries are listed under the names of their respective parent entities. Unless otherwise noted, the subsidiaries are wholly-owned.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r>
      <w:tr>
        <w:trPr>
          <w:trHeight w:val="238"/>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FORMATION</w:t>
            </w:r>
          </w:p>
        </w:tc>
      </w:tr>
      <w:tr>
        <w:trPr>
          <w:trHeight w:val="27"/>
        </w:trPr>
        <w:tc>
          <w:tcPr>
            <w:tcW w:w="82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1868 Ventures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Swiss Farms Products,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Global Services,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6"/>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Bonnie Plants, LLC</w:t>
            </w:r>
            <w:r>
              <w:rPr>
                <w:rFonts w:ascii="Times New Roman" w:cs="Times New Roman" w:eastAsia="Times New Roman" w:hAnsi="Times New Roman"/>
                <w:sz w:val="23"/>
                <w:szCs w:val="23"/>
                <w:color w:val="auto"/>
                <w:vertAlign w:val="superscript"/>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2"/>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Servicios, S.A. de C.V.</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73"/>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Tecnología &amp; Servicios S de R.L. de C.V.</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302"/>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Servicios, S.A. de C.V.2</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73"/>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Tecnología &amp; Servicios S de R.L. de C.V.</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 Growing Media,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Hyponex Corporation</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Rod McLellan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Hawthorne Gardening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Gardening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Gavita International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7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Hawthorne Lighting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Agrolux Canada Limited</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7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Agrolux Nederland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Hawthorne Canada Limited</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7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HGCI,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w:t>
      </w:r>
    </w:p>
    <w:p>
      <w:pPr>
        <w:ind w:left="120" w:hanging="94"/>
        <w:spacing w:after="0" w:line="236" w:lineRule="auto"/>
        <w:tabs>
          <w:tab w:leader="none" w:pos="120"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Live Goods Holdings, Inc.’s ownership is 50.0%.</w:t>
      </w:r>
    </w:p>
    <w:p>
      <w:pPr>
        <w:ind w:left="120" w:hanging="94"/>
        <w:spacing w:after="0" w:line="205" w:lineRule="auto"/>
        <w:tabs>
          <w:tab w:leader="none" w:pos="120" w:val="left"/>
        </w:tabs>
        <w:numPr>
          <w:ilvl w:val="0"/>
          <w:numId w:val="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Professional Products Co. owns 50% and Scotts Products Co. owns 50.0%.</w:t>
      </w:r>
    </w:p>
    <w:p>
      <w:pPr>
        <w:sectPr>
          <w:pgSz w:w="11900" w:h="16838" w:orient="portrait"/>
          <w:cols w:equalWidth="0" w:num="1">
            <w:col w:w="11240"/>
          </w:cols>
          <w:pgMar w:left="320" w:top="360" w:right="339" w:bottom="1440" w:gutter="0" w:footer="0" w:header="0"/>
        </w:sectPr>
      </w:pPr>
    </w:p>
    <w:bookmarkStart w:id="64" w:name="page65"/>
    <w:bookmarkEnd w:id="64"/>
    <w:tbl>
      <w:tblPr>
        <w:tblLayout w:type="fixed"/>
        <w:tblInd w:w="20" w:type="dxa"/>
        <w:tblCellMar>
          <w:top w:w="0" w:type="dxa"/>
          <w:left w:w="0" w:type="dxa"/>
          <w:bottom w:w="0" w:type="dxa"/>
          <w:right w:w="0" w:type="dxa"/>
        </w:tblCellMar>
      </w:tblPr>
      <w:tr>
        <w:trPr>
          <w:trHeight w:val="24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SMGM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Scotts-Sierra Investments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Sierra (China) Co., Ltd.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Canada Ltd.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Canada</w:t>
            </w:r>
          </w:p>
        </w:tc>
      </w:tr>
      <w:tr>
        <w:trPr>
          <w:trHeight w:val="302"/>
        </w:trPr>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Laketon Peat Moss Inc.</w:t>
            </w:r>
            <w:r>
              <w:rPr>
                <w:rFonts w:ascii="Times New Roman" w:cs="Times New Roman" w:eastAsia="Times New Roman" w:hAnsi="Times New Roman"/>
                <w:sz w:val="23"/>
                <w:szCs w:val="23"/>
                <w:color w:val="auto"/>
                <w:vertAlign w:val="superscript"/>
              </w:rPr>
              <w:t>3</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Canada</w:t>
            </w:r>
          </w:p>
        </w:tc>
      </w:tr>
      <w:tr>
        <w:trPr>
          <w:trHeight w:val="273"/>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de Mexico SA de CV</w:t>
            </w:r>
            <w:r>
              <w:rPr>
                <w:rFonts w:ascii="Times New Roman" w:cs="Times New Roman" w:eastAsia="Times New Roman" w:hAnsi="Times New Roman"/>
                <w:sz w:val="23"/>
                <w:szCs w:val="23"/>
                <w:color w:val="auto"/>
                <w:vertAlign w:val="superscript"/>
              </w:rPr>
              <w:t>4</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Mexico</w:t>
            </w:r>
          </w:p>
        </w:tc>
      </w:tr>
      <w:tr>
        <w:trPr>
          <w:trHeight w:val="234"/>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SMG Germany GmbH</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SMG Gardening (UK) Limited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Hawthorne Collective, Inc.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Scotts Company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r>
        <w:trPr>
          <w:trHeight w:val="33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Scotts Miracle-Gro Foundation</w:t>
            </w:r>
            <w:r>
              <w:rPr>
                <w:rFonts w:ascii="Times New Roman" w:cs="Times New Roman" w:eastAsia="Times New Roman" w:hAnsi="Times New Roman"/>
                <w:sz w:val="23"/>
                <w:szCs w:val="23"/>
                <w:color w:val="auto"/>
                <w:vertAlign w:val="superscript"/>
              </w:rPr>
              <w:t>5</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ind w:left="100" w:hanging="94"/>
        <w:spacing w:after="0" w:line="236" w:lineRule="auto"/>
        <w:tabs>
          <w:tab w:leader="none" w:pos="100" w:val="left"/>
        </w:tabs>
        <w:numPr>
          <w:ilvl w:val="0"/>
          <w:numId w:val="5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Canada Ltd.'s ownership is 50.0%.</w:t>
      </w:r>
    </w:p>
    <w:p>
      <w:pPr>
        <w:ind w:left="100" w:hanging="94"/>
        <w:spacing w:after="0" w:line="205" w:lineRule="auto"/>
        <w:tabs>
          <w:tab w:leader="none" w:pos="100" w:val="left"/>
        </w:tabs>
        <w:numPr>
          <w:ilvl w:val="0"/>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Scotts Company LLC owns 0.5% and Scotts-Sierra Investments LLC owns the remaining 99.5%.</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The Scotts Miracle-Gro Foundation is a 501(c)(3) corporation.</w:t>
      </w:r>
    </w:p>
    <w:p>
      <w:pPr>
        <w:sectPr>
          <w:pgSz w:w="11900" w:h="16838" w:orient="portrait"/>
          <w:cols w:equalWidth="0" w:num="1">
            <w:col w:w="10119"/>
          </w:cols>
          <w:pgMar w:left="340" w:top="931" w:right="1440"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The following subsidiaries of The Scotts Miracle-Gro Company (the "Company") were, as of December 30, 2023, guarantors of the Company's 5.250%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Senior Notes due 2026, 4.500% Senior Notes due 2029, 4.000% Senior Notes due 2031 and 4.375% Senior Notes due 2032: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7"/>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1868 Ventures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HGCI,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Hyponex Corporation</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Rod McLellan Company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Products Co.</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Scotts-Sierra Investments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 Growing Media,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SMGM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Swiss Farms Products,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Hawthorne Collective,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Hawthorne Gardening Company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Scotts Company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bl>
    <w:p>
      <w:pPr>
        <w:sectPr>
          <w:pgSz w:w="11900" w:h="16838" w:orient="portrait"/>
          <w:cols w:equalWidth="0" w:num="1">
            <w:col w:w="11240"/>
          </w:cols>
          <w:pgMar w:left="320" w:top="1413"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166"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fiscal quarter ended December 30, 2023;</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73" w:lineRule="auto"/>
        <w:tabs>
          <w:tab w:leader="none" w:pos="1134"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2024</w:t>
            </w:r>
          </w:p>
        </w:tc>
        <w:tc>
          <w:tcPr>
            <w:tcW w:w="56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JAMES HAGEDORN</w:t>
            </w:r>
          </w:p>
        </w:tc>
      </w:tr>
      <w:tr>
        <w:trPr>
          <w:trHeight w:val="218"/>
        </w:trPr>
        <w:tc>
          <w:tcPr>
            <w:tcW w:w="32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Printed Name: James Hagedorn</w:t>
            </w:r>
          </w:p>
        </w:tc>
      </w:tr>
      <w:tr>
        <w:trPr>
          <w:trHeight w:val="180"/>
        </w:trPr>
        <w:tc>
          <w:tcPr>
            <w:tcW w:w="3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60" w:type="dxa"/>
            <w:vAlign w:val="bottom"/>
          </w:tcPr>
          <w:p>
            <w:pPr>
              <w:ind w:left="160"/>
              <w:spacing w:after="0" w:line="181" w:lineRule="exact"/>
              <w:rPr>
                <w:sz w:val="20"/>
                <w:szCs w:val="20"/>
                <w:color w:val="auto"/>
              </w:rPr>
            </w:pPr>
            <w:r>
              <w:rPr>
                <w:rFonts w:ascii="Times New Roman" w:cs="Times New Roman" w:eastAsia="Times New Roman" w:hAnsi="Times New Roman"/>
                <w:sz w:val="18"/>
                <w:szCs w:val="18"/>
                <w:color w:val="auto"/>
              </w:rPr>
              <w:t>Title: Chairman of the Board, Chief Executive</w:t>
            </w:r>
          </w:p>
        </w:tc>
      </w:tr>
      <w:tr>
        <w:trPr>
          <w:trHeight w:val="234"/>
        </w:trPr>
        <w:tc>
          <w:tcPr>
            <w:tcW w:w="3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Officer &amp; President</w:t>
            </w:r>
          </w:p>
        </w:tc>
      </w:tr>
    </w:tbl>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E. Garth, certify that:</w:t>
      </w:r>
    </w:p>
    <w:p>
      <w:pPr>
        <w:spacing w:after="0" w:line="18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Scotts Miracle-Gro Company for the fiscal quarter ended December 30, 2023;</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82" w:lineRule="auto"/>
        <w:tabs>
          <w:tab w:leader="none" w:pos="113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7, 2024</w:t>
            </w:r>
          </w:p>
        </w:tc>
        <w:tc>
          <w:tcPr>
            <w:tcW w:w="20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 MATTHEW E. GARTH</w:t>
            </w:r>
          </w:p>
        </w:tc>
      </w:tr>
      <w:tr>
        <w:trPr>
          <w:trHeight w:val="218"/>
        </w:trPr>
        <w:tc>
          <w:tcPr>
            <w:tcW w:w="3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Printed Name: Matthew E. Garth</w:t>
            </w:r>
          </w:p>
        </w:tc>
      </w:tr>
      <w:tr>
        <w:trPr>
          <w:trHeight w:val="180"/>
        </w:trPr>
        <w:tc>
          <w:tcPr>
            <w:tcW w:w="33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1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Financial Officer &amp; Chief</w:t>
            </w:r>
          </w:p>
        </w:tc>
      </w:tr>
      <w:tr>
        <w:trPr>
          <w:trHeight w:val="234"/>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Administrative Officer</w:t>
            </w:r>
          </w:p>
        </w:tc>
      </w:tr>
    </w:tbl>
    <w:p>
      <w:pPr>
        <w:sectPr>
          <w:pgSz w:w="11900" w:h="16838" w:orient="portrait"/>
          <w:cols w:equalWidth="0" w:num="1">
            <w:col w:w="11240"/>
          </w:cols>
          <w:pgMar w:left="320" w:top="88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252"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The Scotts Miracle-Gro Company (the “Company”) for the fiscal quarter ended December 30, 2023 as filed with the Securities and Exchange Commission on the date hereof (the “Report”), the undersigned James Hagedorn, Chairman of the Board, Chief Executive Officer &amp; President of the Company, and Matthew E. Garth, Executive Vice President, Chief Financial Officer &amp; Chief Administrative Officer of the Company, certify, pursuant to Section 1350 of Chapter 63 of Title 18 of the United States Code, as adopted pursuant to Section 906 of the Sarbanes-Oxley Act of 2002, that, to the best of their knowledge:</w:t>
      </w:r>
    </w:p>
    <w:p>
      <w:pPr>
        <w:spacing w:after="0" w:line="143" w:lineRule="exact"/>
        <w:rPr>
          <w:sz w:val="20"/>
          <w:szCs w:val="20"/>
          <w:color w:val="auto"/>
        </w:rPr>
      </w:pPr>
    </w:p>
    <w:p>
      <w:pPr>
        <w:ind w:left="340" w:hanging="332"/>
        <w:spacing w:after="0"/>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3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 JAMES HAGEDORN</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 MATTHEW E. GARTH</w:t>
            </w:r>
          </w:p>
        </w:tc>
      </w:tr>
      <w:tr>
        <w:trPr>
          <w:trHeight w:val="218"/>
        </w:trPr>
        <w:tc>
          <w:tcPr>
            <w:tcW w:w="5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Printed Name: James Hagedorn</w:t>
            </w:r>
          </w:p>
        </w:tc>
        <w:tc>
          <w:tcPr>
            <w:tcW w:w="340" w:type="dxa"/>
            <w:vAlign w:val="bottom"/>
          </w:tcPr>
          <w:p>
            <w:pPr>
              <w:spacing w:after="0"/>
              <w:rPr>
                <w:sz w:val="18"/>
                <w:szCs w:val="18"/>
                <w:color w:val="auto"/>
              </w:rPr>
            </w:pPr>
          </w:p>
        </w:tc>
        <w:tc>
          <w:tcPr>
            <w:tcW w:w="51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Printed Name: Matthew E. Garth</w:t>
            </w:r>
          </w:p>
        </w:tc>
      </w:tr>
      <w:tr>
        <w:trPr>
          <w:trHeight w:val="180"/>
        </w:trPr>
        <w:tc>
          <w:tcPr>
            <w:tcW w:w="544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Title: Chairman of the Board, Chief Executive Officer &amp;</w:t>
            </w:r>
          </w:p>
        </w:tc>
        <w:tc>
          <w:tcPr>
            <w:tcW w:w="512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Financial Officer &amp; Chief</w:t>
            </w:r>
          </w:p>
        </w:tc>
      </w:tr>
      <w:tr>
        <w:trPr>
          <w:trHeight w:val="234"/>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President</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Officer</w:t>
            </w:r>
          </w:p>
        </w:tc>
      </w:tr>
      <w:tr>
        <w:trPr>
          <w:trHeight w:val="441"/>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February 7, 2024</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February 7, 2024</w:t>
            </w:r>
          </w:p>
        </w:tc>
      </w:tr>
    </w:tbl>
    <w:p>
      <w:pPr>
        <w:spacing w:after="0" w:line="292" w:lineRule="exact"/>
        <w:rPr>
          <w:sz w:val="20"/>
          <w:szCs w:val="20"/>
          <w:color w:val="auto"/>
        </w:rPr>
      </w:pPr>
    </w:p>
    <w:p>
      <w:pPr>
        <w:ind w:left="680" w:right="40" w:hanging="654"/>
        <w:spacing w:after="0" w:line="256" w:lineRule="auto"/>
        <w:tabs>
          <w:tab w:leader="none" w:pos="6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1)"/>
      <w:numFmt w:val="lowerRoman"/>
      <w:start w:val="3"/>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1"/>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21"/>
    </w:lvl>
  </w:abstractNum>
  <w:abstractNum w:abstractNumId="16">
    <w:nsid w:val="5C482A97"/>
    <w:multiLevelType w:val="hybridMultilevel"/>
    <w:lvl w:ilvl="0">
      <w:lvlJc w:val="left"/>
      <w:lvlText w:val="%1"/>
      <w:numFmt w:val="decimal"/>
      <w:start w:val="32"/>
    </w:lvl>
  </w:abstractNum>
  <w:abstractNum w:abstractNumId="17">
    <w:nsid w:val="2463B9EA"/>
    <w:multiLevelType w:val="hybridMultilevel"/>
    <w:lvl w:ilvl="0">
      <w:lvlJc w:val="left"/>
      <w:lvlText w:val="%1"/>
      <w:numFmt w:val="decimal"/>
      <w:start w:val="104"/>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1."/>
      <w:numFmt w:val="decimal"/>
      <w:start w:val="2"/>
    </w:lvl>
    <w:lvl w:ilvl="1">
      <w:lvlJc w:val="left"/>
      <w:lvlText w:val="(%2)"/>
      <w:numFmt w:val="lowerLetter"/>
      <w:start w:val="1"/>
    </w:lvl>
  </w:abstractNum>
  <w:abstractNum w:abstractNumId="20">
    <w:nsid w:val="2D51779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
    <w:nsid w:val="580BD78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385558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4">
    <w:nsid w:val="70A64E2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
    <w:nsid w:val="6A2342EC"/>
    <w:multiLevelType w:val="hybridMultilevel"/>
    <w:lvl w:ilvl="0">
      <w:lvlJc w:val="left"/>
      <w:lvlText w:val="(%1)"/>
      <w:numFmt w:val="lowerLetter"/>
      <w:start w:val="3"/>
    </w:lvl>
  </w:abstractNum>
  <w:abstractNum w:abstractNumId="26">
    <w:nsid w:val="2A487CB0"/>
    <w:multiLevelType w:val="hybridMultilevel"/>
    <w:lvl w:ilvl="0">
      <w:lvlJc w:val="left"/>
      <w:lvlText w:val="%1"/>
      <w:numFmt w:val="decimal"/>
      <w:start w:val="1"/>
    </w:lvl>
    <w:lvl w:ilvl="1">
      <w:lvlJc w:val="left"/>
      <w:lvlText w:val="(%2)"/>
      <w:numFmt w:val="lowerLetter"/>
      <w:start w:val="4"/>
    </w:lvl>
  </w:abstractNum>
  <w:abstractNum w:abstractNumId="27">
    <w:nsid w:val="1D4ED43B"/>
    <w:multiLevelType w:val="hybridMultilevel"/>
    <w:lvl w:ilvl="0">
      <w:lvlJc w:val="left"/>
      <w:lvlText w:val="%1."/>
      <w:numFmt w:val="decimal"/>
      <w:start w:val="7"/>
    </w:lvl>
    <w:lvl w:ilvl="1">
      <w:lvlJc w:val="left"/>
      <w:lvlText w:val="%2"/>
      <w:numFmt w:val="lowerLetter"/>
      <w:start w:val="1"/>
    </w:lvl>
  </w:abstractNum>
  <w:abstractNum w:abstractNumId="28">
    <w:nsid w:val="725A06FB"/>
    <w:multiLevelType w:val="hybridMultilevel"/>
    <w:lvl w:ilvl="0">
      <w:lvlJc w:val="left"/>
      <w:lvlText w:val="%1."/>
      <w:numFmt w:val="decimal"/>
      <w:start w:val="11"/>
    </w:lvl>
  </w:abstractNum>
  <w:abstractNum w:abstractNumId="29">
    <w:nsid w:val="2CD89A32"/>
    <w:multiLevelType w:val="hybridMultilevel"/>
    <w:lvl w:ilvl="0">
      <w:lvlJc w:val="left"/>
      <w:lvlText w:val="(%1)"/>
      <w:numFmt w:val="lowerLetter"/>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2"/>
    </w:lvl>
    <w:lvl w:ilvl="1">
      <w:lvlJc w:val="left"/>
      <w:lvlText w:val="(%2)"/>
      <w:numFmt w:val="lowerLetter"/>
      <w:start w:val="1"/>
    </w:lvl>
  </w:abstractNum>
  <w:abstractNum w:abstractNumId="32">
    <w:nsid w:val="4B588F5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3">
    <w:nsid w:val="542289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4">
    <w:nsid w:val="6DE91B18"/>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35">
    <w:nsid w:val="38437FD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6">
    <w:nsid w:val="7644A45C"/>
    <w:multiLevelType w:val="hybridMultilevel"/>
    <w:lvl w:ilvl="0">
      <w:lvlJc w:val="left"/>
      <w:lvlText w:val="%1"/>
      <w:numFmt w:val="decimal"/>
      <w:start w:val="1"/>
    </w:lvl>
    <w:lvl w:ilvl="1">
      <w:lvlJc w:val="left"/>
      <w:lvlText w:val="(%2)"/>
      <w:numFmt w:val="lowerRoman"/>
      <w:start w:val="5"/>
    </w:lvl>
  </w:abstractNum>
  <w:abstractNum w:abstractNumId="37">
    <w:nsid w:val="32FFF902"/>
    <w:multiLevelType w:val="hybridMultilevel"/>
    <w:lvl w:ilvl="0">
      <w:lvlJc w:val="left"/>
      <w:lvlText w:val="%1."/>
      <w:numFmt w:val="decimal"/>
      <w:start w:val="7"/>
    </w:lvl>
    <w:lvl w:ilvl="1">
      <w:lvlJc w:val="left"/>
      <w:lvlText w:val="%2"/>
      <w:numFmt w:val="lowerRoman"/>
      <w:start w:val="1"/>
    </w:lvl>
  </w:abstractNum>
  <w:abstractNum w:abstractNumId="38">
    <w:nsid w:val="684A481A"/>
    <w:multiLevelType w:val="hybridMultilevel"/>
    <w:lvl w:ilvl="0">
      <w:lvlJc w:val="left"/>
      <w:lvlText w:val="%1."/>
      <w:numFmt w:val="decimal"/>
      <w:start w:val="12"/>
    </w:lvl>
  </w:abstractNum>
  <w:abstractNum w:abstractNumId="39">
    <w:nsid w:val="579478FE"/>
    <w:multiLevelType w:val="hybridMultilevel"/>
    <w:lvl w:ilvl="0">
      <w:lvlJc w:val="left"/>
      <w:lvlText w:val="(%1)"/>
      <w:numFmt w:val="lowerLetter"/>
      <w:start w:val="1"/>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2"/>
    </w:lvl>
    <w:lvl w:ilvl="1">
      <w:lvlJc w:val="left"/>
      <w:lvlText w:val="(%2)"/>
      <w:numFmt w:val="lowerLetter"/>
      <w:start w:val="1"/>
    </w:lvl>
  </w:abstractNum>
  <w:abstractNum w:abstractNumId="42">
    <w:nsid w:val="1BA026F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3">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4">
    <w:nsid w:val="75C6C33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5">
    <w:nsid w:val="12E685FB"/>
    <w:multiLevelType w:val="hybridMultilevel"/>
    <w:lvl w:ilvl="0">
      <w:lvlJc w:val="left"/>
      <w:lvlText w:val="%1"/>
      <w:numFmt w:val="decimal"/>
      <w:start w:val="1"/>
    </w:lvl>
    <w:lvl w:ilvl="1">
      <w:lvlJc w:val="left"/>
      <w:lvlText w:val="(%2)"/>
      <w:numFmt w:val="lowerRoman"/>
      <w:start w:val="1"/>
    </w:lvl>
  </w:abstractNum>
  <w:abstractNum w:abstractNumId="46">
    <w:nsid w:val="70C6A529"/>
    <w:multiLevelType w:val="hybridMultilevel"/>
    <w:lvl w:ilvl="0">
      <w:lvlJc w:val="left"/>
      <w:lvlText w:val="%1."/>
      <w:numFmt w:val="decimal"/>
      <w:start w:val="6"/>
    </w:lvl>
    <w:lvl w:ilvl="1">
      <w:lvlJc w:val="left"/>
      <w:lvlText w:val="%2"/>
      <w:numFmt w:val="lowerRoman"/>
      <w:start w:val="1"/>
    </w:lvl>
  </w:abstractNum>
  <w:abstractNum w:abstractNumId="47">
    <w:nsid w:val="520EEDD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8">
    <w:nsid w:val="374A3FE6"/>
    <w:multiLevelType w:val="hybridMultilevel"/>
    <w:lvl w:ilvl="0">
      <w:lvlJc w:val="left"/>
      <w:lvlText w:val="%1."/>
      <w:numFmt w:val="decimal"/>
      <w:start w:val="8"/>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3"/>
    </w:lvl>
  </w:abstractNum>
  <w:abstractNum w:abstractNumId="51">
    <w:nsid w:val="649BB77C"/>
    <w:multiLevelType w:val="hybridMultilevel"/>
    <w:lvl w:ilvl="0">
      <w:lvlJc w:val="left"/>
      <w:lvlText w:val="1"/>
      <w:numFmt w:val="bullet"/>
      <w:start w:val="1"/>
    </w:lvl>
  </w:abstractNum>
  <w:abstractNum w:abstractNumId="52">
    <w:nsid w:val="275AC794"/>
    <w:multiLevelType w:val="hybridMultilevel"/>
    <w:lvl w:ilvl="0">
      <w:lvlJc w:val="left"/>
      <w:lvlText w:val="2"/>
      <w:numFmt w:val="bullet"/>
      <w:start w:val="1"/>
    </w:lvl>
  </w:abstractNum>
  <w:abstractNum w:abstractNumId="53">
    <w:nsid w:val="39386575"/>
    <w:multiLevelType w:val="hybridMultilevel"/>
    <w:lvl w:ilvl="0">
      <w:lvlJc w:val="left"/>
      <w:lvlText w:val="3"/>
      <w:numFmt w:val="bullet"/>
      <w:start w:val="1"/>
    </w:lvl>
  </w:abstractNum>
  <w:abstractNum w:abstractNumId="54">
    <w:nsid w:val="1CF10FD8"/>
    <w:multiLevelType w:val="hybridMultilevel"/>
    <w:lvl w:ilvl="0">
      <w:lvlJc w:val="left"/>
      <w:lvlText w:val="4"/>
      <w:numFmt w:val="bullet"/>
      <w:start w:val="1"/>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56" Type="http://schemas.openxmlformats.org/officeDocument/2006/relationships/hyperlink" Target="http://www.sec.gov/Archives/edgar/data/825542/000144398423000294/exhibit101-smg2023x10x068x.htm" TargetMode="External"/><Relationship Id="rId57" Type="http://schemas.openxmlformats.org/officeDocument/2006/relationships/hyperlink" Target="http://www.sec.gov/Archives/edgar/data/825542/000154638023000033/exhibit101smg20231101.htm" TargetMode="External"/><Relationship Id="rId58" Type="http://schemas.openxmlformats.org/officeDocument/2006/relationships/hyperlink" Target="http://www.sec.gov/Archives/edgar/data/825542/000154638023000033/exhibit102smg20231101.htm" TargetMode="External"/><Relationship Id="rId59" Type="http://schemas.openxmlformats.org/officeDocument/2006/relationships/hyperlink" Target="http://www.sec.gov/Archives/edgar/data/825542/000144398423000312/exhibit101-smg2023x11x168x.htm" TargetMode="External"/><Relationship Id="rId60" Type="http://schemas.openxmlformats.org/officeDocument/2006/relationships/hyperlink" Target="http://www.sec.gov/Archives/edgar/data/825542/000144398424000008/smg2024-01x248xkxexhibit101.htm" TargetMode="External"/><Relationship Id="rId61" Type="http://schemas.openxmlformats.org/officeDocument/2006/relationships/hyperlink" Target="http://www.sec.gov/Archives/edgar/data/825542/000144398424000008/smg2024-01x248xkxexhibit102.htm" TargetMode="External"/><Relationship Id="rId62" Type="http://schemas.openxmlformats.org/officeDocument/2006/relationships/hyperlink" Target="http://www.sec.gov/Archives/edgar/data/825542/000144398424000008/smg2024-01x248xkxexhibit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2024-02-07T15:22:30Z</dcterms:created>
  <dcterms:modified xsi:type="dcterms:W3CDTF">2024-02-07T15:22:30Z</dcterms:modified>
</cp:coreProperties>
</file>