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6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16" w:lineRule="exact"/>
        <w:rPr>
          <w:sz w:val="24"/>
          <w:szCs w:val="24"/>
          <w:color w:val="auto"/>
        </w:rPr>
      </w:pPr>
    </w:p>
    <w:p>
      <w:pPr>
        <w:ind w:left="820" w:right="1399" w:hanging="650"/>
        <w:spacing w:after="0" w:line="571" w:lineRule="auto"/>
        <w:tabs>
          <w:tab w:leader="none" w:pos="5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REPORT PURSUANT TO SECTION 15(d) OF THE SECURITIES EXCHANGE ACT OF 1934 FOR THE FISCAL YEAR ENDED DECEMBER 31, 2007</w:t>
      </w:r>
    </w:p>
    <w:p>
      <w:pPr>
        <w:sectPr>
          <w:pgSz w:w="11900" w:h="16838" w:orient="portrait"/>
          <w:cols w:equalWidth="0" w:num="1">
            <w:col w:w="10219"/>
          </w:cols>
          <w:pgMar w:left="240" w:top="473" w:right="1440" w:bottom="1440" w:gutter="0" w:footer="0" w:header="0"/>
        </w:sectPr>
      </w:pPr>
    </w:p>
    <w:p>
      <w:pPr>
        <w:spacing w:after="0" w:line="200" w:lineRule="exact"/>
        <w:rPr>
          <w:sz w:val="24"/>
          <w:szCs w:val="24"/>
          <w:color w:val="auto"/>
        </w:rPr>
      </w:pPr>
    </w:p>
    <w:p>
      <w:pPr>
        <w:spacing w:after="0" w:line="33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br w:type="column"/>
      </w:r>
    </w:p>
    <w:p>
      <w:pPr>
        <w:ind w:left="50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TRANSITION REPORT PURSUANT TO SECTION 15(d) OF THE SECURITIES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ACT OF 1934</w:t>
      </w:r>
    </w:p>
    <w:p>
      <w:pPr>
        <w:spacing w:after="0" w:line="200" w:lineRule="exact"/>
        <w:rPr>
          <w:sz w:val="24"/>
          <w:szCs w:val="24"/>
          <w:color w:val="auto"/>
        </w:rPr>
      </w:pPr>
    </w:p>
    <w:p>
      <w:pPr>
        <w:sectPr>
          <w:pgSz w:w="11900" w:h="16838" w:orient="portrait"/>
          <w:cols w:equalWidth="0" w:num="3">
            <w:col w:w="260" w:space="280"/>
            <w:col w:w="6420" w:space="580"/>
            <w:col w:w="2679"/>
          </w:cols>
          <w:pgMar w:left="240" w:top="473" w:right="1440" w:bottom="1440" w:gutter="0" w:footer="0" w:header="0"/>
          <w:type w:val="continuous"/>
        </w:sectPr>
      </w:pPr>
    </w:p>
    <w:p>
      <w:pPr>
        <w:spacing w:after="0" w:line="104"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 TO 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4768850</wp:posOffset>
            </wp:positionH>
            <wp:positionV relativeFrom="paragraph">
              <wp:posOffset>-5080</wp:posOffset>
            </wp:positionV>
            <wp:extent cx="28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FILE NUMBER 33-147397</w:t>
      </w:r>
    </w:p>
    <w:p>
      <w:pPr>
        <w:spacing w:after="0" w:line="31" w:lineRule="exact"/>
        <w:rPr>
          <w:sz w:val="24"/>
          <w:szCs w:val="24"/>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A.</w:t>
        <w:tab/>
        <w:t>Full title of the plan and the address of the plan, if different from that of the issuer named below:</w:t>
      </w:r>
    </w:p>
    <w:p>
      <w:pPr>
        <w:spacing w:after="0" w:line="315"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Smith &amp; Hawken 401(k) Plan and Trust</w:t>
      </w:r>
    </w:p>
    <w:p>
      <w:pPr>
        <w:spacing w:after="0" w:line="27"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4 Hamilton Landing</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Novato, California 94949</w:t>
      </w:r>
    </w:p>
    <w:p>
      <w:pPr>
        <w:spacing w:after="0" w:line="261" w:lineRule="exact"/>
        <w:rPr>
          <w:sz w:val="24"/>
          <w:szCs w:val="24"/>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B.</w:t>
        <w:tab/>
        <w:t>Name of issuer of the securities held pursuant to the plan and the address of its principal executive office:</w:t>
      </w:r>
    </w:p>
    <w:p>
      <w:pPr>
        <w:spacing w:after="0" w:line="33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14111 Scottslawn Road</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Marysville, Ohio 43041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73" w:right="1440" w:bottom="1440" w:gutter="0" w:footer="0" w:header="0"/>
          <w:type w:val="continuous"/>
        </w:sectPr>
      </w:pPr>
    </w:p>
    <w:bookmarkStart w:id="1" w:name="page2"/>
    <w:bookmarkEnd w:id="1"/>
    <w:p>
      <w:pPr>
        <w:ind w:left="4940"/>
        <w:spacing w:after="0"/>
        <w:rPr>
          <w:sz w:val="20"/>
          <w:szCs w:val="20"/>
          <w:color w:val="auto"/>
        </w:rPr>
      </w:pPr>
      <w:r>
        <w:rPr>
          <w:rFonts w:ascii="Times New Roman" w:cs="Times New Roman" w:eastAsia="Times New Roman" w:hAnsi="Times New Roman"/>
          <w:sz w:val="18"/>
          <w:szCs w:val="18"/>
          <w:color w:val="auto"/>
        </w:rPr>
        <w:t>REQUIRED INFORMATION</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financial statements and supplemental schedule for the Smith &amp; Hawken 401(k) Plan and Trust are being filed herewith:</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Audited Financial Statements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Statement of Net Assets Available for Benefits as of December 31, 2007 and 2006</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Statement of Changes in Net Assets Available for Benefits for the Years Ended December 31, 2007 and 2006</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Schedule: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 of Assets Held for Investment Purposes at End of Year</w:t>
      </w:r>
    </w:p>
    <w:p>
      <w:pPr>
        <w:spacing w:after="0" w:line="252" w:lineRule="exact"/>
        <w:rPr>
          <w:sz w:val="20"/>
          <w:szCs w:val="20"/>
          <w:color w:val="auto"/>
        </w:rPr>
      </w:pPr>
    </w:p>
    <w:p>
      <w:pPr>
        <w:ind w:left="660" w:right="700"/>
        <w:spacing w:after="0" w:line="282" w:lineRule="auto"/>
        <w:rPr>
          <w:sz w:val="20"/>
          <w:szCs w:val="20"/>
          <w:color w:val="auto"/>
        </w:rPr>
      </w:pPr>
      <w:r>
        <w:rPr>
          <w:rFonts w:ascii="Times New Roman" w:cs="Times New Roman" w:eastAsia="Times New Roman" w:hAnsi="Times New Roman"/>
          <w:sz w:val="18"/>
          <w:szCs w:val="18"/>
          <w:color w:val="auto"/>
        </w:rPr>
        <w:t>Note: Other supplemental schedules required by Section 252.103-10 of the Department of Labor’s Rules and Regulations for Reporting and Disclosure under ERISA have been omitted because they are 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being filed herewith:</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200" w:type="dxa"/>
            <w:vAlign w:val="bottom"/>
          </w:tcPr>
          <w:p>
            <w:pPr>
              <w:spacing w:after="0"/>
              <w:rPr>
                <w:sz w:val="20"/>
                <w:szCs w:val="20"/>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54"/>
        </w:trPr>
        <w:tc>
          <w:tcPr>
            <w:tcW w:w="10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220" w:type="dxa"/>
            <w:vAlign w:val="bottom"/>
            <w:tcBorders>
              <w:bottom w:val="single" w:sz="8" w:color="auto"/>
            </w:tcBorders>
          </w:tcPr>
          <w:p>
            <w:pPr>
              <w:spacing w:after="0"/>
              <w:rPr>
                <w:sz w:val="4"/>
                <w:szCs w:val="4"/>
                <w:color w:val="auto"/>
              </w:rPr>
            </w:pPr>
          </w:p>
        </w:tc>
      </w:tr>
      <w:tr>
        <w:trPr>
          <w:trHeight w:val="45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 - Meaden &amp; Moore, Ltd.</w:t>
            </w:r>
          </w:p>
        </w:tc>
      </w:tr>
      <w:tr>
        <w:trPr>
          <w:trHeight w:val="486"/>
        </w:trPr>
        <w:tc>
          <w:tcPr>
            <w:tcW w:w="1000" w:type="dxa"/>
            <w:vAlign w:val="bottom"/>
          </w:tcPr>
          <w:p>
            <w:pPr>
              <w:spacing w:after="0"/>
              <w:rPr>
                <w:sz w:val="24"/>
                <w:szCs w:val="24"/>
                <w:color w:val="auto"/>
              </w:rPr>
            </w:pPr>
          </w:p>
        </w:tc>
        <w:tc>
          <w:tcPr>
            <w:tcW w:w="10420" w:type="dxa"/>
            <w:vAlign w:val="bottom"/>
            <w:gridSpan w:val="2"/>
          </w:tcPr>
          <w:p>
            <w:pPr>
              <w:jc w:val="right"/>
              <w:ind w:right="5570"/>
              <w:spacing w:after="0"/>
              <w:rPr>
                <w:sz w:val="20"/>
                <w:szCs w:val="20"/>
                <w:color w:val="auto"/>
              </w:rPr>
            </w:pPr>
            <w:r>
              <w:rPr>
                <w:rFonts w:ascii="Times New Roman" w:cs="Times New Roman" w:eastAsia="Times New Roman" w:hAnsi="Times New Roman"/>
                <w:sz w:val="18"/>
                <w:szCs w:val="18"/>
                <w:color w:val="auto"/>
              </w:rPr>
              <w:t>2</w:t>
            </w:r>
          </w:p>
        </w:tc>
      </w:tr>
      <w:tr>
        <w:trPr>
          <w:trHeight w:val="118"/>
        </w:trPr>
        <w:tc>
          <w:tcPr>
            <w:tcW w:w="10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7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16" w:lineRule="exact"/>
        <w:rPr>
          <w:sz w:val="20"/>
          <w:szCs w:val="20"/>
          <w:color w:val="auto"/>
        </w:rPr>
      </w:pPr>
    </w:p>
    <w:p>
      <w:pPr>
        <w:spacing w:after="0"/>
        <w:tabs>
          <w:tab w:leader="none" w:pos="6220" w:val="left"/>
          <w:tab w:leader="none" w:pos="6640" w:val="left"/>
        </w:tabs>
        <w:rPr>
          <w:sz w:val="20"/>
          <w:szCs w:val="20"/>
          <w:color w:val="auto"/>
        </w:rPr>
      </w:pPr>
      <w:r>
        <w:rPr>
          <w:rFonts w:ascii="Times New Roman" w:cs="Times New Roman" w:eastAsia="Times New Roman" w:hAnsi="Times New Roman"/>
          <w:sz w:val="18"/>
          <w:szCs w:val="18"/>
          <w:color w:val="auto"/>
        </w:rPr>
        <w:t>Date: June 26, 2008</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C. EVANS</w:t>
      </w:r>
    </w:p>
    <w:p>
      <w:pPr>
        <w:spacing w:after="0" w:line="5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Printed Name: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-127635</wp:posOffset>
            </wp:positionV>
            <wp:extent cx="3018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5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Title: Executive Vice President and Chief</w:t>
      </w:r>
    </w:p>
    <w:p>
      <w:pPr>
        <w:spacing w:after="0" w:line="3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Financial Officer of The Scotts</w:t>
      </w:r>
    </w:p>
    <w:p>
      <w:pPr>
        <w:spacing w:after="0" w:line="3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Miracle-Gro Company</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98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THE SMITH &amp; HAWKEN 401(K) PLAND AND TRUST</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INDEX TO THE FINANCIAL STATEMENTS</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2007 and 2006</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14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42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9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4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9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Statement of Net Assets Available for Benefits</w:t>
            </w:r>
          </w:p>
        </w:tc>
        <w:tc>
          <w:tcPr>
            <w:tcW w:w="142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Statement of Changes in Net Assets Available for Benefits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142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rPr>
              <w:t>8 – 16</w:t>
            </w:r>
          </w:p>
        </w:tc>
        <w:tc>
          <w:tcPr>
            <w:tcW w:w="0" w:type="dxa"/>
            <w:vAlign w:val="bottom"/>
          </w:tcPr>
          <w:p>
            <w:pPr>
              <w:spacing w:after="0"/>
              <w:rPr>
                <w:sz w:val="1"/>
                <w:szCs w:val="1"/>
                <w:color w:val="auto"/>
              </w:rPr>
            </w:pPr>
          </w:p>
        </w:tc>
      </w:tr>
      <w:tr>
        <w:trPr>
          <w:trHeight w:val="243"/>
        </w:trPr>
        <w:tc>
          <w:tcPr>
            <w:tcW w:w="10000" w:type="dxa"/>
            <w:vAlign w:val="bottom"/>
            <w:gridSpan w:val="2"/>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14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9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Schedule of Assets Held for Investment Purposes at End of Year</w:t>
            </w:r>
          </w:p>
        </w:tc>
        <w:tc>
          <w:tcPr>
            <w:tcW w:w="142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980" w:hanging="639"/>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NOTE:</w:t>
        <w:tab/>
        <w:t>Other supplement schedules required by Section 252.103-10 of the Department of Labor’s Rules and Regulations for Reporting and Disclosure and ERISA have been omitted because they are not applicable.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or Plan Administrator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Smith &amp; Hawken 401(k) Plan &amp;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Novato, California</w:t>
      </w: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Statement of Net Assets Available for Benefits of the SMITH &amp; HAWKEN 401(k) PLAN &amp; TRUST as of December 31, 2007 and 2006 and the related Statement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2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net assets available for benefits of Smith &amp; Hawken 401(k) Plan &amp; Trust as of December 31, 2007 and 2006, and the changes in its net assets available for benefits for the years then ended, in conformity with accounting principles generally accepted in the United States of America.</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audits were performed for the purpose of forming an opinion on the financial statements taken as a whole. The accompanying supplemental schedule of assets (held at end of year) as of December 31, 2007, is presented for the purposes of additional analysis and is not a required part of the financial statements but is supplemental information required by the Department of Labor's Rules and Regulations for Reporting and Disclosure under the Employee Retirement Income Security Act of 1974. The suppplemental schedule is the responsibility of the Plan's management. The supplemental information has been subjected to the auditing procedures applied in our audits of the financial statements and, in our opinion, is fairly stated in all material respects in relation to the financial statements taken as a whole.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MEADEN &amp; MOORE,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 2008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20" w:type="dxa"/>
            <w:vAlign w:val="bottom"/>
          </w:tcPr>
          <w:p>
            <w:pPr>
              <w:jc w:val="center"/>
              <w:ind w:left="2970"/>
              <w:spacing w:after="0"/>
              <w:rPr>
                <w:sz w:val="20"/>
                <w:szCs w:val="20"/>
                <w:color w:val="auto"/>
              </w:rPr>
            </w:pPr>
            <w:r>
              <w:rPr>
                <w:rFonts w:ascii="Times New Roman" w:cs="Times New Roman" w:eastAsia="Times New Roman" w:hAnsi="Times New Roman"/>
                <w:sz w:val="18"/>
                <w:szCs w:val="18"/>
                <w:color w:val="auto"/>
                <w:w w:val="98"/>
              </w:rPr>
              <w:t>STATEMENT OF NET ASSETS AVAILABLE FOR BENEFITS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8320" w:type="dxa"/>
            <w:vAlign w:val="bottom"/>
          </w:tcPr>
          <w:p>
            <w:pPr>
              <w:jc w:val="center"/>
              <w:ind w:left="2970"/>
              <w:spacing w:after="0"/>
              <w:rPr>
                <w:sz w:val="20"/>
                <w:szCs w:val="20"/>
                <w:color w:val="auto"/>
              </w:rPr>
            </w:pPr>
            <w:r>
              <w:rPr>
                <w:rFonts w:ascii="Times New Roman" w:cs="Times New Roman" w:eastAsia="Times New Roman" w:hAnsi="Times New Roman"/>
                <w:sz w:val="18"/>
                <w:szCs w:val="18"/>
                <w:color w:val="auto"/>
                <w:w w:val="99"/>
              </w:rPr>
              <w:t>Smith &amp; Hawken</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20" w:type="dxa"/>
            <w:vAlign w:val="bottom"/>
          </w:tcPr>
          <w:p>
            <w:pPr>
              <w:jc w:val="center"/>
              <w:ind w:left="2970"/>
              <w:spacing w:after="0"/>
              <w:rPr>
                <w:sz w:val="20"/>
                <w:szCs w:val="20"/>
                <w:color w:val="auto"/>
              </w:rPr>
            </w:pPr>
            <w:r>
              <w:rPr>
                <w:rFonts w:ascii="Times New Roman" w:cs="Times New Roman" w:eastAsia="Times New Roman" w:hAnsi="Times New Roman"/>
                <w:sz w:val="18"/>
                <w:szCs w:val="18"/>
                <w:color w:val="auto"/>
              </w:rPr>
              <w:t>401(k) Plan and Trust</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December 31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1,059</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All/Bern Balanced A</w:t>
            </w:r>
          </w:p>
        </w:tc>
        <w:tc>
          <w:tcPr>
            <w:tcW w:w="30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526,556</w:t>
            </w: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463,029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Columbia Acorn A</w:t>
            </w: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567,188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515,445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Dreyfus S&amp;P 500 Index Fund</w:t>
            </w:r>
          </w:p>
        </w:tc>
        <w:tc>
          <w:tcPr>
            <w:tcW w:w="30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696,689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Fidelity Advisor Diversified International Fund</w:t>
            </w: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708,787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517,002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Fidelity Advisor Dividend Growth Fund</w:t>
            </w:r>
          </w:p>
        </w:tc>
        <w:tc>
          <w:tcPr>
            <w:tcW w:w="30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Fidelity Advisor International Small Cap T</w:t>
            </w: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453,127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337,410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Fidelity Advisor New Insights</w:t>
            </w:r>
          </w:p>
        </w:tc>
        <w:tc>
          <w:tcPr>
            <w:tcW w:w="30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1,004,839</w:t>
            </w: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816,028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Fidelity Advisor Stable Value</w:t>
            </w: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577,618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398,414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Fidelity Advisor Strategic Income Fund</w:t>
            </w:r>
          </w:p>
        </w:tc>
        <w:tc>
          <w:tcPr>
            <w:tcW w:w="30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665,235</w:t>
            </w: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503,217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JPM Intrepid America Fund</w:t>
            </w: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822,928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765,183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JPM Intrepid Value Fund</w:t>
            </w:r>
          </w:p>
        </w:tc>
        <w:tc>
          <w:tcPr>
            <w:tcW w:w="30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193,125</w:t>
            </w: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JPM Equity Index Fund</w:t>
            </w: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870,929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Robertson Stephens Partners</w:t>
            </w:r>
          </w:p>
        </w:tc>
        <w:tc>
          <w:tcPr>
            <w:tcW w:w="30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369,857</w:t>
            </w: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320,295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Scotts Company Common Shares</w:t>
            </w: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26,115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VK Comstock A</w:t>
            </w:r>
          </w:p>
        </w:tc>
        <w:tc>
          <w:tcPr>
            <w:tcW w:w="30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71,460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Participant Loans</w:t>
            </w: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76,346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62,248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440" w:type="dxa"/>
            <w:vAlign w:val="bottom"/>
            <w:tcBorders>
              <w:top w:val="single" w:sz="8" w:color="auto"/>
            </w:tcBorders>
            <w:shd w:val="clear" w:color="auto" w:fill="CCFFCC"/>
          </w:tcPr>
          <w:p>
            <w:pPr>
              <w:spacing w:after="0"/>
              <w:rPr>
                <w:sz w:val="20"/>
                <w:szCs w:val="20"/>
                <w:color w:val="auto"/>
              </w:rPr>
            </w:pPr>
          </w:p>
        </w:tc>
        <w:tc>
          <w:tcPr>
            <w:tcW w:w="9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6,862,666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5,469,331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440" w:type="dxa"/>
            <w:vAlign w:val="bottom"/>
            <w:tcBorders>
              <w:top w:val="single" w:sz="8" w:color="auto"/>
            </w:tcBorders>
            <w:shd w:val="clear" w:color="auto" w:fill="CCFFCC"/>
          </w:tcPr>
          <w:p>
            <w:pPr>
              <w:spacing w:after="0"/>
              <w:rPr>
                <w:sz w:val="20"/>
                <w:szCs w:val="20"/>
                <w:color w:val="auto"/>
              </w:rPr>
            </w:pPr>
          </w:p>
        </w:tc>
        <w:tc>
          <w:tcPr>
            <w:tcW w:w="9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6,863,725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5,482,550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3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440" w:type="dxa"/>
            <w:vAlign w:val="bottom"/>
            <w:tcBorders>
              <w:top w:val="single" w:sz="8" w:color="auto"/>
            </w:tcBorders>
            <w:shd w:val="clear" w:color="auto" w:fill="CCFFCC"/>
          </w:tcPr>
          <w:p>
            <w:pPr>
              <w:spacing w:after="0"/>
              <w:rPr>
                <w:sz w:val="20"/>
                <w:szCs w:val="20"/>
                <w:color w:val="auto"/>
              </w:rPr>
            </w:pPr>
          </w:p>
        </w:tc>
        <w:tc>
          <w:tcPr>
            <w:tcW w:w="9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Reflecting all Investments at Fair Value</w:t>
            </w: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6,863,725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5,482,550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3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 from fair value to contract value for the Fidelity Advisor Stable Value Fund, a fully benefit-</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responsive investment contract</w:t>
            </w:r>
          </w:p>
        </w:tc>
        <w:tc>
          <w:tcPr>
            <w:tcW w:w="30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2,296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440" w:type="dxa"/>
            <w:vAlign w:val="bottom"/>
            <w:tcBorders>
              <w:top w:val="single" w:sz="8" w:color="auto"/>
            </w:tcBorders>
            <w:shd w:val="clear" w:color="auto" w:fill="CCFFCC"/>
          </w:tcPr>
          <w:p>
            <w:pPr>
              <w:spacing w:after="0"/>
              <w:rPr>
                <w:sz w:val="20"/>
                <w:szCs w:val="20"/>
                <w:color w:val="auto"/>
              </w:rPr>
            </w:pPr>
          </w:p>
        </w:tc>
        <w:tc>
          <w:tcPr>
            <w:tcW w:w="9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6,866,021</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5,486,567</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340" w:type="dxa"/>
            <w:vAlign w:val="bottom"/>
            <w:gridSpan w:val="2"/>
          </w:tcPr>
          <w:p>
            <w:pPr>
              <w:jc w:val="center"/>
              <w:ind w:left="299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7"/>
          <w:szCs w:val="17"/>
          <w:color w:val="auto"/>
        </w:rPr>
        <w:t>STATEMENT OF CHANGES IN NET ASSETS AVAILABLE FOR BENEFITS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401(k) Plan and Trust</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 to Net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jc w:val="center"/>
        <w:ind w:right="5920"/>
        <w:spacing w:after="0"/>
        <w:rPr>
          <w:sz w:val="20"/>
          <w:szCs w:val="20"/>
          <w:color w:val="auto"/>
        </w:rPr>
      </w:pPr>
      <w:r>
        <w:rPr>
          <w:rFonts w:ascii="Times New Roman" w:cs="Times New Roman" w:eastAsia="Times New Roman" w:hAnsi="Times New Roman"/>
          <w:sz w:val="18"/>
          <w:szCs w:val="18"/>
          <w:color w:val="auto"/>
        </w:rPr>
        <w:t>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Employer</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Employee</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Rollover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and dividend income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Net unrealized/realized gain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27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70"/>
        </w:trPr>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23"/>
                <w:szCs w:val="23"/>
                <w:color w:val="auto"/>
              </w:rPr>
            </w:pPr>
          </w:p>
        </w:tc>
      </w:tr>
      <w:tr>
        <w:trPr>
          <w:trHeight w:val="723"/>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789,322</w:t>
            </w:r>
          </w:p>
        </w:tc>
        <w:tc>
          <w:tcPr>
            <w:tcW w:w="14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807,100</w:t>
            </w:r>
          </w:p>
        </w:tc>
      </w:tr>
      <w:tr>
        <w:trPr>
          <w:trHeight w:val="243"/>
        </w:trPr>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953,538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892,694</w:t>
            </w:r>
          </w:p>
        </w:tc>
      </w:tr>
      <w:tr>
        <w:trPr>
          <w:trHeight w:val="243"/>
        </w:trPr>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80,267</w:t>
            </w:r>
          </w:p>
        </w:tc>
        <w:tc>
          <w:tcPr>
            <w:tcW w:w="140" w:type="dxa"/>
            <w:vAlign w:val="bottom"/>
            <w:tcBorders>
              <w:bottom w:val="single" w:sz="8" w:color="CCFFCC"/>
            </w:tcBorders>
          </w:tcPr>
          <w:p>
            <w:pPr>
              <w:spacing w:after="0"/>
              <w:rPr>
                <w:sz w:val="21"/>
                <w:szCs w:val="21"/>
                <w:color w:val="auto"/>
              </w:rPr>
            </w:pPr>
          </w:p>
        </w:tc>
        <w:tc>
          <w:tcPr>
            <w:tcW w:w="80" w:type="dxa"/>
            <w:vAlign w:val="bottom"/>
            <w:tcBorders>
              <w:bottom w:val="single" w:sz="8" w:color="CCFFC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333,386</w:t>
            </w:r>
          </w:p>
        </w:tc>
        <w:tc>
          <w:tcPr>
            <w:tcW w:w="100" w:type="dxa"/>
            <w:vAlign w:val="bottom"/>
            <w:tcBorders>
              <w:bottom w:val="single" w:sz="8" w:color="CCFFCC"/>
            </w:tcBorders>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1,823,127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2,033,180</w:t>
            </w:r>
          </w:p>
        </w:tc>
      </w:tr>
      <w:tr>
        <w:trPr>
          <w:trHeight w:val="486"/>
        </w:trPr>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422,258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254,473</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(34,209)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255,063</w:t>
            </w:r>
          </w:p>
        </w:tc>
      </w:tr>
      <w:tr>
        <w:trPr>
          <w:trHeight w:val="20"/>
        </w:trPr>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364" w:right="2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60" w:type="dxa"/>
            <w:vAlign w:val="bottom"/>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Total Additions</w:t>
            </w:r>
          </w:p>
        </w:tc>
        <w:tc>
          <w:tcPr>
            <w:tcW w:w="398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2,211,176</w:t>
            </w: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2,542,716</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Deductions from Net Assets Attributed to:</w:t>
            </w:r>
          </w:p>
        </w:tc>
        <w:tc>
          <w:tcPr>
            <w:tcW w:w="398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3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808,856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587,883</w:t>
            </w:r>
          </w:p>
        </w:tc>
        <w:tc>
          <w:tcPr>
            <w:tcW w:w="0" w:type="dxa"/>
            <w:vAlign w:val="bottom"/>
          </w:tcPr>
          <w:p>
            <w:pPr>
              <w:spacing w:after="0"/>
              <w:rPr>
                <w:sz w:val="1"/>
                <w:szCs w:val="1"/>
                <w:color w:val="auto"/>
              </w:rPr>
            </w:pPr>
          </w:p>
        </w:tc>
      </w:tr>
      <w:tr>
        <w:trPr>
          <w:trHeight w:val="243"/>
        </w:trPr>
        <w:tc>
          <w:tcPr>
            <w:tcW w:w="4360" w:type="dxa"/>
            <w:vAlign w:val="bottom"/>
            <w:tcBorders>
              <w:bottom w:val="single" w:sz="8" w:color="CCFFCC"/>
            </w:tcBorders>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980" w:type="dxa"/>
            <w:vAlign w:val="bottom"/>
            <w:tcBorders>
              <w:bottom w:val="single" w:sz="8" w:color="CCFFCC"/>
            </w:tcBorders>
            <w:shd w:val="clear" w:color="auto" w:fill="CCFFCC"/>
          </w:tcPr>
          <w:p>
            <w:pPr>
              <w:spacing w:after="0"/>
              <w:rPr>
                <w:sz w:val="21"/>
                <w:szCs w:val="21"/>
                <w:color w:val="auto"/>
              </w:rPr>
            </w:pPr>
          </w:p>
        </w:tc>
        <w:tc>
          <w:tcPr>
            <w:tcW w:w="38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22,866</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8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11,022</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Total Deductions</w:t>
            </w:r>
          </w:p>
        </w:tc>
        <w:tc>
          <w:tcPr>
            <w:tcW w:w="398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831,722</w:t>
            </w: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598,905</w:t>
            </w:r>
          </w:p>
        </w:tc>
        <w:tc>
          <w:tcPr>
            <w:tcW w:w="0" w:type="dxa"/>
            <w:vAlign w:val="bottom"/>
          </w:tcPr>
          <w:p>
            <w:pPr>
              <w:spacing w:after="0"/>
              <w:rPr>
                <w:sz w:val="1"/>
                <w:szCs w:val="1"/>
                <w:color w:val="auto"/>
              </w:rPr>
            </w:pPr>
          </w:p>
        </w:tc>
      </w:tr>
      <w:tr>
        <w:trPr>
          <w:trHeight w:val="237"/>
        </w:trPr>
        <w:tc>
          <w:tcPr>
            <w:tcW w:w="4360" w:type="dxa"/>
            <w:vAlign w:val="bottom"/>
            <w:tcBorders>
              <w:top w:val="single" w:sz="8" w:color="CCFFCC"/>
            </w:tcBorders>
          </w:tcPr>
          <w:p>
            <w:pPr>
              <w:spacing w:after="0"/>
              <w:rPr>
                <w:sz w:val="20"/>
                <w:szCs w:val="20"/>
                <w:color w:val="auto"/>
              </w:rPr>
            </w:pPr>
          </w:p>
        </w:tc>
        <w:tc>
          <w:tcPr>
            <w:tcW w:w="3980" w:type="dxa"/>
            <w:vAlign w:val="bottom"/>
            <w:tcBorders>
              <w:top w:val="single" w:sz="8" w:color="CCFFC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Net Increase</w:t>
            </w:r>
          </w:p>
        </w:tc>
        <w:tc>
          <w:tcPr>
            <w:tcW w:w="398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1,379,454</w:t>
            </w: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1,943,811</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98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Beginning of Year</w:t>
            </w:r>
          </w:p>
        </w:tc>
        <w:tc>
          <w:tcPr>
            <w:tcW w:w="3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5,486,567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3,542,756</w:t>
            </w:r>
          </w:p>
        </w:tc>
        <w:tc>
          <w:tcPr>
            <w:tcW w:w="0" w:type="dxa"/>
            <w:vAlign w:val="bottom"/>
          </w:tcPr>
          <w:p>
            <w:pPr>
              <w:spacing w:after="0"/>
              <w:rPr>
                <w:sz w:val="1"/>
                <w:szCs w:val="1"/>
                <w:color w:val="auto"/>
              </w:rPr>
            </w:pPr>
          </w:p>
        </w:tc>
      </w:tr>
      <w:tr>
        <w:trPr>
          <w:trHeight w:val="237"/>
        </w:trPr>
        <w:tc>
          <w:tcPr>
            <w:tcW w:w="4360" w:type="dxa"/>
            <w:vAlign w:val="bottom"/>
            <w:shd w:val="clear" w:color="auto" w:fill="CCFFCC"/>
          </w:tcPr>
          <w:p>
            <w:pPr>
              <w:spacing w:after="0"/>
              <w:rPr>
                <w:sz w:val="20"/>
                <w:szCs w:val="20"/>
                <w:color w:val="auto"/>
              </w:rPr>
            </w:pPr>
          </w:p>
        </w:tc>
        <w:tc>
          <w:tcPr>
            <w:tcW w:w="3980" w:type="dxa"/>
            <w:vAlign w:val="bottom"/>
            <w:shd w:val="clear" w:color="auto" w:fill="CCFFCC"/>
          </w:tcPr>
          <w:p>
            <w:pPr>
              <w:spacing w:after="0"/>
              <w:rPr>
                <w:sz w:val="20"/>
                <w:szCs w:val="20"/>
                <w:color w:val="auto"/>
              </w:rPr>
            </w:pPr>
          </w:p>
        </w:tc>
        <w:tc>
          <w:tcPr>
            <w:tcW w:w="380" w:type="dxa"/>
            <w:vAlign w:val="bottom"/>
            <w:tcBorders>
              <w:top w:val="single" w:sz="8" w:color="auto"/>
            </w:tcBorders>
            <w:shd w:val="clear" w:color="auto" w:fill="CCFFCC"/>
          </w:tcPr>
          <w:p>
            <w:pPr>
              <w:spacing w:after="0"/>
              <w:rPr>
                <w:sz w:val="20"/>
                <w:szCs w:val="20"/>
                <w:color w:val="auto"/>
              </w:rPr>
            </w:pPr>
          </w:p>
        </w:tc>
        <w:tc>
          <w:tcPr>
            <w:tcW w:w="10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80" w:type="dxa"/>
            <w:vAlign w:val="bottom"/>
            <w:tcBorders>
              <w:top w:val="single" w:sz="8" w:color="auto"/>
            </w:tcBorders>
            <w:shd w:val="clear" w:color="auto" w:fill="CCFFCC"/>
          </w:tcPr>
          <w:p>
            <w:pPr>
              <w:spacing w:after="0"/>
              <w:rPr>
                <w:sz w:val="20"/>
                <w:szCs w:val="20"/>
                <w:color w:val="auto"/>
              </w:rPr>
            </w:pPr>
          </w:p>
        </w:tc>
        <w:tc>
          <w:tcPr>
            <w:tcW w:w="10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End of Year</w:t>
            </w:r>
          </w:p>
        </w:tc>
        <w:tc>
          <w:tcPr>
            <w:tcW w:w="4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6,866,021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5,486,567</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tc>
        <w:tc>
          <w:tcPr>
            <w:tcW w:w="3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60" w:type="dxa"/>
            <w:vAlign w:val="bottom"/>
            <w:vMerge w:val="continue"/>
          </w:tcPr>
          <w:p>
            <w:pPr>
              <w:spacing w:after="0"/>
              <w:rPr>
                <w:sz w:val="24"/>
                <w:szCs w:val="24"/>
                <w:color w:val="auto"/>
              </w:rPr>
            </w:pPr>
          </w:p>
        </w:tc>
        <w:tc>
          <w:tcPr>
            <w:tcW w:w="3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60" w:type="dxa"/>
            <w:vAlign w:val="bottom"/>
          </w:tcPr>
          <w:p>
            <w:pPr>
              <w:spacing w:after="0"/>
              <w:rPr>
                <w:sz w:val="24"/>
                <w:szCs w:val="24"/>
                <w:color w:val="auto"/>
              </w:rPr>
            </w:pPr>
          </w:p>
        </w:tc>
        <w:tc>
          <w:tcPr>
            <w:tcW w:w="398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360" w:type="dxa"/>
            <w:vAlign w:val="bottom"/>
            <w:tcBorders>
              <w:bottom w:val="single" w:sz="8" w:color="808080"/>
            </w:tcBorders>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7" w:name="page8"/>
    <w:bookmarkEnd w:id="7"/>
    <w:p>
      <w:pPr>
        <w:jc w:val="center"/>
        <w:ind w:right="-11"/>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401(k) Plan and Trust</w:t>
      </w:r>
    </w:p>
    <w:p>
      <w:pPr>
        <w:spacing w:after="0" w:line="257" w:lineRule="exact"/>
        <w:rPr>
          <w:sz w:val="20"/>
          <w:szCs w:val="20"/>
          <w:color w:val="auto"/>
        </w:rPr>
      </w:pPr>
    </w:p>
    <w:p>
      <w:pPr>
        <w:ind w:left="652" w:hanging="652"/>
        <w:spacing w:after="0"/>
        <w:tabs>
          <w:tab w:leader="none" w:pos="652"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Plan</w:t>
      </w:r>
    </w:p>
    <w:p>
      <w:pPr>
        <w:spacing w:after="0" w:line="283" w:lineRule="exact"/>
        <w:rPr>
          <w:rFonts w:ascii="Times New Roman" w:cs="Times New Roman" w:eastAsia="Times New Roman" w:hAnsi="Times New Roman"/>
          <w:sz w:val="18"/>
          <w:szCs w:val="18"/>
          <w:b w:val="1"/>
          <w:bCs w:val="1"/>
          <w:color w:val="auto"/>
        </w:rPr>
      </w:pPr>
    </w:p>
    <w:p>
      <w:pPr>
        <w:ind w:left="652"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description of The Smith &amp; Hawken 401(k) Plan (the "Plan") provides only general information. Participants should refer to the Plan document for a complete description of the Plan's provisions.</w:t>
      </w:r>
    </w:p>
    <w:p>
      <w:pPr>
        <w:spacing w:after="0" w:line="211"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General:</w:t>
      </w:r>
    </w:p>
    <w:p>
      <w:pPr>
        <w:spacing w:after="0" w:line="283" w:lineRule="exact"/>
        <w:rPr>
          <w:rFonts w:ascii="Times New Roman" w:cs="Times New Roman" w:eastAsia="Times New Roman" w:hAnsi="Times New Roman"/>
          <w:sz w:val="18"/>
          <w:szCs w:val="18"/>
          <w:b w:val="1"/>
          <w:bCs w:val="1"/>
          <w:color w:val="auto"/>
        </w:rPr>
      </w:pPr>
    </w:p>
    <w:p>
      <w:pPr>
        <w:ind w:left="652"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which began February 28, 1999, is a defined contribution plan covering all employees of Smith &amp; Hawken, Ltd. (the "Company") who meet the hour and age requirements. It is subject to the provisions of the Employee Retirement Income Security Act of 1974 (ERISA).</w:t>
      </w:r>
    </w:p>
    <w:p>
      <w:pPr>
        <w:spacing w:after="0" w:line="215" w:lineRule="exact"/>
        <w:rPr>
          <w:rFonts w:ascii="Times New Roman" w:cs="Times New Roman" w:eastAsia="Times New Roman" w:hAnsi="Times New Roman"/>
          <w:sz w:val="18"/>
          <w:szCs w:val="18"/>
          <w:b w:val="1"/>
          <w:bCs w:val="1"/>
          <w:color w:val="auto"/>
        </w:rPr>
      </w:pPr>
    </w:p>
    <w:p>
      <w:pPr>
        <w:ind w:left="652"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was amended and restated effective January 1, 2006, in order to satisfy the requirements of a “safe harbor” plan. The Plan was amended and restated effective January 23, 2003, for provisions stated in the Economic Growth and Tax Relief Reconciliation Act (EGTRRA).</w:t>
      </w:r>
    </w:p>
    <w:p>
      <w:pPr>
        <w:spacing w:after="0" w:line="211"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Eligibility:</w:t>
      </w:r>
    </w:p>
    <w:p>
      <w:pPr>
        <w:spacing w:after="0" w:line="283" w:lineRule="exact"/>
        <w:rPr>
          <w:rFonts w:ascii="Times New Roman" w:cs="Times New Roman" w:eastAsia="Times New Roman" w:hAnsi="Times New Roman"/>
          <w:sz w:val="18"/>
          <w:szCs w:val="18"/>
          <w:b w:val="1"/>
          <w:bCs w:val="1"/>
          <w:color w:val="auto"/>
        </w:rPr>
      </w:pPr>
    </w:p>
    <w:p>
      <w:pPr>
        <w:ind w:left="652"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employees of the Company age twenty-one and older, except nonresident aliens working outside the United States and temporary/leased employees, and who have completed two months of service in a twelve month period are eligible to participate in the Plan and to receive safe harbor matching contributions by the Company. Employees of the Company age twenty-one and older and who have completed 1,000 hours of service in a twelve month period are eligible to receive discretionary nonelective employer contributions.</w:t>
      </w:r>
    </w:p>
    <w:p>
      <w:pPr>
        <w:spacing w:after="0" w:line="230"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Employee Contributions:</w:t>
      </w:r>
    </w:p>
    <w:p>
      <w:pPr>
        <w:spacing w:after="0" w:line="283" w:lineRule="exact"/>
        <w:rPr>
          <w:rFonts w:ascii="Times New Roman" w:cs="Times New Roman" w:eastAsia="Times New Roman" w:hAnsi="Times New Roman"/>
          <w:sz w:val="18"/>
          <w:szCs w:val="18"/>
          <w:b w:val="1"/>
          <w:bCs w:val="1"/>
          <w:color w:val="auto"/>
        </w:rPr>
      </w:pPr>
    </w:p>
    <w:p>
      <w:pPr>
        <w:ind w:left="652"/>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participant may elect to contribute to the Plan, though salary deferrals, a minimum of 1% to a maximum 75% of their pretax annual compensation. Contributions are limited to the amounts defined by the Internal Revenue Code (IRC) and indexed annually for inflation. The Plan limits the salary deferral of a participant if the participant's annual contribution limitations are exceeded, as described by the IRC. The maximum pre-tax contributions for the years ended December 31, 2007 and 2006 were $15,500 and $15,000, respectively. The Plan also provides that participants who are projected to be age 50 or older by the end of the calendar year and who are making deferral contributions to the Plan may also make catch-up contributions of up to $5,000 during each of the years ended December 31, 2007 and 2006.</w:t>
      </w:r>
    </w:p>
    <w:p>
      <w:pPr>
        <w:spacing w:after="0" w:line="2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8" w:name="page9"/>
    <w:bookmarkEnd w:id="8"/>
    <w:p>
      <w:pPr>
        <w:jc w:val="center"/>
        <w:ind w:right="-11"/>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401(k) Plan and Trust</w:t>
      </w:r>
    </w:p>
    <w:p>
      <w:pPr>
        <w:spacing w:after="0" w:line="257" w:lineRule="exact"/>
        <w:rPr>
          <w:sz w:val="20"/>
          <w:szCs w:val="20"/>
          <w:color w:val="auto"/>
        </w:rPr>
      </w:pPr>
    </w:p>
    <w:p>
      <w:pPr>
        <w:ind w:left="652" w:right="8360" w:hanging="652"/>
        <w:spacing w:after="0" w:line="599" w:lineRule="auto"/>
        <w:tabs>
          <w:tab w:leader="none" w:pos="652"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Description of Plan, Continued </w:t>
      </w:r>
      <w:r>
        <w:rPr>
          <w:rFonts w:ascii="Times New Roman" w:cs="Times New Roman" w:eastAsia="Times New Roman" w:hAnsi="Times New Roman"/>
          <w:sz w:val="17"/>
          <w:szCs w:val="17"/>
          <w:b w:val="1"/>
          <w:bCs w:val="1"/>
          <w:i w:val="1"/>
          <w:iCs w:val="1"/>
          <w:color w:val="auto"/>
        </w:rPr>
        <w:t>Employer Contributions:</w:t>
      </w:r>
    </w:p>
    <w:p>
      <w:pPr>
        <w:ind w:left="652"/>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With the adoption of the 401(k) Safe-Harbor Provisions effective January 1, 2006, Company matching contributions were mandatory. For the year ended December 31, 2007 and 2006, the Company matched 100% of each participant’s contribution, up to the first 3% of covered compensation, plus 50% of the next 2% of covered compensation. At its discretion, the Company may make discretionary nonelective employer contributions to the Plan. The discretionary nonelective employer contributions were $304,069 and $356,566 for the years ended December 31, 2007 and 2006, respectively.</w:t>
      </w:r>
    </w:p>
    <w:p>
      <w:pPr>
        <w:spacing w:after="0" w:line="233" w:lineRule="exact"/>
        <w:rPr>
          <w:rFonts w:ascii="Times New Roman" w:cs="Times New Roman" w:eastAsia="Times New Roman" w:hAnsi="Times New Roman"/>
          <w:sz w:val="17"/>
          <w:szCs w:val="17"/>
          <w:b w:val="1"/>
          <w:bCs w:val="1"/>
          <w:color w:val="auto"/>
        </w:rPr>
      </w:pPr>
    </w:p>
    <w:p>
      <w:pPr>
        <w:ind w:left="65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Participants' Accounts:</w:t>
      </w:r>
    </w:p>
    <w:p>
      <w:pPr>
        <w:spacing w:after="0" w:line="283" w:lineRule="exact"/>
        <w:rPr>
          <w:rFonts w:ascii="Times New Roman" w:cs="Times New Roman" w:eastAsia="Times New Roman" w:hAnsi="Times New Roman"/>
          <w:sz w:val="17"/>
          <w:szCs w:val="17"/>
          <w:b w:val="1"/>
          <w:bCs w:val="1"/>
          <w:color w:val="auto"/>
        </w:rPr>
      </w:pPr>
    </w:p>
    <w:p>
      <w:pPr>
        <w:ind w:left="652" w:right="8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401(k) Accounts - Each participant's account is credited with the participant's elective contributions, employer matching contributions, earnings and losses thereon.</w:t>
      </w:r>
    </w:p>
    <w:p>
      <w:pPr>
        <w:spacing w:after="0" w:line="215" w:lineRule="exact"/>
        <w:rPr>
          <w:rFonts w:ascii="Times New Roman" w:cs="Times New Roman" w:eastAsia="Times New Roman" w:hAnsi="Times New Roman"/>
          <w:sz w:val="17"/>
          <w:szCs w:val="17"/>
          <w:b w:val="1"/>
          <w:bCs w:val="1"/>
          <w:color w:val="auto"/>
        </w:rPr>
      </w:pPr>
    </w:p>
    <w:p>
      <w:pPr>
        <w:ind w:left="65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Rollover contributions from other Plans are also accepted, providing certain specified conditions are met.</w:t>
      </w:r>
    </w:p>
    <w:p>
      <w:pPr>
        <w:spacing w:after="0" w:line="275" w:lineRule="exact"/>
        <w:rPr>
          <w:rFonts w:ascii="Times New Roman" w:cs="Times New Roman" w:eastAsia="Times New Roman" w:hAnsi="Times New Roman"/>
          <w:sz w:val="17"/>
          <w:szCs w:val="17"/>
          <w:b w:val="1"/>
          <w:bCs w:val="1"/>
          <w:color w:val="auto"/>
        </w:rPr>
      </w:pPr>
    </w:p>
    <w:p>
      <w:pPr>
        <w:ind w:left="65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Vesting:</w:t>
      </w:r>
    </w:p>
    <w:p>
      <w:pPr>
        <w:spacing w:after="0" w:line="283" w:lineRule="exact"/>
        <w:rPr>
          <w:rFonts w:ascii="Times New Roman" w:cs="Times New Roman" w:eastAsia="Times New Roman" w:hAnsi="Times New Roman"/>
          <w:sz w:val="17"/>
          <w:szCs w:val="17"/>
          <w:b w:val="1"/>
          <w:bCs w:val="1"/>
          <w:color w:val="auto"/>
        </w:rPr>
      </w:pPr>
    </w:p>
    <w:p>
      <w:pPr>
        <w:ind w:left="652" w:right="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the years ended December 31, 2007 and 2006, all participants are 100% vested in elective deferrals, rollover contributions, safe harbor matching contributions made by the Company, and any earnings thereon. Participants become 100% vested in the discretionary nonelective employer contributions after 3 years of service.</w:t>
      </w:r>
    </w:p>
    <w:p>
      <w:pPr>
        <w:spacing w:after="0" w:line="226" w:lineRule="exact"/>
        <w:rPr>
          <w:rFonts w:ascii="Times New Roman" w:cs="Times New Roman" w:eastAsia="Times New Roman" w:hAnsi="Times New Roman"/>
          <w:sz w:val="17"/>
          <w:szCs w:val="17"/>
          <w:b w:val="1"/>
          <w:bCs w:val="1"/>
          <w:color w:val="auto"/>
        </w:rPr>
      </w:pPr>
    </w:p>
    <w:p>
      <w:pPr>
        <w:ind w:left="65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Participants' Loans:</w:t>
      </w:r>
    </w:p>
    <w:p>
      <w:pPr>
        <w:spacing w:after="0" w:line="283" w:lineRule="exact"/>
        <w:rPr>
          <w:rFonts w:ascii="Times New Roman" w:cs="Times New Roman" w:eastAsia="Times New Roman" w:hAnsi="Times New Roman"/>
          <w:sz w:val="17"/>
          <w:szCs w:val="17"/>
          <w:b w:val="1"/>
          <w:bCs w:val="1"/>
          <w:color w:val="auto"/>
        </w:rPr>
      </w:pPr>
    </w:p>
    <w:p>
      <w:pPr>
        <w:ind w:left="652" w:right="1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Loans are permitted under certain circumstances and are subject to limitations. Participants may borrow from their account up to a maximum equal to the lesser of $50,000 or 50% of their account balance. Loans are repaid over a period not to exceed 5 years with exceptions for the purchase of a primary residence. The loans are secured by the balance in the participant's account and bear interest at rates established by Fidelity Management Trust Company. Principal and interest are paid ratably through monthly payroll deductions.</w:t>
      </w: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91" w:right="259" w:bottom="1440" w:gutter="0" w:footer="0" w:header="0"/>
        </w:sectPr>
      </w:pPr>
    </w:p>
    <w:bookmarkStart w:id="9" w:name="page10"/>
    <w:bookmarkEnd w:id="9"/>
    <w:p>
      <w:pPr>
        <w:jc w:val="center"/>
        <w:ind w:right="-151"/>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9"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18"/>
          <w:szCs w:val="18"/>
          <w:color w:val="auto"/>
        </w:rPr>
        <w:t>401(k) Plan and Trust</w:t>
      </w:r>
    </w:p>
    <w:p>
      <w:pPr>
        <w:spacing w:after="0" w:line="257" w:lineRule="exact"/>
        <w:rPr>
          <w:sz w:val="20"/>
          <w:szCs w:val="20"/>
          <w:color w:val="auto"/>
        </w:rPr>
      </w:pPr>
    </w:p>
    <w:p>
      <w:pPr>
        <w:ind w:left="652" w:right="8240" w:hanging="652"/>
        <w:spacing w:after="0" w:line="599" w:lineRule="auto"/>
        <w:tabs>
          <w:tab w:leader="none" w:pos="652"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Description of Plan, Continued </w:t>
      </w:r>
      <w:r>
        <w:rPr>
          <w:rFonts w:ascii="Times New Roman" w:cs="Times New Roman" w:eastAsia="Times New Roman" w:hAnsi="Times New Roman"/>
          <w:sz w:val="17"/>
          <w:szCs w:val="17"/>
          <w:b w:val="1"/>
          <w:bCs w:val="1"/>
          <w:i w:val="1"/>
          <w:iCs w:val="1"/>
          <w:color w:val="auto"/>
        </w:rPr>
        <w:t>Other Plan Provisions:</w:t>
      </w:r>
    </w:p>
    <w:p>
      <w:pPr>
        <w:ind w:left="652"/>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Normal retirement age is 65, however, a participant may elect early retirement on or after age 55. The Plan also provides for in-service withdrawals for active employees under certain circumstances.</w:t>
      </w:r>
    </w:p>
    <w:p>
      <w:pPr>
        <w:spacing w:after="0" w:line="211" w:lineRule="exact"/>
        <w:rPr>
          <w:rFonts w:ascii="Times New Roman" w:cs="Times New Roman" w:eastAsia="Times New Roman" w:hAnsi="Times New Roman"/>
          <w:sz w:val="17"/>
          <w:szCs w:val="17"/>
          <w:b w:val="1"/>
          <w:bCs w:val="1"/>
          <w:color w:val="auto"/>
        </w:rPr>
      </w:pPr>
    </w:p>
    <w:p>
      <w:pPr>
        <w:ind w:left="65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Payment of Benefits:</w:t>
      </w:r>
    </w:p>
    <w:p>
      <w:pPr>
        <w:spacing w:after="0" w:line="283" w:lineRule="exact"/>
        <w:rPr>
          <w:rFonts w:ascii="Times New Roman" w:cs="Times New Roman" w:eastAsia="Times New Roman" w:hAnsi="Times New Roman"/>
          <w:sz w:val="17"/>
          <w:szCs w:val="17"/>
          <w:b w:val="1"/>
          <w:bCs w:val="1"/>
          <w:color w:val="auto"/>
        </w:rPr>
      </w:pPr>
    </w:p>
    <w:p>
      <w:pPr>
        <w:ind w:left="652" w:right="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Upon termination of service by reason of retirement, death or total and permanent disability, a participant receives a lump sum amount equal to the vested value of his or her account.</w:t>
      </w:r>
    </w:p>
    <w:p>
      <w:pPr>
        <w:spacing w:after="0" w:line="211" w:lineRule="exact"/>
        <w:rPr>
          <w:rFonts w:ascii="Times New Roman" w:cs="Times New Roman" w:eastAsia="Times New Roman" w:hAnsi="Times New Roman"/>
          <w:sz w:val="17"/>
          <w:szCs w:val="17"/>
          <w:b w:val="1"/>
          <w:bCs w:val="1"/>
          <w:color w:val="auto"/>
        </w:rPr>
      </w:pPr>
    </w:p>
    <w:p>
      <w:pPr>
        <w:ind w:left="65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Hardship Withdrawals:</w:t>
      </w:r>
    </w:p>
    <w:p>
      <w:pPr>
        <w:spacing w:after="0" w:line="283" w:lineRule="exact"/>
        <w:rPr>
          <w:rFonts w:ascii="Times New Roman" w:cs="Times New Roman" w:eastAsia="Times New Roman" w:hAnsi="Times New Roman"/>
          <w:sz w:val="17"/>
          <w:szCs w:val="17"/>
          <w:b w:val="1"/>
          <w:bCs w:val="1"/>
          <w:color w:val="auto"/>
        </w:rPr>
      </w:pPr>
    </w:p>
    <w:p>
      <w:pPr>
        <w:ind w:left="65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Hardship withdrawals are permitted in accordance with Internal Revenue Service guidelines.</w:t>
      </w:r>
    </w:p>
    <w:p>
      <w:pPr>
        <w:spacing w:after="0" w:line="275" w:lineRule="exact"/>
        <w:rPr>
          <w:rFonts w:ascii="Times New Roman" w:cs="Times New Roman" w:eastAsia="Times New Roman" w:hAnsi="Times New Roman"/>
          <w:sz w:val="17"/>
          <w:szCs w:val="17"/>
          <w:b w:val="1"/>
          <w:bCs w:val="1"/>
          <w:color w:val="auto"/>
        </w:rPr>
      </w:pPr>
    </w:p>
    <w:p>
      <w:pPr>
        <w:ind w:left="65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Investment Options:</w:t>
      </w:r>
    </w:p>
    <w:p>
      <w:pPr>
        <w:spacing w:after="0" w:line="283" w:lineRule="exact"/>
        <w:rPr>
          <w:rFonts w:ascii="Times New Roman" w:cs="Times New Roman" w:eastAsia="Times New Roman" w:hAnsi="Times New Roman"/>
          <w:sz w:val="17"/>
          <w:szCs w:val="17"/>
          <w:b w:val="1"/>
          <w:bCs w:val="1"/>
          <w:color w:val="auto"/>
        </w:rPr>
      </w:pPr>
    </w:p>
    <w:p>
      <w:pPr>
        <w:ind w:left="65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Upon enrollment in the Plan, a participant may direct his or her contributions in any of the investment options offered by the Plan.</w:t>
      </w:r>
    </w:p>
    <w:p>
      <w:pPr>
        <w:spacing w:after="0" w:line="275" w:lineRule="exact"/>
        <w:rPr>
          <w:rFonts w:ascii="Times New Roman" w:cs="Times New Roman" w:eastAsia="Times New Roman" w:hAnsi="Times New Roman"/>
          <w:sz w:val="17"/>
          <w:szCs w:val="17"/>
          <w:b w:val="1"/>
          <w:bCs w:val="1"/>
          <w:color w:val="auto"/>
        </w:rPr>
      </w:pPr>
    </w:p>
    <w:p>
      <w:pPr>
        <w:ind w:left="65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Forfeitures:</w:t>
      </w:r>
    </w:p>
    <w:p>
      <w:pPr>
        <w:spacing w:after="0" w:line="283" w:lineRule="exact"/>
        <w:rPr>
          <w:sz w:val="20"/>
          <w:szCs w:val="20"/>
          <w:color w:val="auto"/>
        </w:rPr>
      </w:pPr>
    </w:p>
    <w:p>
      <w:pPr>
        <w:ind w:left="652" w:right="100"/>
        <w:spacing w:after="0" w:line="282" w:lineRule="auto"/>
        <w:rPr>
          <w:sz w:val="20"/>
          <w:szCs w:val="20"/>
          <w:color w:val="auto"/>
        </w:rPr>
      </w:pPr>
      <w:r>
        <w:rPr>
          <w:rFonts w:ascii="Times New Roman" w:cs="Times New Roman" w:eastAsia="Times New Roman" w:hAnsi="Times New Roman"/>
          <w:sz w:val="18"/>
          <w:szCs w:val="18"/>
          <w:color w:val="auto"/>
        </w:rPr>
        <w:t>The nonvested portions of participant account balances are forfeitable and used to reduce employer contributions to the plan. Forfeited non-vested accounts totaled $37,929 and $-0- as of December 31, 2007 and 2006, respectively.</w:t>
      </w:r>
    </w:p>
    <w:p>
      <w:pPr>
        <w:spacing w:after="0" w:line="189"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72"/>
          </w:cols>
          <w:pgMar w:left="248" w:top="391" w:right="379" w:bottom="1440" w:gutter="0" w:footer="0" w:header="0"/>
        </w:sectPr>
      </w:pPr>
    </w:p>
    <w:bookmarkStart w:id="10" w:name="page11"/>
    <w:bookmarkEnd w:id="10"/>
    <w:p>
      <w:pPr>
        <w:jc w:val="center"/>
        <w:ind w:right="-31"/>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401(k) Plan and Trust</w:t>
      </w:r>
    </w:p>
    <w:p>
      <w:pPr>
        <w:spacing w:after="0" w:line="230" w:lineRule="exact"/>
        <w:rPr>
          <w:sz w:val="20"/>
          <w:szCs w:val="20"/>
          <w:color w:val="auto"/>
        </w:rPr>
      </w:pPr>
    </w:p>
    <w:p>
      <w:pPr>
        <w:ind w:left="652" w:right="7340" w:hanging="652"/>
        <w:spacing w:after="0" w:line="566" w:lineRule="auto"/>
        <w:tabs>
          <w:tab w:leader="none" w:pos="65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Accounting:</w:t>
      </w: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Plan's transactions are reported on the accrual basis of accounting. The Plan’s investments are stated at fair value. Quoted market prices are used to value investments. Shares of mutual funds are valued at the net asset value of shares held by the Plan at year-end.</w:t>
      </w:r>
    </w:p>
    <w:p>
      <w:pPr>
        <w:spacing w:after="0" w:line="211"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Investments:</w:t>
      </w:r>
    </w:p>
    <w:p>
      <w:pPr>
        <w:spacing w:after="0" w:line="283" w:lineRule="exact"/>
        <w:rPr>
          <w:rFonts w:ascii="Times New Roman" w:cs="Times New Roman" w:eastAsia="Times New Roman" w:hAnsi="Times New Roman"/>
          <w:sz w:val="18"/>
          <w:szCs w:val="18"/>
          <w:b w:val="1"/>
          <w:bCs w:val="1"/>
          <w:color w:val="auto"/>
        </w:rPr>
      </w:pPr>
    </w:p>
    <w:p>
      <w:pPr>
        <w:jc w:val="both"/>
        <w:ind w:left="652" w:right="18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As described in Financial Accounting Standards Board Staff Position, FSP AAG INV-1 and SOP 94-4-1, "Reporting of Fully Benefit-Responsive Investment Contracts Held by Certain Investment Companies Subject to the AICPA Investment Company Guide and Defined-Contribution Health and Welfare and Pension Plans" (the "FSP"), investment contracts held by a defined-contribution plan are required to be reported at fair value.</w:t>
      </w:r>
    </w:p>
    <w:p>
      <w:pPr>
        <w:spacing w:after="0" w:line="1" w:lineRule="exact"/>
        <w:rPr>
          <w:rFonts w:ascii="Times New Roman" w:cs="Times New Roman" w:eastAsia="Times New Roman" w:hAnsi="Times New Roman"/>
          <w:sz w:val="18"/>
          <w:szCs w:val="18"/>
          <w:b w:val="1"/>
          <w:bCs w:val="1"/>
          <w:color w:val="auto"/>
        </w:rPr>
      </w:pPr>
    </w:p>
    <w:p>
      <w:pPr>
        <w:ind w:left="652" w:right="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However, contract value is the relevant measurement attribute for that portion of the net assets available for benefits of a defined-contribution plan attributable to fully benefit-responsive investment contracts because contract value is the amount participants would receive if they were to initiate permitted transactions under the terms of the Plan. As required by the FSP, the Statement of Net Assets Available for Benefits presents the fair value of the investment contracts as well as the adjustment of the Fidelity Advisor Stable Value Fund, a fully benefit-responsive investment contract from fair value to contract value. The Statement of Changes in Net Assets Available for Benefits is prepared on a contract value basis.</w:t>
      </w:r>
    </w:p>
    <w:p>
      <w:pPr>
        <w:spacing w:after="0" w:line="241"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equivalents include short-term investments with original term to maturity of 90 days or less. Cost approximates fair value.</w:t>
      </w:r>
    </w:p>
    <w:p>
      <w:pPr>
        <w:spacing w:after="0" w:line="279" w:lineRule="exact"/>
        <w:rPr>
          <w:rFonts w:ascii="Times New Roman" w:cs="Times New Roman" w:eastAsia="Times New Roman" w:hAnsi="Times New Roman"/>
          <w:sz w:val="18"/>
          <w:szCs w:val="18"/>
          <w:b w:val="1"/>
          <w:bCs w:val="1"/>
          <w:color w:val="auto"/>
        </w:rPr>
      </w:pPr>
    </w:p>
    <w:p>
      <w:pPr>
        <w:ind w:left="652"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presents in the statements of changes in net assets available for benefits the net appreciation (depreciation) in the fair value of its investments, which consists of the realized gains or losses and the unrealized appreciation (depreciation) on those investments. Gains and losses on sales of investments are based on the average cost method.</w:t>
      </w:r>
    </w:p>
    <w:p>
      <w:pPr>
        <w:spacing w:after="0" w:line="226"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283" w:lineRule="exact"/>
        <w:rPr>
          <w:sz w:val="20"/>
          <w:szCs w:val="20"/>
          <w:color w:val="auto"/>
        </w:rPr>
      </w:pPr>
    </w:p>
    <w:p>
      <w:pPr>
        <w:jc w:val="both"/>
        <w:ind w:left="652" w:right="26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Actual results could differ from those estimates.</w:t>
      </w:r>
    </w:p>
    <w:p>
      <w:pPr>
        <w:spacing w:after="0" w:line="23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368" w:right="2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 and Trust</w:t>
      </w:r>
    </w:p>
    <w:p>
      <w:pPr>
        <w:spacing w:after="0" w:line="257" w:lineRule="exact"/>
        <w:rPr>
          <w:sz w:val="20"/>
          <w:szCs w:val="20"/>
          <w:color w:val="auto"/>
        </w:rPr>
      </w:pPr>
    </w:p>
    <w:p>
      <w:pPr>
        <w:ind w:left="660" w:right="6480" w:hanging="652"/>
        <w:spacing w:after="0" w:line="566"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Payment of Benefits: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Benefits are recorded when paid.</w:t>
      </w:r>
    </w:p>
    <w:p>
      <w:pPr>
        <w:spacing w:after="0" w:line="2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Administrative Fees:</w:t>
      </w:r>
    </w:p>
    <w:p>
      <w:pPr>
        <w:spacing w:after="0" w:line="283" w:lineRule="exact"/>
        <w:rPr>
          <w:rFonts w:ascii="Times New Roman" w:cs="Times New Roman" w:eastAsia="Times New Roman" w:hAnsi="Times New Roman"/>
          <w:sz w:val="18"/>
          <w:szCs w:val="18"/>
          <w:b w:val="1"/>
          <w:bCs w:val="1"/>
          <w:color w:val="auto"/>
        </w:rPr>
      </w:pPr>
    </w:p>
    <w:p>
      <w:pPr>
        <w:ind w:left="66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fees and expenses of administering the Plan are paid by the Plan sponsor, except for fees relating to the investment management services of the Plan ($22,866 in 2007 and $11,022 in 2006).</w:t>
      </w:r>
    </w:p>
    <w:p>
      <w:pPr>
        <w:spacing w:after="0" w:line="21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83" w:lineRule="exact"/>
        <w:rPr>
          <w:sz w:val="20"/>
          <w:szCs w:val="20"/>
          <w:color w:val="auto"/>
        </w:rPr>
      </w:pPr>
    </w:p>
    <w:p>
      <w:pPr>
        <w:jc w:val="both"/>
        <w:ind w:left="660" w:right="140"/>
        <w:spacing w:after="0" w:line="261" w:lineRule="auto"/>
        <w:rPr>
          <w:sz w:val="20"/>
          <w:szCs w:val="20"/>
          <w:color w:val="auto"/>
        </w:rPr>
      </w:pPr>
      <w:r>
        <w:rPr>
          <w:rFonts w:ascii="Times New Roman" w:cs="Times New Roman" w:eastAsia="Times New Roman" w:hAnsi="Times New Roman"/>
          <w:sz w:val="18"/>
          <w:szCs w:val="18"/>
          <w:color w:val="auto"/>
        </w:rPr>
        <w:t>The Plan's investments include investments in mutual funds and collective funds holding investment contracts with varying degrees of risk,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the amounts reported in the statements of net assets available for plan benefits.</w:t>
      </w:r>
    </w:p>
    <w:p>
      <w:pPr>
        <w:spacing w:after="0" w:line="230"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83" w:lineRule="exact"/>
        <w:rPr>
          <w:rFonts w:ascii="Times New Roman" w:cs="Times New Roman" w:eastAsia="Times New Roman" w:hAnsi="Times New Roman"/>
          <w:sz w:val="18"/>
          <w:szCs w:val="18"/>
          <w:b w:val="1"/>
          <w:bCs w:val="1"/>
          <w:color w:val="auto"/>
        </w:rPr>
      </w:pPr>
    </w:p>
    <w:p>
      <w:pPr>
        <w:ind w:left="660" w:righ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Plan's funds are invested in the various stock, bond and cash investments through the Fidelity Trust Company. Investments which constitute more than 5% of the Plan's net assets are: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2007</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7"/>
        </w:trPr>
        <w:tc>
          <w:tcPr>
            <w:tcW w:w="1160" w:type="dxa"/>
            <w:vAlign w:val="bottom"/>
          </w:tcPr>
          <w:p>
            <w:pPr>
              <w:spacing w:after="0"/>
              <w:rPr>
                <w:sz w:val="20"/>
                <w:szCs w:val="20"/>
                <w:color w:val="auto"/>
              </w:rPr>
            </w:pPr>
          </w:p>
        </w:tc>
        <w:tc>
          <w:tcPr>
            <w:tcW w:w="3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All/Bern Balanced A</w:t>
            </w:r>
          </w:p>
        </w:tc>
        <w:tc>
          <w:tcPr>
            <w:tcW w:w="23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526,556</w:t>
            </w:r>
          </w:p>
        </w:tc>
        <w:tc>
          <w:tcPr>
            <w:tcW w:w="5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463,029</w:t>
            </w:r>
          </w:p>
        </w:tc>
        <w:tc>
          <w:tcPr>
            <w:tcW w:w="100" w:type="dxa"/>
            <w:vAlign w:val="bottom"/>
            <w:shd w:val="clear" w:color="auto" w:fill="CCFFCC"/>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51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Columbia Acorn A</w:t>
            </w:r>
          </w:p>
        </w:tc>
        <w:tc>
          <w:tcPr>
            <w:tcW w:w="2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567,188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515,445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Dreyfus S&amp;P 500 Index Fund</w:t>
            </w:r>
          </w:p>
        </w:tc>
        <w:tc>
          <w:tcPr>
            <w:tcW w:w="21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696,689</w:t>
            </w:r>
          </w:p>
        </w:tc>
        <w:tc>
          <w:tcPr>
            <w:tcW w:w="100" w:type="dxa"/>
            <w:vAlign w:val="bottom"/>
            <w:shd w:val="clear" w:color="auto" w:fill="CCFFCC"/>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1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Fidelity Advisor Diversified International Fund</w:t>
            </w:r>
          </w:p>
        </w:tc>
        <w:tc>
          <w:tcPr>
            <w:tcW w:w="2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708,787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517,002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Fidelity Advisor International Small Cap T</w:t>
            </w:r>
          </w:p>
        </w:tc>
        <w:tc>
          <w:tcPr>
            <w:tcW w:w="21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453,127</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337,410</w:t>
            </w:r>
          </w:p>
        </w:tc>
        <w:tc>
          <w:tcPr>
            <w:tcW w:w="100" w:type="dxa"/>
            <w:vAlign w:val="bottom"/>
            <w:shd w:val="clear" w:color="auto" w:fill="CCFFCC"/>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1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Fidelity Advisor New Insights</w:t>
            </w:r>
          </w:p>
        </w:tc>
        <w:tc>
          <w:tcPr>
            <w:tcW w:w="2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1,004,839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816,028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Fidelity Advisor Stable Value Fund</w:t>
            </w:r>
          </w:p>
        </w:tc>
        <w:tc>
          <w:tcPr>
            <w:tcW w:w="21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577,618</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398,414</w:t>
            </w:r>
          </w:p>
        </w:tc>
        <w:tc>
          <w:tcPr>
            <w:tcW w:w="100" w:type="dxa"/>
            <w:vAlign w:val="bottom"/>
            <w:shd w:val="clear" w:color="auto" w:fill="CCFFCC"/>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1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Fidelity Advisor Strategic Income Fund</w:t>
            </w:r>
          </w:p>
        </w:tc>
        <w:tc>
          <w:tcPr>
            <w:tcW w:w="2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665,235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503,217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JPM Intrepid America Fund</w:t>
            </w:r>
          </w:p>
        </w:tc>
        <w:tc>
          <w:tcPr>
            <w:tcW w:w="21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822,928</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765,183</w:t>
            </w:r>
          </w:p>
        </w:tc>
        <w:tc>
          <w:tcPr>
            <w:tcW w:w="100" w:type="dxa"/>
            <w:vAlign w:val="bottom"/>
            <w:shd w:val="clear" w:color="auto" w:fill="CCFFCC"/>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1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JPM Equity Index Fund</w:t>
            </w:r>
          </w:p>
        </w:tc>
        <w:tc>
          <w:tcPr>
            <w:tcW w:w="2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870,929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Robertson Stephens Partners</w:t>
            </w:r>
          </w:p>
        </w:tc>
        <w:tc>
          <w:tcPr>
            <w:tcW w:w="21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369,857</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320,295</w:t>
            </w:r>
          </w:p>
        </w:tc>
        <w:tc>
          <w:tcPr>
            <w:tcW w:w="100" w:type="dxa"/>
            <w:vAlign w:val="bottom"/>
            <w:shd w:val="clear" w:color="auto" w:fill="CCFFCC"/>
          </w:tcPr>
          <w:p>
            <w:pPr>
              <w:spacing w:after="0"/>
              <w:rPr>
                <w:sz w:val="21"/>
                <w:szCs w:val="21"/>
                <w:color w:val="auto"/>
              </w:rPr>
            </w:pPr>
          </w:p>
        </w:tc>
        <w:tc>
          <w:tcPr>
            <w:tcW w:w="1140" w:type="dxa"/>
            <w:vAlign w:val="bottom"/>
          </w:tcPr>
          <w:p>
            <w:pPr>
              <w:spacing w:after="0"/>
              <w:rPr>
                <w:sz w:val="21"/>
                <w:szCs w:val="21"/>
                <w:color w:val="auto"/>
              </w:rPr>
            </w:pPr>
          </w:p>
        </w:tc>
      </w:tr>
      <w:tr>
        <w:trPr>
          <w:trHeight w:val="486"/>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1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 w:name="page13"/>
    <w:bookmarkEnd w:id="12"/>
    <w:p>
      <w:pPr>
        <w:jc w:val="center"/>
        <w:ind w:right="-11"/>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401(k) Plan and Trust</w:t>
      </w:r>
    </w:p>
    <w:p>
      <w:pPr>
        <w:spacing w:after="0" w:line="257" w:lineRule="exact"/>
        <w:rPr>
          <w:sz w:val="20"/>
          <w:szCs w:val="20"/>
          <w:color w:val="auto"/>
        </w:rPr>
      </w:pPr>
    </w:p>
    <w:p>
      <w:pPr>
        <w:ind w:left="652" w:hanging="652"/>
        <w:spacing w:after="0"/>
        <w:tabs>
          <w:tab w:leader="none" w:pos="65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Contract with Fidelity Trust Company</w:t>
      </w:r>
    </w:p>
    <w:p>
      <w:pPr>
        <w:spacing w:after="0" w:line="283" w:lineRule="exact"/>
        <w:rPr>
          <w:rFonts w:ascii="Times New Roman" w:cs="Times New Roman" w:eastAsia="Times New Roman" w:hAnsi="Times New Roman"/>
          <w:sz w:val="18"/>
          <w:szCs w:val="18"/>
          <w:b w:val="1"/>
          <w:bCs w:val="1"/>
          <w:color w:val="auto"/>
        </w:rPr>
      </w:pPr>
    </w:p>
    <w:p>
      <w:pPr>
        <w:ind w:left="652"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holds a stable value investment contract, Fidelity Advisor Stable Value Fund, (the "Fund") with Fidelity Management Trust Company, the trustee. The Fund is an open-end commingled pool dedicated exclusively to the management of assets of defined contribution plans. The Fund invests in underlying assets (typically fixed-income securities or bond funds and may include derivative instruments such as futures contracts and swap agreements) and enters into "wrapper" contracts issued by a third party. The account is credited with earnings on the underlying investments and charged for participant withdrawals and administrative expenses. The wrap issuer agrees to pay the Fund an amount sufficient to cover unitholder redemptions and certain other payments (such as fund expenses), provided all the terms of the wrap contract have been met. Wrappers are normally purchased from issuers rated in the top three long-term rating categories (A- or the equivalent and above).</w:t>
      </w:r>
    </w:p>
    <w:p>
      <w:pPr>
        <w:spacing w:after="0" w:line="243" w:lineRule="exact"/>
        <w:rPr>
          <w:rFonts w:ascii="Times New Roman" w:cs="Times New Roman" w:eastAsia="Times New Roman" w:hAnsi="Times New Roman"/>
          <w:sz w:val="18"/>
          <w:szCs w:val="18"/>
          <w:b w:val="1"/>
          <w:bCs w:val="1"/>
          <w:color w:val="auto"/>
        </w:rPr>
      </w:pPr>
    </w:p>
    <w:p>
      <w:pPr>
        <w:ind w:left="652"/>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described in Note 2, because the Fidelity Advisor Stable Value investment contract is fully benefit-responsive, contract value is the relevant measurement attribute for that portion of the net assets available for benefits attributable to the stable value investment contract. Contract value, as reported by Fidelity Management Trust Company, represents contributions made under the contract, plus earnings, less participant withdrawals and administrative expenses. Participants may ordinarily direct the withdrawal or transfer of all or a portion of their investment at contract value. The fair value of the wrapper investment is calculated by discounting the related cash flows based on the related cash flows based on current yields of similar instruments with comparable durations.</w:t>
      </w:r>
    </w:p>
    <w:p>
      <w:pPr>
        <w:spacing w:after="0" w:line="242" w:lineRule="exact"/>
        <w:rPr>
          <w:sz w:val="20"/>
          <w:szCs w:val="20"/>
          <w:color w:val="auto"/>
        </w:rPr>
      </w:pPr>
    </w:p>
    <w:p>
      <w:pPr>
        <w:ind w:left="652" w:right="20"/>
        <w:spacing w:after="0" w:line="282" w:lineRule="auto"/>
        <w:rPr>
          <w:sz w:val="20"/>
          <w:szCs w:val="20"/>
          <w:color w:val="auto"/>
        </w:rPr>
      </w:pPr>
      <w:r>
        <w:rPr>
          <w:rFonts w:ascii="Times New Roman" w:cs="Times New Roman" w:eastAsia="Times New Roman" w:hAnsi="Times New Roman"/>
          <w:sz w:val="18"/>
          <w:szCs w:val="18"/>
          <w:color w:val="auto"/>
        </w:rPr>
        <w:t>There are no reserves against contract value for credit risk of the contract issuer or otherwise. The crediting interest rate is based on a formula agreed upon with the issuer. Such interest rates are reviewed on a quarterly basis for resetting.</w:t>
      </w:r>
    </w:p>
    <w:p>
      <w:pPr>
        <w:spacing w:after="0" w:line="1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bookmarkStart w:id="13" w:name="page14"/>
    <w:bookmarkEnd w:id="13"/>
    <w:p>
      <w:pPr>
        <w:jc w:val="center"/>
        <w:ind w:right="-31"/>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401(k) Plan and Trust</w:t>
      </w:r>
    </w:p>
    <w:p>
      <w:pPr>
        <w:spacing w:after="0" w:line="230" w:lineRule="exact"/>
        <w:rPr>
          <w:sz w:val="20"/>
          <w:szCs w:val="20"/>
          <w:color w:val="auto"/>
        </w:rPr>
      </w:pPr>
    </w:p>
    <w:p>
      <w:pPr>
        <w:ind w:left="652" w:hanging="652"/>
        <w:spacing w:after="0"/>
        <w:tabs>
          <w:tab w:leader="none" w:pos="65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Contract with Fidelity Trust Company, Continued</w:t>
      </w:r>
    </w:p>
    <w:p>
      <w:pPr>
        <w:spacing w:after="0" w:line="283" w:lineRule="exact"/>
        <w:rPr>
          <w:rFonts w:ascii="Times New Roman" w:cs="Times New Roman" w:eastAsia="Times New Roman" w:hAnsi="Times New Roman"/>
          <w:sz w:val="18"/>
          <w:szCs w:val="18"/>
          <w:b w:val="1"/>
          <w:bCs w:val="1"/>
          <w:color w:val="auto"/>
        </w:rPr>
      </w:pPr>
    </w:p>
    <w:p>
      <w:pPr>
        <w:ind w:left="652"/>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Certain events limit the ability of the Plan to transact at contract value with the issuer. Such events include the following: (1) amendments to the Plan documents (including complete or partial plan termination or merger with another plan), (2) changes to Plan’s prohibition on competing investment options or deletion of equity wash provisions, (3) bankruptcy of the Plan sponsor or other Plan sponsor events (for example, divestitures or spin-offs of a subsidiary) that cause a significant withdrawal from the Plan, or (4) the failure of the trust to qualify for exemption from federal income taxes or any required prohibited transaction exemption under Employee Retirement Income Security Act of 1974. The Plan administrator does not believe that the occurrence of any such value event, which would limit the Plan’s ability to transact at contract value with participants, is probable.</w:t>
      </w:r>
    </w:p>
    <w:p>
      <w:pPr>
        <w:spacing w:after="0" w:line="227" w:lineRule="exact"/>
        <w:rPr>
          <w:rFonts w:ascii="Times New Roman" w:cs="Times New Roman" w:eastAsia="Times New Roman" w:hAnsi="Times New Roman"/>
          <w:sz w:val="18"/>
          <w:szCs w:val="18"/>
          <w:b w:val="1"/>
          <w:bCs w:val="1"/>
          <w:color w:val="auto"/>
        </w:rPr>
      </w:pPr>
    </w:p>
    <w:p>
      <w:pPr>
        <w:ind w:left="652"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guaranteed bank investment contract does not permit Fidelity Management Trust Company to terminate the agreement prior to the scheduled maturity date.</w:t>
      </w:r>
    </w:p>
    <w:p>
      <w:pPr>
        <w:spacing w:after="0" w:line="215"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are the average yields for the guaranteed investment contract for 2007 and 2006:</w:t>
      </w:r>
    </w:p>
    <w:p>
      <w:pPr>
        <w:spacing w:after="0" w:line="279" w:lineRule="exact"/>
        <w:rPr>
          <w:sz w:val="20"/>
          <w:szCs w:val="20"/>
          <w:color w:val="auto"/>
        </w:rPr>
      </w:pPr>
    </w:p>
    <w:tbl>
      <w:tblPr>
        <w:tblLayout w:type="fixed"/>
        <w:tblInd w:w="1132" w:type="dxa"/>
        <w:tblCellMar>
          <w:top w:w="0" w:type="dxa"/>
          <w:left w:w="0" w:type="dxa"/>
          <w:bottom w:w="0" w:type="dxa"/>
          <w:right w:w="0" w:type="dxa"/>
        </w:tblCellMar>
      </w:tblPr>
      <w:tr>
        <w:trPr>
          <w:trHeight w:val="261"/>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Yields:</w:t>
            </w: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2007</w:t>
            </w:r>
          </w:p>
        </w:tc>
        <w:tc>
          <w:tcPr>
            <w:tcW w:w="240" w:type="dxa"/>
            <w:vAlign w:val="bottom"/>
          </w:tcPr>
          <w:p>
            <w:pPr>
              <w:spacing w:after="0"/>
              <w:rPr>
                <w:sz w:val="22"/>
                <w:szCs w:val="22"/>
                <w:color w:val="auto"/>
              </w:rPr>
            </w:pPr>
          </w:p>
        </w:tc>
        <w:tc>
          <w:tcPr>
            <w:tcW w:w="13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2006</w:t>
            </w:r>
          </w:p>
        </w:tc>
        <w:tc>
          <w:tcPr>
            <w:tcW w:w="18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0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Based on actual earnings</w:t>
            </w:r>
          </w:p>
        </w:tc>
        <w:tc>
          <w:tcPr>
            <w:tcW w:w="15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3.96%</w:t>
            </w:r>
          </w:p>
        </w:tc>
        <w:tc>
          <w:tcPr>
            <w:tcW w:w="15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3.47%</w:t>
            </w:r>
          </w:p>
        </w:tc>
      </w:tr>
      <w:tr>
        <w:trPr>
          <w:trHeight w:val="24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Based on interest rates credited to participants</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4.15%</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r>
    </w:tbl>
    <w:p>
      <w:pPr>
        <w:spacing w:after="0" w:line="248" w:lineRule="exact"/>
        <w:rPr>
          <w:sz w:val="20"/>
          <w:szCs w:val="20"/>
          <w:color w:val="auto"/>
        </w:rPr>
      </w:pPr>
    </w:p>
    <w:p>
      <w:pPr>
        <w:ind w:left="652" w:hanging="652"/>
        <w:spacing w:after="0"/>
        <w:tabs>
          <w:tab w:leader="none" w:pos="6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Status</w:t>
      </w:r>
    </w:p>
    <w:p>
      <w:pPr>
        <w:spacing w:after="0" w:line="283" w:lineRule="exact"/>
        <w:rPr>
          <w:rFonts w:ascii="Times New Roman" w:cs="Times New Roman" w:eastAsia="Times New Roman" w:hAnsi="Times New Roman"/>
          <w:sz w:val="18"/>
          <w:szCs w:val="18"/>
          <w:b w:val="1"/>
          <w:bCs w:val="1"/>
          <w:color w:val="auto"/>
        </w:rPr>
      </w:pPr>
    </w:p>
    <w:p>
      <w:pPr>
        <w:jc w:val="both"/>
        <w:ind w:left="652"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is an adoption of the standardized prototype plan written by Fidelity Management &amp; Research Company. The prototype sponsor received a favorable determination letter dated October 9, 2003, in which the Internal Revenue Service stated that the prototype plan, as then designated, was in compliance with applicable requirements of the IRC. Therefore, the Plan Administrator believes that the Plan was qualified and the related trust was tax exempt as of the financial statement dates. Accordingly, no provision for federal income taxes has been made.</w:t>
      </w:r>
    </w:p>
    <w:p>
      <w:pPr>
        <w:spacing w:after="0" w:line="230" w:lineRule="exact"/>
        <w:rPr>
          <w:sz w:val="20"/>
          <w:szCs w:val="20"/>
          <w:color w:val="auto"/>
        </w:rPr>
      </w:pPr>
    </w:p>
    <w:p>
      <w:pPr>
        <w:ind w:left="652" w:hanging="652"/>
        <w:spacing w:after="0"/>
        <w:tabs>
          <w:tab w:leader="none" w:pos="65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Plan Termination:</w:t>
      </w:r>
    </w:p>
    <w:p>
      <w:pPr>
        <w:spacing w:after="0" w:line="283" w:lineRule="exact"/>
        <w:rPr>
          <w:rFonts w:ascii="Times New Roman" w:cs="Times New Roman" w:eastAsia="Times New Roman" w:hAnsi="Times New Roman"/>
          <w:sz w:val="18"/>
          <w:szCs w:val="18"/>
          <w:b w:val="1"/>
          <w:bCs w:val="1"/>
          <w:color w:val="auto"/>
        </w:rPr>
      </w:pPr>
    </w:p>
    <w:p>
      <w:pPr>
        <w:ind w:left="652" w:right="40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Although it has not expressed any intent to do so, the Company has the right under the Plan to discontinue its contributions at any time and to terminate the Plan subject to the provisions of ERISA. In the event of Plan termination, participants will become 100% vested in their accounts.</w:t>
      </w:r>
    </w:p>
    <w:p>
      <w:pPr>
        <w:spacing w:after="0" w:line="19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68" w:right="2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 and Trust</w:t>
      </w:r>
    </w:p>
    <w:p>
      <w:pPr>
        <w:spacing w:after="0" w:line="25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Financial Statements to Form 5500</w:t>
      </w:r>
    </w:p>
    <w:p>
      <w:pPr>
        <w:spacing w:after="0" w:line="2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reconciliation of net assets available for benefits per the financial statements to the Form 5500, as of December 31:</w:t>
      </w:r>
    </w:p>
    <w:p>
      <w:pPr>
        <w:spacing w:after="0" w:line="329"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280" w:type="dxa"/>
            <w:vAlign w:val="bottom"/>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6,866,021</w:t>
            </w:r>
          </w:p>
        </w:tc>
        <w:tc>
          <w:tcPr>
            <w:tcW w:w="360" w:type="dxa"/>
            <w:vAlign w:val="bottom"/>
            <w:gridSpan w:val="2"/>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5,486,567</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6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Adjustment from contract value to fair value for fully benefit-responsive</w:t>
            </w:r>
          </w:p>
        </w:tc>
        <w:tc>
          <w:tcPr>
            <w:tcW w:w="280" w:type="dxa"/>
            <w:vAlign w:val="bottom"/>
            <w:shd w:val="clear" w:color="auto" w:fill="CCFFCC"/>
          </w:tcPr>
          <w:p>
            <w:pPr>
              <w:spacing w:after="0"/>
              <w:rPr>
                <w:sz w:val="17"/>
                <w:szCs w:val="17"/>
                <w:color w:val="auto"/>
              </w:rPr>
            </w:pPr>
          </w:p>
        </w:tc>
        <w:tc>
          <w:tcPr>
            <w:tcW w:w="1140" w:type="dxa"/>
            <w:vAlign w:val="bottom"/>
            <w:gridSpan w:val="2"/>
            <w:vMerge w:val="restart"/>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(2,296)</w:t>
            </w:r>
          </w:p>
        </w:tc>
        <w:tc>
          <w:tcPr>
            <w:tcW w:w="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60" w:type="dxa"/>
            <w:vAlign w:val="bottom"/>
            <w:shd w:val="clear" w:color="auto" w:fill="CCFFCC"/>
          </w:tcPr>
          <w:p>
            <w:pPr>
              <w:ind w:left="460"/>
              <w:spacing w:after="0"/>
              <w:rPr>
                <w:sz w:val="20"/>
                <w:szCs w:val="20"/>
                <w:color w:val="auto"/>
              </w:rPr>
            </w:pPr>
            <w:r>
              <w:rPr>
                <w:rFonts w:ascii="Times New Roman" w:cs="Times New Roman" w:eastAsia="Times New Roman" w:hAnsi="Times New Roman"/>
                <w:sz w:val="18"/>
                <w:szCs w:val="18"/>
                <w:color w:val="auto"/>
              </w:rPr>
              <w:t>investment contracts</w:t>
            </w:r>
          </w:p>
        </w:tc>
        <w:tc>
          <w:tcPr>
            <w:tcW w:w="280" w:type="dxa"/>
            <w:vAlign w:val="bottom"/>
            <w:shd w:val="clear" w:color="auto" w:fill="CCFFCC"/>
          </w:tcPr>
          <w:p>
            <w:pPr>
              <w:spacing w:after="0"/>
              <w:rPr>
                <w:sz w:val="20"/>
                <w:szCs w:val="20"/>
                <w:color w:val="auto"/>
              </w:rPr>
            </w:pPr>
          </w:p>
        </w:tc>
        <w:tc>
          <w:tcPr>
            <w:tcW w:w="1140" w:type="dxa"/>
            <w:vAlign w:val="bottom"/>
            <w:gridSpan w:val="2"/>
            <w:vMerge w:val="continue"/>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(4,017)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Rounding</w:t>
            </w:r>
          </w:p>
        </w:tc>
        <w:tc>
          <w:tcPr>
            <w:tcW w:w="28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60" w:type="dxa"/>
            <w:vAlign w:val="bottom"/>
            <w:tcBorders>
              <w:top w:val="single" w:sz="8" w:color="CCFFC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6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Form 5500</w:t>
            </w: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6,863,725</w:t>
            </w:r>
          </w:p>
        </w:tc>
        <w:tc>
          <w:tcPr>
            <w:tcW w:w="120" w:type="dxa"/>
            <w:vAlign w:val="bottom"/>
            <w:tcBorders>
              <w:bottom w:val="single" w:sz="8" w:color="CCFFCC"/>
            </w:tcBorders>
            <w:shd w:val="clear" w:color="auto" w:fill="CCFFCC"/>
          </w:tcPr>
          <w:p>
            <w:pPr>
              <w:spacing w:after="0"/>
              <w:rPr>
                <w:sz w:val="24"/>
                <w:szCs w:val="24"/>
                <w:color w:val="auto"/>
              </w:rPr>
            </w:pPr>
          </w:p>
        </w:tc>
        <w:tc>
          <w:tcPr>
            <w:tcW w:w="80" w:type="dxa"/>
            <w:vAlign w:val="bottom"/>
            <w:tcBorders>
              <w:bottom w:val="single" w:sz="8" w:color="CCFFCC"/>
            </w:tcBorders>
            <w:shd w:val="clear" w:color="auto" w:fill="CCFFCC"/>
          </w:tcPr>
          <w:p>
            <w:pPr>
              <w:spacing w:after="0"/>
              <w:rPr>
                <w:sz w:val="24"/>
                <w:szCs w:val="24"/>
                <w:color w:val="auto"/>
              </w:rPr>
            </w:pP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5,482,542</w:t>
            </w:r>
          </w:p>
        </w:tc>
        <w:tc>
          <w:tcPr>
            <w:tcW w:w="100" w:type="dxa"/>
            <w:vAlign w:val="bottom"/>
            <w:tcBorders>
              <w:bottom w:val="single" w:sz="8" w:color="CCFFCC"/>
            </w:tcBorders>
            <w:shd w:val="clear" w:color="auto" w:fill="CCFFCC"/>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investment income per the financial statements to the Form 5500, as of December 31: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72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Investment income per the financial statements</w:t>
            </w:r>
          </w:p>
        </w:tc>
        <w:tc>
          <w:tcPr>
            <w:tcW w:w="280" w:type="dxa"/>
            <w:vAlign w:val="bottom"/>
            <w:shd w:val="clear" w:color="auto" w:fill="CCFFCC"/>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388,049</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vMerge w:val="restart"/>
          </w:tcPr>
          <w:p>
            <w:pPr>
              <w:spacing w:after="0"/>
              <w:rPr>
                <w:sz w:val="21"/>
                <w:szCs w:val="21"/>
                <w:color w:val="auto"/>
              </w:rPr>
            </w:pPr>
          </w:p>
        </w:tc>
        <w:tc>
          <w:tcPr>
            <w:tcW w:w="7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60" w:type="dxa"/>
            <w:vAlign w:val="bottom"/>
            <w:vMerge w:val="continue"/>
          </w:tcPr>
          <w:p>
            <w:pPr>
              <w:spacing w:after="0"/>
              <w:rPr>
                <w:sz w:val="17"/>
                <w:szCs w:val="17"/>
                <w:color w:val="auto"/>
              </w:rPr>
            </w:pPr>
          </w:p>
        </w:tc>
        <w:tc>
          <w:tcPr>
            <w:tcW w:w="720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Adjustment from contract value to fair value for fully benefit-responsive investment contracts</w:t>
            </w:r>
          </w:p>
        </w:tc>
        <w:tc>
          <w:tcPr>
            <w:tcW w:w="280" w:type="dxa"/>
            <w:vAlign w:val="bottom"/>
            <w:shd w:val="clear" w:color="auto" w:fill="CCFFCC"/>
          </w:tcPr>
          <w:p>
            <w:pPr>
              <w:spacing w:after="0"/>
              <w:rPr>
                <w:sz w:val="17"/>
                <w:szCs w:val="17"/>
                <w:color w:val="auto"/>
              </w:rPr>
            </w:pPr>
          </w:p>
        </w:tc>
        <w:tc>
          <w:tcPr>
            <w:tcW w:w="1120" w:type="dxa"/>
            <w:vAlign w:val="bottom"/>
            <w:gridSpan w:val="2"/>
            <w:vMerge w:val="restart"/>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(2,296)</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720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for 2007</w:t>
            </w:r>
          </w:p>
        </w:tc>
        <w:tc>
          <w:tcPr>
            <w:tcW w:w="280" w:type="dxa"/>
            <w:vAlign w:val="bottom"/>
            <w:shd w:val="clear" w:color="auto" w:fill="CCFFCC"/>
          </w:tcPr>
          <w:p>
            <w:pPr>
              <w:spacing w:after="0"/>
              <w:rPr>
                <w:sz w:val="20"/>
                <w:szCs w:val="20"/>
                <w:color w:val="auto"/>
              </w:rPr>
            </w:pPr>
          </w:p>
        </w:tc>
        <w:tc>
          <w:tcPr>
            <w:tcW w:w="1120" w:type="dxa"/>
            <w:vAlign w:val="bottom"/>
            <w:gridSpan w:val="2"/>
            <w:vMerge w:val="continue"/>
            <w:shd w:val="clear" w:color="auto" w:fill="CCFFCC"/>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vMerge w:val="restart"/>
          </w:tcPr>
          <w:p>
            <w:pPr>
              <w:spacing w:after="0"/>
              <w:rPr>
                <w:sz w:val="21"/>
                <w:szCs w:val="21"/>
                <w:color w:val="auto"/>
              </w:rPr>
            </w:pPr>
          </w:p>
        </w:tc>
        <w:tc>
          <w:tcPr>
            <w:tcW w:w="7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60" w:type="dxa"/>
            <w:vAlign w:val="bottom"/>
            <w:vMerge w:val="continue"/>
          </w:tcPr>
          <w:p>
            <w:pPr>
              <w:spacing w:after="0"/>
              <w:rPr>
                <w:sz w:val="17"/>
                <w:szCs w:val="17"/>
                <w:color w:val="auto"/>
              </w:rPr>
            </w:pPr>
          </w:p>
        </w:tc>
        <w:tc>
          <w:tcPr>
            <w:tcW w:w="720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Adjustment from contract value to fair value for fully benefit-responsive investment contracts</w:t>
            </w:r>
          </w:p>
        </w:tc>
        <w:tc>
          <w:tcPr>
            <w:tcW w:w="280" w:type="dxa"/>
            <w:vAlign w:val="bottom"/>
            <w:shd w:val="clear" w:color="auto" w:fill="CCFFCC"/>
          </w:tcPr>
          <w:p>
            <w:pPr>
              <w:spacing w:after="0"/>
              <w:rPr>
                <w:sz w:val="17"/>
                <w:szCs w:val="17"/>
                <w:color w:val="auto"/>
              </w:rPr>
            </w:pPr>
          </w:p>
        </w:tc>
        <w:tc>
          <w:tcPr>
            <w:tcW w:w="1120" w:type="dxa"/>
            <w:vAlign w:val="bottom"/>
            <w:gridSpan w:val="2"/>
            <w:vMerge w:val="restart"/>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4,017</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720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for 2006</w:t>
            </w:r>
          </w:p>
        </w:tc>
        <w:tc>
          <w:tcPr>
            <w:tcW w:w="280" w:type="dxa"/>
            <w:vAlign w:val="bottom"/>
            <w:shd w:val="clear" w:color="auto" w:fill="CCFFCC"/>
          </w:tcPr>
          <w:p>
            <w:pPr>
              <w:spacing w:after="0"/>
              <w:rPr>
                <w:sz w:val="20"/>
                <w:szCs w:val="20"/>
                <w:color w:val="auto"/>
              </w:rPr>
            </w:pPr>
          </w:p>
        </w:tc>
        <w:tc>
          <w:tcPr>
            <w:tcW w:w="1120" w:type="dxa"/>
            <w:vAlign w:val="bottom"/>
            <w:gridSpan w:val="2"/>
            <w:vMerge w:val="continue"/>
            <w:shd w:val="clear" w:color="auto" w:fill="CCFFCC"/>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vMerge w:val="restart"/>
          </w:tcPr>
          <w:p>
            <w:pPr>
              <w:spacing w:after="0"/>
              <w:rPr>
                <w:sz w:val="21"/>
                <w:szCs w:val="21"/>
                <w:color w:val="auto"/>
              </w:rPr>
            </w:pPr>
          </w:p>
        </w:tc>
        <w:tc>
          <w:tcPr>
            <w:tcW w:w="7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720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Rounding</w:t>
            </w:r>
          </w:p>
        </w:tc>
        <w:tc>
          <w:tcPr>
            <w:tcW w:w="280" w:type="dxa"/>
            <w:vAlign w:val="bottom"/>
            <w:tcBorders>
              <w:bottom w:val="single" w:sz="8" w:color="auto"/>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bottom w:val="single" w:sz="8" w:color="CCFFCC"/>
            </w:tcBorders>
            <w:shd w:val="clear" w:color="auto" w:fill="CCFFCC"/>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720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investment income per the Form 5500</w:t>
            </w:r>
          </w:p>
        </w:tc>
        <w:tc>
          <w:tcPr>
            <w:tcW w:w="280" w:type="dxa"/>
            <w:vAlign w:val="bottom"/>
            <w:tcBorders>
              <w:bottom w:val="single" w:sz="8" w:color="auto"/>
            </w:tcBorders>
            <w:shd w:val="clear" w:color="auto" w:fill="CCFFCC"/>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389,778</w:t>
            </w:r>
          </w:p>
        </w:tc>
        <w:tc>
          <w:tcPr>
            <w:tcW w:w="100" w:type="dxa"/>
            <w:vAlign w:val="bottom"/>
            <w:tcBorders>
              <w:bottom w:val="single" w:sz="8" w:color="CCFFCC"/>
            </w:tcBorders>
            <w:shd w:val="clear" w:color="auto" w:fill="CCFFCC"/>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7860" w:type="dxa"/>
            <w:vAlign w:val="bottom"/>
            <w:gridSpan w:val="2"/>
          </w:tcPr>
          <w:p>
            <w:pPr>
              <w:jc w:val="right"/>
              <w:ind w:right="197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60" w:type="dxa"/>
            <w:vAlign w:val="bottom"/>
            <w:tcBorders>
              <w:bottom w:val="single" w:sz="8" w:color="808080"/>
            </w:tcBorders>
          </w:tcPr>
          <w:p>
            <w:pPr>
              <w:spacing w:after="0"/>
              <w:rPr>
                <w:sz w:val="10"/>
                <w:szCs w:val="10"/>
                <w:color w:val="auto"/>
              </w:rPr>
            </w:pPr>
          </w:p>
        </w:tc>
        <w:tc>
          <w:tcPr>
            <w:tcW w:w="72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5" w:name="page16"/>
    <w:bookmarkEnd w:id="15"/>
    <w:p>
      <w:pPr>
        <w:jc w:val="center"/>
        <w:ind w:right="-11"/>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401(k) Plan and Trust</w:t>
      </w:r>
    </w:p>
    <w:p>
      <w:pPr>
        <w:spacing w:after="0" w:line="257" w:lineRule="exact"/>
        <w:rPr>
          <w:sz w:val="20"/>
          <w:szCs w:val="20"/>
          <w:color w:val="auto"/>
        </w:rPr>
      </w:pPr>
    </w:p>
    <w:p>
      <w:pPr>
        <w:ind w:left="652" w:hanging="652"/>
        <w:spacing w:after="0"/>
        <w:tabs>
          <w:tab w:leader="none" w:pos="65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Party-in-Interest Transactions</w:t>
      </w:r>
    </w:p>
    <w:p>
      <w:pPr>
        <w:spacing w:after="0" w:line="283" w:lineRule="exact"/>
        <w:rPr>
          <w:rFonts w:ascii="Times New Roman" w:cs="Times New Roman" w:eastAsia="Times New Roman" w:hAnsi="Times New Roman"/>
          <w:sz w:val="18"/>
          <w:szCs w:val="18"/>
          <w:b w:val="1"/>
          <w:bCs w:val="1"/>
          <w:color w:val="auto"/>
        </w:rPr>
      </w:pPr>
    </w:p>
    <w:p>
      <w:pPr>
        <w:ind w:left="652"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Plan investments are shares of mutual funds managed by Fidelity Management Trust Company, the Trustees as defined by the Plan. These transactions qualify as party-in-interest transactions. Usual and customary fees were paid by the mutual fund for the investment management services.</w:t>
      </w:r>
    </w:p>
    <w:p>
      <w:pPr>
        <w:spacing w:after="0" w:line="226" w:lineRule="exact"/>
        <w:rPr>
          <w:sz w:val="20"/>
          <w:szCs w:val="20"/>
          <w:color w:val="auto"/>
        </w:rPr>
      </w:pPr>
    </w:p>
    <w:p>
      <w:pPr>
        <w:ind w:left="652" w:hanging="652"/>
        <w:spacing w:after="0"/>
        <w:tabs>
          <w:tab w:leader="none" w:pos="65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w:t>
      </w:r>
    </w:p>
    <w:p>
      <w:pPr>
        <w:spacing w:after="0" w:line="283" w:lineRule="exact"/>
        <w:rPr>
          <w:rFonts w:ascii="Times New Roman" w:cs="Times New Roman" w:eastAsia="Times New Roman" w:hAnsi="Times New Roman"/>
          <w:sz w:val="18"/>
          <w:szCs w:val="18"/>
          <w:b w:val="1"/>
          <w:bCs w:val="1"/>
          <w:color w:val="auto"/>
        </w:rPr>
      </w:pPr>
    </w:p>
    <w:p>
      <w:pPr>
        <w:ind w:left="652"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September 2006, the Financial Accounting Standards Board ("FASB") issued Statement of Financial Accounting Standards ("SFAS") 157, “Fair Value Measurements” (“SFAS 157”). SFAS 157 defines fair value, establishes a framework for measuring fair value, and expands disclosures about fair value measurements. The Plan will be required to adopt SFAS 157 no later than January 1, 2008. The effect of this pronouncement on these financial statements has not been determined.</w:t>
      </w:r>
    </w:p>
    <w:p>
      <w:pPr>
        <w:spacing w:after="0" w:line="234" w:lineRule="exact"/>
        <w:rPr>
          <w:rFonts w:ascii="Times New Roman" w:cs="Times New Roman" w:eastAsia="Times New Roman" w:hAnsi="Times New Roman"/>
          <w:sz w:val="18"/>
          <w:szCs w:val="18"/>
          <w:b w:val="1"/>
          <w:bCs w:val="1"/>
          <w:color w:val="auto"/>
        </w:rPr>
      </w:pPr>
    </w:p>
    <w:p>
      <w:pPr>
        <w:ind w:left="652"/>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15, 2007, the FASB issued SFAS No. 159, “The Fair Value Option for Financial Assets and Financial Liabilities” ("SFAS 159"), which allows an entity the irrevocable option to elect fair value for the initial and subsequent measurement for certain financial assets and liabilities on a contract-by-contract basis. Subsequent changes in fair value of these financial assets and liabilities would be recognized in earnings when they occur. SFAS 159 further establishes certain additional disclosure requirements. SFAS 159 is effective for the Plan’s financial statements for the fiscal year beginning on January 1, 2008, with earlier adoption permitted. The effect of this pronouncement on these financial statements has not been determined.</w:t>
      </w:r>
    </w:p>
    <w:p>
      <w:pPr>
        <w:spacing w:after="0" w:line="241" w:lineRule="exact"/>
        <w:rPr>
          <w:rFonts w:ascii="Times New Roman" w:cs="Times New Roman" w:eastAsia="Times New Roman" w:hAnsi="Times New Roman"/>
          <w:sz w:val="18"/>
          <w:szCs w:val="18"/>
          <w:b w:val="1"/>
          <w:bCs w:val="1"/>
          <w:color w:val="auto"/>
        </w:rPr>
      </w:pPr>
    </w:p>
    <w:p>
      <w:pPr>
        <w:ind w:left="65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2008, the FASB issued SFAS No. 161, "Disclosure about Derivative Instruments and Hedging Activities" ("SFAS 161"), which amends the disclosure requirements of SFAS 133. SFAS 161 requires increased disclosures about derivative instruments and hedging activities and their effects on an entity's financial position, financial performance, and cash flows. SFAS is effective for fiscal years beginning after November 15, 2008, with early adoption permitted. SFAS 161 is not expected to have a material impact on the Plan's financial statements.</w:t>
      </w:r>
    </w:p>
    <w:p>
      <w:pPr>
        <w:spacing w:after="0" w:line="234" w:lineRule="exact"/>
        <w:rPr>
          <w:rFonts w:ascii="Times New Roman" w:cs="Times New Roman" w:eastAsia="Times New Roman" w:hAnsi="Times New Roman"/>
          <w:sz w:val="18"/>
          <w:szCs w:val="18"/>
          <w:b w:val="1"/>
          <w:bCs w:val="1"/>
          <w:color w:val="auto"/>
        </w:rPr>
      </w:pPr>
    </w:p>
    <w:p>
      <w:pPr>
        <w:ind w:left="652"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2008, the FASB issued SFAS No. 162, "The hierarchy of Generally Accepted Accounting Principles" ("SFAS 162"), which is intended to improve financial reporting by identifying the sources of accounting principles and the consistent framework, or hierarchy, for selecting principles to be used in preparing financial statements that are presented in conformity with U.S. GAAP for nongovernmental entities. SFAS 162 will be effective 60 days after the U.S. Securities and Exchange Commission approves the Public Company Accounting Oversight Board's amendments to AU section 411, "The Meaning of Present Fairly in Conformity With Generally Accepted Accounting Principles". SFAS 162 is not expected to have a material impact on the Plan's financial statements.</w:t>
      </w:r>
    </w:p>
    <w:p>
      <w:pPr>
        <w:spacing w:after="0" w:line="2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SCHEDULE OF ASSETS HELD FOR INVESTMENT PURPOSES AT END OF YEAR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5500, Schedule H, Part IV, Line 4i</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6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EIN 06-1359589</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Plan Number 001</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2007</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24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c )</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Identity of Issue,</w:t>
            </w:r>
          </w:p>
        </w:tc>
        <w:tc>
          <w:tcPr>
            <w:tcW w:w="240" w:type="dxa"/>
            <w:vAlign w:val="bottom"/>
          </w:tcPr>
          <w:p>
            <w:pPr>
              <w:spacing w:after="0"/>
              <w:rPr>
                <w:sz w:val="21"/>
                <w:szCs w:val="21"/>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Description of Investment Including</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(e)</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Borrower, Lessor,</w:t>
            </w:r>
          </w:p>
        </w:tc>
        <w:tc>
          <w:tcPr>
            <w:tcW w:w="240" w:type="dxa"/>
            <w:vAlign w:val="bottom"/>
          </w:tcPr>
          <w:p>
            <w:pPr>
              <w:spacing w:after="0"/>
              <w:rPr>
                <w:sz w:val="21"/>
                <w:szCs w:val="21"/>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Maturity Date, Rate of Interest,</w:t>
            </w:r>
          </w:p>
        </w:tc>
        <w:tc>
          <w:tcPr>
            <w:tcW w:w="220" w:type="dxa"/>
            <w:vAlign w:val="bottom"/>
          </w:tcPr>
          <w:p>
            <w:pPr>
              <w:spacing w:after="0"/>
              <w:rPr>
                <w:sz w:val="21"/>
                <w:szCs w:val="21"/>
                <w:color w:val="auto"/>
              </w:rPr>
            </w:pP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Current</w:t>
            </w:r>
          </w:p>
        </w:tc>
        <w:tc>
          <w:tcPr>
            <w:tcW w:w="0" w:type="dxa"/>
            <w:vAlign w:val="bottom"/>
          </w:tcPr>
          <w:p>
            <w:pPr>
              <w:spacing w:after="0"/>
              <w:rPr>
                <w:sz w:val="1"/>
                <w:szCs w:val="1"/>
                <w:color w:val="auto"/>
              </w:rPr>
            </w:pPr>
          </w:p>
        </w:tc>
      </w:tr>
      <w:tr>
        <w:trPr>
          <w:trHeight w:val="243"/>
        </w:trPr>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tcPr>
          <w:p>
            <w:pPr>
              <w:spacing w:after="0"/>
              <w:rPr>
                <w:sz w:val="21"/>
                <w:szCs w:val="21"/>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 Similar Party</w:t>
            </w:r>
          </w:p>
        </w:tc>
        <w:tc>
          <w:tcPr>
            <w:tcW w:w="240" w:type="dxa"/>
            <w:vAlign w:val="bottom"/>
          </w:tcPr>
          <w:p>
            <w:pPr>
              <w:spacing w:after="0"/>
              <w:rPr>
                <w:sz w:val="21"/>
                <w:szCs w:val="21"/>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Collateral, Par or Maturity Value</w:t>
            </w:r>
          </w:p>
        </w:tc>
        <w:tc>
          <w:tcPr>
            <w:tcW w:w="220" w:type="dxa"/>
            <w:vAlign w:val="bottom"/>
          </w:tcPr>
          <w:p>
            <w:pPr>
              <w:spacing w:after="0"/>
              <w:rPr>
                <w:sz w:val="21"/>
                <w:szCs w:val="21"/>
                <w:color w:val="auto"/>
              </w:rPr>
            </w:pPr>
          </w:p>
        </w:tc>
        <w:tc>
          <w:tcPr>
            <w:tcW w:w="1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37"/>
        </w:trPr>
        <w:tc>
          <w:tcPr>
            <w:tcW w:w="4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54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All/Bern Balanced A</w:t>
            </w:r>
          </w:p>
        </w:tc>
        <w:tc>
          <w:tcPr>
            <w:tcW w:w="240" w:type="dxa"/>
            <w:vAlign w:val="bottom"/>
            <w:shd w:val="clear" w:color="auto" w:fill="CCFFCC"/>
          </w:tcPr>
          <w:p>
            <w:pPr>
              <w:spacing w:after="0"/>
              <w:rPr>
                <w:sz w:val="21"/>
                <w:szCs w:val="21"/>
                <w:color w:val="auto"/>
              </w:rPr>
            </w:pPr>
          </w:p>
        </w:tc>
        <w:tc>
          <w:tcPr>
            <w:tcW w:w="356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5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526,556</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Columbia Acorn A</w:t>
            </w:r>
          </w:p>
        </w:tc>
        <w:tc>
          <w:tcPr>
            <w:tcW w:w="240" w:type="dxa"/>
            <w:vAlign w:val="bottom"/>
          </w:tcPr>
          <w:p>
            <w:pPr>
              <w:spacing w:after="0"/>
              <w:rPr>
                <w:sz w:val="21"/>
                <w:szCs w:val="21"/>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21"/>
                <w:szCs w:val="21"/>
                <w:color w:val="auto"/>
              </w:rPr>
            </w:pP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shd w:val="clear" w:color="auto" w:fill="CCFFC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FFCC"/>
          </w:tcPr>
          <w:p>
            <w:pPr>
              <w:spacing w:after="0"/>
              <w:rPr>
                <w:sz w:val="21"/>
                <w:szCs w:val="21"/>
                <w:color w:val="auto"/>
              </w:rPr>
            </w:pPr>
          </w:p>
        </w:tc>
        <w:tc>
          <w:tcPr>
            <w:tcW w:w="354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w w:val="99"/>
              </w:rPr>
              <w:t>Fidelity Advisor Diversified International Fund</w:t>
            </w:r>
          </w:p>
        </w:tc>
        <w:tc>
          <w:tcPr>
            <w:tcW w:w="240" w:type="dxa"/>
            <w:vAlign w:val="bottom"/>
            <w:shd w:val="clear" w:color="auto" w:fill="CCFFCC"/>
          </w:tcPr>
          <w:p>
            <w:pPr>
              <w:spacing w:after="0"/>
              <w:rPr>
                <w:sz w:val="21"/>
                <w:szCs w:val="21"/>
                <w:color w:val="auto"/>
              </w:rPr>
            </w:pPr>
          </w:p>
        </w:tc>
        <w:tc>
          <w:tcPr>
            <w:tcW w:w="356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708,787</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Fidelity Advisor Dividend Growth Fund</w:t>
            </w:r>
          </w:p>
        </w:tc>
        <w:tc>
          <w:tcPr>
            <w:tcW w:w="240" w:type="dxa"/>
            <w:vAlign w:val="bottom"/>
          </w:tcPr>
          <w:p>
            <w:pPr>
              <w:spacing w:after="0"/>
              <w:rPr>
                <w:sz w:val="21"/>
                <w:szCs w:val="21"/>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21"/>
                <w:szCs w:val="21"/>
                <w:color w:val="auto"/>
              </w:rPr>
            </w:pP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shd w:val="clear" w:color="auto" w:fill="CCFFC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FFCC"/>
          </w:tcPr>
          <w:p>
            <w:pPr>
              <w:spacing w:after="0"/>
              <w:rPr>
                <w:sz w:val="21"/>
                <w:szCs w:val="21"/>
                <w:color w:val="auto"/>
              </w:rPr>
            </w:pPr>
          </w:p>
        </w:tc>
        <w:tc>
          <w:tcPr>
            <w:tcW w:w="354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Fidelity Advisor International Small Cap T</w:t>
            </w:r>
          </w:p>
        </w:tc>
        <w:tc>
          <w:tcPr>
            <w:tcW w:w="240" w:type="dxa"/>
            <w:vAlign w:val="bottom"/>
            <w:shd w:val="clear" w:color="auto" w:fill="CCFFCC"/>
          </w:tcPr>
          <w:p>
            <w:pPr>
              <w:spacing w:after="0"/>
              <w:rPr>
                <w:sz w:val="21"/>
                <w:szCs w:val="21"/>
                <w:color w:val="auto"/>
              </w:rPr>
            </w:pPr>
          </w:p>
        </w:tc>
        <w:tc>
          <w:tcPr>
            <w:tcW w:w="356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453,127</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Fidelity Advisor New Insights</w:t>
            </w:r>
          </w:p>
        </w:tc>
        <w:tc>
          <w:tcPr>
            <w:tcW w:w="240" w:type="dxa"/>
            <w:vAlign w:val="bottom"/>
          </w:tcPr>
          <w:p>
            <w:pPr>
              <w:spacing w:after="0"/>
              <w:rPr>
                <w:sz w:val="21"/>
                <w:szCs w:val="21"/>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21"/>
                <w:szCs w:val="21"/>
                <w:color w:val="auto"/>
              </w:rPr>
            </w:pP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1,004,839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shd w:val="clear" w:color="auto" w:fill="CCFFC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FFCC"/>
          </w:tcPr>
          <w:p>
            <w:pPr>
              <w:spacing w:after="0"/>
              <w:rPr>
                <w:sz w:val="21"/>
                <w:szCs w:val="21"/>
                <w:color w:val="auto"/>
              </w:rPr>
            </w:pPr>
          </w:p>
        </w:tc>
        <w:tc>
          <w:tcPr>
            <w:tcW w:w="354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Fidelity Advisor Stable Value</w:t>
            </w:r>
          </w:p>
        </w:tc>
        <w:tc>
          <w:tcPr>
            <w:tcW w:w="240" w:type="dxa"/>
            <w:vAlign w:val="bottom"/>
            <w:shd w:val="clear" w:color="auto" w:fill="CCFFCC"/>
          </w:tcPr>
          <w:p>
            <w:pPr>
              <w:spacing w:after="0"/>
              <w:rPr>
                <w:sz w:val="21"/>
                <w:szCs w:val="21"/>
                <w:color w:val="auto"/>
              </w:rPr>
            </w:pPr>
          </w:p>
        </w:tc>
        <w:tc>
          <w:tcPr>
            <w:tcW w:w="356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577,618</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Fidelity Advisor Strategic Income Fund</w:t>
            </w:r>
          </w:p>
        </w:tc>
        <w:tc>
          <w:tcPr>
            <w:tcW w:w="240" w:type="dxa"/>
            <w:vAlign w:val="bottom"/>
          </w:tcPr>
          <w:p>
            <w:pPr>
              <w:spacing w:after="0"/>
              <w:rPr>
                <w:sz w:val="21"/>
                <w:szCs w:val="21"/>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21"/>
                <w:szCs w:val="21"/>
                <w:color w:val="auto"/>
              </w:rPr>
            </w:pP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54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JPM Intrepid America Fund</w:t>
            </w:r>
          </w:p>
        </w:tc>
        <w:tc>
          <w:tcPr>
            <w:tcW w:w="240" w:type="dxa"/>
            <w:vAlign w:val="bottom"/>
            <w:shd w:val="clear" w:color="auto" w:fill="CCFFCC"/>
          </w:tcPr>
          <w:p>
            <w:pPr>
              <w:spacing w:after="0"/>
              <w:rPr>
                <w:sz w:val="21"/>
                <w:szCs w:val="21"/>
                <w:color w:val="auto"/>
              </w:rPr>
            </w:pPr>
          </w:p>
        </w:tc>
        <w:tc>
          <w:tcPr>
            <w:tcW w:w="356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822,928</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JPM Intrepid Value Fund</w:t>
            </w:r>
          </w:p>
        </w:tc>
        <w:tc>
          <w:tcPr>
            <w:tcW w:w="240" w:type="dxa"/>
            <w:vAlign w:val="bottom"/>
          </w:tcPr>
          <w:p>
            <w:pPr>
              <w:spacing w:after="0"/>
              <w:rPr>
                <w:sz w:val="21"/>
                <w:szCs w:val="21"/>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21"/>
                <w:szCs w:val="21"/>
                <w:color w:val="auto"/>
              </w:rPr>
            </w:pP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54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JPM Equity Index Fund</w:t>
            </w:r>
          </w:p>
        </w:tc>
        <w:tc>
          <w:tcPr>
            <w:tcW w:w="240" w:type="dxa"/>
            <w:vAlign w:val="bottom"/>
            <w:shd w:val="clear" w:color="auto" w:fill="CCFFCC"/>
          </w:tcPr>
          <w:p>
            <w:pPr>
              <w:spacing w:after="0"/>
              <w:rPr>
                <w:sz w:val="21"/>
                <w:szCs w:val="21"/>
                <w:color w:val="auto"/>
              </w:rPr>
            </w:pPr>
          </w:p>
        </w:tc>
        <w:tc>
          <w:tcPr>
            <w:tcW w:w="356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870,929</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Robertson Stephens Partners</w:t>
            </w:r>
          </w:p>
        </w:tc>
        <w:tc>
          <w:tcPr>
            <w:tcW w:w="240" w:type="dxa"/>
            <w:vAlign w:val="bottom"/>
          </w:tcPr>
          <w:p>
            <w:pPr>
              <w:spacing w:after="0"/>
              <w:rPr>
                <w:sz w:val="21"/>
                <w:szCs w:val="21"/>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tcPr>
          <w:p>
            <w:pPr>
              <w:spacing w:after="0"/>
              <w:rPr>
                <w:sz w:val="21"/>
                <w:szCs w:val="21"/>
                <w:color w:val="auto"/>
              </w:rPr>
            </w:pP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54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The Scotts Company Common Shares</w:t>
            </w:r>
          </w:p>
        </w:tc>
        <w:tc>
          <w:tcPr>
            <w:tcW w:w="240" w:type="dxa"/>
            <w:vAlign w:val="bottom"/>
            <w:shd w:val="clear" w:color="auto" w:fill="CCFFCC"/>
          </w:tcPr>
          <w:p>
            <w:pPr>
              <w:spacing w:after="0"/>
              <w:rPr>
                <w:sz w:val="21"/>
                <w:szCs w:val="21"/>
                <w:color w:val="auto"/>
              </w:rPr>
            </w:pPr>
          </w:p>
        </w:tc>
        <w:tc>
          <w:tcPr>
            <w:tcW w:w="356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Mutual Fund</w:t>
            </w: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26,115</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Notes receivable (interest at prevailing local</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Participant Loans</w:t>
            </w:r>
          </w:p>
        </w:tc>
        <w:tc>
          <w:tcPr>
            <w:tcW w:w="240" w:type="dxa"/>
            <w:vAlign w:val="bottom"/>
          </w:tcPr>
          <w:p>
            <w:pPr>
              <w:spacing w:after="0"/>
              <w:rPr>
                <w:sz w:val="20"/>
                <w:szCs w:val="20"/>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rate)</w:t>
            </w:r>
          </w:p>
        </w:tc>
        <w:tc>
          <w:tcPr>
            <w:tcW w:w="220" w:type="dxa"/>
            <w:vAlign w:val="bottom"/>
          </w:tcPr>
          <w:p>
            <w:pPr>
              <w:spacing w:after="0"/>
              <w:rPr>
                <w:sz w:val="20"/>
                <w:szCs w:val="20"/>
                <w:color w:val="auto"/>
              </w:rPr>
            </w:pP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354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356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60" w:type="dxa"/>
            <w:vAlign w:val="bottom"/>
            <w:shd w:val="clear" w:color="auto" w:fill="CCFFCC"/>
          </w:tcPr>
          <w:p>
            <w:pPr>
              <w:spacing w:after="0"/>
              <w:rPr>
                <w:sz w:val="22"/>
                <w:szCs w:val="22"/>
                <w:color w:val="auto"/>
              </w:rPr>
            </w:pPr>
          </w:p>
        </w:tc>
        <w:tc>
          <w:tcPr>
            <w:tcW w:w="5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6,862,666</w:t>
            </w: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5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5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hanging="490"/>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Party-in-interest to the Plan.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 w:name="page18"/>
    <w:bookmarkEnd w:id="17"/>
    <w:p>
      <w:pPr>
        <w:ind w:left="3860"/>
        <w:spacing w:after="0"/>
        <w:rPr>
          <w:sz w:val="20"/>
          <w:szCs w:val="20"/>
          <w:color w:val="auto"/>
        </w:rPr>
      </w:pPr>
      <w:r>
        <w:rPr>
          <w:rFonts w:ascii="Times New Roman" w:cs="Times New Roman" w:eastAsia="Times New Roman" w:hAnsi="Times New Roman"/>
          <w:sz w:val="18"/>
          <w:szCs w:val="18"/>
          <w:color w:val="auto"/>
        </w:rPr>
        <w:t>SMITH &amp; HAWKEN 401(K) PLAN AND TRUST</w:t>
      </w:r>
    </w:p>
    <w:p>
      <w:pPr>
        <w:spacing w:after="0" w:line="27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ANNUAL REPORT ON FORM 11-K</w:t>
      </w:r>
    </w:p>
    <w:p>
      <w:pPr>
        <w:spacing w:after="0" w:line="2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FOR FISCAL YEAR ENDED DECEMBER 31, 2007</w:t>
      </w:r>
    </w:p>
    <w:p>
      <w:pPr>
        <w:spacing w:after="0" w:line="26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275"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Consent of Independent Registered Public Accounting Firm – Meaden &amp; Moore, Ltd.</w:t>
      </w:r>
    </w:p>
    <w:p>
      <w:pPr>
        <w:spacing w:after="0" w:line="2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Exhibit 23.1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We hereby consent to the incorporation by reference in the Registration Statement on Form S-8 (No. 33-147397) of the </w:t>
      </w:r>
      <w:r>
        <w:rPr>
          <w:rFonts w:ascii="Times New Roman" w:cs="Times New Roman" w:eastAsia="Times New Roman" w:hAnsi="Times New Roman"/>
          <w:sz w:val="18"/>
          <w:szCs w:val="18"/>
          <w:b w:val="1"/>
          <w:bCs w:val="1"/>
          <w:color w:val="auto"/>
        </w:rPr>
        <w:t>Smith &amp; Hawken Company</w:t>
      </w:r>
      <w:r>
        <w:rPr>
          <w:rFonts w:ascii="Times New Roman" w:cs="Times New Roman" w:eastAsia="Times New Roman" w:hAnsi="Times New Roman"/>
          <w:sz w:val="18"/>
          <w:szCs w:val="18"/>
          <w:color w:val="auto"/>
        </w:rPr>
        <w:t xml:space="preserve"> of our report dated June 2, 2008, relating to the financial statements and supplemental schedule of The Smith &amp; Hawken 401(k) as of and for the years ended December 31, 2007 and 2006, which apears in this Form 11-K.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Meaden &amp; Moore, Ltd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R"/>
      <w:numFmt w:val="bullet"/>
      <w:start w:val="1"/>
    </w:lvl>
  </w:abstractNum>
  <w:abstractNum w:abstractNumId="1">
    <w:nsid w:val="515F007C"/>
    <w:multiLevelType w:val="hybridMultilevel"/>
    <w:lvl w:ilvl="0">
      <w:lvlJc w:val="left"/>
      <w:lvlText w:val="1"/>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2"/>
      <w:numFmt w:val="bullet"/>
      <w:start w:val="1"/>
    </w:lvl>
  </w:abstractNum>
  <w:abstractNum w:abstractNumId="5">
    <w:nsid w:val="216231B"/>
    <w:multiLevelType w:val="hybridMultilevel"/>
    <w:lvl w:ilvl="0">
      <w:lvlJc w:val="left"/>
      <w:lvlText w:val="2"/>
      <w:numFmt w:val="bullet"/>
      <w:start w:val="1"/>
    </w:lvl>
  </w:abstractNum>
  <w:abstractNum w:abstractNumId="6">
    <w:nsid w:val="1F16E9E8"/>
    <w:multiLevelType w:val="hybridMultilevel"/>
    <w:lvl w:ilvl="0">
      <w:lvlJc w:val="left"/>
      <w:lvlText w:val="3"/>
      <w:numFmt w:val="bullet"/>
      <w:start w:val="1"/>
    </w:lvl>
  </w:abstractNum>
  <w:abstractNum w:abstractNumId="7">
    <w:nsid w:val="1190CDE7"/>
    <w:multiLevelType w:val="hybridMultilevel"/>
    <w:lvl w:ilvl="0">
      <w:lvlJc w:val="left"/>
      <w:lvlText w:val="4"/>
      <w:numFmt w:val="bullet"/>
      <w:start w:val="1"/>
    </w:lvl>
  </w:abstractNum>
  <w:abstractNum w:abstractNumId="8">
    <w:nsid w:val="66EF438D"/>
    <w:multiLevelType w:val="hybridMultilevel"/>
    <w:lvl w:ilvl="0">
      <w:lvlJc w:val="left"/>
      <w:lvlText w:val="4"/>
      <w:numFmt w:val="bullet"/>
      <w:start w:val="1"/>
    </w:lvl>
  </w:abstractNum>
  <w:abstractNum w:abstractNumId="9">
    <w:nsid w:val="140E0F76"/>
    <w:multiLevelType w:val="hybridMultilevel"/>
    <w:lvl w:ilvl="0">
      <w:lvlJc w:val="left"/>
      <w:lvlText w:val="5"/>
      <w:numFmt w:val="bullet"/>
      <w:start w:val="1"/>
    </w:lvl>
  </w:abstractNum>
  <w:abstractNum w:abstractNumId="10">
    <w:nsid w:val="3352255A"/>
    <w:multiLevelType w:val="hybridMultilevel"/>
    <w:lvl w:ilvl="0">
      <w:lvlJc w:val="left"/>
      <w:lvlText w:val="6"/>
      <w:numFmt w:val="bullet"/>
      <w:start w:val="1"/>
    </w:lvl>
  </w:abstractNum>
  <w:abstractNum w:abstractNumId="11">
    <w:nsid w:val="109CF92E"/>
    <w:multiLevelType w:val="hybridMultilevel"/>
    <w:lvl w:ilvl="0">
      <w:lvlJc w:val="left"/>
      <w:lvlText w:val="7"/>
      <w:numFmt w:val="bullet"/>
      <w:start w:val="1"/>
    </w:lvl>
  </w:abstractNum>
  <w:abstractNum w:abstractNumId="12">
    <w:nsid w:val="DED7263"/>
    <w:multiLevelType w:val="hybridMultilevel"/>
    <w:lvl w:ilvl="0">
      <w:lvlJc w:val="left"/>
      <w:lvlText w:val="8"/>
      <w:numFmt w:val="bullet"/>
      <w:start w:val="1"/>
    </w:lvl>
  </w:abstractNum>
  <w:abstractNum w:abstractNumId="13">
    <w:nsid w:val="7FDCC233"/>
    <w:multiLevelType w:val="hybridMultilevel"/>
    <w:lvl w:ilvl="0">
      <w:lvlJc w:val="left"/>
      <w:lvlText w:val="9"/>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2019-12-20T16:02:47Z</dcterms:created>
  <dcterms:modified xsi:type="dcterms:W3CDTF">2019-12-20T16:02:47Z</dcterms:modified>
</cp:coreProperties>
</file>