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filed with the Securities and Exchange Commission on January 11, 2010</w:t>
      </w:r>
    </w:p>
    <w:p>
      <w:pPr>
        <w:spacing w:after="0" w:line="27"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Registration No. 333-163330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20320</wp:posOffset>
            </wp:positionV>
            <wp:extent cx="68179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34290"/>
                    </a:xfrm>
                    <a:prstGeom prst="rect">
                      <a:avLst/>
                    </a:prstGeom>
                    <a:noFill/>
                  </pic:spPr>
                </pic:pic>
              </a:graphicData>
            </a:graphic>
          </wp:anchor>
        </w:drawing>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64770</wp:posOffset>
            </wp:positionV>
            <wp:extent cx="1020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Post-Effective Amendment No. 1</w:t>
      </w:r>
    </w:p>
    <w:p>
      <w:pPr>
        <w:spacing w:after="0" w:line="3"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to</w:t>
      </w:r>
    </w:p>
    <w:p>
      <w:pPr>
        <w:jc w:val="center"/>
        <w:ind w:right="-359"/>
        <w:spacing w:after="0"/>
        <w:rPr>
          <w:sz w:val="20"/>
          <w:szCs w:val="20"/>
          <w:color w:val="auto"/>
        </w:rPr>
      </w:pPr>
      <w:r>
        <w:rPr>
          <w:rFonts w:ascii="Arial" w:cs="Arial" w:eastAsia="Arial" w:hAnsi="Arial"/>
          <w:sz w:val="32"/>
          <w:szCs w:val="32"/>
          <w:b w:val="1"/>
          <w:bCs w:val="1"/>
          <w:color w:val="auto"/>
        </w:rPr>
        <w:t>Form S-3</w:t>
      </w:r>
    </w:p>
    <w:p>
      <w:pPr>
        <w:spacing w:after="0" w:line="16"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REGISTRATION STATEMENT</w:t>
      </w:r>
    </w:p>
    <w:p>
      <w:pPr>
        <w:jc w:val="center"/>
        <w:ind w:right="-35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64770</wp:posOffset>
            </wp:positionV>
            <wp:extent cx="1020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42" w:lineRule="exact"/>
        <w:rPr>
          <w:sz w:val="20"/>
          <w:szCs w:val="20"/>
          <w:color w:val="auto"/>
        </w:rPr>
      </w:pPr>
    </w:p>
    <w:p>
      <w:pPr>
        <w:jc w:val="center"/>
        <w:ind w:right="-359"/>
        <w:spacing w:after="0"/>
        <w:rPr>
          <w:sz w:val="20"/>
          <w:szCs w:val="20"/>
          <w:color w:val="auto"/>
        </w:rPr>
      </w:pPr>
      <w:r>
        <w:rPr>
          <w:rFonts w:ascii="Arial" w:cs="Arial" w:eastAsia="Arial" w:hAnsi="Arial"/>
          <w:sz w:val="40"/>
          <w:szCs w:val="40"/>
          <w:b w:val="1"/>
          <w:bCs w:val="1"/>
          <w:color w:val="auto"/>
        </w:rPr>
        <w:t>THE SCOTTS MIRACLE-GRO COMPANY</w:t>
      </w: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080"/>
          </w:cols>
          <w:pgMar w:left="240" w:top="122" w:right="579" w:bottom="1440" w:gutter="0" w:footer="0" w:header="0"/>
        </w:sectPr>
      </w:pPr>
    </w:p>
    <w:p>
      <w:pPr>
        <w:spacing w:after="0" w:line="21"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Ohio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31-1414921</w:t>
      </w:r>
    </w:p>
    <w:p>
      <w:pPr>
        <w:spacing w:after="0" w:line="12" w:lineRule="exact"/>
        <w:rPr>
          <w:sz w:val="20"/>
          <w:szCs w:val="20"/>
          <w:color w:val="auto"/>
        </w:rPr>
      </w:pPr>
    </w:p>
    <w:p>
      <w:pPr>
        <w:sectPr>
          <w:pgSz w:w="11900" w:h="16838" w:orient="portrait"/>
          <w:cols w:equalWidth="0" w:num="2">
            <w:col w:w="7380" w:space="720"/>
            <w:col w:w="2980"/>
          </w:cols>
          <w:pgMar w:left="240" w:top="122" w:right="579" w:bottom="1440" w:gutter="0" w:footer="0" w:header="0"/>
          <w:type w:val="continuous"/>
        </w:sectPr>
      </w:pPr>
    </w:p>
    <w:p>
      <w:pPr>
        <w:spacing w:after="0" w:line="2" w:lineRule="exact"/>
        <w:rPr>
          <w:sz w:val="20"/>
          <w:szCs w:val="20"/>
          <w:color w:val="auto"/>
        </w:rPr>
      </w:pPr>
    </w:p>
    <w:p>
      <w:pPr>
        <w:ind w:left="2300"/>
        <w:spacing w:after="0"/>
        <w:rPr>
          <w:sz w:val="20"/>
          <w:szCs w:val="20"/>
          <w:color w:val="auto"/>
        </w:rPr>
      </w:pPr>
      <w:r>
        <w:rPr>
          <w:rFonts w:ascii="Arial" w:cs="Arial" w:eastAsia="Arial" w:hAnsi="Arial"/>
          <w:sz w:val="12"/>
          <w:szCs w:val="12"/>
          <w:i w:val="1"/>
          <w:iCs w:val="1"/>
          <w:color w:val="auto"/>
        </w:rPr>
        <w:t>(State or other jurisdiction of</w:t>
      </w:r>
    </w:p>
    <w:p>
      <w:pPr>
        <w:ind w:left="226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060"/>
        <w:spacing w:after="0" w:line="226" w:lineRule="auto"/>
        <w:rPr>
          <w:sz w:val="20"/>
          <w:szCs w:val="20"/>
          <w:color w:val="auto"/>
        </w:rPr>
      </w:pPr>
      <w:r>
        <w:rPr>
          <w:rFonts w:ascii="Arial" w:cs="Arial" w:eastAsia="Arial" w:hAnsi="Arial"/>
          <w:sz w:val="13"/>
          <w:szCs w:val="13"/>
          <w:i w:val="1"/>
          <w:iCs w:val="1"/>
          <w:color w:val="auto"/>
        </w:rPr>
        <w:t>(I.R.S. Employer</w:t>
      </w:r>
    </w:p>
    <w:p>
      <w:pPr>
        <w:jc w:val="center"/>
        <w:ind w:right="2060"/>
        <w:spacing w:after="0"/>
        <w:rPr>
          <w:sz w:val="20"/>
          <w:szCs w:val="20"/>
          <w:color w:val="auto"/>
        </w:rPr>
      </w:pPr>
      <w:r>
        <w:rPr>
          <w:rFonts w:ascii="Arial" w:cs="Arial" w:eastAsia="Arial" w:hAnsi="Arial"/>
          <w:sz w:val="11"/>
          <w:szCs w:val="11"/>
          <w:i w:val="1"/>
          <w:iCs w:val="1"/>
          <w:color w:val="auto"/>
        </w:rPr>
        <w:t>Identification Number)</w:t>
      </w:r>
    </w:p>
    <w:p>
      <w:pPr>
        <w:spacing w:after="0" w:line="17" w:lineRule="exact"/>
        <w:rPr>
          <w:sz w:val="20"/>
          <w:szCs w:val="20"/>
          <w:color w:val="auto"/>
        </w:rPr>
      </w:pPr>
    </w:p>
    <w:p>
      <w:pPr>
        <w:sectPr>
          <w:pgSz w:w="11900" w:h="16838" w:orient="portrait"/>
          <w:cols w:equalWidth="0" w:num="2">
            <w:col w:w="7140" w:space="720"/>
            <w:col w:w="3220"/>
          </w:cols>
          <w:pgMar w:left="240" w:top="122" w:right="579" w:bottom="1440" w:gutter="0" w:footer="0" w:header="0"/>
          <w:type w:val="continuous"/>
        </w:sectPr>
      </w:pPr>
    </w:p>
    <w:p>
      <w:pPr>
        <w:jc w:val="center"/>
        <w:ind w:right="-339"/>
        <w:spacing w:after="0"/>
        <w:rPr>
          <w:sz w:val="20"/>
          <w:szCs w:val="20"/>
          <w:color w:val="auto"/>
        </w:rPr>
      </w:pPr>
      <w:r>
        <w:rPr>
          <w:rFonts w:ascii="Arial" w:cs="Arial" w:eastAsia="Arial" w:hAnsi="Arial"/>
          <w:sz w:val="12"/>
          <w:szCs w:val="12"/>
          <w:b w:val="1"/>
          <w:bCs w:val="1"/>
          <w:color w:val="auto"/>
        </w:rPr>
        <w:t>14111 Scottslawn Road</w:t>
      </w:r>
    </w:p>
    <w:p>
      <w:pPr>
        <w:jc w:val="center"/>
        <w:ind w:right="-339"/>
        <w:spacing w:after="0"/>
        <w:rPr>
          <w:sz w:val="20"/>
          <w:szCs w:val="20"/>
          <w:color w:val="auto"/>
        </w:rPr>
      </w:pPr>
      <w:r>
        <w:rPr>
          <w:rFonts w:ascii="Arial" w:cs="Arial" w:eastAsia="Arial" w:hAnsi="Arial"/>
          <w:sz w:val="13"/>
          <w:szCs w:val="13"/>
          <w:b w:val="1"/>
          <w:bCs w:val="1"/>
          <w:color w:val="auto"/>
        </w:rPr>
        <w:t>Marysville, Ohio 43041</w:t>
      </w:r>
    </w:p>
    <w:p>
      <w:pPr>
        <w:jc w:val="center"/>
        <w:ind w:right="-339"/>
        <w:spacing w:after="0"/>
        <w:rPr>
          <w:sz w:val="20"/>
          <w:szCs w:val="20"/>
          <w:color w:val="auto"/>
        </w:rPr>
      </w:pPr>
      <w:r>
        <w:rPr>
          <w:rFonts w:ascii="Arial" w:cs="Arial" w:eastAsia="Arial" w:hAnsi="Arial"/>
          <w:sz w:val="14"/>
          <w:szCs w:val="14"/>
          <w:b w:val="1"/>
          <w:bCs w:val="1"/>
          <w:color w:val="auto"/>
        </w:rPr>
        <w:t>(937) 644-0011</w:t>
      </w:r>
    </w:p>
    <w:p>
      <w:pPr>
        <w:sectPr>
          <w:pgSz w:w="11900" w:h="16838" w:orient="portrait"/>
          <w:cols w:equalWidth="0" w:num="1">
            <w:col w:w="11080"/>
          </w:cols>
          <w:pgMar w:left="240" w:top="122" w:right="579" w:bottom="1440" w:gutter="0" w:footer="0" w:header="0"/>
          <w:type w:val="continuous"/>
        </w:sectPr>
      </w:pPr>
    </w:p>
    <w:p>
      <w:pPr>
        <w:ind w:left="2800"/>
        <w:spacing w:after="0" w:line="225" w:lineRule="auto"/>
        <w:rPr>
          <w:sz w:val="20"/>
          <w:szCs w:val="20"/>
          <w:color w:val="auto"/>
        </w:rPr>
      </w:pPr>
      <w:r>
        <w:rPr>
          <w:rFonts w:ascii="Arial" w:cs="Arial" w:eastAsia="Arial" w:hAnsi="Arial"/>
          <w:sz w:val="13"/>
          <w:szCs w:val="13"/>
          <w:i w:val="1"/>
          <w:i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78740</wp:posOffset>
            </wp:positionV>
            <wp:extent cx="1020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31"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380" w:type="dxa"/>
            <w:vAlign w:val="bottom"/>
          </w:tcPr>
          <w:p>
            <w:pPr>
              <w:jc w:val="center"/>
              <w:ind w:right="1310"/>
              <w:spacing w:after="0"/>
              <w:rPr>
                <w:sz w:val="20"/>
                <w:szCs w:val="20"/>
                <w:color w:val="auto"/>
              </w:rPr>
            </w:pPr>
            <w:r>
              <w:rPr>
                <w:rFonts w:ascii="Arial" w:cs="Arial" w:eastAsia="Arial" w:hAnsi="Arial"/>
                <w:sz w:val="14"/>
                <w:szCs w:val="14"/>
                <w:b w:val="1"/>
                <w:bCs w:val="1"/>
                <w:color w:val="auto"/>
                <w:w w:val="94"/>
              </w:rPr>
              <w:t>Vincent C. Brockman, Esq.</w:t>
            </w:r>
          </w:p>
        </w:tc>
        <w:tc>
          <w:tcPr>
            <w:tcW w:w="3660" w:type="dxa"/>
            <w:vAlign w:val="bottom"/>
          </w:tcPr>
          <w:p>
            <w:pPr>
              <w:jc w:val="center"/>
              <w:ind w:left="1328"/>
              <w:spacing w:after="0"/>
              <w:rPr>
                <w:sz w:val="20"/>
                <w:szCs w:val="20"/>
                <w:color w:val="auto"/>
              </w:rPr>
            </w:pPr>
            <w:r>
              <w:rPr>
                <w:rFonts w:ascii="Arial" w:cs="Arial" w:eastAsia="Arial" w:hAnsi="Arial"/>
                <w:sz w:val="14"/>
                <w:szCs w:val="14"/>
                <w:b w:val="1"/>
                <w:bCs w:val="1"/>
                <w:i w:val="1"/>
                <w:iCs w:val="1"/>
                <w:color w:val="auto"/>
                <w:w w:val="87"/>
              </w:rPr>
              <w:t>Copy to:</w:t>
            </w:r>
          </w:p>
        </w:tc>
      </w:tr>
      <w:tr>
        <w:trPr>
          <w:trHeight w:val="149"/>
        </w:trPr>
        <w:tc>
          <w:tcPr>
            <w:tcW w:w="4380" w:type="dxa"/>
            <w:vAlign w:val="bottom"/>
          </w:tcPr>
          <w:p>
            <w:pPr>
              <w:jc w:val="center"/>
              <w:ind w:right="1310"/>
              <w:spacing w:after="0" w:line="149" w:lineRule="exact"/>
              <w:rPr>
                <w:sz w:val="20"/>
                <w:szCs w:val="20"/>
                <w:color w:val="auto"/>
              </w:rPr>
            </w:pPr>
            <w:r>
              <w:rPr>
                <w:rFonts w:ascii="Arial" w:cs="Arial" w:eastAsia="Arial" w:hAnsi="Arial"/>
                <w:sz w:val="14"/>
                <w:szCs w:val="14"/>
                <w:b w:val="1"/>
                <w:bCs w:val="1"/>
                <w:color w:val="auto"/>
                <w:w w:val="91"/>
              </w:rPr>
              <w:t>Executive Vice President, General Counsel and</w:t>
            </w:r>
          </w:p>
        </w:tc>
        <w:tc>
          <w:tcPr>
            <w:tcW w:w="3660" w:type="dxa"/>
            <w:vAlign w:val="bottom"/>
          </w:tcPr>
          <w:p>
            <w:pPr>
              <w:spacing w:after="0"/>
              <w:rPr>
                <w:sz w:val="12"/>
                <w:szCs w:val="12"/>
                <w:color w:val="auto"/>
              </w:rPr>
            </w:pPr>
          </w:p>
        </w:tc>
      </w:tr>
      <w:tr>
        <w:trPr>
          <w:trHeight w:val="149"/>
        </w:trPr>
        <w:tc>
          <w:tcPr>
            <w:tcW w:w="4380" w:type="dxa"/>
            <w:vAlign w:val="bottom"/>
          </w:tcPr>
          <w:p>
            <w:pPr>
              <w:jc w:val="center"/>
              <w:ind w:right="1310"/>
              <w:spacing w:after="0" w:line="149" w:lineRule="exact"/>
              <w:rPr>
                <w:sz w:val="20"/>
                <w:szCs w:val="20"/>
                <w:color w:val="auto"/>
              </w:rPr>
            </w:pPr>
            <w:r>
              <w:rPr>
                <w:rFonts w:ascii="Arial" w:cs="Arial" w:eastAsia="Arial" w:hAnsi="Arial"/>
                <w:sz w:val="14"/>
                <w:szCs w:val="14"/>
                <w:b w:val="1"/>
                <w:bCs w:val="1"/>
                <w:color w:val="auto"/>
                <w:w w:val="95"/>
              </w:rPr>
              <w:t>Corporate Secretary</w:t>
            </w:r>
          </w:p>
        </w:tc>
        <w:tc>
          <w:tcPr>
            <w:tcW w:w="3660" w:type="dxa"/>
            <w:vAlign w:val="bottom"/>
          </w:tcPr>
          <w:p>
            <w:pPr>
              <w:jc w:val="center"/>
              <w:ind w:left="1328"/>
              <w:spacing w:after="0" w:line="149" w:lineRule="exact"/>
              <w:rPr>
                <w:sz w:val="20"/>
                <w:szCs w:val="20"/>
                <w:color w:val="auto"/>
              </w:rPr>
            </w:pPr>
            <w:r>
              <w:rPr>
                <w:rFonts w:ascii="Arial" w:cs="Arial" w:eastAsia="Arial" w:hAnsi="Arial"/>
                <w:sz w:val="14"/>
                <w:szCs w:val="14"/>
                <w:b w:val="1"/>
                <w:bCs w:val="1"/>
                <w:i w:val="1"/>
                <w:iCs w:val="1"/>
                <w:color w:val="auto"/>
                <w:w w:val="90"/>
              </w:rPr>
              <w:t>Adam K. Brandt, Esq.</w:t>
            </w:r>
          </w:p>
        </w:tc>
      </w:tr>
      <w:tr>
        <w:trPr>
          <w:trHeight w:val="149"/>
        </w:trPr>
        <w:tc>
          <w:tcPr>
            <w:tcW w:w="4380" w:type="dxa"/>
            <w:vAlign w:val="bottom"/>
          </w:tcPr>
          <w:p>
            <w:pPr>
              <w:jc w:val="center"/>
              <w:ind w:right="1310"/>
              <w:spacing w:after="0" w:line="149" w:lineRule="exact"/>
              <w:rPr>
                <w:sz w:val="20"/>
                <w:szCs w:val="20"/>
                <w:color w:val="auto"/>
              </w:rPr>
            </w:pPr>
            <w:r>
              <w:rPr>
                <w:rFonts w:ascii="Arial" w:cs="Arial" w:eastAsia="Arial" w:hAnsi="Arial"/>
                <w:sz w:val="14"/>
                <w:szCs w:val="14"/>
                <w:b w:val="1"/>
                <w:bCs w:val="1"/>
                <w:color w:val="auto"/>
                <w:w w:val="94"/>
              </w:rPr>
              <w:t>The Scotts Miracle-Gro Company</w:t>
            </w:r>
          </w:p>
        </w:tc>
        <w:tc>
          <w:tcPr>
            <w:tcW w:w="3660" w:type="dxa"/>
            <w:vAlign w:val="bottom"/>
          </w:tcPr>
          <w:p>
            <w:pPr>
              <w:jc w:val="center"/>
              <w:ind w:left="1328"/>
              <w:spacing w:after="0" w:line="149" w:lineRule="exact"/>
              <w:rPr>
                <w:sz w:val="20"/>
                <w:szCs w:val="20"/>
                <w:color w:val="auto"/>
              </w:rPr>
            </w:pPr>
            <w:r>
              <w:rPr>
                <w:rFonts w:ascii="Arial" w:cs="Arial" w:eastAsia="Arial" w:hAnsi="Arial"/>
                <w:sz w:val="14"/>
                <w:szCs w:val="14"/>
                <w:b w:val="1"/>
                <w:bCs w:val="1"/>
                <w:i w:val="1"/>
                <w:iCs w:val="1"/>
                <w:color w:val="auto"/>
                <w:w w:val="89"/>
              </w:rPr>
              <w:t>Vorys, Sater, Seymour and Pease LLP</w:t>
            </w:r>
          </w:p>
        </w:tc>
      </w:tr>
      <w:tr>
        <w:trPr>
          <w:trHeight w:val="149"/>
        </w:trPr>
        <w:tc>
          <w:tcPr>
            <w:tcW w:w="4380" w:type="dxa"/>
            <w:vAlign w:val="bottom"/>
          </w:tcPr>
          <w:p>
            <w:pPr>
              <w:jc w:val="center"/>
              <w:ind w:right="1310"/>
              <w:spacing w:after="0" w:line="149" w:lineRule="exact"/>
              <w:rPr>
                <w:sz w:val="20"/>
                <w:szCs w:val="20"/>
                <w:color w:val="auto"/>
              </w:rPr>
            </w:pPr>
            <w:r>
              <w:rPr>
                <w:rFonts w:ascii="Arial" w:cs="Arial" w:eastAsia="Arial" w:hAnsi="Arial"/>
                <w:sz w:val="14"/>
                <w:szCs w:val="14"/>
                <w:b w:val="1"/>
                <w:bCs w:val="1"/>
                <w:color w:val="auto"/>
                <w:w w:val="89"/>
              </w:rPr>
              <w:t>14111 Scottslawn Road</w:t>
            </w:r>
          </w:p>
        </w:tc>
        <w:tc>
          <w:tcPr>
            <w:tcW w:w="3660" w:type="dxa"/>
            <w:vAlign w:val="bottom"/>
          </w:tcPr>
          <w:p>
            <w:pPr>
              <w:jc w:val="center"/>
              <w:ind w:left="1328"/>
              <w:spacing w:after="0" w:line="149" w:lineRule="exact"/>
              <w:rPr>
                <w:sz w:val="20"/>
                <w:szCs w:val="20"/>
                <w:color w:val="auto"/>
              </w:rPr>
            </w:pPr>
            <w:r>
              <w:rPr>
                <w:rFonts w:ascii="Arial" w:cs="Arial" w:eastAsia="Arial" w:hAnsi="Arial"/>
                <w:sz w:val="14"/>
                <w:szCs w:val="14"/>
                <w:b w:val="1"/>
                <w:bCs w:val="1"/>
                <w:i w:val="1"/>
                <w:iCs w:val="1"/>
                <w:color w:val="auto"/>
                <w:w w:val="89"/>
              </w:rPr>
              <w:t>52 East Gay Street</w:t>
            </w:r>
          </w:p>
        </w:tc>
      </w:tr>
      <w:tr>
        <w:trPr>
          <w:trHeight w:val="149"/>
        </w:trPr>
        <w:tc>
          <w:tcPr>
            <w:tcW w:w="4380" w:type="dxa"/>
            <w:vAlign w:val="bottom"/>
          </w:tcPr>
          <w:p>
            <w:pPr>
              <w:jc w:val="center"/>
              <w:ind w:right="1310"/>
              <w:spacing w:after="0" w:line="149" w:lineRule="exact"/>
              <w:rPr>
                <w:sz w:val="20"/>
                <w:szCs w:val="20"/>
                <w:color w:val="auto"/>
              </w:rPr>
            </w:pPr>
            <w:r>
              <w:rPr>
                <w:rFonts w:ascii="Arial" w:cs="Arial" w:eastAsia="Arial" w:hAnsi="Arial"/>
                <w:sz w:val="14"/>
                <w:szCs w:val="14"/>
                <w:b w:val="1"/>
                <w:bCs w:val="1"/>
                <w:color w:val="auto"/>
                <w:w w:val="95"/>
              </w:rPr>
              <w:t>Marysville, Ohio 43041</w:t>
            </w:r>
          </w:p>
        </w:tc>
        <w:tc>
          <w:tcPr>
            <w:tcW w:w="3660" w:type="dxa"/>
            <w:vAlign w:val="bottom"/>
          </w:tcPr>
          <w:p>
            <w:pPr>
              <w:jc w:val="center"/>
              <w:ind w:left="1328"/>
              <w:spacing w:after="0" w:line="149" w:lineRule="exact"/>
              <w:rPr>
                <w:sz w:val="20"/>
                <w:szCs w:val="20"/>
                <w:color w:val="auto"/>
              </w:rPr>
            </w:pPr>
            <w:r>
              <w:rPr>
                <w:rFonts w:ascii="Arial" w:cs="Arial" w:eastAsia="Arial" w:hAnsi="Arial"/>
                <w:sz w:val="14"/>
                <w:szCs w:val="14"/>
                <w:b w:val="1"/>
                <w:bCs w:val="1"/>
                <w:i w:val="1"/>
                <w:iCs w:val="1"/>
                <w:color w:val="auto"/>
                <w:w w:val="91"/>
              </w:rPr>
              <w:t>Columbus, Ohio 43215</w:t>
            </w:r>
          </w:p>
        </w:tc>
      </w:tr>
      <w:tr>
        <w:trPr>
          <w:trHeight w:val="157"/>
        </w:trPr>
        <w:tc>
          <w:tcPr>
            <w:tcW w:w="4380" w:type="dxa"/>
            <w:vAlign w:val="bottom"/>
          </w:tcPr>
          <w:p>
            <w:pPr>
              <w:jc w:val="center"/>
              <w:ind w:right="1310"/>
              <w:spacing w:after="0" w:line="157" w:lineRule="exact"/>
              <w:rPr>
                <w:sz w:val="20"/>
                <w:szCs w:val="20"/>
                <w:color w:val="auto"/>
              </w:rPr>
            </w:pPr>
            <w:r>
              <w:rPr>
                <w:rFonts w:ascii="Arial" w:cs="Arial" w:eastAsia="Arial" w:hAnsi="Arial"/>
                <w:sz w:val="14"/>
                <w:szCs w:val="14"/>
                <w:b w:val="1"/>
                <w:bCs w:val="1"/>
                <w:color w:val="auto"/>
                <w:w w:val="91"/>
              </w:rPr>
              <w:t>(937) 644-0011</w:t>
            </w:r>
          </w:p>
        </w:tc>
        <w:tc>
          <w:tcPr>
            <w:tcW w:w="3660" w:type="dxa"/>
            <w:vAlign w:val="bottom"/>
          </w:tcPr>
          <w:p>
            <w:pPr>
              <w:jc w:val="center"/>
              <w:ind w:left="1328"/>
              <w:spacing w:after="0" w:line="157" w:lineRule="exact"/>
              <w:rPr>
                <w:sz w:val="20"/>
                <w:szCs w:val="20"/>
                <w:color w:val="auto"/>
              </w:rPr>
            </w:pPr>
            <w:r>
              <w:rPr>
                <w:rFonts w:ascii="Arial" w:cs="Arial" w:eastAsia="Arial" w:hAnsi="Arial"/>
                <w:sz w:val="14"/>
                <w:szCs w:val="14"/>
                <w:b w:val="1"/>
                <w:bCs w:val="1"/>
                <w:i w:val="1"/>
                <w:iCs w:val="1"/>
                <w:color w:val="auto"/>
                <w:w w:val="93"/>
              </w:rPr>
              <w:t>(614) 464-6400</w:t>
            </w:r>
          </w:p>
        </w:tc>
      </w:tr>
      <w:tr>
        <w:trPr>
          <w:trHeight w:val="135"/>
        </w:trPr>
        <w:tc>
          <w:tcPr>
            <w:tcW w:w="4380" w:type="dxa"/>
            <w:vAlign w:val="bottom"/>
          </w:tcPr>
          <w:p>
            <w:pPr>
              <w:jc w:val="center"/>
              <w:ind w:right="1330"/>
              <w:spacing w:after="0" w:line="135" w:lineRule="exact"/>
              <w:rPr>
                <w:sz w:val="20"/>
                <w:szCs w:val="20"/>
                <w:color w:val="auto"/>
              </w:rPr>
            </w:pPr>
            <w:r>
              <w:rPr>
                <w:rFonts w:ascii="Arial" w:cs="Arial" w:eastAsia="Arial" w:hAnsi="Arial"/>
                <w:sz w:val="13"/>
                <w:szCs w:val="13"/>
                <w:i w:val="1"/>
                <w:iCs w:val="1"/>
                <w:color w:val="auto"/>
                <w:w w:val="86"/>
              </w:rPr>
              <w:t>(Name, address, including zip code, and telephone number,</w:t>
            </w:r>
          </w:p>
        </w:tc>
        <w:tc>
          <w:tcPr>
            <w:tcW w:w="3660" w:type="dxa"/>
            <w:vAlign w:val="bottom"/>
          </w:tcPr>
          <w:p>
            <w:pPr>
              <w:spacing w:after="0"/>
              <w:rPr>
                <w:sz w:val="11"/>
                <w:szCs w:val="11"/>
                <w:color w:val="auto"/>
              </w:rPr>
            </w:pPr>
          </w:p>
        </w:tc>
      </w:tr>
      <w:tr>
        <w:trPr>
          <w:trHeight w:val="160"/>
        </w:trPr>
        <w:tc>
          <w:tcPr>
            <w:tcW w:w="4380" w:type="dxa"/>
            <w:vAlign w:val="bottom"/>
          </w:tcPr>
          <w:p>
            <w:pPr>
              <w:jc w:val="center"/>
              <w:ind w:right="1310"/>
              <w:spacing w:after="0"/>
              <w:rPr>
                <w:sz w:val="20"/>
                <w:szCs w:val="20"/>
                <w:color w:val="auto"/>
              </w:rPr>
            </w:pPr>
            <w:r>
              <w:rPr>
                <w:rFonts w:ascii="Arial" w:cs="Arial" w:eastAsia="Arial" w:hAnsi="Arial"/>
                <w:sz w:val="13"/>
                <w:szCs w:val="13"/>
                <w:i w:val="1"/>
                <w:iCs w:val="1"/>
                <w:color w:val="auto"/>
                <w:w w:val="88"/>
              </w:rPr>
              <w:t>including area code, of agent for service)</w:t>
            </w:r>
          </w:p>
        </w:tc>
        <w:tc>
          <w:tcPr>
            <w:tcW w:w="36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78740</wp:posOffset>
            </wp:positionV>
            <wp:extent cx="1020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30"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109" w:lineRule="exact"/>
        <w:rPr>
          <w:sz w:val="20"/>
          <w:szCs w:val="20"/>
          <w:color w:val="auto"/>
        </w:rPr>
      </w:pPr>
    </w:p>
    <w:p>
      <w:pPr>
        <w:ind w:left="360" w:right="240" w:firstLine="214"/>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86" w:lineRule="exact"/>
        <w:rPr>
          <w:sz w:val="20"/>
          <w:szCs w:val="20"/>
          <w:color w:val="auto"/>
        </w:rPr>
      </w:pPr>
    </w:p>
    <w:p>
      <w:pPr>
        <w:ind w:left="360" w:right="520" w:firstLine="214"/>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79" w:lineRule="exact"/>
        <w:rPr>
          <w:sz w:val="20"/>
          <w:szCs w:val="20"/>
          <w:color w:val="auto"/>
        </w:rPr>
      </w:pPr>
    </w:p>
    <w:p>
      <w:pPr>
        <w:ind w:left="360" w:right="60" w:firstLine="214"/>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79" w:lineRule="exact"/>
        <w:rPr>
          <w:sz w:val="20"/>
          <w:szCs w:val="20"/>
          <w:color w:val="auto"/>
        </w:rPr>
      </w:pPr>
    </w:p>
    <w:p>
      <w:pPr>
        <w:ind w:left="360" w:right="480" w:firstLine="214"/>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86" w:lineRule="exact"/>
        <w:rPr>
          <w:sz w:val="20"/>
          <w:szCs w:val="20"/>
          <w:color w:val="auto"/>
        </w:rPr>
      </w:pPr>
    </w:p>
    <w:p>
      <w:pPr>
        <w:ind w:left="360" w:right="100" w:firstLine="214"/>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86" w:lineRule="exact"/>
        <w:rPr>
          <w:sz w:val="20"/>
          <w:szCs w:val="20"/>
          <w:color w:val="auto"/>
        </w:rPr>
      </w:pPr>
    </w:p>
    <w:p>
      <w:pPr>
        <w:ind w:left="360" w:right="300" w:firstLine="214"/>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9"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000" w:type="dxa"/>
            <w:vAlign w:val="bottom"/>
          </w:tcPr>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2360" w:type="dxa"/>
            <w:vAlign w:val="bottom"/>
          </w:tcPr>
          <w:p>
            <w:pPr>
              <w:ind w:left="700"/>
              <w:spacing w:after="0"/>
              <w:rPr>
                <w:sz w:val="20"/>
                <w:szCs w:val="20"/>
                <w:color w:val="auto"/>
              </w:rPr>
            </w:pPr>
            <w:r>
              <w:rPr>
                <w:rFonts w:ascii="Arial" w:cs="Arial" w:eastAsia="Arial" w:hAnsi="Arial"/>
                <w:sz w:val="13"/>
                <w:szCs w:val="13"/>
                <w:color w:val="auto"/>
              </w:rPr>
              <w:t>Accelerated filer o</w:t>
            </w:r>
          </w:p>
        </w:tc>
        <w:tc>
          <w:tcPr>
            <w:tcW w:w="3760" w:type="dxa"/>
            <w:vAlign w:val="bottom"/>
          </w:tcPr>
          <w:p>
            <w:pPr>
              <w:jc w:val="center"/>
              <w:spacing w:after="0"/>
              <w:rPr>
                <w:sz w:val="20"/>
                <w:szCs w:val="20"/>
                <w:color w:val="auto"/>
              </w:rPr>
            </w:pPr>
            <w:r>
              <w:rPr>
                <w:rFonts w:ascii="Arial" w:cs="Arial" w:eastAsia="Arial" w:hAnsi="Arial"/>
                <w:sz w:val="13"/>
                <w:szCs w:val="13"/>
                <w:color w:val="auto"/>
                <w:w w:val="88"/>
              </w:rPr>
              <w:t>Non-accelerated filer o</w:t>
            </w:r>
          </w:p>
        </w:tc>
        <w:tc>
          <w:tcPr>
            <w:tcW w:w="2200" w:type="dxa"/>
            <w:vAlign w:val="bottom"/>
          </w:tcPr>
          <w:p>
            <w:pPr>
              <w:ind w:left="740"/>
              <w:spacing w:after="0"/>
              <w:rPr>
                <w:sz w:val="20"/>
                <w:szCs w:val="20"/>
                <w:color w:val="auto"/>
              </w:rPr>
            </w:pPr>
            <w:r>
              <w:rPr>
                <w:rFonts w:ascii="Arial" w:cs="Arial" w:eastAsia="Arial" w:hAnsi="Arial"/>
                <w:sz w:val="13"/>
                <w:szCs w:val="13"/>
                <w:color w:val="auto"/>
                <w:w w:val="86"/>
              </w:rPr>
              <w:t>Smaller reporting company o</w:t>
            </w:r>
          </w:p>
        </w:tc>
      </w:tr>
      <w:tr>
        <w:trPr>
          <w:trHeight w:val="160"/>
        </w:trPr>
        <w:tc>
          <w:tcPr>
            <w:tcW w:w="20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760" w:type="dxa"/>
            <w:vAlign w:val="bottom"/>
          </w:tcPr>
          <w:p>
            <w:pPr>
              <w:jc w:val="center"/>
              <w:spacing w:after="0"/>
              <w:rPr>
                <w:sz w:val="20"/>
                <w:szCs w:val="20"/>
                <w:color w:val="auto"/>
              </w:rPr>
            </w:pPr>
            <w:r>
              <w:rPr>
                <w:rFonts w:ascii="Arial" w:cs="Arial" w:eastAsia="Arial" w:hAnsi="Arial"/>
                <w:sz w:val="13"/>
                <w:szCs w:val="13"/>
                <w:color w:val="auto"/>
                <w:w w:val="89"/>
              </w:rPr>
              <w:t>(Do not check if a smaller reporting company)</w:t>
            </w:r>
          </w:p>
        </w:tc>
        <w:tc>
          <w:tcPr>
            <w:tcW w:w="22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86995</wp:posOffset>
            </wp:positionV>
            <wp:extent cx="1020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43"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CALCULATION OF REGISTRATION FEE</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40"/>
        </w:trPr>
        <w:tc>
          <w:tcPr>
            <w:tcW w:w="4840" w:type="dxa"/>
            <w:vAlign w:val="bottom"/>
            <w:tcBorders>
              <w:top w:val="single" w:sz="8" w:color="auto"/>
              <w:bottom w:val="single" w:sz="8" w:color="auto"/>
              <w:right w:val="single" w:sz="8" w:color="auto"/>
            </w:tcBorders>
          </w:tcPr>
          <w:p>
            <w:pPr>
              <w:spacing w:after="0"/>
              <w:rPr>
                <w:sz w:val="3"/>
                <w:szCs w:val="3"/>
                <w:color w:val="auto"/>
              </w:rPr>
            </w:pPr>
          </w:p>
        </w:tc>
        <w:tc>
          <w:tcPr>
            <w:tcW w:w="1520" w:type="dxa"/>
            <w:vAlign w:val="bottom"/>
            <w:tcBorders>
              <w:top w:val="single" w:sz="8" w:color="auto"/>
              <w:bottom w:val="single" w:sz="8" w:color="auto"/>
              <w:right w:val="single" w:sz="8" w:color="auto"/>
            </w:tcBorders>
          </w:tcPr>
          <w:p>
            <w:pPr>
              <w:spacing w:after="0"/>
              <w:rPr>
                <w:sz w:val="3"/>
                <w:szCs w:val="3"/>
                <w:color w:val="auto"/>
              </w:rPr>
            </w:pPr>
          </w:p>
        </w:tc>
        <w:tc>
          <w:tcPr>
            <w:tcW w:w="1520" w:type="dxa"/>
            <w:vAlign w:val="bottom"/>
            <w:tcBorders>
              <w:top w:val="single" w:sz="8" w:color="auto"/>
              <w:bottom w:val="single" w:sz="8" w:color="auto"/>
              <w:right w:val="single" w:sz="8" w:color="auto"/>
            </w:tcBorders>
          </w:tcPr>
          <w:p>
            <w:pPr>
              <w:spacing w:after="0"/>
              <w:rPr>
                <w:sz w:val="3"/>
                <w:szCs w:val="3"/>
                <w:color w:val="auto"/>
              </w:rPr>
            </w:pPr>
          </w:p>
        </w:tc>
        <w:tc>
          <w:tcPr>
            <w:tcW w:w="1480" w:type="dxa"/>
            <w:vAlign w:val="bottom"/>
            <w:tcBorders>
              <w:top w:val="single" w:sz="8" w:color="auto"/>
              <w:bottom w:val="single" w:sz="8" w:color="auto"/>
              <w:right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97"/>
        </w:trPr>
        <w:tc>
          <w:tcPr>
            <w:tcW w:w="484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48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360" w:type="dxa"/>
            <w:vAlign w:val="bottom"/>
          </w:tcPr>
          <w:p>
            <w:pPr>
              <w:jc w:val="center"/>
              <w:ind w:left="40"/>
              <w:spacing w:after="0" w:line="97" w:lineRule="exact"/>
              <w:rPr>
                <w:sz w:val="20"/>
                <w:szCs w:val="20"/>
                <w:color w:val="auto"/>
              </w:rPr>
            </w:pPr>
            <w:r>
              <w:rPr>
                <w:rFonts w:ascii="Arial" w:cs="Arial" w:eastAsia="Arial" w:hAnsi="Arial"/>
                <w:sz w:val="11"/>
                <w:szCs w:val="11"/>
                <w:b w:val="1"/>
                <w:bCs w:val="1"/>
                <w:color w:val="auto"/>
              </w:rPr>
              <w:t>Amount of</w:t>
            </w:r>
          </w:p>
        </w:tc>
      </w:tr>
      <w:tr>
        <w:trPr>
          <w:trHeight w:val="135"/>
        </w:trPr>
        <w:tc>
          <w:tcPr>
            <w:tcW w:w="4840" w:type="dxa"/>
            <w:vAlign w:val="bottom"/>
            <w:tcBorders>
              <w:right w:val="single" w:sz="8" w:color="auto"/>
            </w:tcBorders>
          </w:tcPr>
          <w:p>
            <w:pPr>
              <w:ind w:left="1520"/>
              <w:spacing w:after="0" w:line="135" w:lineRule="exact"/>
              <w:rPr>
                <w:sz w:val="20"/>
                <w:szCs w:val="20"/>
                <w:color w:val="auto"/>
              </w:rPr>
            </w:pPr>
            <w:r>
              <w:rPr>
                <w:rFonts w:ascii="Arial" w:cs="Arial" w:eastAsia="Arial" w:hAnsi="Arial"/>
                <w:sz w:val="13"/>
                <w:szCs w:val="13"/>
                <w:b w:val="1"/>
                <w:bCs w:val="1"/>
                <w:color w:val="auto"/>
              </w:rPr>
              <w:t>Title of Each Class of Securities</w:t>
            </w:r>
          </w:p>
        </w:tc>
        <w:tc>
          <w:tcPr>
            <w:tcW w:w="1520" w:type="dxa"/>
            <w:vAlign w:val="bottom"/>
            <w:tcBorders>
              <w:right w:val="single" w:sz="8" w:color="auto"/>
            </w:tcBorders>
          </w:tcPr>
          <w:p>
            <w:pPr>
              <w:ind w:left="400"/>
              <w:spacing w:after="0" w:line="135" w:lineRule="exact"/>
              <w:rPr>
                <w:sz w:val="20"/>
                <w:szCs w:val="20"/>
                <w:color w:val="auto"/>
              </w:rPr>
            </w:pPr>
            <w:r>
              <w:rPr>
                <w:rFonts w:ascii="Arial" w:cs="Arial" w:eastAsia="Arial" w:hAnsi="Arial"/>
                <w:sz w:val="13"/>
                <w:szCs w:val="13"/>
                <w:b w:val="1"/>
                <w:bCs w:val="1"/>
                <w:color w:val="auto"/>
              </w:rPr>
              <w:t>Amount to be</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 Per</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360" w:type="dxa"/>
            <w:vAlign w:val="bottom"/>
          </w:tcPr>
          <w:p>
            <w:pPr>
              <w:jc w:val="center"/>
              <w:ind w:left="40"/>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53"/>
        </w:trPr>
        <w:tc>
          <w:tcPr>
            <w:tcW w:w="484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3"/>
                <w:szCs w:val="13"/>
                <w:b w:val="1"/>
                <w:bCs w:val="1"/>
                <w:color w:val="auto"/>
              </w:rPr>
              <w:t>to be Registered</w:t>
            </w:r>
          </w:p>
        </w:tc>
        <w:tc>
          <w:tcPr>
            <w:tcW w:w="15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b w:val="1"/>
                <w:bCs w:val="1"/>
                <w:color w:val="auto"/>
              </w:rPr>
              <w:t>Registered(1)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Price(1)</w:t>
            </w:r>
          </w:p>
        </w:tc>
        <w:tc>
          <w:tcPr>
            <w:tcW w:w="1360" w:type="dxa"/>
            <w:vAlign w:val="bottom"/>
            <w:tcBorders>
              <w:bottom w:val="single" w:sz="8" w:color="auto"/>
            </w:tcBorders>
          </w:tcPr>
          <w:p>
            <w:pPr>
              <w:jc w:val="center"/>
              <w:ind w:left="40"/>
              <w:spacing w:after="0"/>
              <w:rPr>
                <w:sz w:val="20"/>
                <w:szCs w:val="20"/>
                <w:color w:val="auto"/>
              </w:rPr>
            </w:pPr>
            <w:r>
              <w:rPr>
                <w:rFonts w:ascii="Arial" w:cs="Arial" w:eastAsia="Arial" w:hAnsi="Arial"/>
                <w:sz w:val="13"/>
                <w:szCs w:val="13"/>
                <w:b w:val="1"/>
                <w:bCs w:val="1"/>
                <w:color w:val="auto"/>
                <w:w w:val="88"/>
              </w:rPr>
              <w:t>Fee(1)</w:t>
            </w: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Debt Securities</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Common Shares, without par value</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Preferred Shares, without par value</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Warrants</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Purchase Contracts</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Purchase Units</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Guarantees of Debt Securities(2)</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9"/>
        </w:trPr>
        <w:tc>
          <w:tcPr>
            <w:tcW w:w="4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Total:</w:t>
            </w:r>
          </w:p>
        </w:tc>
        <w:tc>
          <w:tcPr>
            <w:tcW w:w="152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0" w:hanging="242"/>
        <w:spacing w:after="0" w:line="238"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number or amount of each identified class of securities to be offered at indeterminate prices is being registered pursuant to this registration statement. Separate consideration may or may not be received for securities that are issuable on exercise, conversion or exchange of other securities. In reliance on Rule 456(b) and Rule 457(r) under the Securities Act, the registrant is deferring payment of the registration fee.</w:t>
      </w:r>
    </w:p>
    <w:p>
      <w:pPr>
        <w:spacing w:after="0" w:line="34" w:lineRule="exact"/>
        <w:rPr>
          <w:rFonts w:ascii="Arial" w:cs="Arial" w:eastAsia="Arial" w:hAnsi="Arial"/>
          <w:sz w:val="14"/>
          <w:szCs w:val="14"/>
          <w:color w:val="auto"/>
        </w:rPr>
      </w:pPr>
    </w:p>
    <w:p>
      <w:pPr>
        <w:ind w:left="600" w:right="180" w:hanging="242"/>
        <w:spacing w:after="0" w:line="291"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Guarantees of Debt Securities may be issued by those direct and indirect subsidiaries of The Scotts Miracle-Gro Company listed on the following page under the caption “Table of Additional Registrants.” Pursuant to Rule 457(n) under the Securities Act, no separate filing fee is payable in respect of the registration of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21590</wp:posOffset>
            </wp:positionV>
            <wp:extent cx="681799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22" w:right="5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right="80"/>
        <w:spacing w:after="0" w:line="259" w:lineRule="auto"/>
        <w:rPr>
          <w:sz w:val="20"/>
          <w:szCs w:val="20"/>
          <w:color w:val="auto"/>
        </w:rPr>
      </w:pPr>
      <w:r>
        <w:rPr>
          <w:rFonts w:ascii="Arial" w:cs="Arial" w:eastAsia="Arial" w:hAnsi="Arial"/>
          <w:sz w:val="14"/>
          <w:szCs w:val="14"/>
          <w:b w:val="1"/>
          <w:bCs w:val="1"/>
          <w:color w:val="auto"/>
        </w:rPr>
        <w:t xml:space="preserve">Exact Name of Additional Registrant as </w:t>
      </w: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pecified in its Charter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ADDITIONAL REGISTRANTS</w:t>
      </w:r>
    </w:p>
    <w:p>
      <w:pPr>
        <w:spacing w:after="0" w:line="127"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I.R.S. Employer</w:t>
            </w:r>
          </w:p>
        </w:tc>
        <w:tc>
          <w:tcPr>
            <w:tcW w:w="0" w:type="dxa"/>
            <w:vAlign w:val="bottom"/>
          </w:tcPr>
          <w:p>
            <w:pPr>
              <w:spacing w:after="0"/>
              <w:rPr>
                <w:sz w:val="1"/>
                <w:szCs w:val="1"/>
                <w:color w:val="auto"/>
              </w:rPr>
            </w:pPr>
          </w:p>
        </w:tc>
      </w:tr>
      <w:tr>
        <w:trPr>
          <w:trHeight w:val="162"/>
        </w:trPr>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w:t>
            </w:r>
          </w:p>
        </w:tc>
        <w:tc>
          <w:tcPr>
            <w:tcW w:w="24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24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2">
            <w:col w:w="3220" w:space="720"/>
            <w:col w:w="6680"/>
          </w:cols>
          <w:pgMar w:left="240" w:top="419" w:right="1039" w:bottom="1440" w:gutter="0" w:footer="0" w:header="0"/>
        </w:sectPr>
      </w:pPr>
    </w:p>
    <w:tbl>
      <w:tblPr>
        <w:tblLayout w:type="fixed"/>
        <w:tblInd w:w="70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EG Systems, Inc.(1)</w:t>
            </w:r>
          </w:p>
        </w:tc>
        <w:tc>
          <w:tcPr>
            <w:tcW w:w="27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Indiana</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35-1937875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Gutwein &amp; Co., Inc.(1)</w:t>
            </w:r>
          </w:p>
        </w:tc>
        <w:tc>
          <w:tcPr>
            <w:tcW w:w="2780" w:type="dxa"/>
            <w:vAlign w:val="bottom"/>
          </w:tcPr>
          <w:p>
            <w:pPr>
              <w:jc w:val="center"/>
              <w:ind w:left="310"/>
              <w:spacing w:after="0"/>
              <w:rPr>
                <w:sz w:val="20"/>
                <w:szCs w:val="20"/>
                <w:color w:val="auto"/>
              </w:rPr>
            </w:pPr>
            <w:r>
              <w:rPr>
                <w:rFonts w:ascii="Arial" w:cs="Arial" w:eastAsia="Arial" w:hAnsi="Arial"/>
                <w:sz w:val="18"/>
                <w:szCs w:val="18"/>
                <w:color w:val="auto"/>
                <w:w w:val="91"/>
              </w:rPr>
              <w:t>Indiana</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35-0864689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Hyponex Corporation(1)</w:t>
            </w:r>
          </w:p>
        </w:tc>
        <w:tc>
          <w:tcPr>
            <w:tcW w:w="27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Delaware</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31-1254519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Miracle-Gro Lawn Products, Inc.(1)</w:t>
            </w:r>
          </w:p>
        </w:tc>
        <w:tc>
          <w:tcPr>
            <w:tcW w:w="2780" w:type="dxa"/>
            <w:vAlign w:val="bottom"/>
          </w:tcPr>
          <w:p>
            <w:pPr>
              <w:jc w:val="center"/>
              <w:ind w:left="310"/>
              <w:spacing w:after="0"/>
              <w:rPr>
                <w:sz w:val="20"/>
                <w:szCs w:val="20"/>
                <w:color w:val="auto"/>
              </w:rPr>
            </w:pPr>
            <w:r>
              <w:rPr>
                <w:rFonts w:ascii="Arial" w:cs="Arial" w:eastAsia="Arial" w:hAnsi="Arial"/>
                <w:sz w:val="18"/>
                <w:szCs w:val="18"/>
                <w:color w:val="auto"/>
                <w:w w:val="94"/>
              </w:rPr>
              <w:t>New York</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11-3186421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OMS Investments, Inc.(2)</w:t>
            </w:r>
          </w:p>
        </w:tc>
        <w:tc>
          <w:tcPr>
            <w:tcW w:w="27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Delaware</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51-0357374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Rod McLellan Company(1)</w:t>
            </w:r>
          </w:p>
        </w:tc>
        <w:tc>
          <w:tcPr>
            <w:tcW w:w="2780" w:type="dxa"/>
            <w:vAlign w:val="bottom"/>
          </w:tcPr>
          <w:p>
            <w:pPr>
              <w:jc w:val="center"/>
              <w:ind w:left="310"/>
              <w:spacing w:after="0"/>
              <w:rPr>
                <w:sz w:val="20"/>
                <w:szCs w:val="20"/>
                <w:color w:val="auto"/>
              </w:rPr>
            </w:pPr>
            <w:r>
              <w:rPr>
                <w:rFonts w:ascii="Arial" w:cs="Arial" w:eastAsia="Arial" w:hAnsi="Arial"/>
                <w:sz w:val="18"/>
                <w:szCs w:val="18"/>
                <w:color w:val="auto"/>
                <w:w w:val="97"/>
              </w:rPr>
              <w:t>California</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94-1439564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Sanford Scientific, Inc.(1)</w:t>
            </w:r>
          </w:p>
        </w:tc>
        <w:tc>
          <w:tcPr>
            <w:tcW w:w="27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4"/>
              </w:rPr>
              <w:t>New York</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16-1279959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Scotts Manufacturing Company(1)</w:t>
            </w:r>
          </w:p>
        </w:tc>
        <w:tc>
          <w:tcPr>
            <w:tcW w:w="278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42-1508875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Scotts Products Co.(1)</w:t>
            </w:r>
          </w:p>
        </w:tc>
        <w:tc>
          <w:tcPr>
            <w:tcW w:w="27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4"/>
              </w:rPr>
              <w:t>Ohio</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31-1269080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Scotts Professional Products Co.(1)</w:t>
            </w:r>
          </w:p>
        </w:tc>
        <w:tc>
          <w:tcPr>
            <w:tcW w:w="2780" w:type="dxa"/>
            <w:vAlign w:val="bottom"/>
          </w:tcPr>
          <w:p>
            <w:pPr>
              <w:jc w:val="center"/>
              <w:ind w:left="290"/>
              <w:spacing w:after="0"/>
              <w:rPr>
                <w:sz w:val="20"/>
                <w:szCs w:val="20"/>
                <w:color w:val="auto"/>
              </w:rPr>
            </w:pPr>
            <w:r>
              <w:rPr>
                <w:rFonts w:ascii="Arial" w:cs="Arial" w:eastAsia="Arial" w:hAnsi="Arial"/>
                <w:sz w:val="18"/>
                <w:szCs w:val="18"/>
                <w:color w:val="auto"/>
                <w:w w:val="94"/>
              </w:rPr>
              <w:t>Ohio</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31-1269066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Scotts-Sierra Crop Protection Company(1)</w:t>
            </w:r>
          </w:p>
        </w:tc>
        <w:tc>
          <w:tcPr>
            <w:tcW w:w="27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7"/>
              </w:rPr>
              <w:t>California</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77-0153275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Scotts-Sierra Horticultural Products Company(1)</w:t>
            </w:r>
          </w:p>
        </w:tc>
        <w:tc>
          <w:tcPr>
            <w:tcW w:w="2780" w:type="dxa"/>
            <w:vAlign w:val="bottom"/>
          </w:tcPr>
          <w:p>
            <w:pPr>
              <w:jc w:val="center"/>
              <w:ind w:left="310"/>
              <w:spacing w:after="0"/>
              <w:rPr>
                <w:sz w:val="20"/>
                <w:szCs w:val="20"/>
                <w:color w:val="auto"/>
              </w:rPr>
            </w:pPr>
            <w:r>
              <w:rPr>
                <w:rFonts w:ascii="Arial" w:cs="Arial" w:eastAsia="Arial" w:hAnsi="Arial"/>
                <w:sz w:val="18"/>
                <w:szCs w:val="18"/>
                <w:color w:val="auto"/>
                <w:w w:val="97"/>
              </w:rPr>
              <w:t>California</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94-1634227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Scotts-Sierra Investments, Inc.(3)</w:t>
            </w:r>
          </w:p>
        </w:tc>
        <w:tc>
          <w:tcPr>
            <w:tcW w:w="27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Delaware</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51-0371209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Scotts Temecula Operations, LLC(1)</w:t>
            </w:r>
          </w:p>
        </w:tc>
        <w:tc>
          <w:tcPr>
            <w:tcW w:w="278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33-0978312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SMG Growing Media, Inc.(1)</w:t>
            </w:r>
          </w:p>
        </w:tc>
        <w:tc>
          <w:tcPr>
            <w:tcW w:w="27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4"/>
              </w:rPr>
              <w:t>Ohio</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20-3544126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Smith &amp; Hawken, Ltd.(1)</w:t>
            </w:r>
          </w:p>
        </w:tc>
        <w:tc>
          <w:tcPr>
            <w:tcW w:w="278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06-1359589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Swiss Farms Products, Inc.(4)</w:t>
            </w:r>
          </w:p>
        </w:tc>
        <w:tc>
          <w:tcPr>
            <w:tcW w:w="27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Delaware</w:t>
            </w:r>
          </w:p>
        </w:tc>
        <w:tc>
          <w:tcPr>
            <w:tcW w:w="2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88-0407223</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The Scotts Company LLC(1)</w:t>
            </w:r>
          </w:p>
        </w:tc>
        <w:tc>
          <w:tcPr>
            <w:tcW w:w="2780" w:type="dxa"/>
            <w:vAlign w:val="bottom"/>
          </w:tcPr>
          <w:p>
            <w:pPr>
              <w:jc w:val="center"/>
              <w:ind w:left="290"/>
              <w:spacing w:after="0"/>
              <w:rPr>
                <w:sz w:val="20"/>
                <w:szCs w:val="20"/>
                <w:color w:val="auto"/>
              </w:rPr>
            </w:pPr>
            <w:r>
              <w:rPr>
                <w:rFonts w:ascii="Arial" w:cs="Arial" w:eastAsia="Arial" w:hAnsi="Arial"/>
                <w:sz w:val="18"/>
                <w:szCs w:val="18"/>
                <w:color w:val="auto"/>
                <w:w w:val="94"/>
              </w:rPr>
              <w:t>Ohio</w:t>
            </w: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31-1414921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40" w:hanging="301"/>
        <w:spacing w:after="0" w:line="25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and telephone number, including area code, for this additional registrant is c/o The Scotts Miracle-Gro Company, 14111 Scottslawn Road, Marysville, Ohio 43041, (937) 644-0011. The name, address, including zip code, and telephone number, including area code, of the agent for service for this additional registrant is Vincent C. Brockman, Esq., Executive Vice President, General Counsel and Corporate Secretary, The Scotts Miracle-Gro Company, 14111 Scottslawn Road, Marysville, Ohio 43041, (937) 644-0011.</w:t>
      </w:r>
    </w:p>
    <w:p>
      <w:pPr>
        <w:spacing w:after="0" w:line="39" w:lineRule="exact"/>
        <w:rPr>
          <w:rFonts w:ascii="Arial" w:cs="Arial" w:eastAsia="Arial" w:hAnsi="Arial"/>
          <w:sz w:val="18"/>
          <w:szCs w:val="18"/>
          <w:color w:val="auto"/>
        </w:rPr>
      </w:pPr>
    </w:p>
    <w:p>
      <w:pPr>
        <w:ind w:left="1000" w:right="260" w:hanging="301"/>
        <w:spacing w:after="0" w:line="286"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address, including zip code, and telephone number, including area code, for this additional registrant is 10250 Constellation Place, Suite 2800, Los Angeles, California 90067, (714) 384-4166. The name, address, including zip code, and telephone number, including area code, of the agent for service for this additional registrant is Vincent C. Brockman, Esq., Executive Vice President, General Counsel and Corporate Secretary, The Scotts Miracle-Gro Company, 14111 Scottslawn Road, Marysville, Ohio 43041,</w:t>
      </w:r>
    </w:p>
    <w:p>
      <w:pPr>
        <w:spacing w:after="0" w:line="1" w:lineRule="exact"/>
        <w:rPr>
          <w:rFonts w:ascii="Arial" w:cs="Arial" w:eastAsia="Arial" w:hAnsi="Arial"/>
          <w:sz w:val="16"/>
          <w:szCs w:val="16"/>
          <w:color w:val="auto"/>
        </w:rPr>
      </w:pPr>
    </w:p>
    <w:p>
      <w:pPr>
        <w:ind w:left="1440" w:hanging="437"/>
        <w:spacing w:after="0"/>
        <w:tabs>
          <w:tab w:leader="none" w:pos="1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644-0011.</w:t>
      </w:r>
    </w:p>
    <w:p>
      <w:pPr>
        <w:spacing w:after="0" w:line="62" w:lineRule="exact"/>
        <w:rPr>
          <w:rFonts w:ascii="Arial" w:cs="Arial" w:eastAsia="Arial" w:hAnsi="Arial"/>
          <w:sz w:val="18"/>
          <w:szCs w:val="18"/>
          <w:color w:val="auto"/>
        </w:rPr>
      </w:pPr>
    </w:p>
    <w:p>
      <w:pPr>
        <w:ind w:left="1000" w:right="100" w:hanging="301"/>
        <w:spacing w:after="0" w:line="30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address, including zip code, and telephone number, including area code, for this additional registrant is 1105 North Market Street Wilmington, Delaware 19899, (302) 651-8346. The name, address, including zip code, and telephone number, including area code, of the agent for service for this additional registrant is Vincent C. Brockman, Esq., Executive Vice President, General Counsel and Corporate Secretary, The Scotts Miracle-Gro Company, 14111 Scottslawn Road, Marysville, Ohio 43041, (937) 644-0011.</w:t>
      </w:r>
    </w:p>
    <w:p>
      <w:pPr>
        <w:spacing w:after="0" w:line="5" w:lineRule="exact"/>
        <w:rPr>
          <w:rFonts w:ascii="Arial" w:cs="Arial" w:eastAsia="Arial" w:hAnsi="Arial"/>
          <w:sz w:val="16"/>
          <w:szCs w:val="16"/>
          <w:color w:val="auto"/>
        </w:rPr>
      </w:pPr>
    </w:p>
    <w:p>
      <w:pPr>
        <w:ind w:left="1000" w:right="260" w:hanging="301"/>
        <w:spacing w:after="0" w:line="286"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address, including zip code, and telephone number, including area code, for this additional registrant is 3993 Howard Hughes Parkway, Suite 250, Las Vegas, Nevada 89169, (702) 866-2203. The name, address, including zip code, and telephone number, including area code, of the agent for service for this additional registrant is Vincent C. Brockman, Esq., Executive Vice President, General Counsel and Corporate Secretary, The Scotts Miracle-Gro Company, 14111 Scottslawn Road, Marysville, Ohio 43041,</w:t>
      </w:r>
    </w:p>
    <w:p>
      <w:pPr>
        <w:spacing w:after="0" w:line="1" w:lineRule="exact"/>
        <w:rPr>
          <w:rFonts w:ascii="Arial" w:cs="Arial" w:eastAsia="Arial" w:hAnsi="Arial"/>
          <w:sz w:val="16"/>
          <w:szCs w:val="16"/>
          <w:color w:val="auto"/>
        </w:rPr>
      </w:pPr>
    </w:p>
    <w:p>
      <w:pPr>
        <w:ind w:left="1440" w:hanging="437"/>
        <w:spacing w:after="0"/>
        <w:tabs>
          <w:tab w:leader="none" w:pos="1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644-0011.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EXPLANATORY NOTE</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This Post-Effective Amendment No. 1 to the Registration Statement on Form S-3 (Registration No. 333-163330) of The Scotts Miracle-Gro Company is being filed for the purpose of: (i) registering guarantees of debt securities by direct and indirect subsidiaries of The Scotts Miracle-Gro Company (the “Guarantees of Debt Securities”), (ii) adding direct and indirect subsidiaries of The Scotts Miracle-Gro Company as co-registrants that may potentially be guarantors of some or all of the debt securities registered under this Registration Statement (the “Subsidiary Guarantors”), (iii) amending the base prospectus that forms a part of the Registration Statement to describe the Guarantees of Debt Securities, (iv) updating the information in Part II of the Registration Statement with respect to the addition of the Subsidiary Guarantors and (v) filing additional exhibits to the Registration Statement. This Post-Effective Amendment No. 1 shall become effective immediately upon filing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231775</wp:posOffset>
            </wp:positionV>
            <wp:extent cx="199834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83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39"/>
        <w:spacing w:after="0"/>
        <w:rPr>
          <w:sz w:val="20"/>
          <w:szCs w:val="20"/>
          <w:color w:val="auto"/>
        </w:rPr>
      </w:pPr>
      <w:r>
        <w:rPr>
          <w:rFonts w:ascii="Arial" w:cs="Arial" w:eastAsia="Arial" w:hAnsi="Arial"/>
          <w:sz w:val="43"/>
          <w:szCs w:val="43"/>
          <w:b w:val="1"/>
          <w:bCs w:val="1"/>
          <w:color w:val="auto"/>
        </w:rPr>
        <w:t>The Scotts Miracle-Gro Company</w:t>
      </w:r>
    </w:p>
    <w:p>
      <w:pPr>
        <w:spacing w:after="0" w:line="143"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Debt Securities</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Common Shares</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Preferred Shares</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Warrants</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Purchase Contracts</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Purchase Units</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Guarantees of Debt Securities</w:t>
      </w:r>
    </w:p>
    <w:p>
      <w:pPr>
        <w:spacing w:after="0" w:line="125"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We may offer from time to time, in one or more offerings, debt securities, common shares, preferred shares, warrants, purchase contracts and purchase units or any combination thereof. The debt securities may be either senior debt securities or subordinated debt securities. This prospectus also covers guarantees, if any, of our payment obligations under the debt securities, which may be given from time to time by one or more of our subsidiaries, on terms to be determined at the time of the offering.</w:t>
      </w:r>
    </w:p>
    <w:p>
      <w:pPr>
        <w:spacing w:after="0" w:line="77"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This prospectus describes the general terms of the securities we may offer and the general manner in which we may offer the securities. Each time we offer securities, we will provide a prospectus supplement that will describe the specific terms of the securities offered and the specific manner in which we will offer the securities.</w:t>
      </w:r>
    </w:p>
    <w:p>
      <w:pPr>
        <w:spacing w:after="0" w:line="87" w:lineRule="exact"/>
        <w:rPr>
          <w:sz w:val="20"/>
          <w:szCs w:val="20"/>
          <w:color w:val="auto"/>
        </w:rPr>
      </w:pPr>
    </w:p>
    <w:p>
      <w:pPr>
        <w:ind w:left="700" w:right="300" w:firstLine="397"/>
        <w:spacing w:after="0" w:line="259" w:lineRule="auto"/>
        <w:rPr>
          <w:sz w:val="20"/>
          <w:szCs w:val="20"/>
          <w:color w:val="auto"/>
        </w:rPr>
      </w:pPr>
      <w:r>
        <w:rPr>
          <w:rFonts w:ascii="Arial" w:cs="Arial" w:eastAsia="Arial" w:hAnsi="Arial"/>
          <w:sz w:val="18"/>
          <w:szCs w:val="18"/>
          <w:color w:val="auto"/>
        </w:rPr>
        <w:t xml:space="preserve">This prospectus may not be used to consummate a sale of any securities unless accompanied by a prospectus supplement. The prospectus supplement may also add, update or change information contained in this prospectus. You should read this prospectus, the applicable prospectus supplement and the additional information described under the heading </w:t>
      </w:r>
      <w:r>
        <w:rPr>
          <w:rFonts w:ascii="Arial" w:cs="Arial" w:eastAsia="Arial" w:hAnsi="Arial"/>
          <w:sz w:val="18"/>
          <w:szCs w:val="18"/>
          <w:b w:val="1"/>
          <w:b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Information” </w:t>
      </w:r>
      <w:r>
        <w:rPr>
          <w:rFonts w:ascii="Arial" w:cs="Arial" w:eastAsia="Arial" w:hAnsi="Arial"/>
          <w:sz w:val="18"/>
          <w:szCs w:val="18"/>
          <w:color w:val="auto"/>
        </w:rPr>
        <w:t>carefully before you make your investment decision.</w:t>
      </w:r>
    </w:p>
    <w:p>
      <w:pPr>
        <w:spacing w:after="0" w:line="92"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Our common shares are listed on the New York Stock Exchange, or NYSE, under the symbol “SMG.” On January 8, 2010, the last reported sale price of our common shares was $39.70. Unless we state otherwise in the applicable prospectus supplement, we will not list any of the securities on any securities exchange.</w:t>
      </w:r>
    </w:p>
    <w:p>
      <w:pPr>
        <w:spacing w:after="0" w:line="87" w:lineRule="exact"/>
        <w:rPr>
          <w:sz w:val="20"/>
          <w:szCs w:val="20"/>
          <w:color w:val="auto"/>
        </w:rPr>
      </w:pPr>
    </w:p>
    <w:p>
      <w:pPr>
        <w:jc w:val="both"/>
        <w:ind w:left="700" w:right="600" w:firstLine="397"/>
        <w:spacing w:after="0" w:line="264" w:lineRule="auto"/>
        <w:rPr>
          <w:sz w:val="20"/>
          <w:szCs w:val="20"/>
          <w:color w:val="auto"/>
        </w:rPr>
      </w:pPr>
      <w:r>
        <w:rPr>
          <w:rFonts w:ascii="Arial" w:cs="Arial" w:eastAsia="Arial" w:hAnsi="Arial"/>
          <w:sz w:val="18"/>
          <w:szCs w:val="18"/>
          <w:color w:val="auto"/>
        </w:rPr>
        <w:t>We may sell the securities directly to purchasers or to or through underwriters, dealers or agents. The applicable prospectus supplement will provide the names of any underwriters, dealers or agents, the specific terms of the plan of distribution, any over-allotment option and any applicable underwriting discounts and commissions.</w:t>
      </w:r>
    </w:p>
    <w:p>
      <w:pPr>
        <w:spacing w:after="0" w:line="7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Investing in our securities involves risk. See “Risk Factors” on page 2 of this prospectus.</w:t>
      </w:r>
    </w:p>
    <w:p>
      <w:pPr>
        <w:spacing w:after="0" w:line="121" w:lineRule="exact"/>
        <w:rPr>
          <w:sz w:val="20"/>
          <w:szCs w:val="20"/>
          <w:color w:val="auto"/>
        </w:rPr>
      </w:pPr>
    </w:p>
    <w:p>
      <w:pPr>
        <w:ind w:left="700" w:right="40" w:firstLine="397"/>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7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date of this prospectus is January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16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About This Prospectus</w:t>
              </w:r>
            </w:hyperlink>
          </w:p>
        </w:tc>
        <w:tc>
          <w:tcPr>
            <w:tcW w:w="6160" w:type="dxa"/>
            <w:vAlign w:val="bottom"/>
            <w:gridSpan w:val="10"/>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780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1200" w:type="dxa"/>
            <w:vAlign w:val="bottom"/>
            <w:tcBorders>
              <w:top w:val="single" w:sz="8" w:color="0000EE"/>
            </w:tcBorders>
            <w:gridSpan w:val="8"/>
          </w:tcPr>
          <w:p>
            <w:pPr>
              <w:spacing w:after="0"/>
              <w:rPr>
                <w:sz w:val="17"/>
                <w:szCs w:val="17"/>
                <w:color w:val="auto"/>
              </w:rPr>
            </w:pPr>
          </w:p>
        </w:tc>
        <w:tc>
          <w:tcPr>
            <w:tcW w:w="570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80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The Scotts Miracle-Gro Company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Ratio of Earnings to Fixed Charges</w:t>
              </w:r>
            </w:hyperlink>
          </w:p>
        </w:tc>
        <w:tc>
          <w:tcPr>
            <w:tcW w:w="526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80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7800" w:type="dxa"/>
            <w:vAlign w:val="bottom"/>
            <w:gridSpan w:val="1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Debt Securities and Guarantees of Debt Securities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Capital Stock</w:t>
              </w:r>
            </w:hyperlink>
          </w:p>
        </w:tc>
        <w:tc>
          <w:tcPr>
            <w:tcW w:w="312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Description of Warrants</w:t>
              </w:r>
            </w:hyperlink>
          </w:p>
        </w:tc>
        <w:tc>
          <w:tcPr>
            <w:tcW w:w="320" w:type="dxa"/>
            <w:vAlign w:val="bottom"/>
            <w:tcBorders>
              <w:top w:val="single" w:sz="8" w:color="0000EE"/>
            </w:tcBorders>
            <w:gridSpan w:val="2"/>
          </w:tcPr>
          <w:p>
            <w:pPr>
              <w:spacing w:after="0"/>
              <w:rPr>
                <w:sz w:val="17"/>
                <w:szCs w:val="17"/>
                <w:color w:val="auto"/>
              </w:rPr>
            </w:pPr>
          </w:p>
        </w:tc>
        <w:tc>
          <w:tcPr>
            <w:tcW w:w="576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Purchase Contracts and Purchase Units</w:t>
              </w:r>
            </w:hyperlink>
          </w:p>
        </w:tc>
        <w:tc>
          <w:tcPr>
            <w:tcW w:w="390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80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2"/>
          </w:tcPr>
          <w:p>
            <w:pPr>
              <w:spacing w:after="0"/>
              <w:rPr>
                <w:sz w:val="17"/>
                <w:szCs w:val="17"/>
                <w:color w:val="auto"/>
              </w:rPr>
            </w:pPr>
          </w:p>
        </w:tc>
        <w:tc>
          <w:tcPr>
            <w:tcW w:w="638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80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780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By Reference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Where You Can Find More Information</w:t>
              </w:r>
            </w:hyperlink>
          </w:p>
        </w:tc>
        <w:tc>
          <w:tcPr>
            <w:tcW w:w="494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19" w:lineRule="exact"/>
        <w:rPr>
          <w:sz w:val="20"/>
          <w:szCs w:val="20"/>
          <w:color w:val="auto"/>
        </w:rPr>
      </w:pPr>
    </w:p>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EX-4.1</w:t>
        </w:r>
      </w:hyperlink>
    </w:p>
    <w:p>
      <w:pPr>
        <w:spacing w:after="0" w:line="15" w:lineRule="exact"/>
        <w:rPr>
          <w:sz w:val="20"/>
          <w:szCs w:val="20"/>
          <w:color w:val="auto"/>
        </w:rPr>
      </w:pPr>
    </w:p>
    <w:p>
      <w:pPr>
        <w:ind w:left="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EX-4.3</w:t>
        </w:r>
      </w:hyperlink>
    </w:p>
    <w:p>
      <w:pPr>
        <w:spacing w:after="0" w:line="9" w:lineRule="exact"/>
        <w:rPr>
          <w:sz w:val="20"/>
          <w:szCs w:val="20"/>
          <w:color w:val="auto"/>
        </w:rPr>
      </w:pPr>
    </w:p>
    <w:p>
      <w:pPr>
        <w:ind w:left="4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EX-5.1</w:t>
        </w:r>
      </w:hyperlink>
    </w:p>
    <w:p>
      <w:pPr>
        <w:spacing w:after="0" w:line="9" w:lineRule="exact"/>
        <w:rPr>
          <w:sz w:val="20"/>
          <w:szCs w:val="20"/>
          <w:color w:val="auto"/>
        </w:rPr>
      </w:pPr>
    </w:p>
    <w:p>
      <w:pPr>
        <w:ind w:left="4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EX-5.2</w:t>
        </w:r>
      </w:hyperlink>
    </w:p>
    <w:p>
      <w:pPr>
        <w:spacing w:after="0" w:line="9" w:lineRule="exact"/>
        <w:rPr>
          <w:sz w:val="20"/>
          <w:szCs w:val="20"/>
          <w:color w:val="auto"/>
        </w:rPr>
      </w:pPr>
    </w:p>
    <w:p>
      <w:pPr>
        <w:ind w:left="4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EX-23.1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72"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shelf registration process, we may sell any combination of the securities described in this prospectus in one or more offerings from time to time. This prospectus describes the general terms of the securities we may offer and the general manner in which we may offer the securities. Each time we offer securities, we will provide a prospectus supplement that will describe the specific terms of the securities offered and the specific manner in which we will offer the securities. The prospectus supplement may also add, update or change information contained in this prospectus. If there is any inconsistency between the information in this prospectus and the applicable prospectus supplement, you should rely on the information in the prospectus supplement. You should read this prospectus and the applicable prospectus supplement and any free writing prospectus prepared by or on behalf of us, together with the information described under the heading “</w:t>
      </w:r>
      <w:r>
        <w:rPr>
          <w:rFonts w:ascii="Arial" w:cs="Arial" w:eastAsia="Arial" w:hAnsi="Arial"/>
          <w:sz w:val="17"/>
          <w:szCs w:val="17"/>
          <w:b w:val="1"/>
          <w:bCs w:val="1"/>
          <w:color w:val="auto"/>
        </w:rPr>
        <w:t>Where You Can Find More Information</w:t>
      </w:r>
      <w:r>
        <w:rPr>
          <w:rFonts w:ascii="Arial" w:cs="Arial" w:eastAsia="Arial" w:hAnsi="Arial"/>
          <w:sz w:val="17"/>
          <w:szCs w:val="17"/>
          <w:color w:val="auto"/>
        </w:rPr>
        <w:t>,” before deciding whether to invest in any of the securities offered.</w:t>
      </w:r>
    </w:p>
    <w:p>
      <w:pPr>
        <w:spacing w:after="0" w:line="83"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any prospectus supplement or free writing prospectus. We have not authorized anyone to provide you with different or additional information. If anyone provides you with different, additional or inconsistent information, you should not rely on it. This prospectus is not an offer to sell these securities, and it is not soliciting an offer to buy these securities, in any state where the offer or sale is not permitted. You should not assume that the information contained in this prospectus or any prospectus supplement or free writing prospectus is accurate as of any date other than the date on the cover of the applicable document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98"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Unless the context otherwise requires, references to “Scotts,” the “Company,” “we,” “our” and “us” and similar terms mean The Scotts Miracle-Gro Company and its subsidiaries.</w:t>
      </w:r>
    </w:p>
    <w:p>
      <w:pPr>
        <w:spacing w:after="0" w:line="2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color w:val="auto"/>
        </w:rPr>
        <w:t>This prospectus and the documents incorporated by reference herein may contain “forward-looking statements” within the meaning of Section 27A of the Securities Act of 1933, as amended, or the Securities Act, and Section 21E of the Securities Exchange Act of 1934, as amended, or the Exchange Act, with respect to our financial condition, results of operations, cash flows, plans, objectives, strategies, targets, prospects and business. Forward-looking statements reflect our current expectations, estimates or projections concerning future results or events. These statements are generally identified by the use of forward-looking words or phrases such as “believe,” “strategy,” “expect,” “anticipate,” “may,” “could,” “intend,” “intent,” “belief,” “estimate,” “plan,” “foresee,” “likely,” “will,” “should” or other similar words or phrases. Forward-looking statements are not guarantees of performance and are inherently subject to known and unknown risks, uncertainties and assumptions that are difficult to predict and could cause our actual results and future events to differ materially from those expressed in or implied by the forward-looking statements. We cannot assure you that any of our expectations, estimates or projections will be achieved and you should not place undue reliance on forward-looking statements.</w:t>
      </w:r>
    </w:p>
    <w:p>
      <w:pPr>
        <w:spacing w:after="0" w:line="75"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forward-looking statements included or incorporated by reference in this prospectus are only made as of the date of this prospectus or the respective document incorporated by reference herein, as applicable. Except as required by law, we undertake no obligation to publicly update any forward-looking statement to reflect subsequent events or circumstances. See “</w:t>
      </w:r>
      <w:r>
        <w:rPr>
          <w:rFonts w:ascii="Arial" w:cs="Arial" w:eastAsia="Arial" w:hAnsi="Arial"/>
          <w:sz w:val="18"/>
          <w:szCs w:val="18"/>
          <w:b w:val="1"/>
          <w:b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b w:val="1"/>
          <w:bCs w:val="1"/>
          <w:color w:val="auto"/>
        </w:rPr>
        <w:t>More Information.</w:t>
      </w:r>
      <w:r>
        <w:rPr>
          <w:rFonts w:ascii="Arial" w:cs="Arial" w:eastAsia="Arial" w:hAnsi="Arial"/>
          <w:sz w:val="18"/>
          <w:szCs w:val="18"/>
          <w:color w:val="auto"/>
        </w:rPr>
        <w:t>”</w:t>
      </w:r>
    </w:p>
    <w:p>
      <w:pPr>
        <w:spacing w:after="0" w:line="92"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Numerous factors could cause our actual results and events to differ materially from those expressed or implied by forward-looking statements, including, without limitation:</w:t>
      </w:r>
    </w:p>
    <w:p>
      <w:pPr>
        <w:spacing w:after="0" w:line="76" w:lineRule="exact"/>
        <w:rPr>
          <w:sz w:val="20"/>
          <w:szCs w:val="20"/>
          <w:color w:val="auto"/>
        </w:rPr>
      </w:pPr>
    </w:p>
    <w:p>
      <w:pPr>
        <w:ind w:left="1300" w:right="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governmental investigations regarding our compliance with the Federal Insecticide, Fungicide, and Rodenticide Act of 1947, as amended;</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 prices of certain raw materials;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current economic crisis;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highly competitive nature of our markets;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sales to a small number of retail customers;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historical seasonality;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our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international operations;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adequately protect our intellectual property and other proprietary rights;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personnel;</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termination of the marketing agreement with Monsanto Company for consumer Roundup</w:t>
      </w:r>
      <w:r>
        <w:rPr>
          <w:rFonts w:ascii="Arial" w:cs="Arial" w:eastAsia="Arial" w:hAnsi="Arial"/>
          <w:sz w:val="15"/>
          <w:szCs w:val="15"/>
          <w:color w:val="auto"/>
        </w:rPr>
        <w:t>®</w:t>
      </w:r>
      <w:r>
        <w:rPr>
          <w:rFonts w:ascii="Arial" w:cs="Arial" w:eastAsia="Arial" w:hAnsi="Arial"/>
          <w:sz w:val="18"/>
          <w:szCs w:val="18"/>
          <w:color w:val="auto"/>
        </w:rPr>
        <w:t xml:space="preserve"> products;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Hagedorn Partnership, L.P. beneficially owns approximately 31% of our outstanding common shares on a fully diluted basis; and</w:t>
      </w:r>
    </w:p>
    <w:p>
      <w:pPr>
        <w:spacing w:after="0" w:line="136" w:lineRule="exact"/>
        <w:rPr>
          <w:rFonts w:ascii="Arial" w:cs="Arial" w:eastAsia="Arial" w:hAnsi="Arial"/>
          <w:sz w:val="16"/>
          <w:szCs w:val="16"/>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risk factors set forth or incorporated by reference below under the heading “</w:t>
      </w:r>
      <w:r>
        <w:rPr>
          <w:rFonts w:ascii="Arial" w:cs="Arial" w:eastAsia="Arial" w:hAnsi="Arial"/>
          <w:sz w:val="18"/>
          <w:szCs w:val="18"/>
          <w:b w:val="1"/>
          <w:bCs w:val="1"/>
          <w:color w:val="auto"/>
        </w:rPr>
        <w:t>Risk Factors</w:t>
      </w:r>
      <w:r>
        <w:rPr>
          <w:rFonts w:ascii="Arial" w:cs="Arial" w:eastAsia="Arial" w:hAnsi="Arial"/>
          <w:sz w:val="18"/>
          <w:szCs w:val="18"/>
          <w:color w:val="auto"/>
        </w:rPr>
        <w:t>.”</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The list of factors above is illustrative, but by no means exhaustive. All forward-looking statements should be evaluated with the understanding of their inherent uncertainty. All subsequent written and oral forward-looking statements concerning the matters addressed in this prospectus and attributable to us or any person acting on our behalf are qualified by these cautionary statements.</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business is subject to uncertainties and risks. Before you decide to invest in our securities, you should carefully consider and evaluate all of the information included and incorporated by reference in this prospectus, including the risk factors incorporated by reference from our most recent Annual Report on Form 10-K, as updated by our Quarterly Reports on Form 10-Q, Current Reports on Form 8-K and other filings we make with the SEC, and the risk factors contained under the “Risk Factors” heading in any applicable prospectus supplement. It is possible that our business, financial condition, liquidity or results of operations could be materially adversely affected by any of these risks.</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SCOTTS MIRACLE-GRO COMPANY</w:t>
      </w:r>
    </w:p>
    <w:p>
      <w:pPr>
        <w:spacing w:after="0" w:line="13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We trace our roots to two businesses launched by entrepreneurs. In 1868, Civil War veteran O.M. Scott started a seed business in Marysville, Ohio, based on the conviction that “farmers shall have clean, weed-free fields.” Beginning in 1907, The Scotts Company expanded its reach by selling grass seed to consumers and eventually exited the agricultural market. By 1988 — through innovation and acquisition — The Scotts Company had become a leading marketer of lawn fertilizer, grass seed and growing media products within the United States.</w:t>
      </w:r>
    </w:p>
    <w:p>
      <w:pPr>
        <w:spacing w:after="0" w:line="94" w:lineRule="exact"/>
        <w:rPr>
          <w:sz w:val="20"/>
          <w:szCs w:val="20"/>
          <w:color w:val="auto"/>
        </w:rPr>
      </w:pPr>
    </w:p>
    <w:p>
      <w:pPr>
        <w:jc w:val="both"/>
        <w:ind w:left="700" w:right="180" w:firstLine="397"/>
        <w:spacing w:after="0" w:line="259" w:lineRule="auto"/>
        <w:rPr>
          <w:sz w:val="20"/>
          <w:szCs w:val="20"/>
          <w:color w:val="auto"/>
        </w:rPr>
      </w:pPr>
      <w:r>
        <w:rPr>
          <w:rFonts w:ascii="Arial" w:cs="Arial" w:eastAsia="Arial" w:hAnsi="Arial"/>
          <w:sz w:val="18"/>
          <w:szCs w:val="18"/>
          <w:color w:val="auto"/>
        </w:rPr>
        <w:t>Separately, Horace Hagedorn and his partner Otto Stern launched Stern’s Miracle-Gro Products, Inc. in 1951 in New York. Their easy-to-use plant food quickly revolutionized the gardening category. Through innovative marketing, Miracle-Gro</w:t>
      </w:r>
      <w:r>
        <w:rPr>
          <w:rFonts w:ascii="Arial" w:cs="Arial" w:eastAsia="Arial" w:hAnsi="Arial"/>
          <w:sz w:val="15"/>
          <w:szCs w:val="15"/>
          <w:color w:val="auto"/>
        </w:rPr>
        <w:t>®</w:t>
      </w:r>
      <w:r>
        <w:rPr>
          <w:rFonts w:ascii="Arial" w:cs="Arial" w:eastAsia="Arial" w:hAnsi="Arial"/>
          <w:sz w:val="18"/>
          <w:szCs w:val="18"/>
          <w:color w:val="auto"/>
        </w:rPr>
        <w:t xml:space="preserve"> eventually became the leading plant food product in the gardening industry. In 1995, The Scotts Company and Stern’s Miracle-Gro Products, Inc. merged, marking the start of a significant evolution for us.</w:t>
      </w:r>
    </w:p>
    <w:p>
      <w:pPr>
        <w:spacing w:after="0" w:line="92"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In the late 1990s, we launched both a geographic and a category expansion. We acquired companies with industry-leading brands in France, Germany and the United Kingdom. In fiscal 1999, we acquired the Ortho</w:t>
      </w:r>
      <w:r>
        <w:rPr>
          <w:rFonts w:ascii="Arial" w:cs="Arial" w:eastAsia="Arial" w:hAnsi="Arial"/>
          <w:sz w:val="15"/>
          <w:szCs w:val="15"/>
          <w:color w:val="auto"/>
        </w:rPr>
        <w:t>®</w:t>
      </w:r>
      <w:r>
        <w:rPr>
          <w:rFonts w:ascii="Arial" w:cs="Arial" w:eastAsia="Arial" w:hAnsi="Arial"/>
          <w:sz w:val="18"/>
          <w:szCs w:val="18"/>
          <w:color w:val="auto"/>
        </w:rPr>
        <w:t xml:space="preserve"> brand in the United States and exclusive rights for the marketing and distribution of consumer</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340"/>
        <w:spacing w:after="0" w:line="297" w:lineRule="auto"/>
        <w:rPr>
          <w:sz w:val="20"/>
          <w:szCs w:val="20"/>
          <w:color w:val="auto"/>
        </w:rPr>
      </w:pPr>
      <w:r>
        <w:rPr>
          <w:rFonts w:ascii="Arial" w:cs="Arial" w:eastAsia="Arial" w:hAnsi="Arial"/>
          <w:sz w:val="16"/>
          <w:szCs w:val="16"/>
          <w:color w:val="auto"/>
        </w:rPr>
        <w:t>Roundup</w:t>
      </w:r>
      <w:r>
        <w:rPr>
          <w:rFonts w:ascii="Arial" w:cs="Arial" w:eastAsia="Arial" w:hAnsi="Arial"/>
          <w:sz w:val="13"/>
          <w:szCs w:val="13"/>
          <w:color w:val="auto"/>
        </w:rPr>
        <w:t>®</w:t>
      </w:r>
      <w:r>
        <w:rPr>
          <w:rFonts w:ascii="Arial" w:cs="Arial" w:eastAsia="Arial" w:hAnsi="Arial"/>
          <w:sz w:val="16"/>
          <w:szCs w:val="16"/>
          <w:color w:val="auto"/>
        </w:rPr>
        <w:t xml:space="preserve"> * brand products within the United States and other specified countries, thereby adding industry-leading weed, insect and disease control products to our portfolio. We expanded into the lawn care service industry with the launch of Scotts LawnService</w:t>
      </w:r>
      <w:r>
        <w:rPr>
          <w:rFonts w:ascii="Arial" w:cs="Arial" w:eastAsia="Arial" w:hAnsi="Arial"/>
          <w:sz w:val="13"/>
          <w:szCs w:val="13"/>
          <w:color w:val="auto"/>
        </w:rPr>
        <w:t>®</w:t>
      </w:r>
      <w:r>
        <w:rPr>
          <w:rFonts w:ascii="Arial" w:cs="Arial" w:eastAsia="Arial" w:hAnsi="Arial"/>
          <w:sz w:val="16"/>
          <w:szCs w:val="16"/>
          <w:color w:val="auto"/>
        </w:rPr>
        <w:t xml:space="preserve"> in 1998. Since fiscal 2001, we have invested nearly $125 million in acquisitions of local and regional lawn care businesses to provide a platform for rapid expansion throughout the United States. Most recently, we entered the North American wild bird food category in fiscal 2006 with the acquisition of Gutwein &amp; Co., Inc. and its Morning Song</w:t>
      </w:r>
      <w:r>
        <w:rPr>
          <w:rFonts w:ascii="Arial" w:cs="Arial" w:eastAsia="Arial" w:hAnsi="Arial"/>
          <w:sz w:val="13"/>
          <w:szCs w:val="13"/>
          <w:color w:val="auto"/>
        </w:rPr>
        <w:t>®</w:t>
      </w:r>
      <w:r>
        <w:rPr>
          <w:rFonts w:ascii="Arial" w:cs="Arial" w:eastAsia="Arial" w:hAnsi="Arial"/>
          <w:sz w:val="16"/>
          <w:szCs w:val="16"/>
          <w:color w:val="auto"/>
        </w:rPr>
        <w:t xml:space="preserve"> brand of bird food.</w:t>
      </w:r>
    </w:p>
    <w:p>
      <w:pPr>
        <w:spacing w:after="0" w:line="6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As we celebrate more than 100 years of selling products to consumers, we own the leading brands in nearly every category of the lawn and garden industry. A list of some of our North American leading consumer brands is as follows:</w:t>
      </w:r>
    </w:p>
    <w:p>
      <w:pPr>
        <w:sectPr>
          <w:pgSz w:w="11900" w:h="16838" w:orient="portrait"/>
          <w:cols w:equalWidth="0" w:num="1">
            <w:col w:w="10620"/>
          </w:cols>
          <w:pgMar w:left="240" w:top="419" w:right="1039" w:bottom="1440" w:gutter="0" w:footer="0" w:header="0"/>
        </w:sectPr>
      </w:pPr>
    </w:p>
    <w:p>
      <w:pPr>
        <w:spacing w:after="0" w:line="81"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29845</wp:posOffset>
            </wp:positionV>
            <wp:extent cx="26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w:t>
      </w:r>
      <w:r>
        <w:rPr>
          <w:rFonts w:ascii="Arial" w:cs="Arial" w:eastAsia="Arial" w:hAnsi="Arial"/>
          <w:sz w:val="12"/>
          <w:szCs w:val="12"/>
          <w:b w:val="1"/>
          <w:bCs w:val="1"/>
          <w:color w:val="auto"/>
        </w:rPr>
        <w:t>rands</w:t>
      </w:r>
    </w:p>
    <w:p>
      <w:pPr>
        <w:spacing w:after="0" w:line="100" w:lineRule="exact"/>
        <w:rPr>
          <w:sz w:val="20"/>
          <w:szCs w:val="20"/>
          <w:color w:val="auto"/>
        </w:rPr>
      </w:pPr>
    </w:p>
    <w:p>
      <w:pPr>
        <w:sectPr>
          <w:pgSz w:w="11900" w:h="16838" w:orient="portrait"/>
          <w:cols w:equalWidth="0" w:num="2">
            <w:col w:w="7500" w:space="720"/>
            <w:col w:w="2400"/>
          </w:cols>
          <w:pgMar w:left="240" w:top="419" w:right="103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Lawns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Gardens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Growing Media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Grass Seed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Controls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Wild Bird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99060</wp:posOffset>
            </wp:positionV>
            <wp:extent cx="814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LiquaFeed</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SuperSoil</w:t>
      </w:r>
      <w:r>
        <w:rPr>
          <w:rFonts w:ascii="Arial" w:cs="Arial" w:eastAsia="Arial" w:hAnsi="Arial"/>
          <w:sz w:val="15"/>
          <w:szCs w:val="15"/>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Ortho</w:t>
      </w:r>
      <w:r>
        <w:rPr>
          <w:rFonts w:ascii="Arial" w:cs="Arial" w:eastAsia="Arial" w:hAnsi="Arial"/>
          <w:sz w:val="13"/>
          <w:szCs w:val="13"/>
          <w:color w:val="auto"/>
        </w:rPr>
        <w:t>®</w:t>
      </w:r>
      <w:r>
        <w:rPr>
          <w:rFonts w:ascii="Arial" w:cs="Arial" w:eastAsia="Arial" w:hAnsi="Arial"/>
          <w:sz w:val="16"/>
          <w:szCs w:val="16"/>
          <w:color w:val="auto"/>
        </w:rPr>
        <w:t>; Home Defense Max</w:t>
      </w:r>
      <w:r>
        <w:rPr>
          <w:rFonts w:ascii="Arial" w:cs="Arial" w:eastAsia="Arial" w:hAnsi="Arial"/>
          <w:sz w:val="13"/>
          <w:szCs w:val="13"/>
          <w:color w:val="auto"/>
        </w:rPr>
        <w:t>®</w:t>
      </w:r>
      <w:r>
        <w:rPr>
          <w:rFonts w:ascii="Arial" w:cs="Arial" w:eastAsia="Arial" w:hAnsi="Arial"/>
          <w:sz w:val="16"/>
          <w:szCs w:val="16"/>
          <w:color w:val="auto"/>
        </w:rPr>
        <w:t>; Weed-B-Gon Max</w:t>
      </w:r>
      <w:r>
        <w:rPr>
          <w:rFonts w:ascii="Arial" w:cs="Arial" w:eastAsia="Arial" w:hAnsi="Arial"/>
          <w:sz w:val="13"/>
          <w:szCs w:val="13"/>
          <w:color w:val="auto"/>
        </w:rPr>
        <w:t>®</w:t>
      </w:r>
      <w:r>
        <w:rPr>
          <w:rFonts w:ascii="Arial" w:cs="Arial" w:eastAsia="Arial" w:hAnsi="Arial"/>
          <w:sz w:val="16"/>
          <w:szCs w:val="16"/>
          <w:color w:val="auto"/>
        </w:rPr>
        <w:t>; Roundup</w:t>
      </w:r>
      <w:r>
        <w:rPr>
          <w:rFonts w:ascii="Arial" w:cs="Arial" w:eastAsia="Arial" w:hAnsi="Arial"/>
          <w:sz w:val="13"/>
          <w:szCs w:val="13"/>
          <w:color w:val="auto"/>
        </w:rPr>
        <w: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Morning Song</w:t>
      </w:r>
      <w:r>
        <w:rPr>
          <w:rFonts w:ascii="Arial" w:cs="Arial" w:eastAsia="Arial" w:hAnsi="Arial"/>
          <w:sz w:val="15"/>
          <w:szCs w:val="15"/>
          <w:color w:val="auto"/>
        </w:rPr>
        <w:t>®</w:t>
      </w:r>
      <w:r>
        <w:rPr>
          <w:rFonts w:ascii="Arial" w:cs="Arial" w:eastAsia="Arial" w:hAnsi="Arial"/>
          <w:sz w:val="18"/>
          <w:szCs w:val="18"/>
          <w:color w:val="auto"/>
        </w:rPr>
        <w:t>; Scotts Songbird Selections</w:t>
      </w: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5140" w:space="720"/>
            <w:col w:w="4760"/>
          </w:cols>
          <w:pgMar w:left="240" w:top="419" w:right="1039" w:bottom="1440" w:gutter="0" w:footer="0" w:header="0"/>
          <w:type w:val="continuous"/>
        </w:sectPr>
      </w:pPr>
    </w:p>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Technology LLC, an affiliate of Monsanto Company.</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In addition, we have the following significant brands in Europe: Miracle-Gro</w:t>
      </w:r>
      <w:r>
        <w:rPr>
          <w:rFonts w:ascii="Arial" w:cs="Arial" w:eastAsia="Arial" w:hAnsi="Arial"/>
          <w:sz w:val="14"/>
          <w:szCs w:val="14"/>
          <w:color w:val="auto"/>
        </w:rPr>
        <w:t>®</w:t>
      </w:r>
      <w:r>
        <w:rPr>
          <w:rFonts w:ascii="Arial" w:cs="Arial" w:eastAsia="Arial" w:hAnsi="Arial"/>
          <w:sz w:val="17"/>
          <w:szCs w:val="17"/>
          <w:color w:val="auto"/>
        </w:rPr>
        <w:t xml:space="preserve"> plant fertilizers, Weedol</w:t>
      </w:r>
      <w:r>
        <w:rPr>
          <w:rFonts w:ascii="Arial" w:cs="Arial" w:eastAsia="Arial" w:hAnsi="Arial"/>
          <w:sz w:val="14"/>
          <w:szCs w:val="14"/>
          <w:color w:val="auto"/>
        </w:rPr>
        <w:t>®</w:t>
      </w:r>
      <w:r>
        <w:rPr>
          <w:rFonts w:ascii="Arial" w:cs="Arial" w:eastAsia="Arial" w:hAnsi="Arial"/>
          <w:sz w:val="17"/>
          <w:szCs w:val="17"/>
          <w:color w:val="auto"/>
        </w:rPr>
        <w:t xml:space="preserve"> and Pathclear</w:t>
      </w:r>
      <w:r>
        <w:rPr>
          <w:rFonts w:ascii="Arial" w:cs="Arial" w:eastAsia="Arial" w:hAnsi="Arial"/>
          <w:sz w:val="14"/>
          <w:szCs w:val="14"/>
          <w:color w:val="auto"/>
        </w:rPr>
        <w:t>®</w:t>
      </w:r>
      <w:r>
        <w:rPr>
          <w:rFonts w:ascii="Arial" w:cs="Arial" w:eastAsia="Arial" w:hAnsi="Arial"/>
          <w:sz w:val="17"/>
          <w:szCs w:val="17"/>
          <w:color w:val="auto"/>
        </w:rPr>
        <w:t xml:space="preserve"> herbicides, EverGreen</w:t>
      </w:r>
      <w:r>
        <w:rPr>
          <w:rFonts w:ascii="Arial" w:cs="Arial" w:eastAsia="Arial" w:hAnsi="Arial"/>
          <w:sz w:val="14"/>
          <w:szCs w:val="14"/>
          <w:color w:val="auto"/>
        </w:rPr>
        <w:t>®</w:t>
      </w:r>
      <w:r>
        <w:rPr>
          <w:rFonts w:ascii="Arial" w:cs="Arial" w:eastAsia="Arial" w:hAnsi="Arial"/>
          <w:sz w:val="17"/>
          <w:szCs w:val="17"/>
          <w:color w:val="auto"/>
        </w:rPr>
        <w:t xml:space="preserve"> lawn fertilizers and Levington</w:t>
      </w:r>
      <w:r>
        <w:rPr>
          <w:rFonts w:ascii="Arial" w:cs="Arial" w:eastAsia="Arial" w:hAnsi="Arial"/>
          <w:sz w:val="14"/>
          <w:szCs w:val="14"/>
          <w:color w:val="auto"/>
        </w:rPr>
        <w:t>®</w:t>
      </w:r>
      <w:r>
        <w:rPr>
          <w:rFonts w:ascii="Arial" w:cs="Arial" w:eastAsia="Arial" w:hAnsi="Arial"/>
          <w:sz w:val="17"/>
          <w:szCs w:val="17"/>
          <w:color w:val="auto"/>
        </w:rPr>
        <w:t xml:space="preserve"> growing media in the United Kingdom; KB</w:t>
      </w:r>
      <w:r>
        <w:rPr>
          <w:rFonts w:ascii="Arial" w:cs="Arial" w:eastAsia="Arial" w:hAnsi="Arial"/>
          <w:sz w:val="14"/>
          <w:szCs w:val="14"/>
          <w:color w:val="auto"/>
        </w:rPr>
        <w:t>®</w:t>
      </w:r>
      <w:r>
        <w:rPr>
          <w:rFonts w:ascii="Arial" w:cs="Arial" w:eastAsia="Arial" w:hAnsi="Arial"/>
          <w:sz w:val="17"/>
          <w:szCs w:val="17"/>
          <w:color w:val="auto"/>
        </w:rPr>
        <w:t xml:space="preserve"> and Fertiligène</w:t>
      </w:r>
      <w:r>
        <w:rPr>
          <w:rFonts w:ascii="Arial" w:cs="Arial" w:eastAsia="Arial" w:hAnsi="Arial"/>
          <w:sz w:val="14"/>
          <w:szCs w:val="14"/>
          <w:color w:val="auto"/>
        </w:rPr>
        <w:t>®</w:t>
      </w:r>
      <w:r>
        <w:rPr>
          <w:rFonts w:ascii="Arial" w:cs="Arial" w:eastAsia="Arial" w:hAnsi="Arial"/>
          <w:sz w:val="17"/>
          <w:szCs w:val="17"/>
          <w:color w:val="auto"/>
        </w:rPr>
        <w:t xml:space="preserve"> in France; Celaflor</w:t>
      </w:r>
      <w:r>
        <w:rPr>
          <w:rFonts w:ascii="Arial" w:cs="Arial" w:eastAsia="Arial" w:hAnsi="Arial"/>
          <w:sz w:val="14"/>
          <w:szCs w:val="14"/>
          <w:color w:val="auto"/>
        </w:rPr>
        <w:t>®</w:t>
      </w:r>
      <w:r>
        <w:rPr>
          <w:rFonts w:ascii="Arial" w:cs="Arial" w:eastAsia="Arial" w:hAnsi="Arial"/>
          <w:sz w:val="17"/>
          <w:szCs w:val="17"/>
          <w:color w:val="auto"/>
        </w:rPr>
        <w:t>, Nexa Lotte</w:t>
      </w:r>
      <w:r>
        <w:rPr>
          <w:rFonts w:ascii="Arial" w:cs="Arial" w:eastAsia="Arial" w:hAnsi="Arial"/>
          <w:sz w:val="14"/>
          <w:szCs w:val="14"/>
          <w:color w:val="auto"/>
        </w:rPr>
        <w:t>®</w:t>
      </w:r>
      <w:r>
        <w:rPr>
          <w:rFonts w:ascii="Arial" w:cs="Arial" w:eastAsia="Arial" w:hAnsi="Arial"/>
          <w:sz w:val="17"/>
          <w:szCs w:val="17"/>
          <w:color w:val="auto"/>
        </w:rPr>
        <w:t xml:space="preserve"> and Substral</w:t>
      </w:r>
      <w:r>
        <w:rPr>
          <w:rFonts w:ascii="Arial" w:cs="Arial" w:eastAsia="Arial" w:hAnsi="Arial"/>
          <w:sz w:val="14"/>
          <w:szCs w:val="14"/>
          <w:color w:val="auto"/>
        </w:rPr>
        <w:t>®</w:t>
      </w:r>
      <w:r>
        <w:rPr>
          <w:rFonts w:ascii="Arial" w:cs="Arial" w:eastAsia="Arial" w:hAnsi="Arial"/>
          <w:sz w:val="17"/>
          <w:szCs w:val="17"/>
          <w:color w:val="auto"/>
        </w:rPr>
        <w:t xml:space="preserve"> in Germany and Austria; and ASEF</w:t>
      </w:r>
      <w:r>
        <w:rPr>
          <w:rFonts w:ascii="Arial" w:cs="Arial" w:eastAsia="Arial" w:hAnsi="Arial"/>
          <w:sz w:val="14"/>
          <w:szCs w:val="14"/>
          <w:color w:val="auto"/>
        </w:rPr>
        <w:t>®</w:t>
      </w:r>
      <w:r>
        <w:rPr>
          <w:rFonts w:ascii="Arial" w:cs="Arial" w:eastAsia="Arial" w:hAnsi="Arial"/>
          <w:sz w:val="17"/>
          <w:szCs w:val="17"/>
          <w:color w:val="auto"/>
        </w:rPr>
        <w:t>, KB</w:t>
      </w:r>
      <w:r>
        <w:rPr>
          <w:rFonts w:ascii="Arial" w:cs="Arial" w:eastAsia="Arial" w:hAnsi="Arial"/>
          <w:sz w:val="14"/>
          <w:szCs w:val="14"/>
          <w:color w:val="auto"/>
        </w:rPr>
        <w:t>®</w:t>
      </w:r>
      <w:r>
        <w:rPr>
          <w:rFonts w:ascii="Arial" w:cs="Arial" w:eastAsia="Arial" w:hAnsi="Arial"/>
          <w:sz w:val="17"/>
          <w:szCs w:val="17"/>
          <w:color w:val="auto"/>
        </w:rPr>
        <w:t xml:space="preserve"> and Substral</w:t>
      </w:r>
      <w:r>
        <w:rPr>
          <w:rFonts w:ascii="Arial" w:cs="Arial" w:eastAsia="Arial" w:hAnsi="Arial"/>
          <w:sz w:val="14"/>
          <w:szCs w:val="14"/>
          <w:color w:val="auto"/>
        </w:rPr>
        <w:t>®</w:t>
      </w:r>
      <w:r>
        <w:rPr>
          <w:rFonts w:ascii="Arial" w:cs="Arial" w:eastAsia="Arial" w:hAnsi="Arial"/>
          <w:sz w:val="17"/>
          <w:szCs w:val="17"/>
          <w:color w:val="auto"/>
        </w:rPr>
        <w:t xml:space="preserve"> in Belgium, the Netherlands and Luxembourg. Roundup</w:t>
      </w:r>
      <w:r>
        <w:rPr>
          <w:rFonts w:ascii="Arial" w:cs="Arial" w:eastAsia="Arial" w:hAnsi="Arial"/>
          <w:sz w:val="14"/>
          <w:szCs w:val="14"/>
          <w:color w:val="auto"/>
        </w:rPr>
        <w:t>®</w:t>
      </w:r>
      <w:r>
        <w:rPr>
          <w:rFonts w:ascii="Arial" w:cs="Arial" w:eastAsia="Arial" w:hAnsi="Arial"/>
          <w:sz w:val="17"/>
          <w:szCs w:val="17"/>
          <w:color w:val="auto"/>
        </w:rPr>
        <w:t xml:space="preserve"> is also a significant brand in the United Kingdom, France, Germany and other European markets.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principal executive offices are located at 14111 Scottslawn Road, Marysville, Ohio 43041, and our telephone number is</w:t>
      </w:r>
    </w:p>
    <w:p>
      <w:pPr>
        <w:spacing w:after="0" w:line="35" w:lineRule="exact"/>
        <w:rPr>
          <w:sz w:val="20"/>
          <w:szCs w:val="20"/>
          <w:color w:val="auto"/>
        </w:rPr>
      </w:pPr>
    </w:p>
    <w:p>
      <w:pPr>
        <w:ind w:left="700" w:right="440" w:hanging="7"/>
        <w:spacing w:after="0" w:line="261"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644-0011. We maintain a website at www.scotts.com where general information about us is available. The information on our website is not a part of this prospectus or any applicable prospectus supplement.</w:t>
      </w:r>
    </w:p>
    <w:p>
      <w:pPr>
        <w:spacing w:after="0" w:line="30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Fiscal Year Ended September 30,</w:t>
            </w:r>
          </w:p>
        </w:tc>
        <w:tc>
          <w:tcPr>
            <w:tcW w:w="360" w:type="dxa"/>
            <w:vAlign w:val="bottom"/>
            <w:tcBorders>
              <w:bottom w:val="single" w:sz="8" w:color="auto"/>
            </w:tcBorders>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r>
      <w:tr>
        <w:trPr>
          <w:trHeight w:val="264"/>
        </w:trPr>
        <w:tc>
          <w:tcPr>
            <w:tcW w:w="648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charges(1)</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3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8" w:lineRule="exact"/>
        <w:rPr>
          <w:sz w:val="20"/>
          <w:szCs w:val="20"/>
          <w:color w:val="auto"/>
        </w:rPr>
      </w:pPr>
    </w:p>
    <w:p>
      <w:pPr>
        <w:ind w:left="1000" w:hanging="301"/>
        <w:spacing w:after="0" w:line="25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consist of income before income taxes, fixed charges, amortization of capitalized interest, adjustments for minority interests in consolidated subsidiaries and distributed earnings of equity method investees less interest capitalized. Fixed charges consist of interest on borrowings, amortization of deferred financing costs, capitalized interest, the proportion deemed representative of the interest factor within rent expense and interest on deposits. We did not have any preferred shares outstanding during the periods indicated.</w:t>
      </w:r>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Unless we state otherwise in the applicable prospectus supplement, we intend to use the net proceeds from the sale of the securities for general corporate purposes. General corporate purposes may include working capital additions, repayment of indebtedness, repurchase of our common shares, capital expenditures, acquisitions and other strategic investments.</w:t>
      </w: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DESCRIPTION OF DEBT SECURITIES AND GUARANTEES OF DEBT SECURITIES</w:t>
      </w:r>
    </w:p>
    <w:p>
      <w:pPr>
        <w:spacing w:after="0" w:line="135"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The following description discusses the general terms and provisions of the debt securities that we may offer under this prospectus and any related guarantees. The debt securities may be issued as senior debt securities or subordinated debt securities. The indebtedness represented by the senior debt securities will rank equally with all of our other unsecured and unsubordinated debt. The indebtedness represented by the subordinated debt securities will rank junior and be subordinate in right of payment to the prior payment in full of our senior debt, to the extent and in the manner set forth in the applicable prospectus supplement for the securities.</w:t>
      </w:r>
    </w:p>
    <w:p>
      <w:pPr>
        <w:spacing w:after="0" w:line="6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The senior debt securities and the subordinated debt securities will be issued under separate indentures between us and one or more U.S. banking institutions. The trustee for each series of our debt securities will be identified in the applicable prospectus supplement. We may refer to the indenture covering the senior debt securities as the “senior indenture” and the indenture covering the subordinated debt securities as the “subordinated indenture.” Together the senior indenture and the subordinated indenture are called “indentures.”</w:t>
      </w:r>
    </w:p>
    <w:p>
      <w:pPr>
        <w:spacing w:after="0" w:line="60"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The forms of the indentures are filed as exhibits to the registration statement of which this prospectus is a part. The indentures are subject to and governed by the Trust Indenture Act of 1939, or the Trust Indenture Act, and may be supplemented or amended from time to time following their execution. Prior to issuing any debt securities, we will be required to select a trustee for the applicable indenture or indentures, qualify the trustee or trustees under the Trust Indenture Act and execute the applicable indenture or indentures.</w:t>
      </w:r>
    </w:p>
    <w:p>
      <w:pPr>
        <w:spacing w:after="0" w:line="6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form of each indenture gives us broad authority to set the particular terms of each series of debt securities, including the right to modify certain of the terms contained in the indenture. The particular terms of a series of debt securities and the extent, if any, to which the particular terms of the issue modify the terms of the applicable form of indenture will be described in the prospectus supplement relating to such series of debt securities.</w:t>
      </w:r>
    </w:p>
    <w:p>
      <w:pPr>
        <w:spacing w:after="0" w:line="9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following summary describes selected provisions of the indentures. This summary does not describe every aspect of the debt securities, the guarantees or the applicable indenture and is subject to, and qualified in its entirety by reference to, all the provisions of the applicable indenture, including the terms defined in the applicable indenture. We urge you to read the applicable indenture in its entirety. This summary is also subject to, and qualified in its entirety by reference to, the description of the particular debt securities and guarantees in the applicable prospectus supplement.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indentures provide that we will be able to issue an unlimited aggregate principal amount of debt securities under each indenture, in one or more series, and in any currency or currency units. We are not required to issue all debt securities of one series at the same time and, unless otherwise provided, we may reopen a series, without the consent of the holders of the debt securities of that series, for issuances of additional debt securities of that series.</w:t>
      </w:r>
    </w:p>
    <w:p>
      <w:pPr>
        <w:spacing w:after="0" w:line="9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Prior to the issuance of each series of debt securities, the terms of the particular securities will be specified in a supplemental indenture or in one or more officer’s certificates pursuant to a board resolution. We will describe in the applicable prospectus supplement the terms of the debt securities being offered, including:</w:t>
      </w:r>
    </w:p>
    <w:p>
      <w:pPr>
        <w:spacing w:after="0" w:line="87"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and the price at which we will sell, the offered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offered debt securities are senior debt securities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 of the offered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 or how to determine such date or dates;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or method of determination of interest;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from which interest will accrue;</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dates on which interest will be payable and any record dates for the interest payable on the interest payment dates;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of payment on the offered debt securities;</w:t>
      </w:r>
    </w:p>
    <w:p>
      <w:pPr>
        <w:spacing w:after="0" w:line="117" w:lineRule="exact"/>
        <w:rPr>
          <w:rFonts w:ascii="Arial" w:cs="Arial" w:eastAsia="Arial" w:hAnsi="Arial"/>
          <w:sz w:val="18"/>
          <w:szCs w:val="18"/>
          <w:color w:val="auto"/>
        </w:rPr>
      </w:pPr>
    </w:p>
    <w:p>
      <w:pPr>
        <w:ind w:left="1300" w:right="20" w:hanging="202"/>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obligation or option we have to redeem, purchase or repay the offered debt securities, or any option of the registered holder to require us to redeem or repurchase offered debt securities, and the terms and conditions upon which the offered debt securities will be redeemed, purchased or repaid;</w:t>
      </w:r>
    </w:p>
    <w:p>
      <w:pPr>
        <w:spacing w:after="0" w:line="86" w:lineRule="exact"/>
        <w:rPr>
          <w:rFonts w:ascii="Arial" w:cs="Arial" w:eastAsia="Arial" w:hAnsi="Arial"/>
          <w:sz w:val="18"/>
          <w:szCs w:val="18"/>
          <w:color w:val="auto"/>
        </w:rPr>
      </w:pPr>
    </w:p>
    <w:p>
      <w:pPr>
        <w:ind w:left="1300" w:right="100" w:hanging="202"/>
        <w:spacing w:after="0" w:line="34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currency or currencies, including composite currencies or currency units, in which payment of the principal of (or premium, if any) or interest, if any, on any of the offered debt securities will be payable if other than the currency of the United States;</w:t>
      </w:r>
    </w:p>
    <w:p>
      <w:pPr>
        <w:spacing w:after="0" w:line="29" w:lineRule="exact"/>
        <w:rPr>
          <w:rFonts w:ascii="Arial" w:cs="Arial" w:eastAsia="Arial" w:hAnsi="Arial"/>
          <w:sz w:val="16"/>
          <w:szCs w:val="16"/>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index, formula or other method used to determine the amount of principal, premium, if any, or interest;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upon which payment on the offered debt securities may change;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offered debt securities are defeasible;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applicable indenture;</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offered debt securities will be guaranteed;</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any right to convert the offered debt securities into common shares;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offered debt securities not inconsistent with the provisions of the applicable indenture.</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the offered debt securities are denominated in whole or in part in any currency other than U.S. dollars, if the principal of (and premium, if any) or interest, if any, on the offered debt securities are to be payable in a currency or currencies other than that in which the debt securities are to be payable, or if any index is used to determine the amount of payments of principal of (and premium, if any) or interest on any series of the debt securities, material federal income tax, accounting and other considerations applicable thereto will be described in the applicable prospectus supplement.</w:t>
      </w:r>
    </w:p>
    <w:p>
      <w:pPr>
        <w:spacing w:after="0" w:line="94"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so provided in the applicable prospectus supplement, we may issue our debt securities at a discount below their principal amount and pay less than the entire principal amount of our debt securities upon declaration of acceleration of their maturity. The applicable prospectus supplement will describe all material federal income tax and other considerations applicable to any such original issue discount securities.</w:t>
      </w:r>
    </w:p>
    <w:p>
      <w:pPr>
        <w:spacing w:after="0" w:line="92" w:lineRule="exact"/>
        <w:rPr>
          <w:sz w:val="20"/>
          <w:szCs w:val="20"/>
          <w:color w:val="auto"/>
        </w:rPr>
      </w:pPr>
    </w:p>
    <w:p>
      <w:pPr>
        <w:ind w:left="700" w:right="300" w:firstLine="397"/>
        <w:spacing w:after="0" w:line="276" w:lineRule="auto"/>
        <w:rPr>
          <w:sz w:val="20"/>
          <w:szCs w:val="20"/>
          <w:color w:val="auto"/>
        </w:rPr>
      </w:pPr>
      <w:r>
        <w:rPr>
          <w:rFonts w:ascii="Arial" w:cs="Arial" w:eastAsia="Arial" w:hAnsi="Arial"/>
          <w:sz w:val="17"/>
          <w:szCs w:val="17"/>
          <w:color w:val="auto"/>
        </w:rPr>
        <w:t>The general provisions of the form indentures do not contain any provisions that would limit our ability or the ability of our subsidiaries to incur indebtedness or that would afford holders of our debt securities protection in the event of a highly leveraged or similar transaction involving us or any of our subsidiaries. Please refer to the applicable prospectus supplement for information with respect to any deletions from, modifications of or additions to, the events of default described below that are applicable to the offered debt securities or any covenants or other provisions providing event risk or similar protection.</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we state otherwise in the applicable prospectus supplement, we will pay interest on a debt security on each interest payment date to the person in whose name the debt security is registered as of the close of business on the regular record date relating to the interest payment date.</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Unless we state otherwise in the applicable prospectus supplement, we will pay principal of and any premium on the debt securities at stated maturity, upon redemption or otherwise, upon presentation of the debt securities at the office of the applicable trustee, as our paying agent, or at other designated places. Any other paying agent initially designated for the debt securities of a particular series will be identified in the applicable prospectus supplement.</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Transfers and Exchanges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debt securities of each series will be issued only in fully registered form, without interest coupons. Unless we state otherwise in the applicable prospectus supplement, the debt securities will be issued in denominations of $2,000 each or integral multiples of $1,000 in excess thereof.</w:t>
      </w:r>
    </w:p>
    <w:p>
      <w:pPr>
        <w:spacing w:after="0" w:line="87"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Subject to the terms of the applicable indenture and the limitations applicable to global securities, you may exchange or transfer debt securities at the corporate trust office of the trustee or at any other office or agency maintained by us for that purpose, without the payment of any service charge, except for any tax or governmental charge.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Global Securities</w:t>
      </w:r>
    </w:p>
    <w:p>
      <w:pPr>
        <w:spacing w:after="0" w:line="135" w:lineRule="exact"/>
        <w:rPr>
          <w:sz w:val="20"/>
          <w:szCs w:val="20"/>
          <w:color w:val="auto"/>
        </w:rPr>
      </w:pPr>
    </w:p>
    <w:p>
      <w:pPr>
        <w:jc w:val="both"/>
        <w:ind w:left="700" w:right="240" w:firstLine="397"/>
        <w:spacing w:after="0" w:line="277" w:lineRule="auto"/>
        <w:rPr>
          <w:sz w:val="20"/>
          <w:szCs w:val="20"/>
          <w:color w:val="auto"/>
        </w:rPr>
      </w:pPr>
      <w:r>
        <w:rPr>
          <w:rFonts w:ascii="Arial" w:cs="Arial" w:eastAsia="Arial" w:hAnsi="Arial"/>
          <w:sz w:val="18"/>
          <w:szCs w:val="18"/>
          <w:color w:val="auto"/>
        </w:rPr>
        <w:t>The debt securities of any series may be issued, in whole or in part, by one or more global certificates that will be deposited with the depositary identified in the applicable prospectus supplement.</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No global security may be exchanged in whole or in part for the debt securities registered in the name of any person other than the depositary for that global security or any nominee of that depositary except in the following circumstances or as otherwise provided in the applicable prospectus supplement. The depositary may discontinue providing its services as depositary with respect to the securities at any time by giving reasonable notice to us or the applicable trustee. Under such circumstances, in the event that a successor depositary is not obtained, certificates are required to be printed and delivered. In addition, we may decide to discontinue use of the system of book-entry-only transfers through a depositary. In that event, certificates will be printed and delivered to the depositary.</w:t>
      </w:r>
    </w:p>
    <w:p>
      <w:pPr>
        <w:spacing w:after="0" w:line="70"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Unless otherwise stated in any prospectus supplement, The Depository Trust Company, or DTC, will act as depositary. Beneficial interests in global certificates will be shown on, and transfers of global certificates will be effected only through records maintained by DTC and its participants.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Unless otherwise specified in the applicable prospectus supplement, an event of default occurs with respect to debt securities of any series if:</w:t>
      </w:r>
    </w:p>
    <w:p>
      <w:pPr>
        <w:spacing w:after="0" w:line="7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for 30 days in the payment when due of interest upon any debt security of such series;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default in the payment when due of the principal of or premium, if any, on any debt security of such series at its maturity;</w:t>
      </w:r>
    </w:p>
    <w:p>
      <w:pPr>
        <w:spacing w:after="0" w:line="142" w:lineRule="exact"/>
        <w:rPr>
          <w:rFonts w:ascii="Arial" w:cs="Arial" w:eastAsia="Arial" w:hAnsi="Arial"/>
          <w:sz w:val="17"/>
          <w:szCs w:val="17"/>
          <w:color w:val="auto"/>
        </w:rPr>
      </w:pPr>
    </w:p>
    <w:p>
      <w:pPr>
        <w:ind w:left="1300" w:hanging="202"/>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default in the deposit of any sinking fund payment, when and as due by the terms of any debt security of such series;</w:t>
      </w:r>
    </w:p>
    <w:p>
      <w:pPr>
        <w:spacing w:after="0" w:line="142" w:lineRule="exact"/>
        <w:rPr>
          <w:rFonts w:ascii="Arial" w:cs="Arial" w:eastAsia="Arial" w:hAnsi="Arial"/>
          <w:sz w:val="17"/>
          <w:szCs w:val="17"/>
          <w:color w:val="auto"/>
        </w:rPr>
      </w:pPr>
    </w:p>
    <w:p>
      <w:pPr>
        <w:ind w:left="1300" w:right="100" w:hanging="202"/>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in the observance or performance of any other covenant or agreement contained in the applicable indenture which default continues for a period of 60 days after we receive written notice specifying the default (and demanding that such default be remedied) from the applicable trustee or the holders (with a copy to the applicable trustee) of at least 25% of the outstanding principal amount of the debt securities of such series;</w:t>
      </w:r>
    </w:p>
    <w:p>
      <w:pPr>
        <w:spacing w:after="0" w:line="92"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events of bankruptcy, insolvency, receivership or reorganization with respect to us occur; or</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such series occurs.</w:t>
      </w:r>
    </w:p>
    <w:p>
      <w:pPr>
        <w:spacing w:after="0" w:line="131"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No event of default with respect to a series of debt securities necessarily constitutes an event of default with respect to the debt securities of any other series issued under the indentures.</w:t>
      </w:r>
    </w:p>
    <w:p>
      <w:pPr>
        <w:spacing w:after="0" w:line="76"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Each indenture requires us to provide an officers’ certificate to the applicable trustee promptly upon any such officer obtaining knowledge of any default or event of default that has occurred and, if applicable, describe such default or event of default and the status thereof. Each indenture requires us to file annually with the applicable trustee an officers’ certificate as to our compliance with all conditions and covenants under the applicable indenture. Each indenture provides that the applicable trustee may withhold notice to the</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holders of a series of debt securities of any default, except payment defaults on those debt securities, if it considers such withholding to be in the interest of the holders of that series of debt securities.</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If an event of default occurs and is continuing with respect to any series of debt securities, then either the applicable trustee or the holders of not less than 25% in principal amount of the outstanding debt securities of that series may declare the principal amount, or, if any debt securities of that series are original issue discount securities, that portion of the principal amount of those original issue discount securities as may be specified in the terms of those original issue discount securities, of all of the debt securities of that series to be due and payable immediately, by a notice in writing to us, and to the applicable trustee if given by the holders, and upon any such declaration that principal amount, or specified amount, plus accrued and unpaid interest, and premium, if any, will become immediately due and payable. Upon payment of that amount in the currency in which the debt securities are denominated (except as otherwise provided in the applicable indenture or the applicable prospectus supplement), all of our obligations in respect of the payment of principal of the debt securities of that series will terminate.</w:t>
      </w:r>
    </w:p>
    <w:p>
      <w:pPr>
        <w:spacing w:after="0" w:line="87"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After a declaration of acceleration has been made and before the trustee has obtained a judgment or decree for payment of the money due on any series of debt securities, the holders of not less than a majority in aggregate principal amount of the outstanding debt securities of that series, by written notice to us and the applicable trustee, may rescind and annul the declaration and its consequences, subject to any terms or conditions specified in the applicable prospectus supplement.</w:t>
      </w:r>
    </w:p>
    <w:p>
      <w:pPr>
        <w:spacing w:after="0" w:line="7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If an event of default results from bankruptcy, insolvency or reorganization, the principal amount of all the debt securities of a series, or that portion of the principal amount of such debt securities as may be specified in the applicable prospectus supplement, will automatically become immediately due and payable.</w:t>
      </w:r>
    </w:p>
    <w:p>
      <w:pPr>
        <w:spacing w:after="0" w:line="87"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Subject to the provisions of each indenture relating to the duties of the applicable trustee, in case an event of default with respect to our debt securities of a particular series occurs and is continuing, the applicable trustee will be under no obligation to exercise any of its rights or powers under that indenture at the request, order or direction of any of the holders of debt securities of that series, unless the holders have offered to the applicable trustee reasonable security or indemnity against the costs, expenses and liabilities which might be incurred by it in complying with such request or direction. Subject to the provisions for the indemnification of the applicable trustee, the holders of a majority in principal amount of the outstanding debt securities of that series will have the right to direct the time, method and place of conducting any proceeding for any remedy available to the applicable trustee under the applicable indenture, or exercising any trust or power conferred on the applicable trustee with respect to the debt securities of that series.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Merger or Consolidation</w:t>
      </w:r>
    </w:p>
    <w:p>
      <w:pPr>
        <w:spacing w:after="0" w:line="135"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Each indenture provides that we may not consolidate with or merge or wind up into any other entity, whether or not we are the surviving entity, and that we may not sell, assign, convey, transfer or lease our properties and assets substantially as an entirety to any person, unless:</w:t>
      </w:r>
    </w:p>
    <w:p>
      <w:pPr>
        <w:spacing w:after="0" w:line="87" w:lineRule="exact"/>
        <w:rPr>
          <w:sz w:val="20"/>
          <w:szCs w:val="20"/>
          <w:color w:val="auto"/>
        </w:rPr>
      </w:pPr>
    </w:p>
    <w:p>
      <w:pPr>
        <w:ind w:left="1300" w:hanging="202"/>
        <w:spacing w:after="0" w:line="25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entity formed by the consolidation or into which we are merged, or the person which acquires us or which leases our properties and assets substantially as an entirety, is an entity organized and existing under the laws of the United States or any State or territory of the United States or the District of Columbia, and expressly assumes, by supplemental indenture, the due and punctual payment of the principal of (and premium, if any) and interest on all the outstanding debt securities and the performance of all of our covenants under the applicable indenture;</w:t>
      </w:r>
    </w:p>
    <w:p>
      <w:pPr>
        <w:spacing w:after="0" w:line="93"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under the applicable indenture, and no event which after notice or lapse of time or both would become an event of default, has happened and is continuing;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conditions specified in the applicable prospectus supplement are met.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or Waiver</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Without prior notice to or the consent of any holders, we and the applicable trustee may modify the applicable indenture for any of the following purposes:</w:t>
      </w:r>
    </w:p>
    <w:p>
      <w:pPr>
        <w:spacing w:after="0" w:line="76"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 particular series in addition to or in place of certificated debt securities of such series;</w:t>
      </w:r>
    </w:p>
    <w:p>
      <w:pPr>
        <w:spacing w:after="0" w:line="75"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the assumption of our obligations to holders of debt securities in the case of a merger or consolidation or sale of all or substantially all of our assets;</w:t>
      </w:r>
    </w:p>
    <w:p>
      <w:pPr>
        <w:spacing w:after="0" w:line="75" w:lineRule="exact"/>
        <w:rPr>
          <w:rFonts w:ascii="Arial" w:cs="Arial" w:eastAsia="Arial" w:hAnsi="Arial"/>
          <w:sz w:val="18"/>
          <w:szCs w:val="18"/>
          <w:color w:val="auto"/>
        </w:rPr>
      </w:pPr>
    </w:p>
    <w:p>
      <w:pPr>
        <w:ind w:left="1300" w:right="660" w:hanging="202"/>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make any change that would provide any additional rights or benefits to the holders of debt securities or that does not adversely affect in any material respect the legal rights under the applicable indenture of any such holder;</w:t>
      </w:r>
    </w:p>
    <w:p>
      <w:pPr>
        <w:spacing w:after="0" w:line="51" w:lineRule="exact"/>
        <w:rPr>
          <w:rFonts w:ascii="Arial" w:cs="Arial" w:eastAsia="Arial" w:hAnsi="Arial"/>
          <w:sz w:val="17"/>
          <w:szCs w:val="17"/>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130"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any requirements of the SEC in order to effect or maintain the qualification of the applicable indenture under the Trust Indenture Act;</w:t>
      </w:r>
    </w:p>
    <w:p>
      <w:pPr>
        <w:spacing w:after="0" w:line="75" w:lineRule="exact"/>
        <w:rPr>
          <w:rFonts w:ascii="Arial" w:cs="Arial" w:eastAsia="Arial" w:hAnsi="Arial"/>
          <w:sz w:val="18"/>
          <w:szCs w:val="18"/>
          <w:color w:val="auto"/>
        </w:rPr>
      </w:pPr>
    </w:p>
    <w:p>
      <w:pPr>
        <w:ind w:left="1300" w:right="56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remove a guarantor which, in accordance with the terms of the applicable indenture, ceases to be liable in respect of its guarantee;</w:t>
      </w:r>
    </w:p>
    <w:p>
      <w:pPr>
        <w:spacing w:after="0" w:line="75"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applicable indenture by a successor trustee;</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all of the debt securities of a particular series;</w:t>
      </w:r>
    </w:p>
    <w:p>
      <w:pPr>
        <w:spacing w:after="0" w:line="130"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the covenants of us or any guarantor for the benefit of the holders or to surrender any right or power conferred upon us or any guarantor; or</w:t>
      </w:r>
    </w:p>
    <w:p>
      <w:pPr>
        <w:spacing w:after="0" w:line="75"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 as permitted by the terms of such indenture.</w:t>
      </w:r>
    </w:p>
    <w:p>
      <w:pPr>
        <w:spacing w:after="0" w:line="131"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We and the applicable trustee may, with some exceptions, amend or modify either indenture with the consent of the holders of at least a majority in aggregate principal amount of the outstanding debt securities of all series affected by the amendment or modification. However, no amendment or modification may, without the consent of the holder of each outstanding debt security affected thereby:</w:t>
      </w:r>
    </w:p>
    <w:p>
      <w:pPr>
        <w:spacing w:after="0" w:line="52" w:lineRule="exact"/>
        <w:rPr>
          <w:sz w:val="20"/>
          <w:szCs w:val="20"/>
          <w:color w:val="auto"/>
        </w:rPr>
      </w:pPr>
    </w:p>
    <w:p>
      <w:pPr>
        <w:ind w:left="1300" w:hanging="20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principal amount of debt securities of such a series whose holders must consent to an amendment, supplement or waiver, including the waiver of defaults or events of default, or to a rescission and cancellation of a declaration of acceleration of the debt securities;</w:t>
      </w:r>
    </w:p>
    <w:p>
      <w:pPr>
        <w:spacing w:after="0" w:line="86"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rate of or change or have the effect of changing the time for payment of interest, including defaulted interest, on the debt securities of such a series;</w:t>
      </w:r>
    </w:p>
    <w:p>
      <w:pPr>
        <w:spacing w:after="0" w:line="75" w:lineRule="exact"/>
        <w:rPr>
          <w:rFonts w:ascii="Arial" w:cs="Arial" w:eastAsia="Arial" w:hAnsi="Arial"/>
          <w:sz w:val="18"/>
          <w:szCs w:val="18"/>
          <w:color w:val="auto"/>
        </w:rPr>
      </w:pPr>
    </w:p>
    <w:p>
      <w:pPr>
        <w:ind w:left="1300" w:right="120" w:hanging="202"/>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reduce the principal of or change or have the effect of changing the fixed maturity of such debt securities, or change the date on which such debt securities may be subject to redemption, or reduce the redemption price therefor;</w:t>
      </w:r>
    </w:p>
    <w:p>
      <w:pPr>
        <w:spacing w:after="0" w:line="51" w:lineRule="exact"/>
        <w:rPr>
          <w:rFonts w:ascii="Arial" w:cs="Arial" w:eastAsia="Arial" w:hAnsi="Arial"/>
          <w:sz w:val="17"/>
          <w:szCs w:val="17"/>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such debt securities payable in money other than that stated in such debt securities;</w:t>
      </w:r>
    </w:p>
    <w:p>
      <w:pPr>
        <w:spacing w:after="0" w:line="130" w:lineRule="exact"/>
        <w:rPr>
          <w:rFonts w:ascii="Arial" w:cs="Arial" w:eastAsia="Arial" w:hAnsi="Arial"/>
          <w:sz w:val="18"/>
          <w:szCs w:val="18"/>
          <w:color w:val="auto"/>
        </w:rPr>
      </w:pPr>
    </w:p>
    <w:p>
      <w:pPr>
        <w:ind w:left="1300" w:right="40" w:hanging="202"/>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 any change in the provisions of the applicable indenture protecting the right of each holder to receive payment of principal of and interest on such debt securities on or after the due date thereof or to bring suit to enforce such payment;</w:t>
      </w:r>
    </w:p>
    <w:p>
      <w:pPr>
        <w:spacing w:after="0" w:line="51" w:lineRule="exact"/>
        <w:rPr>
          <w:rFonts w:ascii="Arial" w:cs="Arial" w:eastAsia="Arial" w:hAnsi="Arial"/>
          <w:sz w:val="17"/>
          <w:szCs w:val="17"/>
          <w:color w:val="auto"/>
        </w:rPr>
      </w:pPr>
    </w:p>
    <w:p>
      <w:pPr>
        <w:ind w:left="1300" w:right="100" w:hanging="202"/>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waive a default in the payment of principal of or interest on any such debt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shall not limit the right of the holders of a majority in aggregate principal amount of the outstanding debt securities of such series to rescind and cancel a declaration of acceleration of such debt securities following delivery of an acceleration notice as described under “— Events of Default”;</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in the provisions of the applicable indenture described in this “Modification or Waiver” section;</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contractually subordinate such debt securities (or any related guarantees) to any other indebtedness;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conflict with the required provisions of the Trust Indenture Act; or</w:t>
      </w:r>
    </w:p>
    <w:p>
      <w:pPr>
        <w:spacing w:after="0" w:line="130" w:lineRule="exact"/>
        <w:rPr>
          <w:rFonts w:ascii="Arial" w:cs="Arial" w:eastAsia="Arial" w:hAnsi="Arial"/>
          <w:sz w:val="18"/>
          <w:szCs w:val="18"/>
          <w:color w:val="auto"/>
        </w:rPr>
      </w:pPr>
    </w:p>
    <w:p>
      <w:pPr>
        <w:ind w:left="1300" w:right="36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any of the foregoing provisions of the applicable indenture, except to increase any such percentage or to provide that certain other provisions of the applicable indenture cannot be modified or waived without the consent of the holder of each outstanding debt security of each series affected thereby.</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A modification which changes or eliminates any provision of an indenture expressly included solely for the benefit of holders of debt securities of one or more particular series or modifies the holders’ rights will be deemed not to affect the rights under the indenture of the registered holders of debt securities of any other series.</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Each of the indentures provides that the holders of not less than a majority in aggregate principal amount of the then outstanding debt securities of any series, by notice to the relevant trustee, may on behalf of the holders of the debt securities of that series waive any default or event of default and its consequences under the applicable indenture, except:</w:t>
      </w:r>
    </w:p>
    <w:p>
      <w:pPr>
        <w:spacing w:after="0" w:line="87" w:lineRule="exact"/>
        <w:rPr>
          <w:sz w:val="20"/>
          <w:szCs w:val="20"/>
          <w:color w:val="auto"/>
        </w:rPr>
      </w:pPr>
    </w:p>
    <w:p>
      <w:pPr>
        <w:ind w:left="1300" w:right="4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continuing default or event of default in the payment of the principal of (and premium, if any) or interest on any such debt security held by a non-consenting holder; or</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which cannot be modified or amended without the consent of the holder of each outstanding debt security of each series affected.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The applicable indenture with respect to the debt securities of any series may be discharged, subject to the terms and conditions as specified in the applicable prospectus supplement, when either:</w:t>
      </w:r>
    </w:p>
    <w:p>
      <w:pPr>
        <w:spacing w:after="0" w:line="76" w:lineRule="exact"/>
        <w:rPr>
          <w:sz w:val="20"/>
          <w:szCs w:val="20"/>
          <w:color w:val="auto"/>
        </w:rPr>
      </w:pPr>
    </w:p>
    <w:p>
      <w:pPr>
        <w:ind w:left="1300" w:right="200" w:hanging="202"/>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the debt securities of such series theretofore authenticated and delivered (except lost, stolen or destroyed debt securities of such series which have been replaced or paid and debt securities of such series for whose payment money has theretofore been deposited in trust or segregated and held in trust by us and thereafter repaid to us as provided in the applicable indenture) have been delivered to the registrar for cancellation, and</w:t>
      </w:r>
    </w:p>
    <w:p>
      <w:pPr>
        <w:spacing w:after="0" w:line="92" w:lineRule="exact"/>
        <w:rPr>
          <w:rFonts w:ascii="Arial" w:cs="Arial" w:eastAsia="Arial" w:hAnsi="Arial"/>
          <w:sz w:val="18"/>
          <w:szCs w:val="18"/>
          <w:color w:val="auto"/>
        </w:rPr>
      </w:pPr>
    </w:p>
    <w:p>
      <w:pPr>
        <w:ind w:left="1700" w:hanging="211"/>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have paid all sums payable under the applicable indenture by us, and</w:t>
      </w:r>
    </w:p>
    <w:p>
      <w:pPr>
        <w:spacing w:after="0" w:line="130" w:lineRule="exact"/>
        <w:rPr>
          <w:rFonts w:ascii="Arial" w:cs="Arial" w:eastAsia="Arial" w:hAnsi="Arial"/>
          <w:sz w:val="18"/>
          <w:szCs w:val="18"/>
          <w:color w:val="auto"/>
        </w:rPr>
      </w:pPr>
    </w:p>
    <w:p>
      <w:pPr>
        <w:ind w:left="1700" w:right="280" w:hanging="211"/>
        <w:spacing w:after="0" w:line="264"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have delivered to the applicable trustee an officers’ certificate and an opinion of counsel stating that all conditions precedent under the applicable indenture relating to the satisfaction and discharge of such indenture have been complied with; or</w:t>
      </w:r>
    </w:p>
    <w:p>
      <w:pPr>
        <w:spacing w:after="0" w:line="86"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shall have given notice of redemption of all of the debt securities of such series, all of the debt securities of such series shall have otherwise become due and payable or all of the debt securities of such series will become due and payable, or may be called for redemption, within one year, and</w:t>
      </w:r>
    </w:p>
    <w:p>
      <w:pPr>
        <w:spacing w:after="0" w:line="86" w:lineRule="exact"/>
        <w:rPr>
          <w:rFonts w:ascii="Arial" w:cs="Arial" w:eastAsia="Arial" w:hAnsi="Arial"/>
          <w:sz w:val="18"/>
          <w:szCs w:val="18"/>
          <w:color w:val="auto"/>
        </w:rPr>
      </w:pPr>
    </w:p>
    <w:p>
      <w:pPr>
        <w:ind w:left="1700" w:right="120" w:hanging="211"/>
        <w:spacing w:after="0" w:line="293" w:lineRule="auto"/>
        <w:tabs>
          <w:tab w:leader="none" w:pos="17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we have irrevocably deposited or caused to be deposited with the applicable trustee or another trustee funds, in trust solely for the benefit of the holders of debt securities of such series, U.S. legal tender, U.S. government obligations or a combination thereof, in such amounts as will be sufficient (without consideration of any reinvestment of interest) to pay and discharge the entire indebtedness (including all principal and accrued interest) on the debt securities of such series not theretofore delivered to the applicable trustee for cancellation, together with irrevocable instructions from us directing the applicable trustee to apply such funds to the payment thereof at maturity or redemption, as the case may be;</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60" w:hanging="21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we are a party or by which we are bound;</w:t>
      </w:r>
    </w:p>
    <w:p>
      <w:pPr>
        <w:spacing w:after="0" w:line="86"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paid all other sums payable under the applicable indenture; and</w:t>
      </w:r>
    </w:p>
    <w:p>
      <w:pPr>
        <w:spacing w:after="0" w:line="130" w:lineRule="exact"/>
        <w:rPr>
          <w:rFonts w:ascii="Arial" w:cs="Arial" w:eastAsia="Arial" w:hAnsi="Arial"/>
          <w:sz w:val="18"/>
          <w:szCs w:val="18"/>
          <w:color w:val="auto"/>
        </w:rPr>
      </w:pPr>
    </w:p>
    <w:p>
      <w:pPr>
        <w:ind w:left="1700" w:right="280" w:hanging="21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applicable trustee an officers’ certificate and an opinion of counsel stating that all conditions precedent under the applicable indenture relating to the satisfaction and discharge of the applicable indenture have been complied with.</w:t>
      </w:r>
    </w:p>
    <w:p>
      <w:pPr>
        <w:spacing w:after="0" w:line="87"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In addition, each series of debt securities may provide additional or different terms or conditions for the discharge or defeasance of some or all of our obligations as may be specified in the applicable prospectus supplement.</w:t>
      </w:r>
    </w:p>
    <w:p>
      <w:pPr>
        <w:spacing w:after="0" w:line="76"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If provision is made for the defeasance of debt securities of a series, and if the debt securities of that series are registered securities and denominated and payable only in U.S. dollars, then the provisions of each indenture relating to defeasance will be applicable except as otherwise specified in the applicable prospectus supplement for debt securities of that series. Defeasance provisions, if any, for debt securities denominated in a foreign currency or currencies may be specified in the applicable prospectus supplement.</w:t>
      </w:r>
    </w:p>
    <w:p>
      <w:pPr>
        <w:spacing w:after="0" w:line="60"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We may, at our option and at any time, elect to have all of our obligations discharged with respect to the outstanding debt securities of a series and all obligations of any guarantors discharged with respect to their guarantees (“Legal Defeasance”) except for:</w:t>
      </w:r>
    </w:p>
    <w:p>
      <w:pPr>
        <w:spacing w:after="0" w:line="29" w:lineRule="exact"/>
        <w:rPr>
          <w:sz w:val="20"/>
          <w:szCs w:val="20"/>
          <w:color w:val="auto"/>
        </w:rPr>
      </w:pPr>
    </w:p>
    <w:p>
      <w:pPr>
        <w:ind w:left="1300" w:right="160" w:hanging="20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rights of holders of such outstanding debt securities to receive payments in respect of the principal of, premium, if any, and interest on such debt securities when such payments are due from the trust referred to below;</w:t>
      </w:r>
    </w:p>
    <w:p>
      <w:pPr>
        <w:spacing w:after="0" w:line="51" w:lineRule="exact"/>
        <w:rPr>
          <w:rFonts w:ascii="Arial" w:cs="Arial" w:eastAsia="Arial" w:hAnsi="Arial"/>
          <w:sz w:val="17"/>
          <w:szCs w:val="17"/>
          <w:color w:val="auto"/>
        </w:rPr>
      </w:pPr>
    </w:p>
    <w:p>
      <w:pPr>
        <w:ind w:left="1300" w:right="14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obligations with respect to such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6"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applicable trustee, and our obligations in connection therewith; and</w:t>
      </w:r>
    </w:p>
    <w:p>
      <w:pPr>
        <w:spacing w:after="0" w:line="142" w:lineRule="exact"/>
        <w:rPr>
          <w:rFonts w:ascii="Arial" w:cs="Arial" w:eastAsia="Arial" w:hAnsi="Arial"/>
          <w:sz w:val="17"/>
          <w:szCs w:val="17"/>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Legal Defeasance provisions of the applicable indenture.</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addition, we may, at our option and at any time, elect to have our obligations and the obligations of any guarantors released with respect to certain covenants that are described in the applicable indenture (“Covenant Defeasance”) and thereafter any omission to comply with those covenants shall not constitute a default or event of default with respect to the outstanding debt securities of a series. In the event Covenant Defeasance occurs, certain events (not including non-payment, bankruptcy, receivership, rehabilitation and insolvency events) described under “— Events of Default” will no longer constitute an event of default with respect to such debt securities.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31" w:lineRule="exact"/>
        <w:rPr>
          <w:sz w:val="20"/>
          <w:szCs w:val="20"/>
          <w:color w:val="auto"/>
        </w:rPr>
      </w:pPr>
    </w:p>
    <w:p>
      <w:pPr>
        <w:ind w:left="1300" w:right="20" w:hanging="202"/>
        <w:spacing w:after="0" w:line="25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irrevocably deposit with the applicable trustee, in trust, for the benefit of the holders of such debt securities,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debt securities on the stated maturity or on the applicable redemption date, as the case may be, and we must specify whether such debt securities are being defeased to maturity or to a particular redemption date;</w:t>
      </w:r>
    </w:p>
    <w:p>
      <w:pPr>
        <w:spacing w:after="0" w:line="98" w:lineRule="exact"/>
        <w:rPr>
          <w:rFonts w:ascii="Arial" w:cs="Arial" w:eastAsia="Arial" w:hAnsi="Arial"/>
          <w:sz w:val="18"/>
          <w:szCs w:val="18"/>
          <w:color w:val="auto"/>
        </w:rPr>
      </w:pPr>
    </w:p>
    <w:p>
      <w:pPr>
        <w:jc w:val="both"/>
        <w:ind w:left="1300" w:right="20" w:hanging="202"/>
        <w:spacing w:after="0" w:line="29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Legal Defeasance, we must have delivered to the applicable trustee an opinion of counsel reasonably acceptable to such trustee confirming that (1) we have received from, or there has been published by, the Internal Revenue Service a ruling or</w:t>
      </w:r>
    </w:p>
    <w:p>
      <w:pPr>
        <w:ind w:left="1300" w:right="140"/>
        <w:spacing w:after="0" w:line="261" w:lineRule="auto"/>
        <w:rPr>
          <w:rFonts w:ascii="Arial" w:cs="Arial" w:eastAsia="Arial" w:hAnsi="Arial"/>
          <w:sz w:val="16"/>
          <w:szCs w:val="16"/>
          <w:color w:val="auto"/>
        </w:rPr>
      </w:pPr>
      <w:r>
        <w:rPr>
          <w:rFonts w:ascii="Arial" w:cs="Arial" w:eastAsia="Arial" w:hAnsi="Arial"/>
          <w:sz w:val="18"/>
          <w:szCs w:val="18"/>
          <w:color w:val="auto"/>
        </w:rPr>
        <w:t>(2) since the date of the applicable indenture, there has been a change in the applicable federal income tax law, in either case to the effect that, and</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based thereon such opinion of counsel shall confirm that, the holders of such outstanding debt securities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92" w:lineRule="exact"/>
        <w:rPr>
          <w:sz w:val="20"/>
          <w:szCs w:val="20"/>
          <w:color w:val="auto"/>
        </w:rPr>
      </w:pPr>
    </w:p>
    <w:p>
      <w:pPr>
        <w:ind w:left="1300" w:right="60" w:hanging="202"/>
        <w:spacing w:after="0" w:line="327"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the case of Covenant Defeasance, we must have delivered to the applicable trustee an opinion of counsel reasonably acceptable to such trustee confirming that the holders of such outstanding debt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5" w:lineRule="exact"/>
        <w:rPr>
          <w:rFonts w:ascii="Arial" w:cs="Arial" w:eastAsia="Arial" w:hAnsi="Arial"/>
          <w:sz w:val="15"/>
          <w:szCs w:val="15"/>
          <w:color w:val="auto"/>
        </w:rPr>
      </w:pPr>
    </w:p>
    <w:p>
      <w:pPr>
        <w:ind w:left="1300" w:right="40" w:hanging="202"/>
        <w:spacing w:after="0" w:line="31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either (1) on the date of such deposit (other than a default or event of default resulting from the borrowing of funds to be applied to such deposit) or (2) insofar as events of default from bankruptcy or insolvency events are concerned, at any time in the period ending on the 91st day after the date of deposit;</w:t>
      </w:r>
    </w:p>
    <w:p>
      <w:pPr>
        <w:spacing w:after="0" w:line="52" w:lineRule="exact"/>
        <w:rPr>
          <w:rFonts w:ascii="Arial" w:cs="Arial" w:eastAsia="Arial" w:hAnsi="Arial"/>
          <w:sz w:val="16"/>
          <w:szCs w:val="16"/>
          <w:color w:val="auto"/>
        </w:rPr>
      </w:pPr>
    </w:p>
    <w:p>
      <w:pPr>
        <w:ind w:left="1300" w:right="20" w:hanging="202"/>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the applicable indenture or any material agreement or instrument to which we or any of our subsidiaries is a party or by which we or any of our subsidiaries is bound (other than any such default under the applicable indenture resulting solely from the borrowing of funds to be applied to such deposit);</w:t>
      </w:r>
    </w:p>
    <w:p>
      <w:pPr>
        <w:spacing w:after="0" w:line="92" w:lineRule="exact"/>
        <w:rPr>
          <w:rFonts w:ascii="Arial" w:cs="Arial" w:eastAsia="Arial" w:hAnsi="Arial"/>
          <w:sz w:val="18"/>
          <w:szCs w:val="18"/>
          <w:color w:val="auto"/>
        </w:rPr>
      </w:pPr>
    </w:p>
    <w:p>
      <w:pPr>
        <w:jc w:val="both"/>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have delivered to the applicable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86" w:lineRule="exact"/>
        <w:rPr>
          <w:rFonts w:ascii="Arial" w:cs="Arial" w:eastAsia="Arial" w:hAnsi="Arial"/>
          <w:sz w:val="18"/>
          <w:szCs w:val="18"/>
          <w:color w:val="auto"/>
        </w:rPr>
      </w:pPr>
    </w:p>
    <w:p>
      <w:pPr>
        <w:ind w:left="1300" w:right="34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deliver to the applicable trustee an officers’ certificate stating that the deposit was not made by us with the intent of preferring the holders of such debt securities over our other creditors with the intent of defeating, hindering, delaying or defrauding our creditors or others;</w:t>
      </w:r>
    </w:p>
    <w:p>
      <w:pPr>
        <w:spacing w:after="0" w:line="86" w:lineRule="exact"/>
        <w:rPr>
          <w:rFonts w:ascii="Arial" w:cs="Arial" w:eastAsia="Arial" w:hAnsi="Arial"/>
          <w:sz w:val="18"/>
          <w:szCs w:val="18"/>
          <w:color w:val="auto"/>
        </w:rPr>
      </w:pPr>
    </w:p>
    <w:p>
      <w:pPr>
        <w:ind w:left="1300" w:right="560" w:hanging="202"/>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must deliver to the applicable trustee an officers’ certificate and an opinion of counsel, each stating that all conditions precedent relating to the Legal Defeasance or the Covenant Defeasance have been complied with; and</w:t>
      </w:r>
    </w:p>
    <w:p>
      <w:pPr>
        <w:spacing w:after="0" w:line="51" w:lineRule="exact"/>
        <w:rPr>
          <w:rFonts w:ascii="Arial" w:cs="Arial" w:eastAsia="Arial" w:hAnsi="Arial"/>
          <w:sz w:val="17"/>
          <w:szCs w:val="17"/>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Senior Debt Securities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 senior debt securities will be unsecured senior obligations and will rank equally with all other senior unsecured and unsubordinated debt. The senior debt securities will, however, be subordinated in right of payment to all of our secured indebtedness to the extent of the value of the assets securing that indebtedness. Except as provided in the senior indenture or specified in any authorizing resolution or supplemental indenture relating to a series of senior debt securities to be issued, no senior indenture will limit the amount of additional indebtedness that may rank equally with the senior debt securities or the amount of indebtedness, secured or otherwise, that may be incurred or preferred shares that may be issued by any of our subsidiaries.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Subordination</w:t>
      </w:r>
    </w:p>
    <w:p>
      <w:pPr>
        <w:spacing w:after="0" w:line="13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If our assets are distributed upon our dissolution, winding up, liquidation or reorganization, the payment of the principal of (and premium, if any) and interest on any subordinated debt securities will be subordinated in right of payment, to the extent provided in the subordinated indenture and the applicable prospectus supplement, to the prior payment in full of all senior indebtedness, including senior debt securities. However, our obligation to pay the principal of (and premium, if any) or interest on the subordinated debt securities will not otherwise be affected. Unless otherwise stated in the applicable prospectus supplement, payment on account of principal (or premium, if any), sinking funds or interest on the subordinated debt securities may not be made at any time when there is a default in the payment of the principal, premium, if any, sinking funds, interest or certain other obligations on senior indebtedness. In addition, the prospectus supplement for any</w:t>
      </w:r>
    </w:p>
    <w:p>
      <w:pPr>
        <w:spacing w:after="0" w:line="3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91" w:lineRule="auto"/>
        <w:rPr>
          <w:sz w:val="20"/>
          <w:szCs w:val="20"/>
          <w:color w:val="auto"/>
        </w:rPr>
      </w:pPr>
      <w:r>
        <w:rPr>
          <w:rFonts w:ascii="Arial" w:cs="Arial" w:eastAsia="Arial" w:hAnsi="Arial"/>
          <w:sz w:val="16"/>
          <w:szCs w:val="16"/>
          <w:color w:val="auto"/>
        </w:rPr>
        <w:t>series of subordinated debt securities may provide that payments of the principal of (or premium, if any) or interest on the subordinated debt securities may be delayed or not paid under specified circumstances and periods. If, while we are in default on senior indebtedness, any payment is received by the trustee under the subordinated indenture or the holders of any of the subordinated debt securities before we have paid all senior indebtedness in full, the payment or distribution must be paid over to the holders of the unpaid senior indebtedness or applied to the repayment of the unpaid senior indebtedness. Subject to paying the senior indebtedness in full, the holders of the subordinated debt securities will be subrogated to the rights of the holders of the senior indebtedness to the extent that payments are made to the holders of senior indebtedness out of the distributive share of the subordinated debt securities.</w:t>
      </w:r>
    </w:p>
    <w:p>
      <w:pPr>
        <w:spacing w:after="0" w:line="7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Due to the subordination, if our assets are distributed upon insolvency, some or all of our general creditors may recover more, ratably, than holders of subordinated debt securities. The subordinated indenture or applicable supplemental indenture may state that its subordination provisions will not apply to money and securities held in trust under the satisfaction and discharge and the legal defeasance provisions of the subordinated indenture.</w:t>
      </w:r>
    </w:p>
    <w:p>
      <w:pPr>
        <w:spacing w:after="0" w:line="9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applicable prospectus supplement or the information incorporated by reference in it will specify the approximate amount of senior indebtedness outstanding as of a recent date and any limitations on the issuance of additional senior indebtedness (or that there is not such limitation). Senior indebtedness with respect to any series of subordinated debt securities will have the meaning specified in the applicable prospectus supplement for that series.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Conversion Rights</w:t>
      </w:r>
    </w:p>
    <w:p>
      <w:pPr>
        <w:spacing w:after="0" w:line="135"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terms and conditions of any debt securities being offered that are convertible into our common shares will be described in the applicable prospectus supplement. These terms will include the conversion price, the conversion period, provisions as to whether conversion will be mandatory or at the option of the holder or us, the events requiring an adjustment of the conversion price and provisions affecting conversion in the event that the debt securities are redeemed.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Existence</w:t>
      </w:r>
    </w:p>
    <w:p>
      <w:pPr>
        <w:spacing w:after="0" w:line="135" w:lineRule="exact"/>
        <w:rPr>
          <w:sz w:val="20"/>
          <w:szCs w:val="20"/>
          <w:color w:val="auto"/>
        </w:rPr>
      </w:pPr>
    </w:p>
    <w:p>
      <w:pPr>
        <w:ind w:left="700" w:right="260" w:firstLine="397"/>
        <w:spacing w:after="0" w:line="312" w:lineRule="auto"/>
        <w:rPr>
          <w:sz w:val="20"/>
          <w:szCs w:val="20"/>
          <w:color w:val="auto"/>
        </w:rPr>
      </w:pPr>
      <w:r>
        <w:rPr>
          <w:rFonts w:ascii="Arial" w:cs="Arial" w:eastAsia="Arial" w:hAnsi="Arial"/>
          <w:sz w:val="16"/>
          <w:szCs w:val="16"/>
          <w:color w:val="auto"/>
        </w:rPr>
        <w:t>Subject to the terms of the applicable indenture, we will do or cause to be done all things necessary to preserve and keep in full force and effect our corporate existence, charter and statutory rights and franchises; provided, however, that we will not be required to preserve any right or franchise if we determine that the preservation thereof is no longer desirable in the conduct of our business.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Guarantees of Debt Securities</w:t>
      </w:r>
    </w:p>
    <w:p>
      <w:pPr>
        <w:spacing w:after="0" w:line="135" w:lineRule="exact"/>
        <w:rPr>
          <w:sz w:val="20"/>
          <w:szCs w:val="20"/>
          <w:color w:val="auto"/>
        </w:rPr>
      </w:pPr>
    </w:p>
    <w:p>
      <w:pPr>
        <w:ind w:left="700" w:right="500" w:firstLine="397"/>
        <w:spacing w:after="0" w:line="308" w:lineRule="auto"/>
        <w:rPr>
          <w:sz w:val="20"/>
          <w:szCs w:val="20"/>
          <w:color w:val="auto"/>
        </w:rPr>
      </w:pPr>
      <w:r>
        <w:rPr>
          <w:rFonts w:ascii="Arial" w:cs="Arial" w:eastAsia="Arial" w:hAnsi="Arial"/>
          <w:sz w:val="17"/>
          <w:szCs w:val="17"/>
          <w:color w:val="auto"/>
        </w:rPr>
        <w:t>Any debt securities may be guaranteed by one or more of our direct or indirect subsidiaries. Each prospectus supplement will describe any guarantees of debt securities for the benefit of the series of debt securities to which it relates.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The indentures and our debt securities and any guarantees of our debt securities will be governed by, and construed in accordance with, the law of the State of New York.</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following summary describes the material features of our capital stock. This summary does not describe every aspect of our capital stock and is subject to, and qualified in its entirety by reference to, all the provisions of our amended articles of incorporation and code of regulations, each of which is filed as an exhibit to the registration statement of which this prospectus is a part, and the applicable provisions of Ohio law.</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Capital Stock</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Our authorized capital stock consists of 100,000,000 common shares, without par value, and 195,000 preferred shares, without par value. As of January 4, 2010, there were (1) 66,240,081 common shares issued and outstanding, and (2) no preferred shares issued and outstanding.</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Shares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Holders of our common shares are entitled to:</w:t>
      </w:r>
    </w:p>
    <w:p>
      <w:pPr>
        <w:spacing w:after="0" w:line="131"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vote for each share held;</w:t>
      </w:r>
    </w:p>
    <w:p>
      <w:pPr>
        <w:spacing w:after="0" w:line="117" w:lineRule="exact"/>
        <w:rPr>
          <w:rFonts w:ascii="Arial" w:cs="Arial" w:eastAsia="Arial" w:hAnsi="Arial"/>
          <w:sz w:val="18"/>
          <w:szCs w:val="18"/>
          <w:color w:val="auto"/>
        </w:rPr>
      </w:pPr>
    </w:p>
    <w:p>
      <w:pPr>
        <w:ind w:left="1300" w:right="260" w:hanging="202"/>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receive dividends when and if declared by our board of directors from funds legally available therefor, subject to the rights of holders of our preferred shares, if any, and any restrictions contained in our long-term indebtedness;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 ratably in our net assets, legally available to our shareholders in the event of our liquidation, dissolution or winding up, after provision for distribution to the holders of any preferred shares and to the payment in full of all amounts required to be paid to creditors or provision for such payment.</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Holders of our common shares have no preemptive, subscription, redemption, conversion or cumulative voting rights. Our outstanding common shares are, and any common shares that we issue pursuant to this prospectus and a prospectus supplement will be, when issued, fully paid and nonassessable.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Shares</w:t>
      </w:r>
    </w:p>
    <w:p>
      <w:pPr>
        <w:spacing w:after="0" w:line="13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Under our amended articles of incorporation, our board of directors is authorized to issue, without any further vote or action by our shareholders, subject to certain limitations prescribed by Ohio law and the rules and regulations of the NYSE, up to an aggregate of 195,000 preferred shares in one or more series. Our board of directors is also authorized to fix or change the rights, preferences and limitations of each series, including the division of such shares into series and the designation and authorized number of each series, dividend and distribution rights, liquidation rights, preferences and price, redemption rights and price, sinking fund requirements, voting rights, preemptive rights, conversion rights and restrictions on issuance of shares. Absent a determination by the board of directors to establish different voting rights, holders of preferred shares are entitled to one vote per share on matters to be voted upon by the holders of common shares and preferred shares voting together as a single class. Ohio law also entitles the holders of preferred shares to exercise a class vote on certain matters.</w:t>
      </w:r>
    </w:p>
    <w:p>
      <w:pPr>
        <w:spacing w:after="0" w:line="8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Our board of directors will fix the rights, preferences and limitations of each series of preferred shares that we sell under this prospectus and any applicable prospectus supplement in a certificate of amendment to our amended articles of incorporation. We will file as an exhibit to the registration statement of which this prospectus is a part, or incorporate by reference therein from another report that we file with the SEC, the form of any certificate of amendment to our amended articles of incorporation that describes the terms of the series of preferred shares that we are offering before the issuance of the related series of preferred shares. We will also describe in the applicable prospectus supplement the terms of the series of preferred shares being offered.</w:t>
      </w:r>
    </w:p>
    <w:p>
      <w:pPr>
        <w:spacing w:after="0" w:line="84"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Our board of directors may authorize the issuance of preferred shares with voting or conversion rights that could adversely affect the voting power or other rights of the holders of our common shares. The issuance of preferred shares could have the effect of decreasing the market price of our common shares. The issuance of preferred shares also could have the effect of delaying, deterring or preventing a change in control of the Company without further action by our shareholders. When we issue preferred shares under this prospectus and a prospectus supplement, such preferred shares will be fully paid and nonassessable.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Anti-Takeover Effects of Articles of Incorporation, Code of Regulations and Ohio Law</w:t>
      </w:r>
    </w:p>
    <w:p>
      <w:pPr>
        <w:spacing w:after="0" w:line="135"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Certain provisions in our amended articles of incorporation and code of regulations and the Ohio Revised Code could discourage potential takeover attempts and make attempts by shareholders to change management more difficult. These provisions could adversely affect the market price of our shares.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31"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Our board of directors is divided into three classes, with three-year staggered terms. This classification system increases the difficulty of replacing a majority of the directors at any one time and may tend to discourage a third-party from making a tender offer or otherwise attempting to gain control of us. It also may maintain the incumbency of our board of directors. Under the Ohio General Corporation Law, shareholders may not remove any directors on a classified board of directors without cause.</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Supermajority Voting Provisions</w:t>
      </w:r>
    </w:p>
    <w:p>
      <w:pPr>
        <w:spacing w:after="0" w:line="131"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Under the Ohio General Corporation Law, in the case of most mergers, sales of all or substantially all the assets of a corporation and amendments to a corporation’s articles of incorporation, the affirmative vote of two-thirds of the voting power of the corporation is required unless the corporation’s articles of incorporation provide for a lower amount not less than a majority. Our amended articles of incorporation change the default voting requirement provided by the Ohio General Corporation Law to a majority of the voting power, except that the affirmative vote of two-thirds of the voting power is required with respect to any of the following:</w:t>
      </w:r>
    </w:p>
    <w:p>
      <w:pPr>
        <w:spacing w:after="0" w:line="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proposed amendments to the supermajority voting provision in our amended articles of incorporation;</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agreement of merger or consolidation providing for the proposed merger or consolidation of us with or into one or more other corporations and requiring shareholder approval;</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proposed combination or majority share acquisition involving the issuance of our shares and requiring shareholder approval;</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proposal to sell, exchange, transfer or otherwise dispose of all, or substantially all, of our assets, with or without goodwill;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proposed dissolution of us.</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Limited Shareholder Action by Written Consent</w:t>
      </w:r>
    </w:p>
    <w:p>
      <w:pPr>
        <w:spacing w:after="0" w:line="131" w:lineRule="exact"/>
        <w:rPr>
          <w:sz w:val="20"/>
          <w:szCs w:val="20"/>
          <w:color w:val="auto"/>
        </w:rPr>
      </w:pPr>
    </w:p>
    <w:p>
      <w:pPr>
        <w:ind w:left="700" w:right="320" w:firstLine="397"/>
        <w:spacing w:after="0" w:line="276" w:lineRule="auto"/>
        <w:rPr>
          <w:sz w:val="20"/>
          <w:szCs w:val="20"/>
          <w:color w:val="auto"/>
        </w:rPr>
      </w:pPr>
      <w:r>
        <w:rPr>
          <w:rFonts w:ascii="Arial" w:cs="Arial" w:eastAsia="Arial" w:hAnsi="Arial"/>
          <w:sz w:val="17"/>
          <w:szCs w:val="17"/>
          <w:color w:val="auto"/>
        </w:rPr>
        <w:t>The Ohio General Corporation Law requires that an action by written consent of the shareholders in lieu of a meeting be unanimous, except that the code of regulations may be amended by an action by written consent of holders of shares entitling them to exercise two-thirds of the voting power of the corporation or, if the articles of incorporation or code of regulations otherwise provide, such greater or lesser amount, but not less than a majority. This provision may have the effect of delaying, deferring or preventing a tender offer or takeover attempt that a shareholder might consider to be in its best interest.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Control Share Acquisition Act</w:t>
      </w:r>
    </w:p>
    <w:p>
      <w:pPr>
        <w:spacing w:after="0" w:line="131"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Ohio General Corporation Law provides that certain notice and informational filings, and special shareholder meeting and voting procedures, must occur prior to any person’s acquisition of an issuer’s shares that would entitle the acquirer to exercise or direct the voting power of the issuer in the election of directors within any of the following ranges:</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one-fifth or more but less than one-third of such voting power;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voting power;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or more of such voting power.</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This provision, which is known as the Control Share Acquisition Act, does not apply to a corporation if its articles of incorporation or code of regulations so provide. We have not opted out of the application of the Control Share Acquisition Act.</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Merger Moratorium Statute</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Chapter 1704 of the Ohio Revised Code, the Merger Moratorium Statute, generally addresses a wide range of business combinations and other transactions (including mergers, consolidations, asset sales, loans, disproportionate distributions of property and disproportionate issuances or transfers of shares or rights to acquire shares) between an Ohio corporation and an “Interested Shareholder” (as such term is defined in Section 1704.01 of the Ohio Revised Code) who, alone or with others, may exercise or direct the exercise of at least 10% of the voting power of the corporation in the election of directors. The Merger Moratorium Statute prohibits such transactions between the corporation and the Interested Shareholder for a period of three years after a person becomes an Interested Shareholder, unless, prior to such date, the directors approved either the business combination or other transaction or approved the acquisition that caused the person to become an Interested Shareholder.</w:t>
      </w:r>
    </w:p>
    <w:p>
      <w:pPr>
        <w:spacing w:after="0" w:line="84"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Following the three-year moratorium period, the corporation may engage in the covered transaction with the Interested Shareholder only if:</w:t>
      </w:r>
    </w:p>
    <w:p>
      <w:pPr>
        <w:spacing w:after="0" w:line="76" w:lineRule="exact"/>
        <w:rPr>
          <w:sz w:val="20"/>
          <w:szCs w:val="20"/>
          <w:color w:val="auto"/>
        </w:rPr>
      </w:pPr>
    </w:p>
    <w:p>
      <w:pPr>
        <w:jc w:val="both"/>
        <w:ind w:left="1300" w:right="80" w:hanging="202"/>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transaction receives the approval of the holders of shares entitling them to exercise at least two-thirds of the voting power of the corporation in the election of directors or the approval of the holders of a majority of the voting shares held by persons other than an Interested Shareholder; or</w:t>
      </w:r>
    </w:p>
    <w:p>
      <w:pPr>
        <w:spacing w:after="0" w:line="73" w:lineRule="exact"/>
        <w:rPr>
          <w:rFonts w:ascii="Arial" w:cs="Arial" w:eastAsia="Arial" w:hAnsi="Arial"/>
          <w:sz w:val="18"/>
          <w:szCs w:val="18"/>
          <w:color w:val="auto"/>
        </w:rPr>
      </w:pPr>
    </w:p>
    <w:p>
      <w:pPr>
        <w:ind w:left="1300" w:right="20" w:hanging="202"/>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remaining shareholders receive an amount for their shares equal to the higher of the highest amount paid in the past by the Interested Shareholder for the corporation’s shares or the amount that would be due to the shareholders if the corporation were to dissolve.</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Merger Moratorium Statute does not apply to a corporation if its articles of incorporation or code of regulations so provide. We have not opted out of the application of the Merger Moratorium Statute.</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WARRANTS</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may issue warrants to purchase debt securities, common shares or preferred shares. We may issue warrants independently or together with any other securities we offer pursuant to a prospectus supplement and the warrants may be attached to or separate from the securities. We will issue each series of warrants under a separate warrant agreement that we will enter into with a bank or trust company, as warrant agent.</w:t>
      </w:r>
    </w:p>
    <w:p>
      <w:pPr>
        <w:spacing w:after="0" w:line="92"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warrants being offered and the applicable warrant agreement, including: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securities sold together with the 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currencies in which the price or prices of the warrants may be payable;</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issuable upon exercise of the warrants and the procedures and conditions relating to the exercise of the warrants;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any related securities with which the warrants will be issued, and the number of warrants that will be issued with each security;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securities will be separately transferable;</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the securities purchasable upon exercise of the warrants may be purchased;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material federal income tax considerations applicable to the exercise of the warrants; and</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material terms of the warrants, including terms, procedures and limitations relating to the transferability, exchange, exercise or redemption of the warrants.</w:t>
      </w:r>
    </w:p>
    <w:p>
      <w:pPr>
        <w:spacing w:after="0" w:line="76"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 xml:space="preserve">The description of the warrants in this prospectus is a summary of the material provisions that will appear in the applicable warrant agreement. This description does not include all of the terms of the applicable warrant agreement and does not contain all of the information that you may find useful. We will describe the terms of any warrants and the applicable warrant agreement in more detail in the applicable prospectus supplement. We urge you to read the applicable documents because they, and not our summaries and descriptions, will define your rights as holders of the warrants. The form of the applicable warrant agreement (including the form of the warrant) will be filed with the SEC promptly after the offering of warrants and will be available as described under the heading </w:t>
      </w:r>
      <w:r>
        <w:rPr>
          <w:rFonts w:ascii="Arial" w:cs="Arial" w:eastAsia="Arial" w:hAnsi="Arial"/>
          <w:sz w:val="17"/>
          <w:szCs w:val="17"/>
          <w:b w:val="1"/>
          <w:bCs w:val="1"/>
          <w:color w:val="auto"/>
        </w:rPr>
        <w:t>“Where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You Can Find More Information” </w:t>
      </w:r>
      <w:r>
        <w:rPr>
          <w:rFonts w:ascii="Arial" w:cs="Arial" w:eastAsia="Arial" w:hAnsi="Arial"/>
          <w:sz w:val="17"/>
          <w:szCs w:val="17"/>
          <w:color w:val="auto"/>
        </w:rPr>
        <w:t>below.</w:t>
      </w:r>
    </w:p>
    <w:p>
      <w:pPr>
        <w:spacing w:after="0" w:line="29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135"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We may issue purchase contracts obligating holders to purchase from us, and us to sell to the holders, our securities at a future date or dates. The purchase contracts may require us to make periodic payments to the holders of purchase contracts. These payments may be unsecured or prefunded on a basis to be specified in the prospectus supplement relating to the purchase contracts. The purchase contracts may be issued separately or as part of purchase units consisting of a purchase contract and an underlying security that is pledged by the holder of a purchase contract to secure its obligations under the purchase contract.</w:t>
      </w:r>
    </w:p>
    <w:p>
      <w:pPr>
        <w:spacing w:after="0" w:line="78"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purchase contracts and/or purchase units being offered, including:</w:t>
      </w:r>
    </w:p>
    <w:p>
      <w:pPr>
        <w:spacing w:after="0" w:line="76" w:lineRule="exact"/>
        <w:rPr>
          <w:sz w:val="20"/>
          <w:szCs w:val="20"/>
          <w:color w:val="auto"/>
        </w:rPr>
      </w:pPr>
    </w:p>
    <w:p>
      <w:pPr>
        <w:ind w:left="1300" w:right="38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that a holder will be obligated to pay under the purchase contract, or the formula by which such amount shall be determined;</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settlement date or dates on which the holder will be obligated to purchase the securities, and the conditions, if any, under which the settlement date may occur on an earlier date;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events, if any, that will cause our obligations and the obligations of the holder under the purchase contract to terminate;</w:t>
      </w:r>
    </w:p>
    <w:p>
      <w:pPr>
        <w:spacing w:after="0" w:line="12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settlement rate, which will determine the number of shares or other securities to be purchased, which may be determined by a formula, which may be based on the market price of our common shares or preferred shares over a specified period or determined by reference to other factors;</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will be issued separately or as part of units consisting of a purchase contract and an underlying security, which would be pledged by the holder to secure its obligations under a purchase contract;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type of underlying security, if any, that is pledged by the holder to secure its obligations under a purchase contract;</w:t>
      </w:r>
    </w:p>
    <w:p>
      <w:pPr>
        <w:spacing w:after="0" w:line="128" w:lineRule="exact"/>
        <w:rPr>
          <w:rFonts w:ascii="Arial" w:cs="Arial" w:eastAsia="Arial" w:hAnsi="Arial"/>
          <w:sz w:val="17"/>
          <w:szCs w:val="17"/>
          <w:color w:val="auto"/>
        </w:rPr>
      </w:pPr>
    </w:p>
    <w:p>
      <w:pPr>
        <w:ind w:left="1300" w:right="2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pledge or depository arrangements relating to any underlying securities, including the terms on which distributions or payments of interest and principal on any underlying securities will be retained by a collateral agent, delivered to us or distributed to the holder; and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202"/>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the contract fee, if any, that may be payable by us to the holder or by the holder to us, the terms of payment and any provisions for deferral of payment (the contract fee may be a percentage of the stated amount of the purchase contract or determined by other factors).</w:t>
      </w:r>
    </w:p>
    <w:p>
      <w:pPr>
        <w:spacing w:after="0" w:line="87"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The description of the purchase contracts, purchase units and any applicable underlying security or pledge or depository arrangements in this prospectus is a summary of the material provisions that will appear in the applicable documents. This description does not include all of the terms of those documents and does not contain all of the information that you may find useful. We will describe the terms of any purchase contracts or purchase units in more detail in the applicable prospectus supplement. We urge you to read the applicable documents because they, and not our summaries and descriptions, will define your rights as holders of the purchase contracts or purchase units. The forms of the relevant documents will be filed with the SEC promptly after the offering of purchase contracts or purchase units and will be available as described under the heading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below.</w:t>
      </w:r>
    </w:p>
    <w:p>
      <w:pPr>
        <w:spacing w:after="0" w:line="28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jc w:val="center"/>
        <w:ind w:right="-799"/>
        <w:spacing w:after="0"/>
        <w:rPr>
          <w:sz w:val="20"/>
          <w:szCs w:val="20"/>
          <w:color w:val="auto"/>
        </w:rPr>
      </w:pPr>
      <w:r>
        <w:rPr>
          <w:rFonts w:ascii="Arial" w:cs="Arial" w:eastAsia="Arial" w:hAnsi="Arial"/>
          <w:sz w:val="17"/>
          <w:szCs w:val="17"/>
          <w:color w:val="auto"/>
        </w:rPr>
        <w:t>We may sell any of the securities being offered by this prospectus in any one or more of the following ways from time to time:</w:t>
      </w:r>
    </w:p>
    <w:p>
      <w:pPr>
        <w:spacing w:after="0" w:line="142"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dealers;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any combination of these methods of sale;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prospectus supplement with respect to the securities being offered will describe the specific plan of distribution and the terms of the offering, including:</w:t>
      </w:r>
    </w:p>
    <w:p>
      <w:pPr>
        <w:spacing w:after="0" w:line="76"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117"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underwriting discounts, selling commissions, agency fees or other items constituting underwriters’, dealers’ or agents’ compensation;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Underwriters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Securities may be offered to the public either through underwriting syndicates represented by one or more managing underwriters or directly by one or more firms acting as underwriters. If we use underwriters, we will execute an underwriting agreement with those underwriters relating to the securities that we will offer. Unless we state otherwise in the applicable prospectus supplement, the obligations of the underwriters to purchase these securities will be subject to certain conditions and the underwriters will be obligated to purchase all of the offered securities if any are purchased.</w:t>
      </w:r>
    </w:p>
    <w:p>
      <w:pPr>
        <w:spacing w:after="0" w:line="94"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underwriters will acquire the securities for their own account and may resell the securities from time to time in one or more transactions at a fixed public offering price, at market prices prevailing at the time of sale, at prices related to such prevailing market prices or at negotiated prices. The underwriters may change from time to time any initial public offering price and any discounts or concessions allowed or reallowed or paid to dealers.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Dealers</w:t>
      </w:r>
    </w:p>
    <w:p>
      <w:pPr>
        <w:spacing w:after="0" w:line="135"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If we use dealers in a sale, unless otherwise specified in the applicable prospectus supplement, we will sell the securities to the dealers as principals. The dealers may then resell such securities to the public at varying prices that they determine at the time of resale.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Agents</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If we use agents in a sale, unless otherwise specified in the applicable prospectus supplement, the agents will act on a best efforts basis to solicit purchases for the period of their appointment.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In connection with the sale of our securities, underwriters or agents may receive compensation from us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or commissions from the purchasers for whom they may act as agents. Any underwriting compensation paid by us to underwriters or agents in connection with an offering of securities, and any discounts, concessions or commissions allowed or reallowed or paid to dealers, will be specified in the applicable prospectus supplement.</w:t>
      </w:r>
    </w:p>
    <w:p>
      <w:pPr>
        <w:spacing w:after="0" w:line="84"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Underwriters, dealers and agents participating in the distribution of the securities may be deemed to be underwriters as defined in the Securities Act, and any discounts or commissions received by them from us and any profit realized by them on the resale of the securities may be treated as underwriting discounts and commissions under the Securities Act.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Sales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may directly solicit offers to purchase the securities and we may make sales of securities directly to institutional investors or others. These persons may be deemed to be underwriters within the meaning of the Securities Act with respect to resales of the securities. We will describe the terms of any direct sales in the applicable prospectus supplement.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Delayed Delivery Contracts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authorize underwriters, dealers or agents to solicit offers by institutions to purchase securities from us at the public offering price stated in the applicable prospectus supplement under delayed delivery contracts. These contracts provide for payment and delivery on a specified date in the future. If we use delayed delivery contracts, the applicable prospectus supplement will disclose such use and describe the conditions to which the delayed delivery contracts will be subject and the commissions payable for the solicitation of the delayed delivery contracts.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We may indemnify underwriters, dealers or agents who participate in the distribution of securities against certain liabilities, including liabilities under the Securities Act, and agree to contribute to payments which these underwriters, dealers or agents may be required to make.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Information</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Underwriters, agents or dealers and their affiliates may be customers of, engage in transactions with or perform services for us in the ordinary course of business.</w:t>
      </w:r>
    </w:p>
    <w:p>
      <w:pPr>
        <w:spacing w:after="0" w:line="76"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securities offered hereby may be a new issue of securities with no established trading market. Any underwriters that purchase securities from us may make a market in these securities. The underwriters will not be obligated, however, to make a market and may discontinue market-making at any time without notice to</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holders of the securities. We cannot assure you that there will be liquidity in the trading market for any securities of any series.</w:t>
      </w:r>
    </w:p>
    <w:p>
      <w:pPr>
        <w:spacing w:after="0" w:line="14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order to facilitate an offering of securities, persons participating in the offering may engage in transactions that stabilize, maintain or otherwise affect the price of the offered securities. Such transactions, if commenced, may be discontinued at any time. If any such activities will occur, they will be described in the applicable prospectus supplement.</w:t>
      </w:r>
    </w:p>
    <w:p>
      <w:pPr>
        <w:spacing w:after="0" w:line="87" w:lineRule="exact"/>
        <w:rPr>
          <w:sz w:val="20"/>
          <w:szCs w:val="20"/>
          <w:color w:val="auto"/>
        </w:rPr>
      </w:pPr>
    </w:p>
    <w:p>
      <w:pPr>
        <w:ind w:left="700" w:right="560" w:firstLine="397"/>
        <w:spacing w:after="0" w:line="286" w:lineRule="auto"/>
        <w:rPr>
          <w:sz w:val="20"/>
          <w:szCs w:val="20"/>
          <w:color w:val="auto"/>
        </w:rPr>
      </w:pPr>
      <w:r>
        <w:rPr>
          <w:rFonts w:ascii="Arial" w:cs="Arial" w:eastAsia="Arial" w:hAnsi="Arial"/>
          <w:sz w:val="17"/>
          <w:szCs w:val="17"/>
          <w:color w:val="auto"/>
        </w:rPr>
        <w:t>We also may sell the securities in connection with a remarketing upon their purchase, in connection with a redemption or repayment, by a remarketing firm acting as principal for its own account or as our agent. Remarketing firms may be deemed to be underwriters as defined by the Securities Act in connection with the securities that they remarket.</w:t>
      </w:r>
    </w:p>
    <w:p>
      <w:pPr>
        <w:spacing w:after="0" w:line="28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Unless otherwise specified in the applicable prospectus supplement, the validity of the common shares, preferred shares, warrants, purchase contracts and purchase units will be passed upon for us by Vorys, Sater, Seymour and Pease LLP, Columbus, Ohio, and the validity of the debt securities and the guarantees of debt securities will be passed upon for us by Katten Muchin Rosenman LLP, New York, New York. Any underwriters, dealers or agents will be advised by their own legal counsel concerning issues relating to any offering.</w:t>
      </w:r>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The consolidated financial statements and related consolidated financial statement schedules as of September 30, 2009 and 2008, and for each of the three years in the period ended September 30, 2009 incorporated in this prospectus by reference from our Current Report on Form 8-K dated January 11, 2010, and the effectiveness of our internal control over financial reporting have been audited by Deloitte &amp; Touche LLP, an independent registered public accounting firm, as stated in their reports incorporated by reference herein (which reports (1) express an unqualified opinion on the consolidated financial statements and related consolidated financial statement schedules and include an explanatory paragraph referring to the adoption of new guidance regarding employers’ accounting for defined benefit pension and postretirement plans on September 30, 2007 and (2) express an unqualified opinion on the effectiveness of internal control over financial reporting). Such financial statements and financial statement schedules have been so incorporated in reliance upon the reports of such firm given upon their authority as experts in auditing and accounting.</w:t>
      </w: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INCORPORATION BY REFERENCE</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SEC allows us to “incorporate by reference” into this prospectus information that we file with the SEC. This means that we can disclose important information to you by referring you to those documents. The information we incorporate by reference is considered part of this prospectus, and information that we file later with the SEC will automatically update and supersede information included or previously incorporated by reference into this prospectus from the date we file the document containing such information.</w:t>
      </w:r>
    </w:p>
    <w:p>
      <w:pPr>
        <w:spacing w:after="0" w:line="60"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Except to the extent furnished and not filed with the SEC pursuant to Item 2.02 or Item 7.01 of Form 8-K or as otherwise permitted by the SEC rules, we incorporate by reference the following documents that we have filed with the SEC and any future filings we will make with the SEC under Sections 13(a), 13(c), 14 or 15(d) of the Exchange Act from the date of this prospectus until the completion of the offering in the applicable prospectus supplement to which this prospectus relates or this offering is terminated:</w:t>
      </w:r>
    </w:p>
    <w:p>
      <w:pPr>
        <w:spacing w:after="0" w:line="60"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September 30, 2009;</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Current Reports on Form 8-K filed on December 16, 2009 and January 11, 2010; and</w:t>
      </w:r>
    </w:p>
    <w:p>
      <w:pPr>
        <w:spacing w:after="0" w:line="130"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Registration Statement on Form 8-A/A (Amendment No. 1) filed with the SEC on April 7, 2003, as amended in our Current Report on</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60"/>
        <w:spacing w:after="0" w:line="277" w:lineRule="auto"/>
        <w:rPr>
          <w:sz w:val="20"/>
          <w:szCs w:val="20"/>
          <w:color w:val="auto"/>
        </w:rPr>
      </w:pPr>
      <w:r>
        <w:rPr>
          <w:rFonts w:ascii="Arial" w:cs="Arial" w:eastAsia="Arial" w:hAnsi="Arial"/>
          <w:sz w:val="18"/>
          <w:szCs w:val="18"/>
          <w:color w:val="auto"/>
        </w:rPr>
        <w:t>Form 8-K filed with the SEC on March 24, 2005, together with any subsequent registration statement or report filed for the purpose of updating such description.</w:t>
      </w:r>
    </w:p>
    <w:p>
      <w:pPr>
        <w:spacing w:after="0" w:line="76" w:lineRule="exact"/>
        <w:rPr>
          <w:sz w:val="20"/>
          <w:szCs w:val="20"/>
          <w:color w:val="auto"/>
        </w:rPr>
      </w:pPr>
    </w:p>
    <w:p>
      <w:pPr>
        <w:ind w:left="700" w:right="360" w:firstLine="397"/>
        <w:spacing w:after="0" w:line="259" w:lineRule="auto"/>
        <w:rPr>
          <w:sz w:val="20"/>
          <w:szCs w:val="20"/>
          <w:color w:val="auto"/>
        </w:rPr>
      </w:pPr>
      <w:r>
        <w:rPr>
          <w:rFonts w:ascii="Arial" w:cs="Arial" w:eastAsia="Arial" w:hAnsi="Arial"/>
          <w:sz w:val="18"/>
          <w:szCs w:val="18"/>
          <w:color w:val="auto"/>
        </w:rPr>
        <w:t>We will provide without charge, upon written or oral request, a copy of any or all of the documents that are incorporated by reference into this prospectus (other than exhibits, unless they are specifically incorporated by reference in the documents). Requests should be directed to: The Scotts Miracle-Gro Company, 14111 Scottslawn Road, Marysville, Ohio 43041, Attention: Treasurer, telephone number (937) 644-0011.</w:t>
      </w:r>
    </w:p>
    <w:p>
      <w:pPr>
        <w:spacing w:after="0" w:line="30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These SEC filings are available to the public at the SEC’s Internet website at http://www.sec.gov. You may also read and copy any of these SEC filings at the SEC’s Public Reference Room located at 100 F Street, N.E., Washington, D.C. 20549. Please call 1-800-SEC-0330 for further information on the operation of the Public Reference Room. Our SEC filings are also available on our website at http://www.scotts.com. The information on our website is not a part of this prospectus or any applicable prospectus supplement.</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following table sets forth the estimated fees and expenses (other than underwriting discounts and commissions) expected to be incurred by the Registrant in connection with the issuance and distribution of securities registered hereby.</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3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Trustee fees and expenses</w:t>
            </w:r>
          </w:p>
        </w:tc>
        <w:tc>
          <w:tcPr>
            <w:tcW w:w="3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35"/>
        </w:trPr>
        <w:tc>
          <w:tcPr>
            <w:tcW w:w="128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3800" w:type="dxa"/>
            <w:vAlign w:val="bottom"/>
          </w:tcPr>
          <w:p>
            <w:pPr>
              <w:spacing w:after="0"/>
              <w:rPr>
                <w:sz w:val="11"/>
                <w:szCs w:val="11"/>
                <w:color w:val="auto"/>
              </w:rPr>
            </w:pPr>
          </w:p>
        </w:tc>
      </w:tr>
    </w:tbl>
    <w:p>
      <w:pPr>
        <w:spacing w:after="0" w:line="53" w:lineRule="exact"/>
        <w:rPr>
          <w:sz w:val="20"/>
          <w:szCs w:val="20"/>
          <w:color w:val="auto"/>
        </w:rPr>
      </w:pPr>
    </w:p>
    <w:p>
      <w:pPr>
        <w:ind w:left="1000" w:right="20" w:hanging="301"/>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accordance with Rule 456(b) and Rule 457(r) under the Securities Act of 1933, as amended, the Registrant is deferring payment of the registration fee for the securities registered under this registration statement.</w:t>
      </w:r>
    </w:p>
    <w:p>
      <w:pPr>
        <w:spacing w:after="0" w:line="8" w:lineRule="exact"/>
        <w:rPr>
          <w:rFonts w:ascii="Arial" w:cs="Arial" w:eastAsia="Arial" w:hAnsi="Arial"/>
          <w:sz w:val="18"/>
          <w:szCs w:val="18"/>
          <w:color w:val="auto"/>
        </w:rPr>
      </w:pPr>
    </w:p>
    <w:p>
      <w:pPr>
        <w:ind w:left="1000" w:right="60" w:hanging="301"/>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80"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California Corporations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California General Corporation Law</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Section 317 of the California General Corporation Law (“CAGCL”) provides that a corporation may indemnify any person who was or is a party or is threatened to be made a party to any proceeding, by reason of the fact that the person is or was a director or officer of the corporation or is or was serving at the corporation’s request as a director, officer, employee or agent of another entity, against expenses, judgments, fines, settlements and other amounts actually and reasonably incurred by the person in connection with the proceeding if the person acted in good faith and in a manner the person reasonably believed to be in the best interests of the corporation, and, with respect to any criminal action or proceeding,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 in respect of any claim as to which that person shall have been adjudged to be liable to the corporation unless an appropriate court determines that such person is fairly and reasonably entitled to indemnification for such expenses, (ii) of amounts paid in settling or otherwise disposing of a pending action without court approval or (iii) of expenses incurred in defending a pending action which is settled or otherwise disposed of without court approval. To the extent that such person has been successful on the merits or otherwise in defending any action, suit or proceeding referred to above or any claim, issue or matter therein, the corporation must indemnify such person against the expenses actually and reasonably incurred by such person in connection therewith.</w:t>
      </w:r>
    </w:p>
    <w:p>
      <w:pPr>
        <w:spacing w:after="0" w:line="77"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7"/>
          <w:szCs w:val="17"/>
          <w:color w:val="auto"/>
        </w:rPr>
        <w:t>Section 317 of the CAGCL authorizes a corporation to purchase and maintain insurance on behalf of any officer, director, employee or agent against any liability asserted or incurred in his capacity, or arising out of his status, with the corporation.</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Scotts-Sierra Horticultural Products Company</w:t>
      </w:r>
    </w:p>
    <w:p>
      <w:pPr>
        <w:spacing w:after="0" w:line="131" w:lineRule="exact"/>
        <w:rPr>
          <w:sz w:val="20"/>
          <w:szCs w:val="20"/>
          <w:color w:val="auto"/>
        </w:rPr>
      </w:pPr>
    </w:p>
    <w:p>
      <w:pPr>
        <w:ind w:left="700" w:right="260" w:firstLine="397"/>
        <w:spacing w:after="0" w:line="342" w:lineRule="auto"/>
        <w:rPr>
          <w:sz w:val="20"/>
          <w:szCs w:val="20"/>
          <w:color w:val="auto"/>
        </w:rPr>
      </w:pPr>
      <w:r>
        <w:rPr>
          <w:rFonts w:ascii="Arial" w:cs="Arial" w:eastAsia="Arial" w:hAnsi="Arial"/>
          <w:sz w:val="16"/>
          <w:szCs w:val="16"/>
          <w:color w:val="auto"/>
        </w:rPr>
        <w:t>Article IV of the Amended and Restated Articles of Incorporation of Scotts-Sierra Horticultural Products Company (“Horticultural”) authorizes Horticultural to indemnify its directors and officers to the fullest extent permissible under California law.</w:t>
      </w:r>
    </w:p>
    <w:p>
      <w:pPr>
        <w:spacing w:after="0" w:line="29" w:lineRule="exact"/>
        <w:rPr>
          <w:sz w:val="20"/>
          <w:szCs w:val="20"/>
          <w:color w:val="auto"/>
        </w:rPr>
      </w:pPr>
    </w:p>
    <w:p>
      <w:pPr>
        <w:ind w:left="700" w:right="220" w:firstLine="397"/>
        <w:spacing w:after="0" w:line="312" w:lineRule="auto"/>
        <w:rPr>
          <w:sz w:val="20"/>
          <w:szCs w:val="20"/>
          <w:color w:val="auto"/>
        </w:rPr>
      </w:pPr>
      <w:r>
        <w:rPr>
          <w:rFonts w:ascii="Arial" w:cs="Arial" w:eastAsia="Arial" w:hAnsi="Arial"/>
          <w:sz w:val="16"/>
          <w:szCs w:val="16"/>
          <w:color w:val="auto"/>
        </w:rPr>
        <w:t>Article VI of the Bylaws of Horticultural requires Horticultural to indemnify its directors and officers to the maximum extent permitted by the CAGCL, except in any circumstance that would be inconsistent with (i) its governance documents, (ii) a shareholder resolution or an agreement that limits indemnification or (iii) any condition expressly imposed by a court in approving a settlement.</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Scotts-Sierra Crop Protection Company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Articles of Incorporation of Scotts Sierra Crop Protection Company (“Crop Protection”) do not address indemnification.</w:t>
      </w:r>
    </w:p>
    <w:p>
      <w:pPr>
        <w:spacing w:after="0" w:line="14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Article VI of the Bylaws of Crop Protection requires Crop Protection to indemnify its directors and officers to the maximum extent permitted by the CAGCL.</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Rod McLellan Company</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Article V of the Amended and Restated Articles of Incorporation of Rod McLellan Company (“McLellan”) authorizes McLellan to provide indemnification of its directors and officers in excess of the limits set forth in Section 317 of the CAGCL, subject only to the applicable limits set forth in the CAGCL with respect to actions for breach of duty to the corporation and its shareholders.</w:t>
      </w:r>
    </w:p>
    <w:p>
      <w:pPr>
        <w:spacing w:after="0" w:line="71"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Article XI of McLellan’s Amended Bylaws requires McLellan to indemnify its directors and officers to the fullest extent permitted under the CAGCL, unless a determination is made that the director or officer did not meet the applicable standard of conduct.</w:t>
      </w:r>
    </w:p>
    <w:p>
      <w:pPr>
        <w:spacing w:after="0" w:line="29" w:lineRule="exact"/>
        <w:rPr>
          <w:sz w:val="20"/>
          <w:szCs w:val="20"/>
          <w:color w:val="auto"/>
        </w:rPr>
      </w:pPr>
    </w:p>
    <w:p>
      <w:pPr>
        <w:ind w:left="700" w:right="460" w:firstLine="397"/>
        <w:spacing w:after="0" w:line="308" w:lineRule="auto"/>
        <w:rPr>
          <w:sz w:val="20"/>
          <w:szCs w:val="20"/>
          <w:color w:val="auto"/>
        </w:rPr>
      </w:pPr>
      <w:r>
        <w:rPr>
          <w:rFonts w:ascii="Arial" w:cs="Arial" w:eastAsia="Arial" w:hAnsi="Arial"/>
          <w:sz w:val="17"/>
          <w:szCs w:val="17"/>
          <w:color w:val="auto"/>
        </w:rPr>
        <w:t>Article XI also requires McLellan to purchase and maintain insurance on behalf of any person who is or was or has agreed to become a director or officer of McLellan, provided, that such insurance is available on acceptable terms.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Delaware Corporations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131"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Section 145 of the Delaware General Corporation Law (“DGCL”) provides that a corporation may indemnify any person who was or is a party or is threatened to be made a party to any threatened, pending or completed action, suit or proceeding, by reason of the fact that the person is or was a director or officer of the corporation or is or was serving at the corporation’s request as a director, officer, employee or agent of another entity, against expenses, judgments, fines, settlements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such person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in respect of any claim, issue or matter as to which that person shall have been adjudged to be liable to the corporation unless and only to the extent an appropriate court determines that such person is fairly and reasonably entitled to indemnification for such expenses the court deems proper. To the extent that such person has been successful on the merits or otherwise in defending any action, suit or proceeding referred to above or any claim, issue or matter therein, the corporation must indemnify such person against the expenses actually and reasonably incurred by such person in connection therewith.</w:t>
      </w:r>
    </w:p>
    <w:p>
      <w:pPr>
        <w:spacing w:after="0" w:line="37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Section 145(g) of the DGCL further provides that a corporation may purchase and maintain insurance on behalf of any former or current director or officer of the corporation, whether or not the corporation would have the power to indemnify the person under the statute.</w:t>
      </w:r>
    </w:p>
    <w:p>
      <w:pPr>
        <w:spacing w:after="0" w:line="195"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Hyponex Corporation; OMS Investments, Inc.; Scotts Manufacturing Company; Scotts-Sierra Investments, Inc.; Swiss Farms Products, Inc.</w:t>
      </w:r>
    </w:p>
    <w:p>
      <w:pPr>
        <w:spacing w:after="0" w:line="76"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Certificates of Incorporation of Hyponex Corporation (“Hyponex”), OMS Investments, Inc. (“OMS”), Scotts-Sierra Investments, Inc. (“SSI”), Scotts Manufacturing Company (“Manufacturing”) and Swiss Farms Products, Inc. (“Swiss”) do not address indemnification.</w:t>
      </w:r>
    </w:p>
    <w:p>
      <w:pPr>
        <w:spacing w:after="0" w:line="87" w:lineRule="exact"/>
        <w:rPr>
          <w:sz w:val="20"/>
          <w:szCs w:val="20"/>
          <w:color w:val="auto"/>
        </w:rPr>
      </w:pPr>
    </w:p>
    <w:p>
      <w:pPr>
        <w:ind w:left="700" w:right="260" w:firstLine="397"/>
        <w:spacing w:after="0" w:line="286" w:lineRule="auto"/>
        <w:rPr>
          <w:sz w:val="20"/>
          <w:szCs w:val="20"/>
          <w:color w:val="auto"/>
        </w:rPr>
      </w:pPr>
      <w:r>
        <w:rPr>
          <w:rFonts w:ascii="Arial" w:cs="Arial" w:eastAsia="Arial" w:hAnsi="Arial"/>
          <w:sz w:val="17"/>
          <w:szCs w:val="17"/>
          <w:color w:val="auto"/>
        </w:rPr>
        <w:t>Article Seven of the Bylaws of OMS, Manufacturing, SSI and Swiss and Article XI of the Bylaws of Hyponex require the corporation to indemnify its directors and officers to the fullest extent permitted under the DGCL, provided, that, the corporation shall only make such indemnification upon a determination that the director or officer met the applicable standard of conduct.</w:t>
      </w:r>
    </w:p>
    <w:p>
      <w:pPr>
        <w:spacing w:after="0" w:line="71"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Article Seven of the Bylaws of OMS, Manufacturing, SSI and Swiss also authorizes the corporation to purchase and maintain insurance on behalf of any person who is or was or has agreed to become a director or officer of the corporation. Article XI of Hyponex’s Bylaws requires Hyponex to purchase and maintain insurance on behalf of any person who is or was or has agreed to become a director or officer of Hyponex, provided, that such insurance is available on acceptable terms.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Smith &amp; Hawken, Ltd.</w:t>
      </w:r>
    </w:p>
    <w:p>
      <w:pPr>
        <w:spacing w:after="0" w:line="131"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8"/>
          <w:szCs w:val="18"/>
          <w:color w:val="auto"/>
        </w:rPr>
        <w:t>Article NINTH of the Amended and Restated Certificate of Incorporation of Smith &amp; Hawken, Ltd. (“S&amp;H”) requires S&amp;H to indemnify its directors and officers to the fullest extent permitted under Section 145 of the DGCL, provided, that S&amp;H may not indemnify any director or officer in connection with (i) a proceeding initiated by the director or officer unless the initiation and continued prosecution of such proceeding was approved by the board of directors or (ii) a proceeding relating to present or former officers, directors, employees or agents of a constituent corporation absorbed in a merger or consolidation transaction with S&amp;H with respect to their activities prior to the transaction, unless specifically authorized by S&amp;H’s board of directors or stockholders. The indemnification provided under Article NINTH will be reduced by any amounts the indemnified person receives (a) under any insurance policy purchased and maintained by S&amp;H on behalf of such person, (b) from any other entity or (c) under any other applicable indemnification provision.</w:t>
      </w:r>
    </w:p>
    <w:p>
      <w:pPr>
        <w:spacing w:after="0" w:line="103"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Article TENTH of the Amended and Restated Certificate of Incorporation of S&amp;H permits S&amp;H to purchase and maintain insurance on behalf of any person who is or was a director or officer of S&amp;H, whether or not S&amp;H would have the power to indemnify such person against such liability.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Amended and Restated Bylaws of S&amp;H do not address indemnification.</w:t>
      </w:r>
    </w:p>
    <w:p>
      <w:pPr>
        <w:spacing w:after="0" w:line="235" w:lineRule="exact"/>
        <w:rPr>
          <w:sz w:val="20"/>
          <w:szCs w:val="20"/>
          <w:color w:val="auto"/>
        </w:rPr>
      </w:pPr>
    </w:p>
    <w:p>
      <w:pPr>
        <w:jc w:val="right"/>
        <w:ind w:right="6700"/>
        <w:spacing w:after="0"/>
        <w:rPr>
          <w:sz w:val="20"/>
          <w:szCs w:val="20"/>
          <w:color w:val="auto"/>
        </w:rPr>
      </w:pPr>
      <w:r>
        <w:rPr>
          <w:rFonts w:ascii="Arial" w:cs="Arial" w:eastAsia="Arial" w:hAnsi="Arial"/>
          <w:sz w:val="18"/>
          <w:szCs w:val="18"/>
          <w:b w:val="1"/>
          <w:bCs w:val="1"/>
          <w:color w:val="auto"/>
        </w:rPr>
        <w:t>The Delaware Limited Liability Company</w:t>
      </w:r>
    </w:p>
    <w:p>
      <w:pPr>
        <w:spacing w:after="0" w:line="135" w:lineRule="exact"/>
        <w:rPr>
          <w:sz w:val="20"/>
          <w:szCs w:val="20"/>
          <w:color w:val="auto"/>
        </w:rPr>
      </w:pPr>
    </w:p>
    <w:p>
      <w:pPr>
        <w:jc w:val="right"/>
        <w:ind w:right="6680"/>
        <w:spacing w:after="0"/>
        <w:rPr>
          <w:sz w:val="20"/>
          <w:szCs w:val="20"/>
          <w:color w:val="auto"/>
        </w:rPr>
      </w:pPr>
      <w:r>
        <w:rPr>
          <w:rFonts w:ascii="Arial" w:cs="Arial" w:eastAsia="Arial" w:hAnsi="Arial"/>
          <w:sz w:val="18"/>
          <w:szCs w:val="18"/>
          <w:b w:val="1"/>
          <w:bCs w:val="1"/>
          <w:i w:val="1"/>
          <w:iCs w:val="1"/>
          <w:color w:val="auto"/>
        </w:rPr>
        <w:t>Delaware Limited Liability Company Act</w:t>
      </w:r>
    </w:p>
    <w:p>
      <w:pPr>
        <w:spacing w:after="0" w:line="131" w:lineRule="exact"/>
        <w:rPr>
          <w:sz w:val="20"/>
          <w:szCs w:val="20"/>
          <w:color w:val="auto"/>
        </w:rPr>
      </w:pPr>
    </w:p>
    <w:p>
      <w:pPr>
        <w:ind w:left="700" w:right="200" w:firstLine="397"/>
        <w:spacing w:after="0" w:line="286" w:lineRule="auto"/>
        <w:rPr>
          <w:sz w:val="20"/>
          <w:szCs w:val="20"/>
          <w:color w:val="auto"/>
        </w:rPr>
      </w:pPr>
      <w:r>
        <w:rPr>
          <w:rFonts w:ascii="Arial" w:cs="Arial" w:eastAsia="Arial" w:hAnsi="Arial"/>
          <w:sz w:val="17"/>
          <w:szCs w:val="17"/>
          <w:color w:val="auto"/>
        </w:rPr>
        <w:t>Section 18-108 of the Delaware Limited Liability Company Act provides that subject to such standards and restrictions, if any, as set forth in its limited liability company agreement, a limited liability company may, and shall have the power to, indemnify and hold harmless any member or manager or other person from and against any and all claims and demands whatsoever.</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Scotts Temecula Operations, LLC</w:t>
      </w:r>
    </w:p>
    <w:p>
      <w:pPr>
        <w:spacing w:after="0" w:line="131"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Certificate of Formation and Limited Liability Company Agreement of Scotts Temecula Operations, LLC do not address indemnification.</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Indiana Corporations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Indiana Business Corporation Law</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Chapter 37 of the Indiana Business Corporation Law (“IBCL”) provides that unless otherwise provided in its articles of incorporation, a corporation may indemnify its directors and officers under certain circumstances against liability incurred in connection with proceedings to which the officers or directors are made a party by reason of their position in the corporation. A director or officer may be indemnified if (i) the individual’s conduct was in good faith, (ii) the individual reasonably believed (a) that the conduct was in the best interests of the corporation (if the individual was acting in his official capacity with the corporation) or (b) that the conduct was not opposed to the corporation’s best interests (in all other cases), and (iii) in the case of a criminal proceeding, the individual either had reasonable cause to believe his conduct was lawful or had no reasonable cause to believe his conduct was unlawful. Unless limited by its articles of incorporation, a corporation must indemnify a director or officer against reasonable expenses incurred by the director or officer if the director or officer was wholly successful, on the merits or otherwise, in the defense of any proceeding to which the director or officer was a made party because of his position in the corporation.</w:t>
      </w:r>
    </w:p>
    <w:p>
      <w:pPr>
        <w:spacing w:after="0" w:line="83"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IBCL permits a corporation to purchase and maintain insurance on behalf of an individual who is or was a director or officer of the corporation.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EG Systems, Inc.</w:t>
      </w:r>
    </w:p>
    <w:p>
      <w:pPr>
        <w:spacing w:after="0" w:line="131"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Article XI of the Articles of Incorporation of EG Systems, Inc. (“EG”) requires EG to indemnify its directors and officers to the fullest extent permitted under the IBCL.</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Bylaws of EG do not address indemnification.</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Gutwein &amp; Co., Inc.</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Articles of Incorporation of Gutwein &amp; Co., Inc. (“Gutwein”) do not address indemnification.</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Article IX of the Amended and Restated Code of By-Laws of Gutwein requires Gutwein to indemnify a director or officer made or threatened to be made a party to any proceeding against liabilities and expenses incurred by the director or officer in the following circumstances: (i) if the director or officer is wholly successful with respect to the proceeding and (ii) in all other circumstances, unless the director of officer has breached or failed to perform his duties in compliance with the applicable standard of conduct, the action or failure to act constituted willful misconduct or recklessness or resulted in any personal profit or advantage to which the director or officer was not legally entitled.</w:t>
      </w:r>
    </w:p>
    <w:p>
      <w:pPr>
        <w:spacing w:after="0" w:line="99"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Article IX of the Amended and Restated Code of By-Laws of Gutwein authorizes Gutwein to purchase and maintain insurance on behalf of any person who is a director or officer of the corporation.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New York Corporations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New York Business Corporation Law</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Section 721 of the of the New York Business Corporation Law (“NYBCL”) provides that a corporation may not indemnify a director or officer if a judgment or other final adjudication adverse to the director or officer establishes that (i) the acts of the director or officer were committed in bad faith or were the result of active and deliberate dishonesty, and, in either case, were material to the cause of action so adjudicated, or (ii) the director or officer personally gained in fact a financial profit or other advantage to which the director or officer was not legally entitled. Section 722 of the NYBCL provides that, subject to the limitations set forth in Section 721, a corporation may indemnify a director or officer made, or threatened to be made, a party to any action, by reason of the fact that he was a director or officer of the corporation or served at the corporation’s request on behalf of another entity in any capacity, against judgments, fines, amounts paid in settlement and reasonable expenses actually and necessarily incurred as a result of such action or any appeal therein, if such director or officer acted in good faith, for a purpose which he reasonably believed to be in, or, in the case of service to any other entity, not opposed to, the best interests of the corporation and, with respect</w:t>
      </w: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90" w:lineRule="auto"/>
        <w:rPr>
          <w:sz w:val="20"/>
          <w:szCs w:val="20"/>
          <w:color w:val="auto"/>
        </w:rPr>
      </w:pPr>
      <w:r>
        <w:rPr>
          <w:rFonts w:ascii="Arial" w:cs="Arial" w:eastAsia="Arial" w:hAnsi="Arial"/>
          <w:sz w:val="16"/>
          <w:szCs w:val="16"/>
          <w:color w:val="auto"/>
        </w:rPr>
        <w:t>to criminal actions or proceedings, the director or officer had no reasonable cause to believe that his conduct was unlawful. In the case of an action by or in the right of the corporation, however, such indemnification may only apply to amounts paid in settlement and reasonable expenses actually and necessarily incurred by the person in connection with the defense or settlement of such action, or in connection with an appeal therein, and no such indemnification may be made in respect of (a) a threatened action, or a pending action which is settled or otherwise disposed of, or (b) any claim, issue or matter as to which such person has been adjudged to be liable to the corporation, unless and to the extent an appropriate court determines that the person is fairly and reasonably entitled to partial or full indemnification. Section 723 of the NYBCL provides that indemnification by a corporation is mandatory in any case in which the director or officer has been successful, whether on the merits or otherwise, in defending an action.</w:t>
      </w:r>
    </w:p>
    <w:p>
      <w:pPr>
        <w:spacing w:after="0" w:line="45"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Section 726 of the NYBCL authorizes the corporation to purchase and maintain insurance to indemnify directors and officers in instances in which they may be indemnified by a corporation under New York law.</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Miracle-Gro Lawn Products, Inc.</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Certificate of Incorporation of Miracle-Gro Lawn Products, Inc. (“Lawn”) does not address indemnification.</w:t>
      </w:r>
    </w:p>
    <w:p>
      <w:pPr>
        <w:spacing w:after="0" w:line="90"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Article VI of the Bylaws of Lawn requires Lawn to indemnify its directors and officers to the fullest extent permitted under the NYBCL, provided, that, unless such indemnification is ordered by a court pursuant to Section 725 of the NYBCL, Lawn shall only make such indemnification upon a determination that the director or officer met the applicable standard of conduct.</w:t>
      </w:r>
    </w:p>
    <w:p>
      <w:pPr>
        <w:spacing w:after="0" w:line="30"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Article VI also authorizes Lawn to purchase and maintain insurance to indemnify directors and officers; provided, that no such insurance may provide for any payment, other than the cost of defense, to or on behalf of any director or officer (i) if a judgment or final adjudication adverse to the insured director or officer establishes that the director or officer’s acts of active and deliberate dishonesty were material to the cause of action adjudicated or that the director or officer personally gained a financial profit or other advantage to which the director or officer was not legally entitled, or (ii) in relation to any risk the insurance of which is prohibited under New York insurance law.</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Sanford Scientific, Inc.</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Certificate of Incorporation and By-Laws of Sanford Scientific, Inc. do not address indemnification.</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Ohio Corporations</w:t>
      </w:r>
    </w:p>
    <w:p>
      <w:pPr>
        <w:spacing w:after="0" w:line="9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Ohio General Corporation Law</w:t>
      </w:r>
    </w:p>
    <w:p>
      <w:pPr>
        <w:spacing w:after="0" w:line="10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Section 1701.13(E) of the Ohio General Corporation Law (the “OGCL”) permits a corporation to indemnify any person who was or is a party or is threatened to be made a party to any threatened, pending or completed action, suit or proceeding, or is or was serving at the request of the corporation as a director or officer of another entity, because the person is or was a director or officer,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 in connection with the defense or settlement of such action and no such indemnification may be made if either (a) the director or 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3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Scotts Products Co.; Scotts Professional Products Co; The Scotts Miracle-Gro Company.</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Articles of Incorporation of Scotts Products Co. (“Products”), Scotts Professional Products Co. (“Professional”) and The Scotts Miracle-Gro Company do not address indemnification.</w:t>
      </w:r>
    </w:p>
    <w:p>
      <w:pPr>
        <w:spacing w:after="0" w:line="76"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require the corporation to indemnify its directors and officers to the fullest extent permitted under the OGCL, provided, that, the corporation shall not make such indemnification if a determination is made that the director or officer did not meet the applicable standard of conduct.</w:t>
      </w:r>
    </w:p>
    <w:p>
      <w:pPr>
        <w:spacing w:after="0" w:line="9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also permit the corporation to purchase and maintain insurance on behalf of any person who is or was or has agreed to become a director or officer of the corporation.</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SMG Growing Media, Inc.</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Articles of Incorporation of SMG Growing Media, Inc. (“Growing”) do not address indemnification.</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Article Five of the Code of Regulations of Growing requires Growing to indemnify any director or officer of Growing to the fullest extent permitted under the OGCL; provided, that Growing is not required to indemnify any director or officer in connection with any claim in any action, suit or proceeding that is asserted by the director or officer unless such claim was authorized by Growing’s board of directors. Any such indemnification shall be paid by Growing unless a determination is made by an appropriate court that the director or officer did not meet the applicable standard of conduct.</w:t>
      </w:r>
    </w:p>
    <w:p>
      <w:pPr>
        <w:spacing w:after="0" w:line="94"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Growing’s Code of Regulations authorizes Growing to purchase and maintain insurance on behalf of any person who is or was a director or officer of Growing.</w:t>
      </w:r>
    </w:p>
    <w:p>
      <w:pPr>
        <w:spacing w:after="0" w:line="180" w:lineRule="exact"/>
        <w:rPr>
          <w:sz w:val="20"/>
          <w:szCs w:val="20"/>
          <w:color w:val="auto"/>
        </w:rPr>
      </w:pPr>
    </w:p>
    <w:p>
      <w:pPr>
        <w:jc w:val="right"/>
        <w:ind w:right="7020"/>
        <w:spacing w:after="0"/>
        <w:rPr>
          <w:sz w:val="20"/>
          <w:szCs w:val="20"/>
          <w:color w:val="auto"/>
        </w:rPr>
      </w:pPr>
      <w:r>
        <w:rPr>
          <w:rFonts w:ascii="Arial" w:cs="Arial" w:eastAsia="Arial" w:hAnsi="Arial"/>
          <w:sz w:val="18"/>
          <w:szCs w:val="18"/>
          <w:b w:val="1"/>
          <w:bCs w:val="1"/>
          <w:color w:val="auto"/>
        </w:rPr>
        <w:t>The Ohio Limited Liability Company</w:t>
      </w:r>
    </w:p>
    <w:p>
      <w:pPr>
        <w:spacing w:after="0" w:line="135" w:lineRule="exact"/>
        <w:rPr>
          <w:sz w:val="20"/>
          <w:szCs w:val="20"/>
          <w:color w:val="auto"/>
        </w:rPr>
      </w:pPr>
    </w:p>
    <w:p>
      <w:pPr>
        <w:jc w:val="right"/>
        <w:ind w:right="7000"/>
        <w:spacing w:after="0"/>
        <w:rPr>
          <w:sz w:val="20"/>
          <w:szCs w:val="20"/>
          <w:color w:val="auto"/>
        </w:rPr>
      </w:pPr>
      <w:r>
        <w:rPr>
          <w:rFonts w:ascii="Arial" w:cs="Arial" w:eastAsia="Arial" w:hAnsi="Arial"/>
          <w:sz w:val="18"/>
          <w:szCs w:val="18"/>
          <w:b w:val="1"/>
          <w:bCs w:val="1"/>
          <w:i w:val="1"/>
          <w:iCs w:val="1"/>
          <w:color w:val="auto"/>
        </w:rPr>
        <w:t>Ohio Limited Liability Company Act</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Section 1705.32 of the Ohio Limited Liability Company Act (the “OLLCA”) provides that a limited liability company may indemnify any person who was or is a party, or who is threatened to be made a party, to any proceeding, because he is or was a manager, member or officer of the company or is or was serving at the company’s request as a manager, member, director or officer of any other entity, against expenses, judgments, fines and amounts paid in settlement actually and reasonably incurred by the manager, member or officer in connection with the proceeding if the manager, member or officer acted in good faith and in a manner the manager, member or officer reasonably believed to be in or not opposed to the best interests of the company and, in connection with any criminal action or proceeding, the manager, member or officer had no reasonable cause to believe his conduct was unlawful. In the case of an action by or in the right of the company, however, such indemnification may only apply to expenses actually and reasonably incurred by the person in connection with the defense or settlement of such action and no such indemnification may be made in respect of any claim as to which the person is adjudged to be liable for negligence or misconduct in the performance of his duty to the company unless and only to the extent that the court of common pleas or the court in which the action was brought determines that in view of all the circumstances of the case, the person is fairly and reasonably entitled to indemnification for expenses that the court considers proper. To the extent that a manager or officer of a limited liability company has been successful on the merits or otherwise in defense of any such action, the limited liability company must indemnify him against expenses actually and reasonably incurred by him in connection with the action.</w:t>
      </w: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for or on behalf of any person who is or was a manager, member or officer of the company.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Scotts Company LLC</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Articles of Organization and Operating Agreement of The Scotts Company LLC do not address indemnification.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and Officer Insurance Maintained by The Scotts Miracle-Gro Company</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Scotts Miracle-Gro Company maintains insurance policies under which its directors and officers and the directors and officers of the Subsidiary Guarantors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The Scotts-Miracle Gro Company or the Subsidiary Guarantors.</w:t>
      </w:r>
    </w:p>
    <w:p>
      <w:pPr>
        <w:spacing w:after="0" w:line="198"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Unless otherwise noted, the documents listed below are filed with this registration statement as exhibits or incorporated into this registration statement by reference:</w:t>
      </w:r>
    </w:p>
    <w:p>
      <w:pPr>
        <w:spacing w:after="0" w:line="6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96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88"/>
              </w:rPr>
              <w:t>D</w:t>
            </w:r>
            <w:r>
              <w:rPr>
                <w:rFonts w:ascii="Arial" w:cs="Arial" w:eastAsia="Arial" w:hAnsi="Arial"/>
                <w:sz w:val="14"/>
                <w:szCs w:val="14"/>
                <w:b w:val="1"/>
                <w:bCs w:val="1"/>
                <w:color w:val="auto"/>
                <w:w w:val="88"/>
              </w:rPr>
              <w:t>escription</w:t>
            </w: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related to Debt Securities*</w:t>
      </w:r>
    </w:p>
    <w:p>
      <w:pPr>
        <w:spacing w:after="0" w:line="23"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Form of Underwriting Agreement related to securities other than Debt Securities*</w:t>
      </w:r>
    </w:p>
    <w:p>
      <w:pPr>
        <w:spacing w:after="0" w:line="9" w:lineRule="exact"/>
        <w:rPr>
          <w:sz w:val="20"/>
          <w:szCs w:val="20"/>
          <w:color w:val="auto"/>
        </w:rPr>
      </w:pPr>
    </w:p>
    <w:p>
      <w:pPr>
        <w:ind w:left="1660" w:right="100" w:hanging="575"/>
        <w:spacing w:after="0" w:line="281" w:lineRule="auto"/>
        <w:tabs>
          <w:tab w:leader="none" w:pos="1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the Registrant as filed with the Ohio Secretary of State on November 22, 2004 (Incorporated herein by reference to the Registrant’s Current Report on Form 8-K filed March 24, 2005 (File No. 1-13292) [Exhibit 3.1])</w:t>
      </w:r>
    </w:p>
    <w:p>
      <w:pPr>
        <w:spacing w:after="0" w:line="1" w:lineRule="exact"/>
        <w:rPr>
          <w:sz w:val="20"/>
          <w:szCs w:val="20"/>
          <w:color w:val="auto"/>
        </w:rPr>
      </w:pPr>
    </w:p>
    <w:p>
      <w:pPr>
        <w:jc w:val="both"/>
        <w:ind w:left="1660" w:right="60" w:hanging="575"/>
        <w:spacing w:after="0" w:line="250" w:lineRule="auto"/>
        <w:tabs>
          <w:tab w:leader="none" w:pos="1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by Shareholders to Articles of Incorporation of the Registrant as filed with the Ohio Secretary of State on March 18, 2005 (Incorporated herein by reference to the Registrant’s Current Report on Form 8-K filed March 24, 2005 (File No. 1-13292) [Exhibit 3.2])</w:t>
      </w:r>
    </w:p>
    <w:p>
      <w:pPr>
        <w:spacing w:after="0" w:line="1" w:lineRule="exact"/>
        <w:rPr>
          <w:sz w:val="20"/>
          <w:szCs w:val="20"/>
          <w:color w:val="auto"/>
        </w:rPr>
      </w:pPr>
    </w:p>
    <w:p>
      <w:pPr>
        <w:ind w:left="1660" w:right="300" w:hanging="575"/>
        <w:spacing w:after="0" w:line="250" w:lineRule="auto"/>
        <w:tabs>
          <w:tab w:leader="none" w:pos="1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Code of Regulations of the Registrant (Incorporated herein by reference to the Registrant’s Current Report on Form 8-K filed March 24, 2005 (File No. 1-13292) [Exhibit 3.3])</w:t>
      </w:r>
    </w:p>
    <w:p>
      <w:pPr>
        <w:spacing w:after="0" w:line="1"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Indenture for Senior Debt Securities†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Senior Debt Security*</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Indenture for Subordinated Debt Securities†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Subordinated Debt Security*</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Certificate of Amendment to Amended Articles of Incorporation (describing terms of preferred shares)*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Preferred Share Certificate*</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Warrant Agreement (including Form of Warrant Certificate)*</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Purchase Contract Agreement (for purchase contracts and purchase units)*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Form of Pledge Agreement (for purchase contracts and purchase units)*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Vorys, Sater, Seymour and Pease LLP†</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Katten Muchin Rosenman LLP†</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Vorys, Sater, Seymour and Pease LLP (included in Exhibit 5.1)†</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Katten Muchin Rosenman LLP (included in Exhibit 5.2)†</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(included on the signature pages hereto and to the Registration Statement)</w:t>
      </w:r>
    </w:p>
    <w:p>
      <w:pPr>
        <w:spacing w:after="0" w:line="4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96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88"/>
              </w:rPr>
              <w:t>D</w:t>
            </w:r>
            <w:r>
              <w:rPr>
                <w:rFonts w:ascii="Arial" w:cs="Arial" w:eastAsia="Arial" w:hAnsi="Arial"/>
                <w:sz w:val="14"/>
                <w:szCs w:val="14"/>
                <w:b w:val="1"/>
                <w:bCs w:val="1"/>
                <w:color w:val="auto"/>
                <w:w w:val="88"/>
              </w:rPr>
              <w:t>escription</w:t>
            </w: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of Trustee on Form T-1 of Trustee under the Senior Indenture*</w:t>
      </w:r>
    </w:p>
    <w:p>
      <w:pPr>
        <w:spacing w:after="0" w:line="23"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Statement of Eligibility of Trustee on Form T-1 of Trustee under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814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1000" w:right="60" w:hanging="195"/>
        <w:spacing w:after="0" w:line="29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be filed, if necessary, by an amendment to this registration statement, as an exhibit to a report filed under the Securities Exchange Act of 1934 that is incorporated herein by reference or as electronic form type 305B2 pursuant to Section 305(b)(2) of the</w:t>
      </w:r>
    </w:p>
    <w:p>
      <w:pPr>
        <w:ind w:left="1000"/>
        <w:spacing w:after="0"/>
        <w:rPr>
          <w:rFonts w:ascii="Arial" w:cs="Arial" w:eastAsia="Arial" w:hAnsi="Arial"/>
          <w:sz w:val="16"/>
          <w:szCs w:val="16"/>
          <w:color w:val="auto"/>
        </w:rPr>
      </w:pPr>
      <w:r>
        <w:rPr>
          <w:rFonts w:ascii="Arial" w:cs="Arial" w:eastAsia="Arial" w:hAnsi="Arial"/>
          <w:sz w:val="18"/>
          <w:szCs w:val="18"/>
          <w:color w:val="auto"/>
        </w:rPr>
        <w:t>Trust Indenture Act.</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Previously filed as an exhibit to the registration statement.</w:t>
      </w:r>
    </w:p>
    <w:p>
      <w:pPr>
        <w:spacing w:after="0" w:line="23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35" w:lineRule="exact"/>
        <w:rPr>
          <w:sz w:val="20"/>
          <w:szCs w:val="20"/>
          <w:color w:val="auto"/>
        </w:rPr>
      </w:pPr>
    </w:p>
    <w:p>
      <w:pPr>
        <w:ind w:left="1340" w:hanging="250"/>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130" w:lineRule="exact"/>
        <w:rPr>
          <w:rFonts w:ascii="Arial" w:cs="Arial" w:eastAsia="Arial" w:hAnsi="Arial"/>
          <w:sz w:val="18"/>
          <w:szCs w:val="18"/>
          <w:color w:val="auto"/>
        </w:rPr>
      </w:pPr>
    </w:p>
    <w:p>
      <w:pPr>
        <w:ind w:left="1080" w:right="740" w:firstLine="391"/>
        <w:spacing w:after="0" w:line="277" w:lineRule="auto"/>
        <w:tabs>
          <w:tab w:leader="none" w:pos="17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5" w:lineRule="exact"/>
        <w:rPr>
          <w:rFonts w:ascii="Arial" w:cs="Arial" w:eastAsia="Arial" w:hAnsi="Arial"/>
          <w:sz w:val="18"/>
          <w:szCs w:val="18"/>
          <w:color w:val="auto"/>
        </w:rPr>
      </w:pPr>
    </w:p>
    <w:p>
      <w:pPr>
        <w:ind w:left="2060" w:hanging="208"/>
        <w:spacing w:after="0"/>
        <w:tabs>
          <w:tab w:leader="none" w:pos="20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480" w:right="80" w:firstLine="372"/>
        <w:spacing w:after="0" w:line="254" w:lineRule="auto"/>
        <w:tabs>
          <w:tab w:leader="none" w:pos="2107"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7" w:lineRule="exact"/>
        <w:rPr>
          <w:rFonts w:ascii="Arial" w:cs="Arial" w:eastAsia="Arial" w:hAnsi="Arial"/>
          <w:sz w:val="18"/>
          <w:szCs w:val="18"/>
          <w:color w:val="auto"/>
        </w:rPr>
      </w:pPr>
    </w:p>
    <w:p>
      <w:pPr>
        <w:ind w:left="1480" w:right="820" w:firstLine="372"/>
        <w:spacing w:after="0" w:line="308" w:lineRule="auto"/>
        <w:tabs>
          <w:tab w:leader="none" w:pos="2157" w:val="left"/>
        </w:tabs>
        <w:numPr>
          <w:ilvl w:val="2"/>
          <w:numId w:val="3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480" w:right="20"/>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do not apply if the information required to be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60" w:lineRule="exact"/>
        <w:rPr>
          <w:sz w:val="20"/>
          <w:szCs w:val="20"/>
          <w:color w:val="auto"/>
        </w:rPr>
      </w:pPr>
    </w:p>
    <w:p>
      <w:pPr>
        <w:ind w:left="1080" w:firstLine="391"/>
        <w:spacing w:after="0" w:line="264" w:lineRule="auto"/>
        <w:tabs>
          <w:tab w:leader="none" w:pos="17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080" w:right="180" w:firstLine="391"/>
        <w:spacing w:after="0" w:line="277" w:lineRule="auto"/>
        <w:tabs>
          <w:tab w:leader="none" w:pos="17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480" w:right="560" w:firstLine="372"/>
        <w:spacing w:after="0" w:line="342" w:lineRule="auto"/>
        <w:tabs>
          <w:tab w:leader="none" w:pos="2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9" w:lineRule="exact"/>
        <w:rPr>
          <w:rFonts w:ascii="Arial" w:cs="Arial" w:eastAsia="Arial" w:hAnsi="Arial"/>
          <w:sz w:val="16"/>
          <w:szCs w:val="16"/>
          <w:color w:val="auto"/>
        </w:rPr>
      </w:pPr>
    </w:p>
    <w:p>
      <w:pPr>
        <w:jc w:val="both"/>
        <w:ind w:left="1480" w:right="140" w:firstLine="372"/>
        <w:spacing w:after="0" w:line="259" w:lineRule="auto"/>
        <w:tabs>
          <w:tab w:leader="none" w:pos="21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w:t>
      </w:r>
    </w:p>
    <w:p>
      <w:pPr>
        <w:spacing w:after="0" w:line="1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line="270" w:lineRule="auto"/>
        <w:rPr>
          <w:sz w:val="20"/>
          <w:szCs w:val="20"/>
          <w:color w:val="auto"/>
        </w:rPr>
      </w:pPr>
      <w:r>
        <w:rPr>
          <w:rFonts w:ascii="Arial" w:cs="Arial" w:eastAsia="Arial" w:hAnsi="Arial"/>
          <w:sz w:val="17"/>
          <w:szCs w:val="17"/>
          <w:color w:val="auto"/>
        </w:rPr>
        <w:t>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the registration statement will, as to a purchaser with a time of contract for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sz w:val="20"/>
          <w:szCs w:val="20"/>
          <w:color w:val="auto"/>
        </w:rPr>
      </w:pPr>
    </w:p>
    <w:p>
      <w:pPr>
        <w:ind w:left="1080" w:firstLine="391"/>
        <w:spacing w:after="0" w:line="276" w:lineRule="auto"/>
        <w:tabs>
          <w:tab w:leader="none" w:pos="1713"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480" w:right="320" w:firstLine="372"/>
        <w:spacing w:after="0" w:line="277" w:lineRule="auto"/>
        <w:tabs>
          <w:tab w:leader="none" w:pos="205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480" w:right="120" w:firstLine="372"/>
        <w:spacing w:after="0" w:line="277" w:lineRule="auto"/>
        <w:tabs>
          <w:tab w:leader="none" w:pos="21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480" w:right="260" w:firstLine="372"/>
        <w:spacing w:after="0" w:line="277" w:lineRule="auto"/>
        <w:tabs>
          <w:tab w:leader="none" w:pos="2157"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2140" w:hanging="288"/>
        <w:spacing w:after="0"/>
        <w:tabs>
          <w:tab w:leader="none" w:pos="2140" w:val="left"/>
        </w:tabs>
        <w:numPr>
          <w:ilvl w:val="2"/>
          <w:numId w:val="35"/>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42" w:lineRule="exact"/>
        <w:rPr>
          <w:rFonts w:ascii="Arial" w:cs="Arial" w:eastAsia="Arial" w:hAnsi="Arial"/>
          <w:sz w:val="17"/>
          <w:szCs w:val="17"/>
          <w:color w:val="auto"/>
        </w:rPr>
      </w:pPr>
    </w:p>
    <w:p>
      <w:pPr>
        <w:ind w:left="700" w:firstLine="390"/>
        <w:spacing w:after="0" w:line="276" w:lineRule="auto"/>
        <w:tabs>
          <w:tab w:leader="none" w:pos="13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7"/>
          <w:szCs w:val="17"/>
          <w:color w:val="auto"/>
        </w:rPr>
      </w:pPr>
    </w:p>
    <w:p>
      <w:pPr>
        <w:ind w:left="700" w:right="20" w:firstLine="390"/>
        <w:spacing w:after="0" w:line="290" w:lineRule="auto"/>
        <w:tabs>
          <w:tab w:leader="none" w:pos="13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1" w:lineRule="exact"/>
        <w:rPr>
          <w:rFonts w:ascii="Arial" w:cs="Arial" w:eastAsia="Arial" w:hAnsi="Arial"/>
          <w:sz w:val="16"/>
          <w:szCs w:val="16"/>
          <w:color w:val="auto"/>
        </w:rPr>
      </w:pPr>
    </w:p>
    <w:p>
      <w:pPr>
        <w:ind w:left="700" w:right="20" w:firstLine="390"/>
        <w:spacing w:after="0" w:line="264" w:lineRule="auto"/>
        <w:tabs>
          <w:tab w:leader="none" w:pos="13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Act.</w:t>
      </w:r>
    </w:p>
    <w:p>
      <w:pPr>
        <w:spacing w:after="0" w:line="195"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[Remainder of page intentionally left blank; signatures on following page]</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THE SCOTTS MIRACLE-GRO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and Chief Executive Officer</w:t>
      </w:r>
    </w:p>
    <w:p>
      <w:pPr>
        <w:spacing w:after="0" w:line="116"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820"/>
        <w:spacing w:after="0"/>
        <w:tabs>
          <w:tab w:leader="none" w:pos="7020" w:val="left"/>
          <w:tab w:leader="none" w:pos="984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15240</wp:posOffset>
            </wp:positionV>
            <wp:extent cx="26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 Baker</w:t>
            </w:r>
          </w:p>
        </w:tc>
        <w:tc>
          <w:tcPr>
            <w:tcW w:w="4000" w:type="dxa"/>
            <w:vAlign w:val="bottom"/>
          </w:tcPr>
          <w:p>
            <w:pPr>
              <w:ind w:left="300"/>
              <w:spacing w:after="0"/>
              <w:rPr>
                <w:sz w:val="20"/>
                <w:szCs w:val="20"/>
                <w:color w:val="auto"/>
              </w:rPr>
            </w:pPr>
            <w:r>
              <w:rPr>
                <w:rFonts w:ascii="Arial" w:cs="Arial" w:eastAsia="Arial" w:hAnsi="Arial"/>
                <w:sz w:val="18"/>
                <w:szCs w:val="18"/>
                <w:color w:val="auto"/>
                <w:w w:val="98"/>
              </w:rPr>
              <w:t>President, Chief Operating Officer and 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Mark R. Baker</w:t>
            </w:r>
          </w:p>
        </w:tc>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H. Barry*</w:t>
            </w:r>
          </w:p>
        </w:tc>
        <w:tc>
          <w:tcPr>
            <w:tcW w:w="40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Alan H. Barry</w:t>
            </w:r>
          </w:p>
        </w:tc>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 David C. Evans</w:t>
            </w:r>
          </w:p>
        </w:tc>
        <w:tc>
          <w:tcPr>
            <w:tcW w:w="40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40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80" w:type="dxa"/>
            <w:vAlign w:val="bottom"/>
          </w:tcPr>
          <w:p>
            <w:pPr>
              <w:spacing w:after="0" w:line="169" w:lineRule="exact"/>
              <w:rPr>
                <w:sz w:val="20"/>
                <w:szCs w:val="20"/>
                <w:color w:val="auto"/>
              </w:rPr>
            </w:pPr>
            <w:r>
              <w:rPr>
                <w:rFonts w:ascii="Arial" w:cs="Arial" w:eastAsia="Arial" w:hAnsi="Arial"/>
                <w:sz w:val="18"/>
                <w:szCs w:val="18"/>
                <w:color w:val="auto"/>
              </w:rPr>
              <w:t>David C. Evans</w:t>
            </w:r>
          </w:p>
        </w:tc>
        <w:tc>
          <w:tcPr>
            <w:tcW w:w="400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 Flannery*</w:t>
            </w:r>
          </w:p>
        </w:tc>
        <w:tc>
          <w:tcPr>
            <w:tcW w:w="40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Joseph P. Flannery</w:t>
            </w:r>
          </w:p>
        </w:tc>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 James Hagedorn</w:t>
            </w:r>
          </w:p>
        </w:tc>
        <w:tc>
          <w:tcPr>
            <w:tcW w:w="4000" w:type="dxa"/>
            <w:vAlign w:val="bottom"/>
          </w:tcPr>
          <w:p>
            <w:pPr>
              <w:ind w:left="300"/>
              <w:spacing w:after="0"/>
              <w:rPr>
                <w:sz w:val="20"/>
                <w:szCs w:val="20"/>
                <w:color w:val="auto"/>
              </w:rPr>
            </w:pPr>
            <w:r>
              <w:rPr>
                <w:rFonts w:ascii="Arial" w:cs="Arial" w:eastAsia="Arial" w:hAnsi="Arial"/>
                <w:sz w:val="18"/>
                <w:szCs w:val="18"/>
                <w:color w:val="auto"/>
              </w:rPr>
              <w:t>Chairman of the Board and</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4000" w:type="dxa"/>
            <w:vAlign w:val="bottom"/>
            <w:vMerge w:val="restart"/>
          </w:tcPr>
          <w:p>
            <w:pPr>
              <w:ind w:left="300"/>
              <w:spacing w:after="0"/>
              <w:rPr>
                <w:sz w:val="20"/>
                <w:szCs w:val="20"/>
                <w:color w:val="auto"/>
              </w:rPr>
            </w:pPr>
            <w:r>
              <w:rPr>
                <w:rFonts w:ascii="Arial" w:cs="Arial" w:eastAsia="Arial" w:hAnsi="Arial"/>
                <w:sz w:val="18"/>
                <w:szCs w:val="18"/>
                <w:color w:val="auto"/>
              </w:rPr>
              <w:t>Chief Executive Officer</w:t>
            </w: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80" w:type="dxa"/>
            <w:vAlign w:val="bottom"/>
          </w:tcPr>
          <w:p>
            <w:pPr>
              <w:spacing w:after="0" w:line="169" w:lineRule="exact"/>
              <w:rPr>
                <w:sz w:val="20"/>
                <w:szCs w:val="20"/>
                <w:color w:val="auto"/>
              </w:rPr>
            </w:pPr>
            <w:r>
              <w:rPr>
                <w:rFonts w:ascii="Arial" w:cs="Arial" w:eastAsia="Arial" w:hAnsi="Arial"/>
                <w:sz w:val="18"/>
                <w:szCs w:val="18"/>
                <w:color w:val="auto"/>
              </w:rPr>
              <w:t>James Hagedorn</w:t>
            </w:r>
          </w:p>
        </w:tc>
        <w:tc>
          <w:tcPr>
            <w:tcW w:w="400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Jurgensen*</w:t>
            </w:r>
          </w:p>
        </w:tc>
        <w:tc>
          <w:tcPr>
            <w:tcW w:w="40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William G. Jurgensen</w:t>
            </w:r>
          </w:p>
        </w:tc>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N. Kelly, Jr.*</w:t>
            </w:r>
          </w:p>
        </w:tc>
        <w:tc>
          <w:tcPr>
            <w:tcW w:w="40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Thomas N. Kelly, Jr.</w:t>
            </w:r>
          </w:p>
        </w:tc>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F. Kohrt, Ph.D.*</w:t>
            </w:r>
          </w:p>
        </w:tc>
        <w:tc>
          <w:tcPr>
            <w:tcW w:w="40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Carl F. Kohrt, Ph.D.</w:t>
            </w:r>
          </w:p>
        </w:tc>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Hagedorn Littlefield*</w:t>
            </w:r>
          </w:p>
        </w:tc>
        <w:tc>
          <w:tcPr>
            <w:tcW w:w="40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00" w:type="dxa"/>
            <w:vAlign w:val="bottom"/>
          </w:tcPr>
          <w:p>
            <w:pPr>
              <w:ind w:left="500"/>
              <w:spacing w:after="0"/>
              <w:rPr>
                <w:sz w:val="20"/>
                <w:szCs w:val="20"/>
                <w:color w:val="auto"/>
              </w:rPr>
            </w:pPr>
            <w:r>
              <w:rPr>
                <w:rFonts w:ascii="Arial" w:cs="Arial" w:eastAsia="Arial" w:hAnsi="Arial"/>
                <w:sz w:val="18"/>
                <w:szCs w:val="18"/>
                <w:color w:val="auto"/>
              </w:rPr>
              <w:t>II-10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820"/>
        <w:spacing w:after="0"/>
        <w:tabs>
          <w:tab w:leader="none" w:pos="7020" w:val="left"/>
          <w:tab w:leader="none" w:pos="984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15240</wp:posOffset>
            </wp:positionV>
            <wp:extent cx="26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4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Nancy G. Mistretta*</w:t>
            </w:r>
          </w:p>
        </w:tc>
        <w:tc>
          <w:tcPr>
            <w:tcW w:w="258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1700"/>
              <w:spacing w:after="0"/>
              <w:rPr>
                <w:sz w:val="20"/>
                <w:szCs w:val="20"/>
                <w:color w:val="auto"/>
              </w:rPr>
            </w:pPr>
            <w:r>
              <w:rPr>
                <w:rFonts w:ascii="Arial" w:cs="Arial" w:eastAsia="Arial" w:hAnsi="Arial"/>
                <w:sz w:val="18"/>
                <w:szCs w:val="18"/>
                <w:color w:val="auto"/>
              </w:rPr>
              <w:t>January 11, 2010</w:t>
            </w:r>
          </w:p>
        </w:tc>
      </w:tr>
      <w:tr>
        <w:trPr>
          <w:trHeight w:val="230"/>
        </w:trPr>
        <w:tc>
          <w:tcPr>
            <w:tcW w:w="70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Nancy G. Mistretta</w:t>
            </w:r>
          </w:p>
        </w:tc>
        <w:tc>
          <w:tcPr>
            <w:tcW w:w="25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4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Patrick J. Norton*</w:t>
            </w:r>
          </w:p>
        </w:tc>
        <w:tc>
          <w:tcPr>
            <w:tcW w:w="258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1700"/>
              <w:spacing w:after="0"/>
              <w:rPr>
                <w:sz w:val="20"/>
                <w:szCs w:val="20"/>
                <w:color w:val="auto"/>
              </w:rPr>
            </w:pPr>
            <w:r>
              <w:rPr>
                <w:rFonts w:ascii="Arial" w:cs="Arial" w:eastAsia="Arial" w:hAnsi="Arial"/>
                <w:sz w:val="18"/>
                <w:szCs w:val="18"/>
                <w:color w:val="auto"/>
              </w:rPr>
              <w:t>January 11, 2010</w:t>
            </w:r>
          </w:p>
        </w:tc>
      </w:tr>
      <w:tr>
        <w:trPr>
          <w:trHeight w:val="230"/>
        </w:trPr>
        <w:tc>
          <w:tcPr>
            <w:tcW w:w="70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Patrick J. Norton</w:t>
            </w:r>
          </w:p>
        </w:tc>
        <w:tc>
          <w:tcPr>
            <w:tcW w:w="25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4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Stephanie M. Shern*</w:t>
            </w:r>
          </w:p>
        </w:tc>
        <w:tc>
          <w:tcPr>
            <w:tcW w:w="258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1700"/>
              <w:spacing w:after="0"/>
              <w:rPr>
                <w:sz w:val="20"/>
                <w:szCs w:val="20"/>
                <w:color w:val="auto"/>
              </w:rPr>
            </w:pPr>
            <w:r>
              <w:rPr>
                <w:rFonts w:ascii="Arial" w:cs="Arial" w:eastAsia="Arial" w:hAnsi="Arial"/>
                <w:sz w:val="18"/>
                <w:szCs w:val="18"/>
                <w:color w:val="auto"/>
              </w:rPr>
              <w:t>January 11, 2010</w:t>
            </w:r>
          </w:p>
        </w:tc>
      </w:tr>
      <w:tr>
        <w:trPr>
          <w:trHeight w:val="230"/>
        </w:trPr>
        <w:tc>
          <w:tcPr>
            <w:tcW w:w="70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Stephanie M. Shern</w:t>
            </w:r>
          </w:p>
        </w:tc>
        <w:tc>
          <w:tcPr>
            <w:tcW w:w="25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4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John S. Shiely*</w:t>
            </w:r>
          </w:p>
        </w:tc>
        <w:tc>
          <w:tcPr>
            <w:tcW w:w="258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1700"/>
              <w:spacing w:after="0"/>
              <w:rPr>
                <w:sz w:val="20"/>
                <w:szCs w:val="20"/>
                <w:color w:val="auto"/>
              </w:rPr>
            </w:pPr>
            <w:r>
              <w:rPr>
                <w:rFonts w:ascii="Arial" w:cs="Arial" w:eastAsia="Arial" w:hAnsi="Arial"/>
                <w:sz w:val="18"/>
                <w:szCs w:val="18"/>
                <w:color w:val="auto"/>
              </w:rPr>
              <w:t>January 11, 2010</w:t>
            </w:r>
          </w:p>
        </w:tc>
      </w:tr>
      <w:tr>
        <w:trPr>
          <w:trHeight w:val="230"/>
        </w:trPr>
        <w:tc>
          <w:tcPr>
            <w:tcW w:w="70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John S. Shiely</w:t>
            </w:r>
          </w:p>
        </w:tc>
        <w:tc>
          <w:tcPr>
            <w:tcW w:w="25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2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David C. Evans, attorney-in-fact</w:t>
            </w:r>
          </w:p>
        </w:tc>
        <w:tc>
          <w:tcPr>
            <w:tcW w:w="25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59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80" w:type="dxa"/>
            <w:vAlign w:val="bottom"/>
          </w:tcPr>
          <w:p>
            <w:pPr>
              <w:ind w:left="500"/>
              <w:spacing w:after="0"/>
              <w:rPr>
                <w:sz w:val="20"/>
                <w:szCs w:val="20"/>
                <w:color w:val="auto"/>
              </w:rPr>
            </w:pPr>
            <w:r>
              <w:rPr>
                <w:rFonts w:ascii="Arial" w:cs="Arial" w:eastAsia="Arial" w:hAnsi="Arial"/>
                <w:sz w:val="18"/>
                <w:szCs w:val="18"/>
                <w:color w:val="auto"/>
              </w:rPr>
              <w:t>II-11</w:t>
            </w:r>
          </w:p>
        </w:tc>
        <w:tc>
          <w:tcPr>
            <w:tcW w:w="386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EG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4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720"/>
        <w:spacing w:after="0"/>
        <w:tabs>
          <w:tab w:leader="none" w:pos="692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15240</wp:posOffset>
            </wp:positionV>
            <wp:extent cx="26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15240</wp:posOffset>
            </wp:positionV>
            <wp:extent cx="26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Vincent C. Brockman</w:t>
            </w:r>
          </w:p>
        </w:tc>
        <w:tc>
          <w:tcPr>
            <w:tcW w:w="4180" w:type="dxa"/>
            <w:vAlign w:val="bottom"/>
          </w:tcPr>
          <w:p>
            <w:pPr>
              <w:ind w:left="280"/>
              <w:spacing w:after="0"/>
              <w:rPr>
                <w:sz w:val="20"/>
                <w:szCs w:val="20"/>
                <w:color w:val="auto"/>
              </w:rPr>
            </w:pPr>
            <w:r>
              <w:rPr>
                <w:rFonts w:ascii="Arial" w:cs="Arial" w:eastAsia="Arial" w:hAnsi="Arial"/>
                <w:sz w:val="18"/>
                <w:szCs w:val="18"/>
                <w:color w:val="auto"/>
                <w:w w:val="99"/>
              </w:rPr>
              <w:t>Executive Vice President, Secretary and Director</w:t>
            </w:r>
          </w:p>
        </w:tc>
        <w:tc>
          <w:tcPr>
            <w:tcW w:w="2460" w:type="dxa"/>
            <w:vAlign w:val="bottom"/>
          </w:tcPr>
          <w:p>
            <w:pPr>
              <w:ind w:left="30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Vincent C. Brockman</w:t>
            </w:r>
          </w:p>
        </w:tc>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David C. Evans</w:t>
            </w:r>
          </w:p>
        </w:tc>
        <w:tc>
          <w:tcPr>
            <w:tcW w:w="4180" w:type="dxa"/>
            <w:vAlign w:val="bottom"/>
          </w:tcPr>
          <w:p>
            <w:pPr>
              <w:ind w:left="280"/>
              <w:spacing w:after="0"/>
              <w:rPr>
                <w:sz w:val="20"/>
                <w:szCs w:val="20"/>
                <w:color w:val="auto"/>
              </w:rPr>
            </w:pPr>
            <w:r>
              <w:rPr>
                <w:rFonts w:ascii="Arial" w:cs="Arial" w:eastAsia="Arial" w:hAnsi="Arial"/>
                <w:sz w:val="18"/>
                <w:szCs w:val="18"/>
                <w:color w:val="auto"/>
              </w:rPr>
              <w:t>Executive Vice President, Chief Financial Officer</w:t>
            </w:r>
          </w:p>
        </w:tc>
        <w:tc>
          <w:tcPr>
            <w:tcW w:w="2460" w:type="dxa"/>
            <w:vAlign w:val="bottom"/>
          </w:tcPr>
          <w:p>
            <w:pPr>
              <w:ind w:left="30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4180" w:type="dxa"/>
            <w:vAlign w:val="bottom"/>
            <w:vMerge w:val="restart"/>
          </w:tcPr>
          <w:p>
            <w:pPr>
              <w:ind w:left="280"/>
              <w:spacing w:after="0"/>
              <w:rPr>
                <w:sz w:val="20"/>
                <w:szCs w:val="20"/>
                <w:color w:val="auto"/>
              </w:rPr>
            </w:pPr>
            <w:r>
              <w:rPr>
                <w:rFonts w:ascii="Arial" w:cs="Arial" w:eastAsia="Arial" w:hAnsi="Arial"/>
                <w:sz w:val="18"/>
                <w:szCs w:val="18"/>
                <w:color w:val="auto"/>
              </w:rPr>
              <w:t>and Director</w:t>
            </w: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080" w:type="dxa"/>
            <w:vAlign w:val="bottom"/>
            <w:gridSpan w:val="2"/>
          </w:tcPr>
          <w:p>
            <w:pPr>
              <w:spacing w:after="0" w:line="169" w:lineRule="exact"/>
              <w:rPr>
                <w:sz w:val="20"/>
                <w:szCs w:val="20"/>
                <w:color w:val="auto"/>
              </w:rPr>
            </w:pPr>
            <w:r>
              <w:rPr>
                <w:rFonts w:ascii="Arial" w:cs="Arial" w:eastAsia="Arial" w:hAnsi="Arial"/>
                <w:sz w:val="18"/>
                <w:szCs w:val="18"/>
                <w:color w:val="auto"/>
              </w:rPr>
              <w:t>David C. Evans</w:t>
            </w:r>
          </w:p>
        </w:tc>
        <w:tc>
          <w:tcPr>
            <w:tcW w:w="418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180" w:type="dxa"/>
            <w:vAlign w:val="bottom"/>
          </w:tcPr>
          <w:p>
            <w:pPr>
              <w:ind w:left="280"/>
              <w:spacing w:after="0"/>
              <w:rPr>
                <w:sz w:val="20"/>
                <w:szCs w:val="20"/>
                <w:color w:val="auto"/>
              </w:rPr>
            </w:pPr>
            <w:r>
              <w:rPr>
                <w:rFonts w:ascii="Arial" w:cs="Arial" w:eastAsia="Arial" w:hAnsi="Arial"/>
                <w:sz w:val="18"/>
                <w:szCs w:val="18"/>
                <w:color w:val="auto"/>
              </w:rPr>
              <w:t>(Principal Financial Officer and</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180" w:type="dxa"/>
            <w:vAlign w:val="bottom"/>
          </w:tcPr>
          <w:p>
            <w:pPr>
              <w:ind w:left="280"/>
              <w:spacing w:after="0"/>
              <w:rPr>
                <w:sz w:val="20"/>
                <w:szCs w:val="20"/>
                <w:color w:val="auto"/>
              </w:rPr>
            </w:pPr>
            <w:r>
              <w:rPr>
                <w:rFonts w:ascii="Arial" w:cs="Arial" w:eastAsia="Arial" w:hAnsi="Arial"/>
                <w:sz w:val="18"/>
                <w:szCs w:val="18"/>
                <w:color w:val="auto"/>
              </w:rPr>
              <w:t>Principal Accounting Officer)</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James Hagedorn</w:t>
            </w:r>
          </w:p>
        </w:tc>
        <w:tc>
          <w:tcPr>
            <w:tcW w:w="418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2460" w:type="dxa"/>
            <w:vAlign w:val="bottom"/>
          </w:tcPr>
          <w:p>
            <w:pPr>
              <w:ind w:left="30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4180" w:type="dxa"/>
            <w:vAlign w:val="bottom"/>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James Hagedorn</w:t>
            </w:r>
          </w:p>
        </w:tc>
        <w:tc>
          <w:tcPr>
            <w:tcW w:w="418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Peter A. Korda</w:t>
            </w:r>
          </w:p>
        </w:tc>
        <w:tc>
          <w:tcPr>
            <w:tcW w:w="4180" w:type="dxa"/>
            <w:vAlign w:val="bottom"/>
          </w:tcPr>
          <w:p>
            <w:pPr>
              <w:ind w:left="280"/>
              <w:spacing w:after="0"/>
              <w:rPr>
                <w:sz w:val="20"/>
                <w:szCs w:val="20"/>
                <w:color w:val="auto"/>
              </w:rPr>
            </w:pPr>
            <w:r>
              <w:rPr>
                <w:rFonts w:ascii="Arial" w:cs="Arial" w:eastAsia="Arial" w:hAnsi="Arial"/>
                <w:sz w:val="18"/>
                <w:szCs w:val="18"/>
                <w:color w:val="auto"/>
              </w:rPr>
              <w:t>Senior Vice President and Director</w:t>
            </w:r>
          </w:p>
        </w:tc>
        <w:tc>
          <w:tcPr>
            <w:tcW w:w="2460" w:type="dxa"/>
            <w:vAlign w:val="bottom"/>
          </w:tcPr>
          <w:p>
            <w:pPr>
              <w:ind w:left="30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Peter A. Korda</w:t>
            </w:r>
          </w:p>
        </w:tc>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Robert S. Walter</w:t>
            </w:r>
          </w:p>
        </w:tc>
        <w:tc>
          <w:tcPr>
            <w:tcW w:w="4180" w:type="dxa"/>
            <w:vAlign w:val="bottom"/>
          </w:tcPr>
          <w:p>
            <w:pPr>
              <w:ind w:left="280"/>
              <w:spacing w:after="0"/>
              <w:rPr>
                <w:sz w:val="20"/>
                <w:szCs w:val="20"/>
                <w:color w:val="auto"/>
              </w:rPr>
            </w:pPr>
            <w:r>
              <w:rPr>
                <w:rFonts w:ascii="Arial" w:cs="Arial" w:eastAsia="Arial" w:hAnsi="Arial"/>
                <w:sz w:val="18"/>
                <w:szCs w:val="18"/>
                <w:color w:val="auto"/>
              </w:rPr>
              <w:t>Vice President and Director</w:t>
            </w:r>
          </w:p>
        </w:tc>
        <w:tc>
          <w:tcPr>
            <w:tcW w:w="2460" w:type="dxa"/>
            <w:vAlign w:val="bottom"/>
          </w:tcPr>
          <w:p>
            <w:pPr>
              <w:ind w:left="30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Robert S. Walter</w:t>
            </w:r>
          </w:p>
        </w:tc>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180" w:type="dxa"/>
            <w:vAlign w:val="bottom"/>
          </w:tcPr>
          <w:p>
            <w:pPr>
              <w:ind w:left="700"/>
              <w:spacing w:after="0"/>
              <w:rPr>
                <w:sz w:val="20"/>
                <w:szCs w:val="20"/>
                <w:color w:val="auto"/>
              </w:rPr>
            </w:pPr>
            <w:r>
              <w:rPr>
                <w:rFonts w:ascii="Arial" w:cs="Arial" w:eastAsia="Arial" w:hAnsi="Arial"/>
                <w:sz w:val="18"/>
                <w:szCs w:val="18"/>
                <w:color w:val="auto"/>
              </w:rPr>
              <w:t>II-12</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GUTWEIN &amp; CO., INC.</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HYPONEX CORPORATION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SCOTTS MANUFACTURING COMPANY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SCOTTS-SIERRA CROP PROTECTION COMPANY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SCOTTS-SIERRA HORTICULTURAL PRODUCTS COMPANY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SMG GROWING MEDIA,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4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720"/>
        <w:spacing w:after="0"/>
        <w:tabs>
          <w:tab w:leader="none" w:pos="6880" w:val="left"/>
          <w:tab w:leader="none" w:pos="980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15240</wp:posOffset>
            </wp:positionV>
            <wp:extent cx="26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15240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 Vincent C. Brockman</w:t>
            </w:r>
          </w:p>
        </w:tc>
        <w:tc>
          <w:tcPr>
            <w:tcW w:w="3300" w:type="dxa"/>
            <w:vAlign w:val="bottom"/>
          </w:tcPr>
          <w:p>
            <w:pPr>
              <w:ind w:left="300"/>
              <w:spacing w:after="0"/>
              <w:rPr>
                <w:sz w:val="20"/>
                <w:szCs w:val="20"/>
                <w:color w:val="auto"/>
              </w:rPr>
            </w:pPr>
            <w:r>
              <w:rPr>
                <w:rFonts w:ascii="Arial" w:cs="Arial" w:eastAsia="Arial" w:hAnsi="Arial"/>
                <w:sz w:val="18"/>
                <w:szCs w:val="18"/>
                <w:color w:val="auto"/>
              </w:rPr>
              <w:t>Executive Vice President,</w:t>
            </w:r>
          </w:p>
        </w:tc>
        <w:tc>
          <w:tcPr>
            <w:tcW w:w="3340" w:type="dxa"/>
            <w:vAlign w:val="bottom"/>
          </w:tcPr>
          <w:p>
            <w:pPr>
              <w:ind w:left="114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3300" w:type="dxa"/>
            <w:vAlign w:val="bottom"/>
            <w:vMerge w:val="restart"/>
          </w:tcPr>
          <w:p>
            <w:pPr>
              <w:ind w:left="300"/>
              <w:spacing w:after="0"/>
              <w:rPr>
                <w:sz w:val="20"/>
                <w:szCs w:val="20"/>
                <w:color w:val="auto"/>
              </w:rPr>
            </w:pPr>
            <w:r>
              <w:rPr>
                <w:rFonts w:ascii="Arial" w:cs="Arial" w:eastAsia="Arial" w:hAnsi="Arial"/>
                <w:sz w:val="18"/>
                <w:szCs w:val="18"/>
                <w:color w:val="auto"/>
              </w:rPr>
              <w:t>Secretary and Director</w:t>
            </w:r>
          </w:p>
        </w:tc>
        <w:tc>
          <w:tcPr>
            <w:tcW w:w="3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Vincent C. Brockman</w:t>
            </w:r>
          </w:p>
        </w:tc>
        <w:tc>
          <w:tcPr>
            <w:tcW w:w="330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00" w:type="dxa"/>
            <w:vAlign w:val="bottom"/>
          </w:tcPr>
          <w:p>
            <w:pPr>
              <w:ind w:left="700"/>
              <w:spacing w:after="0"/>
              <w:rPr>
                <w:sz w:val="20"/>
                <w:szCs w:val="20"/>
                <w:color w:val="auto"/>
              </w:rPr>
            </w:pPr>
            <w:r>
              <w:rPr>
                <w:rFonts w:ascii="Arial" w:cs="Arial" w:eastAsia="Arial" w:hAnsi="Arial"/>
                <w:sz w:val="18"/>
                <w:szCs w:val="18"/>
                <w:color w:val="auto"/>
              </w:rPr>
              <w:t>II-13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720"/>
        <w:spacing w:after="0"/>
        <w:tabs>
          <w:tab w:leader="none" w:pos="6880" w:val="left"/>
          <w:tab w:leader="none" w:pos="980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15240</wp:posOffset>
            </wp:positionV>
            <wp:extent cx="260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15240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 David C. Evans</w:t>
            </w:r>
          </w:p>
        </w:tc>
        <w:tc>
          <w:tcPr>
            <w:tcW w:w="4080" w:type="dxa"/>
            <w:vAlign w:val="bottom"/>
          </w:tcPr>
          <w:p>
            <w:pPr>
              <w:ind w:left="300"/>
              <w:spacing w:after="0"/>
              <w:rPr>
                <w:sz w:val="20"/>
                <w:szCs w:val="20"/>
                <w:color w:val="auto"/>
              </w:rPr>
            </w:pPr>
            <w:r>
              <w:rPr>
                <w:rFonts w:ascii="Arial" w:cs="Arial" w:eastAsia="Arial" w:hAnsi="Arial"/>
                <w:sz w:val="18"/>
                <w:szCs w:val="18"/>
                <w:color w:val="auto"/>
              </w:rPr>
              <w:t>Executive Vice President,</w:t>
            </w:r>
          </w:p>
        </w:tc>
        <w:tc>
          <w:tcPr>
            <w:tcW w:w="2560" w:type="dxa"/>
            <w:vAlign w:val="bottom"/>
          </w:tcPr>
          <w:p>
            <w:pPr>
              <w:ind w:left="3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8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and Director</w:t>
            </w: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080" w:type="dxa"/>
            <w:vAlign w:val="bottom"/>
          </w:tcPr>
          <w:p>
            <w:pPr>
              <w:spacing w:after="0" w:line="169" w:lineRule="exact"/>
              <w:rPr>
                <w:sz w:val="20"/>
                <w:szCs w:val="20"/>
                <w:color w:val="auto"/>
              </w:rPr>
            </w:pPr>
            <w:r>
              <w:rPr>
                <w:rFonts w:ascii="Arial" w:cs="Arial" w:eastAsia="Arial" w:hAnsi="Arial"/>
                <w:sz w:val="18"/>
                <w:szCs w:val="18"/>
                <w:color w:val="auto"/>
              </w:rPr>
              <w:t>David C. Evans</w:t>
            </w:r>
          </w:p>
        </w:tc>
        <w:tc>
          <w:tcPr>
            <w:tcW w:w="408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(Principal Financial Officer and</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Principal Accounting Officer)</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 James Hagedorn</w:t>
            </w:r>
          </w:p>
        </w:tc>
        <w:tc>
          <w:tcPr>
            <w:tcW w:w="4080" w:type="dxa"/>
            <w:vAlign w:val="bottom"/>
          </w:tcPr>
          <w:p>
            <w:pPr>
              <w:ind w:left="300"/>
              <w:spacing w:after="0"/>
              <w:rPr>
                <w:sz w:val="20"/>
                <w:szCs w:val="20"/>
                <w:color w:val="auto"/>
              </w:rPr>
            </w:pPr>
            <w:r>
              <w:rPr>
                <w:rFonts w:ascii="Arial" w:cs="Arial" w:eastAsia="Arial" w:hAnsi="Arial"/>
                <w:sz w:val="18"/>
                <w:szCs w:val="18"/>
                <w:color w:val="auto"/>
              </w:rPr>
              <w:t>Chief Executive Officer and Director (Principal</w:t>
            </w:r>
          </w:p>
        </w:tc>
        <w:tc>
          <w:tcPr>
            <w:tcW w:w="2560" w:type="dxa"/>
            <w:vAlign w:val="bottom"/>
          </w:tcPr>
          <w:p>
            <w:pPr>
              <w:ind w:left="3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80" w:type="dxa"/>
            <w:vAlign w:val="bottom"/>
            <w:vMerge w:val="restart"/>
          </w:tcPr>
          <w:p>
            <w:pPr>
              <w:ind w:left="300"/>
              <w:spacing w:after="0"/>
              <w:rPr>
                <w:sz w:val="20"/>
                <w:szCs w:val="20"/>
                <w:color w:val="auto"/>
              </w:rPr>
            </w:pPr>
            <w:r>
              <w:rPr>
                <w:rFonts w:ascii="Arial" w:cs="Arial" w:eastAsia="Arial" w:hAnsi="Arial"/>
                <w:sz w:val="18"/>
                <w:szCs w:val="18"/>
                <w:color w:val="auto"/>
              </w:rPr>
              <w:t>Executive Officer)</w:t>
            </w: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James Hagedorn</w:t>
            </w:r>
          </w:p>
        </w:tc>
        <w:tc>
          <w:tcPr>
            <w:tcW w:w="408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II-14</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OMS INVESTMENTS,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4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720"/>
        <w:spacing w:after="0"/>
        <w:tabs>
          <w:tab w:leader="none" w:pos="692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15240</wp:posOffset>
            </wp:positionV>
            <wp:extent cx="26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15240</wp:posOffset>
            </wp:positionV>
            <wp:extent cx="26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Edward R. Claggett</w:t>
            </w:r>
          </w:p>
        </w:tc>
        <w:tc>
          <w:tcPr>
            <w:tcW w:w="3620" w:type="dxa"/>
            <w:vAlign w:val="bottom"/>
          </w:tcPr>
          <w:p>
            <w:pPr>
              <w:ind w:left="280"/>
              <w:spacing w:after="0"/>
              <w:rPr>
                <w:sz w:val="20"/>
                <w:szCs w:val="20"/>
                <w:color w:val="auto"/>
              </w:rPr>
            </w:pPr>
            <w:r>
              <w:rPr>
                <w:rFonts w:ascii="Arial" w:cs="Arial" w:eastAsia="Arial" w:hAnsi="Arial"/>
                <w:sz w:val="18"/>
                <w:szCs w:val="18"/>
                <w:color w:val="auto"/>
              </w:rPr>
              <w:t>President, Chief Executive Officer</w:t>
            </w:r>
          </w:p>
        </w:tc>
        <w:tc>
          <w:tcPr>
            <w:tcW w:w="3020" w:type="dxa"/>
            <w:vAlign w:val="bottom"/>
          </w:tcPr>
          <w:p>
            <w:pPr>
              <w:ind w:left="8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3620" w:type="dxa"/>
            <w:vAlign w:val="bottom"/>
            <w:vMerge w:val="restart"/>
          </w:tcPr>
          <w:p>
            <w:pPr>
              <w:ind w:left="280"/>
              <w:spacing w:after="0"/>
              <w:rPr>
                <w:sz w:val="20"/>
                <w:szCs w:val="20"/>
                <w:color w:val="auto"/>
              </w:rPr>
            </w:pPr>
            <w:r>
              <w:rPr>
                <w:rFonts w:ascii="Arial" w:cs="Arial" w:eastAsia="Arial" w:hAnsi="Arial"/>
                <w:sz w:val="18"/>
                <w:szCs w:val="18"/>
                <w:color w:val="auto"/>
              </w:rPr>
              <w:t>and Director</w:t>
            </w:r>
          </w:p>
        </w:tc>
        <w:tc>
          <w:tcPr>
            <w:tcW w:w="3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080" w:type="dxa"/>
            <w:vAlign w:val="bottom"/>
            <w:gridSpan w:val="2"/>
          </w:tcPr>
          <w:p>
            <w:pPr>
              <w:spacing w:after="0" w:line="169" w:lineRule="exact"/>
              <w:rPr>
                <w:sz w:val="20"/>
                <w:szCs w:val="20"/>
                <w:color w:val="auto"/>
              </w:rPr>
            </w:pPr>
            <w:r>
              <w:rPr>
                <w:rFonts w:ascii="Arial" w:cs="Arial" w:eastAsia="Arial" w:hAnsi="Arial"/>
                <w:sz w:val="18"/>
                <w:szCs w:val="18"/>
                <w:color w:val="auto"/>
              </w:rPr>
              <w:t>Edward R. Claggett</w:t>
            </w:r>
          </w:p>
        </w:tc>
        <w:tc>
          <w:tcPr>
            <w:tcW w:w="362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20" w:type="dxa"/>
            <w:vAlign w:val="bottom"/>
          </w:tcPr>
          <w:p>
            <w:pPr>
              <w:ind w:left="280"/>
              <w:spacing w:after="0"/>
              <w:rPr>
                <w:sz w:val="20"/>
                <w:szCs w:val="20"/>
                <w:color w:val="auto"/>
              </w:rPr>
            </w:pPr>
            <w:r>
              <w:rPr>
                <w:rFonts w:ascii="Arial" w:cs="Arial" w:eastAsia="Arial" w:hAnsi="Arial"/>
                <w:sz w:val="18"/>
                <w:szCs w:val="18"/>
                <w:color w:val="auto"/>
              </w:rPr>
              <w:t>(Principal Executive Officer)</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Garry J. Hills</w:t>
            </w:r>
          </w:p>
        </w:tc>
        <w:tc>
          <w:tcPr>
            <w:tcW w:w="3620" w:type="dxa"/>
            <w:vAlign w:val="bottom"/>
          </w:tcPr>
          <w:p>
            <w:pPr>
              <w:ind w:left="280"/>
              <w:spacing w:after="0"/>
              <w:rPr>
                <w:sz w:val="20"/>
                <w:szCs w:val="20"/>
                <w:color w:val="auto"/>
              </w:rPr>
            </w:pPr>
            <w:r>
              <w:rPr>
                <w:rFonts w:ascii="Arial" w:cs="Arial" w:eastAsia="Arial" w:hAnsi="Arial"/>
                <w:sz w:val="18"/>
                <w:szCs w:val="18"/>
                <w:color w:val="auto"/>
              </w:rPr>
              <w:t>Treasurer and 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3620" w:type="dxa"/>
            <w:vAlign w:val="bottom"/>
            <w:vMerge w:val="restart"/>
          </w:tcPr>
          <w:p>
            <w:pPr>
              <w:ind w:left="280"/>
              <w:spacing w:after="0"/>
              <w:rPr>
                <w:sz w:val="20"/>
                <w:szCs w:val="20"/>
                <w:color w:val="auto"/>
              </w:rPr>
            </w:pPr>
            <w:r>
              <w:rPr>
                <w:rFonts w:ascii="Arial" w:cs="Arial" w:eastAsia="Arial" w:hAnsi="Arial"/>
                <w:sz w:val="18"/>
                <w:szCs w:val="18"/>
                <w:color w:val="auto"/>
              </w:rPr>
              <w:t>(Principal Financial Officer and</w:t>
            </w:r>
          </w:p>
        </w:tc>
        <w:tc>
          <w:tcPr>
            <w:tcW w:w="3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080" w:type="dxa"/>
            <w:vAlign w:val="bottom"/>
            <w:gridSpan w:val="2"/>
          </w:tcPr>
          <w:p>
            <w:pPr>
              <w:spacing w:after="0" w:line="169" w:lineRule="exact"/>
              <w:rPr>
                <w:sz w:val="20"/>
                <w:szCs w:val="20"/>
                <w:color w:val="auto"/>
              </w:rPr>
            </w:pPr>
            <w:r>
              <w:rPr>
                <w:rFonts w:ascii="Arial" w:cs="Arial" w:eastAsia="Arial" w:hAnsi="Arial"/>
                <w:sz w:val="18"/>
                <w:szCs w:val="18"/>
                <w:color w:val="auto"/>
              </w:rPr>
              <w:t>Garry J. Hills</w:t>
            </w:r>
          </w:p>
        </w:tc>
        <w:tc>
          <w:tcPr>
            <w:tcW w:w="362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20" w:type="dxa"/>
            <w:vAlign w:val="bottom"/>
          </w:tcPr>
          <w:p>
            <w:pPr>
              <w:ind w:left="280"/>
              <w:spacing w:after="0"/>
              <w:rPr>
                <w:sz w:val="20"/>
                <w:szCs w:val="20"/>
                <w:color w:val="auto"/>
              </w:rPr>
            </w:pPr>
            <w:r>
              <w:rPr>
                <w:rFonts w:ascii="Arial" w:cs="Arial" w:eastAsia="Arial" w:hAnsi="Arial"/>
                <w:sz w:val="18"/>
                <w:szCs w:val="18"/>
                <w:color w:val="auto"/>
              </w:rPr>
              <w:t>Principal Accounting Officer)</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 Robert Lucas</w:t>
            </w:r>
          </w:p>
        </w:tc>
        <w:tc>
          <w:tcPr>
            <w:tcW w:w="3620" w:type="dxa"/>
            <w:vAlign w:val="bottom"/>
          </w:tcPr>
          <w:p>
            <w:pPr>
              <w:ind w:left="280"/>
              <w:spacing w:after="0"/>
              <w:rPr>
                <w:sz w:val="20"/>
                <w:szCs w:val="20"/>
                <w:color w:val="auto"/>
              </w:rPr>
            </w:pPr>
            <w:r>
              <w:rPr>
                <w:rFonts w:ascii="Arial" w:cs="Arial" w:eastAsia="Arial" w:hAnsi="Arial"/>
                <w:sz w:val="18"/>
                <w:szCs w:val="18"/>
                <w:color w:val="auto"/>
              </w:rPr>
              <w:t>Vice President and 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 Robert Lucas</w:t>
            </w:r>
          </w:p>
        </w:tc>
        <w:tc>
          <w:tcPr>
            <w:tcW w:w="3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James E. Roberts</w:t>
            </w:r>
          </w:p>
        </w:tc>
        <w:tc>
          <w:tcPr>
            <w:tcW w:w="3620" w:type="dxa"/>
            <w:vAlign w:val="bottom"/>
          </w:tcPr>
          <w:p>
            <w:pPr>
              <w:ind w:left="280"/>
              <w:spacing w:after="0"/>
              <w:rPr>
                <w:sz w:val="20"/>
                <w:szCs w:val="20"/>
                <w:color w:val="auto"/>
              </w:rPr>
            </w:pPr>
            <w:r>
              <w:rPr>
                <w:rFonts w:ascii="Arial" w:cs="Arial" w:eastAsia="Arial" w:hAnsi="Arial"/>
                <w:sz w:val="18"/>
                <w:szCs w:val="18"/>
                <w:color w:val="auto"/>
              </w:rPr>
              <w:t>Vice President, Secretary</w:t>
            </w:r>
          </w:p>
        </w:tc>
        <w:tc>
          <w:tcPr>
            <w:tcW w:w="3020" w:type="dxa"/>
            <w:vAlign w:val="bottom"/>
          </w:tcPr>
          <w:p>
            <w:pPr>
              <w:ind w:left="8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3620" w:type="dxa"/>
            <w:vAlign w:val="bottom"/>
            <w:vMerge w:val="restart"/>
          </w:tcPr>
          <w:p>
            <w:pPr>
              <w:ind w:left="280"/>
              <w:spacing w:after="0"/>
              <w:rPr>
                <w:sz w:val="20"/>
                <w:szCs w:val="20"/>
                <w:color w:val="auto"/>
              </w:rPr>
            </w:pPr>
            <w:r>
              <w:rPr>
                <w:rFonts w:ascii="Arial" w:cs="Arial" w:eastAsia="Arial" w:hAnsi="Arial"/>
                <w:sz w:val="18"/>
                <w:szCs w:val="18"/>
                <w:color w:val="auto"/>
              </w:rPr>
              <w:t>and Director</w:t>
            </w:r>
          </w:p>
        </w:tc>
        <w:tc>
          <w:tcPr>
            <w:tcW w:w="3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James E. Roberts</w:t>
            </w:r>
          </w:p>
        </w:tc>
        <w:tc>
          <w:tcPr>
            <w:tcW w:w="36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620" w:type="dxa"/>
            <w:vAlign w:val="bottom"/>
          </w:tcPr>
          <w:p>
            <w:pPr>
              <w:ind w:left="700"/>
              <w:spacing w:after="0"/>
              <w:rPr>
                <w:sz w:val="20"/>
                <w:szCs w:val="20"/>
                <w:color w:val="auto"/>
              </w:rPr>
            </w:pPr>
            <w:r>
              <w:rPr>
                <w:rFonts w:ascii="Arial" w:cs="Arial" w:eastAsia="Arial" w:hAnsi="Arial"/>
                <w:sz w:val="18"/>
                <w:szCs w:val="18"/>
                <w:color w:val="auto"/>
              </w:rPr>
              <w:t>II-15</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SCOTTS-SIERRA INVESTMENTS,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David C. Evans</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9673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4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720"/>
        <w:spacing w:after="0"/>
        <w:tabs>
          <w:tab w:leader="none" w:pos="692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15240</wp:posOffset>
            </wp:positionV>
            <wp:extent cx="26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15240</wp:posOffset>
            </wp:positionV>
            <wp:extent cx="260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Edward R. Claggett</w:t>
            </w:r>
          </w:p>
        </w:tc>
        <w:tc>
          <w:tcPr>
            <w:tcW w:w="4160" w:type="dxa"/>
            <w:vAlign w:val="bottom"/>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2480" w:type="dxa"/>
            <w:vAlign w:val="bottom"/>
          </w:tcPr>
          <w:p>
            <w:pPr>
              <w:ind w:left="320"/>
              <w:spacing w:after="0"/>
              <w:rPr>
                <w:sz w:val="20"/>
                <w:szCs w:val="20"/>
                <w:color w:val="auto"/>
              </w:rPr>
            </w:pPr>
            <w:r>
              <w:rPr>
                <w:rFonts w:ascii="Arial" w:cs="Arial" w:eastAsia="Arial" w:hAnsi="Arial"/>
                <w:sz w:val="18"/>
                <w:szCs w:val="18"/>
                <w:color w:val="auto"/>
              </w:rPr>
              <w:t>January 11, 2010</w:t>
            </w: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Edward R. Claggett</w:t>
            </w:r>
          </w:p>
        </w:tc>
        <w:tc>
          <w:tcPr>
            <w:tcW w:w="4160" w:type="dxa"/>
            <w:vAlign w:val="bottom"/>
          </w:tcPr>
          <w:p>
            <w:pPr>
              <w:ind w:left="280"/>
              <w:spacing w:after="0"/>
              <w:rPr>
                <w:sz w:val="20"/>
                <w:szCs w:val="20"/>
                <w:color w:val="auto"/>
              </w:rPr>
            </w:pPr>
            <w:r>
              <w:rPr>
                <w:rFonts w:ascii="Arial" w:cs="Arial" w:eastAsia="Arial" w:hAnsi="Arial"/>
                <w:sz w:val="18"/>
                <w:szCs w:val="18"/>
                <w:color w:val="auto"/>
              </w:rPr>
              <w:t>(Principal Executive Officer)</w:t>
            </w:r>
          </w:p>
        </w:tc>
        <w:tc>
          <w:tcPr>
            <w:tcW w:w="2480" w:type="dxa"/>
            <w:vAlign w:val="bottom"/>
          </w:tcPr>
          <w:p>
            <w:pPr>
              <w:spacing w:after="0"/>
              <w:rPr>
                <w:sz w:val="19"/>
                <w:szCs w:val="19"/>
                <w:color w:val="auto"/>
              </w:rPr>
            </w:pPr>
          </w:p>
        </w:tc>
      </w:tr>
      <w:tr>
        <w:trPr>
          <w:trHeight w:val="418"/>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David C. Evans</w:t>
            </w:r>
          </w:p>
        </w:tc>
        <w:tc>
          <w:tcPr>
            <w:tcW w:w="4160" w:type="dxa"/>
            <w:vAlign w:val="bottom"/>
          </w:tcPr>
          <w:p>
            <w:pPr>
              <w:ind w:left="280"/>
              <w:spacing w:after="0"/>
              <w:rPr>
                <w:sz w:val="20"/>
                <w:szCs w:val="20"/>
                <w:color w:val="auto"/>
              </w:rPr>
            </w:pPr>
            <w:r>
              <w:rPr>
                <w:rFonts w:ascii="Arial" w:cs="Arial" w:eastAsia="Arial" w:hAnsi="Arial"/>
                <w:sz w:val="18"/>
                <w:szCs w:val="18"/>
                <w:color w:val="auto"/>
              </w:rPr>
              <w:t>Executive Vice President and Chief Financial</w:t>
            </w:r>
          </w:p>
        </w:tc>
        <w:tc>
          <w:tcPr>
            <w:tcW w:w="2480" w:type="dxa"/>
            <w:vAlign w:val="bottom"/>
          </w:tcPr>
          <w:p>
            <w:pPr>
              <w:ind w:left="320"/>
              <w:spacing w:after="0"/>
              <w:rPr>
                <w:sz w:val="20"/>
                <w:szCs w:val="20"/>
                <w:color w:val="auto"/>
              </w:rPr>
            </w:pPr>
            <w:r>
              <w:rPr>
                <w:rFonts w:ascii="Arial" w:cs="Arial" w:eastAsia="Arial" w:hAnsi="Arial"/>
                <w:sz w:val="18"/>
                <w:szCs w:val="18"/>
                <w:color w:val="auto"/>
              </w:rPr>
              <w:t>January 11, 2010</w:t>
            </w:r>
          </w:p>
        </w:tc>
      </w:tr>
      <w:tr>
        <w:trPr>
          <w:trHeight w:val="182"/>
        </w:trPr>
        <w:tc>
          <w:tcPr>
            <w:tcW w:w="700" w:type="dxa"/>
            <w:vAlign w:val="bottom"/>
          </w:tcPr>
          <w:p>
            <w:pPr>
              <w:spacing w:after="0"/>
              <w:rPr>
                <w:sz w:val="15"/>
                <w:szCs w:val="15"/>
                <w:color w:val="auto"/>
              </w:rPr>
            </w:pPr>
          </w:p>
        </w:tc>
        <w:tc>
          <w:tcPr>
            <w:tcW w:w="4080" w:type="dxa"/>
            <w:vAlign w:val="bottom"/>
            <w:gridSpan w:val="2"/>
          </w:tcPr>
          <w:p>
            <w:pPr>
              <w:spacing w:after="0" w:line="182" w:lineRule="exact"/>
              <w:rPr>
                <w:sz w:val="20"/>
                <w:szCs w:val="20"/>
                <w:color w:val="auto"/>
              </w:rPr>
            </w:pPr>
            <w:r>
              <w:rPr>
                <w:rFonts w:ascii="Arial" w:cs="Arial" w:eastAsia="Arial" w:hAnsi="Arial"/>
                <w:sz w:val="18"/>
                <w:szCs w:val="18"/>
                <w:color w:val="auto"/>
              </w:rPr>
              <w:t>David C. Evans</w:t>
            </w:r>
          </w:p>
        </w:tc>
        <w:tc>
          <w:tcPr>
            <w:tcW w:w="4160" w:type="dxa"/>
            <w:vAlign w:val="bottom"/>
          </w:tcPr>
          <w:p>
            <w:pPr>
              <w:ind w:left="280"/>
              <w:spacing w:after="0" w:line="182" w:lineRule="exact"/>
              <w:rPr>
                <w:sz w:val="20"/>
                <w:szCs w:val="20"/>
                <w:color w:val="auto"/>
              </w:rPr>
            </w:pPr>
            <w:r>
              <w:rPr>
                <w:rFonts w:ascii="Arial" w:cs="Arial" w:eastAsia="Arial" w:hAnsi="Arial"/>
                <w:sz w:val="18"/>
                <w:szCs w:val="18"/>
                <w:color w:val="auto"/>
              </w:rPr>
              <w:t>Officer (Principal Financial Officer and Principal</w:t>
            </w:r>
          </w:p>
        </w:tc>
        <w:tc>
          <w:tcPr>
            <w:tcW w:w="2480" w:type="dxa"/>
            <w:vAlign w:val="bottom"/>
          </w:tcPr>
          <w:p>
            <w:pPr>
              <w:spacing w:after="0"/>
              <w:rPr>
                <w:sz w:val="15"/>
                <w:szCs w:val="15"/>
                <w:color w:val="auto"/>
              </w:rPr>
            </w:pPr>
          </w:p>
        </w:tc>
      </w:tr>
      <w:tr>
        <w:trPr>
          <w:trHeight w:val="230"/>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160" w:type="dxa"/>
            <w:vAlign w:val="bottom"/>
          </w:tcPr>
          <w:p>
            <w:pPr>
              <w:ind w:left="280"/>
              <w:spacing w:after="0"/>
              <w:rPr>
                <w:sz w:val="20"/>
                <w:szCs w:val="20"/>
                <w:color w:val="auto"/>
              </w:rPr>
            </w:pPr>
            <w:r>
              <w:rPr>
                <w:rFonts w:ascii="Arial" w:cs="Arial" w:eastAsia="Arial" w:hAnsi="Arial"/>
                <w:sz w:val="18"/>
                <w:szCs w:val="18"/>
                <w:color w:val="auto"/>
              </w:rPr>
              <w:t>Accounting Officer)</w:t>
            </w:r>
          </w:p>
        </w:tc>
        <w:tc>
          <w:tcPr>
            <w:tcW w:w="248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Richard F. Klumpp</w:t>
            </w:r>
          </w:p>
        </w:tc>
        <w:tc>
          <w:tcPr>
            <w:tcW w:w="4160" w:type="dxa"/>
            <w:vAlign w:val="bottom"/>
          </w:tcPr>
          <w:p>
            <w:pPr>
              <w:ind w:left="280"/>
              <w:spacing w:after="0"/>
              <w:rPr>
                <w:sz w:val="20"/>
                <w:szCs w:val="20"/>
                <w:color w:val="auto"/>
              </w:rPr>
            </w:pPr>
            <w:r>
              <w:rPr>
                <w:rFonts w:ascii="Arial" w:cs="Arial" w:eastAsia="Arial" w:hAnsi="Arial"/>
                <w:sz w:val="18"/>
                <w:szCs w:val="18"/>
                <w:color w:val="auto"/>
              </w:rPr>
              <w:t>Assistant Treasurer and Director</w:t>
            </w:r>
          </w:p>
        </w:tc>
        <w:tc>
          <w:tcPr>
            <w:tcW w:w="2480" w:type="dxa"/>
            <w:vAlign w:val="bottom"/>
          </w:tcPr>
          <w:p>
            <w:pPr>
              <w:ind w:left="320"/>
              <w:spacing w:after="0"/>
              <w:rPr>
                <w:sz w:val="20"/>
                <w:szCs w:val="20"/>
                <w:color w:val="auto"/>
              </w:rPr>
            </w:pPr>
            <w:r>
              <w:rPr>
                <w:rFonts w:ascii="Arial" w:cs="Arial" w:eastAsia="Arial" w:hAnsi="Arial"/>
                <w:sz w:val="18"/>
                <w:szCs w:val="18"/>
                <w:color w:val="auto"/>
              </w:rPr>
              <w:t>January 11, 2010</w:t>
            </w: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Richard F. Klumpp</w:t>
            </w:r>
          </w:p>
        </w:tc>
        <w:tc>
          <w:tcPr>
            <w:tcW w:w="41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 Robert Lucas</w:t>
            </w:r>
          </w:p>
        </w:tc>
        <w:tc>
          <w:tcPr>
            <w:tcW w:w="4160" w:type="dxa"/>
            <w:vAlign w:val="bottom"/>
          </w:tcPr>
          <w:p>
            <w:pPr>
              <w:ind w:left="280"/>
              <w:spacing w:after="0"/>
              <w:rPr>
                <w:sz w:val="20"/>
                <w:szCs w:val="20"/>
                <w:color w:val="auto"/>
              </w:rPr>
            </w:pPr>
            <w:r>
              <w:rPr>
                <w:rFonts w:ascii="Arial" w:cs="Arial" w:eastAsia="Arial" w:hAnsi="Arial"/>
                <w:sz w:val="18"/>
                <w:szCs w:val="18"/>
                <w:color w:val="auto"/>
              </w:rPr>
              <w:t>Vice President and Director</w:t>
            </w:r>
          </w:p>
        </w:tc>
        <w:tc>
          <w:tcPr>
            <w:tcW w:w="2480" w:type="dxa"/>
            <w:vAlign w:val="bottom"/>
          </w:tcPr>
          <w:p>
            <w:pPr>
              <w:ind w:left="320"/>
              <w:spacing w:after="0"/>
              <w:rPr>
                <w:sz w:val="20"/>
                <w:szCs w:val="20"/>
                <w:color w:val="auto"/>
              </w:rPr>
            </w:pPr>
            <w:r>
              <w:rPr>
                <w:rFonts w:ascii="Arial" w:cs="Arial" w:eastAsia="Arial" w:hAnsi="Arial"/>
                <w:sz w:val="18"/>
                <w:szCs w:val="18"/>
                <w:color w:val="auto"/>
              </w:rPr>
              <w:t>January 11, 2010</w:t>
            </w: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 Robert Lucas</w:t>
            </w:r>
          </w:p>
        </w:tc>
        <w:tc>
          <w:tcPr>
            <w:tcW w:w="41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James E. Roberts</w:t>
            </w:r>
          </w:p>
        </w:tc>
        <w:tc>
          <w:tcPr>
            <w:tcW w:w="4160" w:type="dxa"/>
            <w:vAlign w:val="bottom"/>
          </w:tcPr>
          <w:p>
            <w:pPr>
              <w:ind w:left="280"/>
              <w:spacing w:after="0"/>
              <w:rPr>
                <w:sz w:val="20"/>
                <w:szCs w:val="20"/>
                <w:color w:val="auto"/>
              </w:rPr>
            </w:pPr>
            <w:r>
              <w:rPr>
                <w:rFonts w:ascii="Arial" w:cs="Arial" w:eastAsia="Arial" w:hAnsi="Arial"/>
                <w:sz w:val="18"/>
                <w:szCs w:val="18"/>
                <w:color w:val="auto"/>
              </w:rPr>
              <w:t>Secretary and Director</w:t>
            </w:r>
          </w:p>
        </w:tc>
        <w:tc>
          <w:tcPr>
            <w:tcW w:w="2480" w:type="dxa"/>
            <w:vAlign w:val="bottom"/>
          </w:tcPr>
          <w:p>
            <w:pPr>
              <w:ind w:left="320"/>
              <w:spacing w:after="0"/>
              <w:rPr>
                <w:sz w:val="20"/>
                <w:szCs w:val="20"/>
                <w:color w:val="auto"/>
              </w:rPr>
            </w:pPr>
            <w:r>
              <w:rPr>
                <w:rFonts w:ascii="Arial" w:cs="Arial" w:eastAsia="Arial" w:hAnsi="Arial"/>
                <w:sz w:val="18"/>
                <w:szCs w:val="18"/>
                <w:color w:val="auto"/>
              </w:rPr>
              <w:t>January 11, 2010</w:t>
            </w: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James E. Roberts</w:t>
            </w:r>
          </w:p>
        </w:tc>
        <w:tc>
          <w:tcPr>
            <w:tcW w:w="41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59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II-16</w:t>
            </w:r>
          </w:p>
        </w:tc>
        <w:tc>
          <w:tcPr>
            <w:tcW w:w="248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SCOTTS TEMECULA OPERATIONS,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4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820"/>
        <w:spacing w:after="0"/>
        <w:tabs>
          <w:tab w:leader="none" w:pos="7020" w:val="left"/>
          <w:tab w:leader="none" w:pos="984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15240</wp:posOffset>
            </wp:positionV>
            <wp:extent cx="26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020" w:type="dxa"/>
            <w:vAlign w:val="bottom"/>
            <w:gridSpan w:val="2"/>
          </w:tcPr>
          <w:p>
            <w:pPr>
              <w:spacing w:after="0"/>
              <w:rPr>
                <w:sz w:val="20"/>
                <w:szCs w:val="20"/>
                <w:color w:val="auto"/>
              </w:rPr>
            </w:pPr>
            <w:r>
              <w:rPr>
                <w:rFonts w:ascii="Arial" w:cs="Arial" w:eastAsia="Arial" w:hAnsi="Arial"/>
                <w:sz w:val="18"/>
                <w:szCs w:val="18"/>
                <w:color w:val="auto"/>
              </w:rPr>
              <w:t>David C. Evans</w:t>
            </w:r>
          </w:p>
        </w:tc>
        <w:tc>
          <w:tcPr>
            <w:tcW w:w="406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w:t>
            </w:r>
          </w:p>
        </w:tc>
        <w:tc>
          <w:tcPr>
            <w:tcW w:w="2380" w:type="dxa"/>
            <w:vAlign w:val="bottom"/>
          </w:tcPr>
          <w:p>
            <w:pPr>
              <w:ind w:left="22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060" w:type="dxa"/>
            <w:vAlign w:val="bottom"/>
            <w:vMerge w:val="restart"/>
          </w:tcPr>
          <w:p>
            <w:pPr>
              <w:ind w:left="300"/>
              <w:spacing w:after="0"/>
              <w:rPr>
                <w:sz w:val="20"/>
                <w:szCs w:val="20"/>
                <w:color w:val="auto"/>
              </w:rPr>
            </w:pPr>
            <w:r>
              <w:rPr>
                <w:rFonts w:ascii="Arial" w:cs="Arial" w:eastAsia="Arial" w:hAnsi="Arial"/>
                <w:sz w:val="18"/>
                <w:szCs w:val="18"/>
                <w:color w:val="auto"/>
                <w:w w:val="99"/>
              </w:rPr>
              <w:t>Officer (Principal Financial Officer and Principal</w:t>
            </w: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80" w:type="dxa"/>
            <w:vAlign w:val="bottom"/>
            <w:gridSpan w:val="3"/>
          </w:tcPr>
          <w:p>
            <w:pPr>
              <w:spacing w:after="0" w:line="169" w:lineRule="exact"/>
              <w:rPr>
                <w:sz w:val="20"/>
                <w:szCs w:val="20"/>
                <w:color w:val="auto"/>
              </w:rPr>
            </w:pPr>
            <w:r>
              <w:rPr>
                <w:rFonts w:ascii="Arial" w:cs="Arial" w:eastAsia="Arial" w:hAnsi="Arial"/>
                <w:sz w:val="18"/>
                <w:szCs w:val="18"/>
                <w:color w:val="auto"/>
              </w:rPr>
              <w:t>David C. Evans</w:t>
            </w:r>
          </w:p>
        </w:tc>
        <w:tc>
          <w:tcPr>
            <w:tcW w:w="406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020" w:type="dxa"/>
            <w:vAlign w:val="bottom"/>
            <w:gridSpan w:val="2"/>
          </w:tcPr>
          <w:p>
            <w:pPr>
              <w:spacing w:after="0"/>
              <w:rPr>
                <w:sz w:val="20"/>
                <w:szCs w:val="20"/>
                <w:color w:val="auto"/>
              </w:rPr>
            </w:pPr>
            <w:r>
              <w:rPr>
                <w:rFonts w:ascii="Arial" w:cs="Arial" w:eastAsia="Arial" w:hAnsi="Arial"/>
                <w:sz w:val="18"/>
                <w:szCs w:val="18"/>
                <w:color w:val="auto"/>
              </w:rPr>
              <w:t>James Hagedorn</w:t>
            </w:r>
          </w:p>
        </w:tc>
        <w:tc>
          <w:tcPr>
            <w:tcW w:w="4060" w:type="dxa"/>
            <w:vAlign w:val="bottom"/>
          </w:tcPr>
          <w:p>
            <w:pPr>
              <w:ind w:left="300"/>
              <w:spacing w:after="0"/>
              <w:rPr>
                <w:sz w:val="20"/>
                <w:szCs w:val="20"/>
                <w:color w:val="auto"/>
              </w:rPr>
            </w:pPr>
            <w:r>
              <w:rPr>
                <w:rFonts w:ascii="Arial" w:cs="Arial" w:eastAsia="Arial" w:hAnsi="Arial"/>
                <w:sz w:val="18"/>
                <w:szCs w:val="18"/>
                <w:color w:val="auto"/>
              </w:rPr>
              <w:t>Chief Executive Officer (Principal Executive</w:t>
            </w:r>
          </w:p>
        </w:tc>
        <w:tc>
          <w:tcPr>
            <w:tcW w:w="2380" w:type="dxa"/>
            <w:vAlign w:val="bottom"/>
          </w:tcPr>
          <w:p>
            <w:pPr>
              <w:ind w:left="22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060" w:type="dxa"/>
            <w:vAlign w:val="bottom"/>
            <w:vMerge w:val="restart"/>
          </w:tcPr>
          <w:p>
            <w:pPr>
              <w:ind w:left="300"/>
              <w:spacing w:after="0"/>
              <w:rPr>
                <w:sz w:val="20"/>
                <w:szCs w:val="20"/>
                <w:color w:val="auto"/>
              </w:rPr>
            </w:pPr>
            <w:r>
              <w:rPr>
                <w:rFonts w:ascii="Arial" w:cs="Arial" w:eastAsia="Arial" w:hAnsi="Arial"/>
                <w:sz w:val="18"/>
                <w:szCs w:val="18"/>
                <w:color w:val="auto"/>
              </w:rPr>
              <w:t>Officer)</w:t>
            </w: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James Hagedorn</w:t>
            </w:r>
          </w:p>
        </w:tc>
        <w:tc>
          <w:tcPr>
            <w:tcW w:w="40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00" w:type="dxa"/>
            <w:vAlign w:val="bottom"/>
          </w:tcPr>
          <w:p>
            <w:pPr>
              <w:spacing w:after="0"/>
              <w:rPr>
                <w:sz w:val="24"/>
                <w:szCs w:val="24"/>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300"/>
              <w:spacing w:after="0"/>
              <w:rPr>
                <w:sz w:val="20"/>
                <w:szCs w:val="20"/>
                <w:color w:val="auto"/>
              </w:rPr>
            </w:pPr>
            <w:r>
              <w:rPr>
                <w:rFonts w:ascii="Arial" w:cs="Arial" w:eastAsia="Arial" w:hAnsi="Arial"/>
                <w:sz w:val="18"/>
                <w:szCs w:val="18"/>
                <w:color w:val="auto"/>
              </w:rPr>
              <w:t>Member</w:t>
            </w:r>
          </w:p>
        </w:tc>
        <w:tc>
          <w:tcPr>
            <w:tcW w:w="2380" w:type="dxa"/>
            <w:vAlign w:val="bottom"/>
          </w:tcPr>
          <w:p>
            <w:pPr>
              <w:ind w:left="22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c>
          <w:tcPr>
            <w:tcW w:w="4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Edward R. Claggett</w:t>
            </w:r>
          </w:p>
        </w:tc>
        <w:tc>
          <w:tcPr>
            <w:tcW w:w="4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060" w:type="dxa"/>
            <w:vAlign w:val="bottom"/>
          </w:tcPr>
          <w:p>
            <w:pPr>
              <w:ind w:left="500"/>
              <w:spacing w:after="0"/>
              <w:rPr>
                <w:sz w:val="20"/>
                <w:szCs w:val="20"/>
                <w:color w:val="auto"/>
              </w:rPr>
            </w:pPr>
            <w:r>
              <w:rPr>
                <w:rFonts w:ascii="Arial" w:cs="Arial" w:eastAsia="Arial" w:hAnsi="Arial"/>
                <w:sz w:val="18"/>
                <w:szCs w:val="18"/>
                <w:color w:val="auto"/>
              </w:rPr>
              <w:t>II-17</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SMITH &amp; HAWKEN,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4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720"/>
        <w:spacing w:after="0"/>
        <w:tabs>
          <w:tab w:leader="none" w:pos="692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15240</wp:posOffset>
            </wp:positionV>
            <wp:extent cx="26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15240</wp:posOffset>
            </wp:positionV>
            <wp:extent cx="260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Vincent C. Brockman</w:t>
            </w:r>
          </w:p>
        </w:tc>
        <w:tc>
          <w:tcPr>
            <w:tcW w:w="4200" w:type="dxa"/>
            <w:vAlign w:val="bottom"/>
          </w:tcPr>
          <w:p>
            <w:pPr>
              <w:ind w:left="280"/>
              <w:spacing w:after="0"/>
              <w:rPr>
                <w:sz w:val="20"/>
                <w:szCs w:val="20"/>
                <w:color w:val="auto"/>
              </w:rPr>
            </w:pPr>
            <w:r>
              <w:rPr>
                <w:rFonts w:ascii="Arial" w:cs="Arial" w:eastAsia="Arial" w:hAnsi="Arial"/>
                <w:sz w:val="18"/>
                <w:szCs w:val="18"/>
                <w:color w:val="auto"/>
              </w:rPr>
              <w:t>Executive Vice President and 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Vincent C. Brockman</w:t>
            </w:r>
          </w:p>
        </w:tc>
        <w:tc>
          <w:tcPr>
            <w:tcW w:w="4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4200" w:type="dxa"/>
            <w:vAlign w:val="bottom"/>
          </w:tcPr>
          <w:p>
            <w:pPr>
              <w:ind w:left="280"/>
              <w:spacing w:after="0"/>
              <w:rPr>
                <w:sz w:val="20"/>
                <w:szCs w:val="20"/>
                <w:color w:val="auto"/>
              </w:rPr>
            </w:pPr>
            <w:r>
              <w:rPr>
                <w:rFonts w:ascii="Arial" w:cs="Arial" w:eastAsia="Arial" w:hAnsi="Arial"/>
                <w:sz w:val="18"/>
                <w:szCs w:val="18"/>
                <w:color w:val="auto"/>
              </w:rPr>
              <w:t>Executive Vice President and Director</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David C. Evans</w:t>
            </w:r>
          </w:p>
        </w:tc>
        <w:tc>
          <w:tcPr>
            <w:tcW w:w="4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 James J. Gimeson</w:t>
            </w:r>
          </w:p>
        </w:tc>
        <w:tc>
          <w:tcPr>
            <w:tcW w:w="4200" w:type="dxa"/>
            <w:vAlign w:val="bottom"/>
          </w:tcPr>
          <w:p>
            <w:pPr>
              <w:ind w:left="280"/>
              <w:spacing w:after="0"/>
              <w:rPr>
                <w:sz w:val="20"/>
                <w:szCs w:val="20"/>
                <w:color w:val="auto"/>
              </w:rPr>
            </w:pPr>
            <w:r>
              <w:rPr>
                <w:rFonts w:ascii="Arial" w:cs="Arial" w:eastAsia="Arial" w:hAnsi="Arial"/>
                <w:sz w:val="18"/>
                <w:szCs w:val="18"/>
                <w:color w:val="auto"/>
                <w:w w:val="97"/>
              </w:rPr>
              <w:t>Executive Vice President, Finance and Operations</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200" w:type="dxa"/>
            <w:vAlign w:val="bottom"/>
            <w:vMerge w:val="restart"/>
          </w:tcPr>
          <w:p>
            <w:pPr>
              <w:ind w:left="280"/>
              <w:spacing w:after="0"/>
              <w:rPr>
                <w:sz w:val="20"/>
                <w:szCs w:val="20"/>
                <w:color w:val="auto"/>
              </w:rPr>
            </w:pPr>
            <w:r>
              <w:rPr>
                <w:rFonts w:ascii="Arial" w:cs="Arial" w:eastAsia="Arial" w:hAnsi="Arial"/>
                <w:sz w:val="18"/>
                <w:szCs w:val="18"/>
                <w:color w:val="auto"/>
              </w:rPr>
              <w:t>(Principal Financial Officer and Principal</w:t>
            </w: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080" w:type="dxa"/>
            <w:vAlign w:val="bottom"/>
          </w:tcPr>
          <w:p>
            <w:pPr>
              <w:spacing w:after="0" w:line="169" w:lineRule="exact"/>
              <w:rPr>
                <w:sz w:val="20"/>
                <w:szCs w:val="20"/>
                <w:color w:val="auto"/>
              </w:rPr>
            </w:pPr>
            <w:r>
              <w:rPr>
                <w:rFonts w:ascii="Arial" w:cs="Arial" w:eastAsia="Arial" w:hAnsi="Arial"/>
                <w:sz w:val="18"/>
                <w:szCs w:val="18"/>
                <w:color w:val="auto"/>
              </w:rPr>
              <w:t>James J. Gimeson</w:t>
            </w:r>
          </w:p>
        </w:tc>
        <w:tc>
          <w:tcPr>
            <w:tcW w:w="420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Accounting Officer)</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 James Hagedorn</w:t>
            </w:r>
          </w:p>
        </w:tc>
        <w:tc>
          <w:tcPr>
            <w:tcW w:w="4200" w:type="dxa"/>
            <w:vAlign w:val="bottom"/>
          </w:tcPr>
          <w:p>
            <w:pPr>
              <w:ind w:left="280"/>
              <w:spacing w:after="0"/>
              <w:rPr>
                <w:sz w:val="20"/>
                <w:szCs w:val="20"/>
                <w:color w:val="auto"/>
              </w:rPr>
            </w:pPr>
            <w:r>
              <w:rPr>
                <w:rFonts w:ascii="Arial" w:cs="Arial" w:eastAsia="Arial" w:hAnsi="Arial"/>
                <w:sz w:val="18"/>
                <w:szCs w:val="18"/>
                <w:color w:val="auto"/>
              </w:rPr>
              <w:t>Chief Executive Officer and Director (Principal</w:t>
            </w:r>
          </w:p>
        </w:tc>
        <w:tc>
          <w:tcPr>
            <w:tcW w:w="2440" w:type="dxa"/>
            <w:vAlign w:val="bottom"/>
          </w:tcPr>
          <w:p>
            <w:pPr>
              <w:ind w:left="28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200" w:type="dxa"/>
            <w:vAlign w:val="bottom"/>
            <w:vMerge w:val="restart"/>
          </w:tcPr>
          <w:p>
            <w:pPr>
              <w:ind w:left="280"/>
              <w:spacing w:after="0"/>
              <w:rPr>
                <w:sz w:val="20"/>
                <w:szCs w:val="20"/>
                <w:color w:val="auto"/>
              </w:rPr>
            </w:pPr>
            <w:r>
              <w:rPr>
                <w:rFonts w:ascii="Arial" w:cs="Arial" w:eastAsia="Arial" w:hAnsi="Arial"/>
                <w:sz w:val="18"/>
                <w:szCs w:val="18"/>
                <w:color w:val="auto"/>
              </w:rPr>
              <w:t>Executive Officer)</w:t>
            </w: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James Hagedorn</w:t>
            </w:r>
          </w:p>
        </w:tc>
        <w:tc>
          <w:tcPr>
            <w:tcW w:w="420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II-18</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SWISS FARMS PRODUCTS,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4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92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720"/>
        <w:spacing w:after="0"/>
        <w:tabs>
          <w:tab w:leader="none" w:pos="692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15240</wp:posOffset>
            </wp:positionV>
            <wp:extent cx="260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15240</wp:posOffset>
            </wp:positionV>
            <wp:extent cx="260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Edward R. Claggett</w:t>
            </w:r>
          </w:p>
        </w:tc>
        <w:tc>
          <w:tcPr>
            <w:tcW w:w="4220" w:type="dxa"/>
            <w:vAlign w:val="bottom"/>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2420" w:type="dxa"/>
            <w:vAlign w:val="bottom"/>
          </w:tcPr>
          <w:p>
            <w:pPr>
              <w:ind w:left="2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4220" w:type="dxa"/>
            <w:vAlign w:val="bottom"/>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Edward R. Claggett</w:t>
            </w:r>
          </w:p>
        </w:tc>
        <w:tc>
          <w:tcPr>
            <w:tcW w:w="422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Garry J. Hills</w:t>
            </w:r>
          </w:p>
        </w:tc>
        <w:tc>
          <w:tcPr>
            <w:tcW w:w="4220" w:type="dxa"/>
            <w:vAlign w:val="bottom"/>
          </w:tcPr>
          <w:p>
            <w:pPr>
              <w:ind w:left="280"/>
              <w:spacing w:after="0"/>
              <w:rPr>
                <w:sz w:val="20"/>
                <w:szCs w:val="20"/>
                <w:color w:val="auto"/>
              </w:rPr>
            </w:pPr>
            <w:r>
              <w:rPr>
                <w:rFonts w:ascii="Arial" w:cs="Arial" w:eastAsia="Arial" w:hAnsi="Arial"/>
                <w:sz w:val="18"/>
                <w:szCs w:val="18"/>
                <w:color w:val="auto"/>
                <w:w w:val="98"/>
              </w:rPr>
              <w:t>Treasurer and Director (Principal Financial Officer</w:t>
            </w:r>
          </w:p>
        </w:tc>
        <w:tc>
          <w:tcPr>
            <w:tcW w:w="2420" w:type="dxa"/>
            <w:vAlign w:val="bottom"/>
          </w:tcPr>
          <w:p>
            <w:pPr>
              <w:ind w:left="2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4220" w:type="dxa"/>
            <w:vAlign w:val="bottom"/>
            <w:vMerge w:val="restart"/>
          </w:tcPr>
          <w:p>
            <w:pPr>
              <w:ind w:left="280"/>
              <w:spacing w:after="0"/>
              <w:rPr>
                <w:sz w:val="20"/>
                <w:szCs w:val="20"/>
                <w:color w:val="auto"/>
              </w:rPr>
            </w:pPr>
            <w:r>
              <w:rPr>
                <w:rFonts w:ascii="Arial" w:cs="Arial" w:eastAsia="Arial" w:hAnsi="Arial"/>
                <w:sz w:val="18"/>
                <w:szCs w:val="18"/>
                <w:color w:val="auto"/>
              </w:rPr>
              <w:t>and Principal Accounting Officer)</w:t>
            </w: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Garry J. Hills</w:t>
            </w:r>
          </w:p>
        </w:tc>
        <w:tc>
          <w:tcPr>
            <w:tcW w:w="422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 Robert Lucas</w:t>
            </w:r>
          </w:p>
        </w:tc>
        <w:tc>
          <w:tcPr>
            <w:tcW w:w="4220" w:type="dxa"/>
            <w:vAlign w:val="bottom"/>
          </w:tcPr>
          <w:p>
            <w:pPr>
              <w:ind w:left="280"/>
              <w:spacing w:after="0"/>
              <w:rPr>
                <w:sz w:val="20"/>
                <w:szCs w:val="20"/>
                <w:color w:val="auto"/>
              </w:rPr>
            </w:pPr>
            <w:r>
              <w:rPr>
                <w:rFonts w:ascii="Arial" w:cs="Arial" w:eastAsia="Arial" w:hAnsi="Arial"/>
                <w:sz w:val="18"/>
                <w:szCs w:val="18"/>
                <w:color w:val="auto"/>
              </w:rPr>
              <w:t>Vice President and Director</w:t>
            </w:r>
          </w:p>
        </w:tc>
        <w:tc>
          <w:tcPr>
            <w:tcW w:w="2420" w:type="dxa"/>
            <w:vAlign w:val="bottom"/>
          </w:tcPr>
          <w:p>
            <w:pPr>
              <w:ind w:left="2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 Robert Lucas</w:t>
            </w:r>
          </w:p>
        </w:tc>
        <w:tc>
          <w:tcPr>
            <w:tcW w:w="4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James E. Roberts</w:t>
            </w:r>
          </w:p>
        </w:tc>
        <w:tc>
          <w:tcPr>
            <w:tcW w:w="4220" w:type="dxa"/>
            <w:vAlign w:val="bottom"/>
          </w:tcPr>
          <w:p>
            <w:pPr>
              <w:ind w:left="280"/>
              <w:spacing w:after="0"/>
              <w:rPr>
                <w:sz w:val="20"/>
                <w:szCs w:val="20"/>
                <w:color w:val="auto"/>
              </w:rPr>
            </w:pPr>
            <w:r>
              <w:rPr>
                <w:rFonts w:ascii="Arial" w:cs="Arial" w:eastAsia="Arial" w:hAnsi="Arial"/>
                <w:sz w:val="18"/>
                <w:szCs w:val="18"/>
                <w:color w:val="auto"/>
              </w:rPr>
              <w:t>Secretary and Director</w:t>
            </w:r>
          </w:p>
        </w:tc>
        <w:tc>
          <w:tcPr>
            <w:tcW w:w="2420" w:type="dxa"/>
            <w:vAlign w:val="bottom"/>
          </w:tcPr>
          <w:p>
            <w:pPr>
              <w:ind w:left="2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James E. Roberts</w:t>
            </w:r>
          </w:p>
        </w:tc>
        <w:tc>
          <w:tcPr>
            <w:tcW w:w="4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II-19</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Marysville, State of Ohio, on the 11th day of January,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8"/>
          <w:szCs w:val="18"/>
          <w:color w:val="auto"/>
        </w:rPr>
        <w:t>Name:</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67355" cy="13716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32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Each of the undersigned do hereby constitute and appoint James Hagedorn, David C. Evans, and Vincent C. Brockman, and each of them, as his true and lawful attorneys-in-fact and agents, each with full power of substitution and resubstitution, to do any and all acts and things in his name and on his behalf in the capacities indicated below, and to execute any and all instruments for him and in his name in the capacities indicated below, which said attorneys or agents, or any of them, may deem necessary or advisable to enable said corporation to comply with the Securities Act of 1933, as amended, and any rules, regulations and requirements of the Securities and Exchange Commission, in connection with this Registration Statement on Form S-3, including specifically but without limitation, power and authority to sign for him in his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does hereby ratify and confirm all that the said attorneys and agents, or their substitute or substitutes, or any of them, shall do or cause to be done by virtue hereof.</w:t>
      </w:r>
    </w:p>
    <w:p>
      <w:pPr>
        <w:spacing w:after="0" w:line="88"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by the following persons in the capacities and on the dates indicated.</w:t>
      </w:r>
    </w:p>
    <w:p>
      <w:pPr>
        <w:spacing w:after="0" w:line="81" w:lineRule="exact"/>
        <w:rPr>
          <w:sz w:val="20"/>
          <w:szCs w:val="20"/>
          <w:color w:val="auto"/>
        </w:rPr>
      </w:pPr>
    </w:p>
    <w:p>
      <w:pPr>
        <w:ind w:left="2820"/>
        <w:spacing w:after="0"/>
        <w:tabs>
          <w:tab w:leader="none" w:pos="7020" w:val="left"/>
          <w:tab w:leader="none" w:pos="984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15240</wp:posOffset>
            </wp:positionV>
            <wp:extent cx="26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15240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David C. Evans</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718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James Hagedorn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718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SMGM LLC</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Vincent C. Brockman</w:t>
            </w:r>
          </w:p>
        </w:tc>
      </w:tr>
      <w:tr>
        <w:trPr>
          <w:trHeight w:val="202"/>
        </w:trPr>
        <w:tc>
          <w:tcPr>
            <w:tcW w:w="70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Vincent C. Brockman</w:t>
            </w:r>
          </w:p>
        </w:tc>
      </w:tr>
      <w:tr>
        <w:trPr>
          <w:trHeight w:val="230"/>
        </w:trPr>
        <w:tc>
          <w:tcPr>
            <w:tcW w:w="7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President and Secretary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Executive Vice President and Chief Financial</w:t>
      </w:r>
      <w:r>
        <w:rPr>
          <w:sz w:val="20"/>
          <w:szCs w:val="20"/>
          <w:color w:val="auto"/>
        </w:rPr>
        <w:tab/>
      </w:r>
      <w:r>
        <w:rPr>
          <w:rFonts w:ascii="Arial" w:cs="Arial" w:eastAsia="Arial" w:hAnsi="Arial"/>
          <w:sz w:val="16"/>
          <w:szCs w:val="16"/>
          <w:color w:val="auto"/>
        </w:rPr>
        <w:t>January 11, 2010</w:t>
      </w:r>
    </w:p>
    <w:p>
      <w:pPr>
        <w:spacing w:after="0" w:line="23" w:lineRule="exact"/>
        <w:rPr>
          <w:sz w:val="20"/>
          <w:szCs w:val="20"/>
          <w:color w:val="auto"/>
        </w:rPr>
      </w:pPr>
    </w:p>
    <w:p>
      <w:pPr>
        <w:ind w:right="1760"/>
        <w:spacing w:after="0" w:line="261" w:lineRule="auto"/>
        <w:rPr>
          <w:sz w:val="20"/>
          <w:szCs w:val="20"/>
          <w:color w:val="auto"/>
        </w:rPr>
      </w:pPr>
      <w:r>
        <w:rPr>
          <w:rFonts w:ascii="Arial" w:cs="Arial" w:eastAsia="Arial" w:hAnsi="Arial"/>
          <w:sz w:val="18"/>
          <w:szCs w:val="18"/>
          <w:color w:val="auto"/>
        </w:rPr>
        <w:t>Officer (Principal Financial Officer and Principal Accounting Officer)</w:t>
      </w:r>
    </w:p>
    <w:p>
      <w:pPr>
        <w:spacing w:after="0" w:line="184"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Chief Executive Officer (Principal Executive</w:t>
      </w:r>
      <w:r>
        <w:rPr>
          <w:sz w:val="20"/>
          <w:szCs w:val="20"/>
          <w:color w:val="auto"/>
        </w:rPr>
        <w:tab/>
      </w:r>
      <w:r>
        <w:rPr>
          <w:rFonts w:ascii="Arial" w:cs="Arial" w:eastAsia="Arial" w:hAnsi="Arial"/>
          <w:sz w:val="16"/>
          <w:szCs w:val="16"/>
          <w:color w:val="auto"/>
        </w:rPr>
        <w:t>January 11,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spacing w:after="0"/>
        <w:tabs>
          <w:tab w:leader="none" w:pos="3960" w:val="left"/>
        </w:tabs>
        <w:rPr>
          <w:sz w:val="20"/>
          <w:szCs w:val="20"/>
          <w:color w:val="auto"/>
        </w:rPr>
      </w:pPr>
      <w:r>
        <w:rPr>
          <w:rFonts w:ascii="Arial" w:cs="Arial" w:eastAsia="Arial" w:hAnsi="Arial"/>
          <w:sz w:val="16"/>
          <w:szCs w:val="16"/>
          <w:color w:val="auto"/>
        </w:rPr>
        <w:t>Manager</w:t>
      </w:r>
      <w:r>
        <w:rPr>
          <w:sz w:val="20"/>
          <w:szCs w:val="20"/>
          <w:color w:val="auto"/>
        </w:rPr>
        <w:tab/>
      </w:r>
      <w:r>
        <w:rPr>
          <w:rFonts w:ascii="Arial" w:cs="Arial" w:eastAsia="Arial" w:hAnsi="Arial"/>
          <w:sz w:val="16"/>
          <w:szCs w:val="16"/>
          <w:color w:val="auto"/>
        </w:rPr>
        <w:t>January 11, 2010</w:t>
      </w:r>
    </w:p>
    <w:p>
      <w:pPr>
        <w:spacing w:after="0" w:line="1137" w:lineRule="exact"/>
        <w:rPr>
          <w:sz w:val="20"/>
          <w:szCs w:val="20"/>
          <w:color w:val="auto"/>
        </w:rPr>
      </w:pPr>
    </w:p>
    <w:p>
      <w:pPr>
        <w:sectPr>
          <w:pgSz w:w="11900" w:h="16838" w:orient="portrait"/>
          <w:cols w:equalWidth="0" w:num="2">
            <w:col w:w="4980" w:space="300"/>
            <w:col w:w="5300"/>
          </w:cols>
          <w:pgMar w:left="240" w:top="419" w:right="1079" w:bottom="1440" w:gutter="0" w:footer="0" w:header="0"/>
          <w:type w:val="continuous"/>
        </w:sectPr>
      </w:pPr>
    </w:p>
    <w:p>
      <w:pPr>
        <w:spacing w:after="0" w:line="177"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3620" w:type="dxa"/>
            <w:vAlign w:val="bottom"/>
            <w:gridSpan w:val="3"/>
          </w:tcPr>
          <w:p>
            <w:pPr>
              <w:ind w:left="15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61"/>
        </w:trPr>
        <w:tc>
          <w:tcPr>
            <w:tcW w:w="2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900" w:type="dxa"/>
            <w:vAlign w:val="bottom"/>
          </w:tcPr>
          <w:p>
            <w:pPr>
              <w:spacing w:after="0"/>
              <w:rPr>
                <w:sz w:val="22"/>
                <w:szCs w:val="2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5"/>
        </w:trPr>
        <w:tc>
          <w:tcPr>
            <w:tcW w:w="232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29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-8255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related to Debt Securities*</w:t>
      </w:r>
    </w:p>
    <w:p>
      <w:pPr>
        <w:spacing w:after="0" w:line="23"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Form of Underwriting Agreement related to securities other than Debt Securities*</w:t>
      </w:r>
    </w:p>
    <w:p>
      <w:pPr>
        <w:spacing w:after="0" w:line="9" w:lineRule="exact"/>
        <w:rPr>
          <w:sz w:val="20"/>
          <w:szCs w:val="20"/>
          <w:color w:val="auto"/>
        </w:rPr>
      </w:pPr>
    </w:p>
    <w:p>
      <w:pPr>
        <w:ind w:left="1660" w:right="60" w:hanging="575"/>
        <w:spacing w:after="0" w:line="281" w:lineRule="auto"/>
        <w:tabs>
          <w:tab w:leader="none" w:pos="1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the Registrant as filed with the Ohio Secretary of State on November 22, 2004 (Incorporated herein by reference to the Registrant’s Current Report on Form 8-K filed March 24, 2005 (File No. 1-13292) [Exhibit 3.1])</w:t>
      </w:r>
    </w:p>
    <w:p>
      <w:pPr>
        <w:spacing w:after="0" w:line="1" w:lineRule="exact"/>
        <w:rPr>
          <w:sz w:val="20"/>
          <w:szCs w:val="20"/>
          <w:color w:val="auto"/>
        </w:rPr>
      </w:pPr>
    </w:p>
    <w:p>
      <w:pPr>
        <w:jc w:val="both"/>
        <w:ind w:left="1660" w:right="20" w:hanging="575"/>
        <w:spacing w:after="0" w:line="250" w:lineRule="auto"/>
        <w:tabs>
          <w:tab w:leader="none" w:pos="1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by Shareholders to Articles of Incorporation of the Registrant as filed with the Ohio Secretary of State on March 18, 2005 (Incorporated herein by reference to the Registrant’s Current Report on Form 8-K filed March 24, 2005 (File No. 1-13292) [Exhibit 3.2])</w:t>
      </w:r>
    </w:p>
    <w:p>
      <w:pPr>
        <w:spacing w:after="0" w:line="1" w:lineRule="exact"/>
        <w:rPr>
          <w:sz w:val="20"/>
          <w:szCs w:val="20"/>
          <w:color w:val="auto"/>
        </w:rPr>
      </w:pPr>
    </w:p>
    <w:p>
      <w:pPr>
        <w:ind w:left="1660" w:right="260" w:hanging="575"/>
        <w:spacing w:after="0" w:line="250" w:lineRule="auto"/>
        <w:tabs>
          <w:tab w:leader="none" w:pos="1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Code of Regulations of the Registrant (Incorporated herein by reference to the Registrant’s Current Report on Form 8-K filed March 24, 2005 (File No. 1-13292) [Exhibit 3.3])</w:t>
      </w:r>
    </w:p>
    <w:p>
      <w:pPr>
        <w:spacing w:after="0" w:line="1"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Indenture for Senior Debt Securities†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Senior Debt Security*</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Indenture for Subordinated Debt Securities†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Subordinated Debt Security*</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Certificate of Amendment to Amended Articles of Incorporation (describing terms of preferred shares)*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Preferred Share Certificate*</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Warrant Agreement (including Form of Warrant Certificate)*</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Purchase Contract Agreement (for purchase contracts and purchase units)*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Form of Pledge Agreement (for purchase contracts and purchase units)*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Vorys, Sater, Seymour and Pease LLP†</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Katten Muchin Rosenman LLP†</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Vorys, Sater, Seymour and Pease LLP (included in Exhibit 5.1)†</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Katten Muchin Rosenman LLP (included in Exhibit 5.2)†</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(included on the signature pages hereto and to the Registration Statement)</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of Trustee on Form T-1 of Trustee under the Senior Indenture*</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Statement of Eligibility of Trustee on Form T-1 of Trustee under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8147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1" w:lineRule="exact"/>
        <w:rPr>
          <w:sz w:val="20"/>
          <w:szCs w:val="20"/>
          <w:color w:val="auto"/>
        </w:rPr>
      </w:pPr>
    </w:p>
    <w:p>
      <w:pPr>
        <w:ind w:left="1000" w:hanging="30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000" w:hanging="307"/>
        <w:spacing w:after="0" w:line="29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be filed, if necessary, by an amendment to this registration statement, as an exhibit to a report filed under the Securities Exchange Act of 1934 that is incorporated herein by reference or as electronic form type 305B2 pursuant to Section 305(b)(2) of the</w:t>
      </w:r>
    </w:p>
    <w:p>
      <w:pPr>
        <w:ind w:left="1000"/>
        <w:spacing w:after="0"/>
        <w:rPr>
          <w:rFonts w:ascii="Arial" w:cs="Arial" w:eastAsia="Arial" w:hAnsi="Arial"/>
          <w:sz w:val="16"/>
          <w:szCs w:val="16"/>
          <w:color w:val="auto"/>
        </w:rPr>
      </w:pPr>
      <w:r>
        <w:rPr>
          <w:rFonts w:ascii="Arial" w:cs="Arial" w:eastAsia="Arial" w:hAnsi="Arial"/>
          <w:sz w:val="18"/>
          <w:szCs w:val="18"/>
          <w:color w:val="auto"/>
        </w:rPr>
        <w:t>Trust Indenture Act.</w:t>
      </w:r>
    </w:p>
    <w:p>
      <w:pPr>
        <w:spacing w:after="0" w:line="62" w:lineRule="exact"/>
        <w:rPr>
          <w:rFonts w:ascii="Arial" w:cs="Arial" w:eastAsia="Arial" w:hAnsi="Arial"/>
          <w:sz w:val="16"/>
          <w:szCs w:val="16"/>
          <w:color w:val="auto"/>
        </w:rPr>
      </w:pPr>
    </w:p>
    <w:p>
      <w:pPr>
        <w:ind w:left="1000" w:hanging="285"/>
        <w:spacing w:after="0"/>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Previously filed as an exhibit to the registration statement.</w:t>
      </w:r>
    </w:p>
    <w:p>
      <w:pPr>
        <w:sectPr>
          <w:pgSz w:w="11900" w:h="16838" w:orient="portrait"/>
          <w:cols w:equalWidth="0" w:num="1">
            <w:col w:w="10560"/>
          </w:cols>
          <w:pgMar w:left="240" w:top="419" w:right="10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Debt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229235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246380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SCOTTS MIRACLE-GRO COMPANY, as Issuer</w:t>
      </w:r>
    </w:p>
    <w:p>
      <w:pPr>
        <w:spacing w:after="0" w:line="33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33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THE GUARANTORS FROM TIME TO TIME PARTY HERETO</w:t>
      </w:r>
    </w:p>
    <w:p>
      <w:pPr>
        <w:spacing w:after="0" w:line="33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33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U.S.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400685</wp:posOffset>
            </wp:positionV>
            <wp:extent cx="18783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409575</wp:posOffset>
            </wp:positionV>
            <wp:extent cx="18783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Dated as of [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229235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246380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638810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Table of Contents</w:t>
            </w:r>
          </w:p>
        </w:tc>
        <w:tc>
          <w:tcPr>
            <w:tcW w:w="860" w:type="dxa"/>
            <w:vAlign w:val="bottom"/>
          </w:tcPr>
          <w:p>
            <w:pPr>
              <w:spacing w:after="0"/>
              <w:rPr>
                <w:sz w:val="20"/>
                <w:szCs w:val="20"/>
                <w:color w:val="auto"/>
              </w:rPr>
            </w:pPr>
          </w:p>
        </w:tc>
      </w:tr>
      <w:tr>
        <w:trPr>
          <w:trHeight w:val="365"/>
        </w:trPr>
        <w:tc>
          <w:tcPr>
            <w:tcW w:w="12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426"/>
        </w:trPr>
        <w:tc>
          <w:tcPr>
            <w:tcW w:w="1220" w:type="dxa"/>
            <w:vAlign w:val="bottom"/>
          </w:tcPr>
          <w:p>
            <w:pPr>
              <w:spacing w:after="0"/>
              <w:rPr>
                <w:sz w:val="24"/>
                <w:szCs w:val="24"/>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color w:val="auto"/>
                <w:w w:val="96"/>
              </w:rPr>
              <w:t>ARTICLE ONE</w:t>
            </w:r>
          </w:p>
        </w:tc>
        <w:tc>
          <w:tcPr>
            <w:tcW w:w="860" w:type="dxa"/>
            <w:vAlign w:val="bottom"/>
          </w:tcPr>
          <w:p>
            <w:pPr>
              <w:spacing w:after="0"/>
              <w:rPr>
                <w:sz w:val="24"/>
                <w:szCs w:val="24"/>
                <w:color w:val="auto"/>
              </w:rPr>
            </w:pPr>
          </w:p>
        </w:tc>
      </w:tr>
      <w:tr>
        <w:trPr>
          <w:trHeight w:val="418"/>
        </w:trPr>
        <w:tc>
          <w:tcPr>
            <w:tcW w:w="1220" w:type="dxa"/>
            <w:vAlign w:val="bottom"/>
          </w:tcPr>
          <w:p>
            <w:pPr>
              <w:spacing w:after="0"/>
              <w:rPr>
                <w:sz w:val="24"/>
                <w:szCs w:val="24"/>
                <w:color w:val="auto"/>
              </w:rPr>
            </w:pPr>
          </w:p>
        </w:tc>
        <w:tc>
          <w:tcPr>
            <w:tcW w:w="9340" w:type="dxa"/>
            <w:vAlign w:val="bottom"/>
          </w:tcPr>
          <w:p>
            <w:pPr>
              <w:jc w:val="center"/>
              <w:ind w:right="270"/>
              <w:spacing w:after="0"/>
              <w:rPr>
                <w:sz w:val="20"/>
                <w:szCs w:val="20"/>
                <w:color w:val="auto"/>
              </w:rPr>
            </w:pPr>
            <w:r>
              <w:rPr>
                <w:rFonts w:ascii="Arial" w:cs="Arial" w:eastAsia="Arial" w:hAnsi="Arial"/>
                <w:sz w:val="18"/>
                <w:szCs w:val="18"/>
                <w:color w:val="auto"/>
                <w:w w:val="96"/>
              </w:rPr>
              <w:t>DEFINITIONS AND OTHER PROVISIONS</w:t>
            </w:r>
          </w:p>
        </w:tc>
        <w:tc>
          <w:tcPr>
            <w:tcW w:w="86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color w:val="auto"/>
                <w:w w:val="96"/>
              </w:rPr>
              <w:t>OF GENERAL APPLICATION</w:t>
            </w:r>
          </w:p>
        </w:tc>
        <w:tc>
          <w:tcPr>
            <w:tcW w:w="86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Definitions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Compliance Certificates and Opinions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9</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Form of Documents Delivered to Trustee</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9</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1.04.</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Notices, etc., to Trustee and Company</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10</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1.05.</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Notice to Holders; Waiver</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10</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1.06.</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Conflict with Trust Indenture Act</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1.07.</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Effect of Headings and Table of Contents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1.08.</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Successors and Assigns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1.09.</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Separability Clause</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1.10.</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Benefits of Indenture</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1.11.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Governing Law</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1.12.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Legal Holidays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1.13.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No Security Interest Created</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12</w:t>
            </w:r>
          </w:p>
        </w:tc>
      </w:tr>
      <w:tr>
        <w:trPr>
          <w:trHeight w:val="230"/>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1.14.</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Liability Solely Corporate</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12</w:t>
            </w:r>
          </w:p>
        </w:tc>
      </w:tr>
      <w:tr>
        <w:trPr>
          <w:trHeight w:val="648"/>
        </w:trPr>
        <w:tc>
          <w:tcPr>
            <w:tcW w:w="1220" w:type="dxa"/>
            <w:vAlign w:val="bottom"/>
          </w:tcPr>
          <w:p>
            <w:pPr>
              <w:spacing w:after="0"/>
              <w:rPr>
                <w:sz w:val="24"/>
                <w:szCs w:val="24"/>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color w:val="auto"/>
                <w:w w:val="97"/>
              </w:rPr>
              <w:t>ARTICLE TWO</w:t>
            </w:r>
          </w:p>
        </w:tc>
        <w:tc>
          <w:tcPr>
            <w:tcW w:w="8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9340" w:type="dxa"/>
            <w:vAlign w:val="bottom"/>
          </w:tcPr>
          <w:p>
            <w:pPr>
              <w:jc w:val="center"/>
              <w:ind w:right="270"/>
              <w:spacing w:after="0"/>
              <w:rPr>
                <w:sz w:val="20"/>
                <w:szCs w:val="20"/>
                <w:color w:val="auto"/>
              </w:rPr>
            </w:pPr>
            <w:r>
              <w:rPr>
                <w:rFonts w:ascii="Arial" w:cs="Arial" w:eastAsia="Arial" w:hAnsi="Arial"/>
                <w:sz w:val="18"/>
                <w:szCs w:val="18"/>
                <w:color w:val="auto"/>
                <w:w w:val="96"/>
              </w:rPr>
              <w:t>DEBT SECURITY FORMS</w:t>
            </w:r>
          </w:p>
        </w:tc>
        <w:tc>
          <w:tcPr>
            <w:tcW w:w="860" w:type="dxa"/>
            <w:vAlign w:val="bottom"/>
          </w:tcPr>
          <w:p>
            <w:pPr>
              <w:spacing w:after="0"/>
              <w:rPr>
                <w:sz w:val="24"/>
                <w:szCs w:val="24"/>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2.01.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Forms Generally</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12</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2.02.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Form of Trustee’s Certificate of Authentication</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13</w:t>
            </w:r>
          </w:p>
        </w:tc>
      </w:tr>
      <w:tr>
        <w:trPr>
          <w:trHeight w:val="230"/>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2.03.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Securities in Global Form</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13</w:t>
            </w:r>
          </w:p>
        </w:tc>
      </w:tr>
      <w:tr>
        <w:trPr>
          <w:trHeight w:val="648"/>
        </w:trPr>
        <w:tc>
          <w:tcPr>
            <w:tcW w:w="1220" w:type="dxa"/>
            <w:vAlign w:val="bottom"/>
          </w:tcPr>
          <w:p>
            <w:pPr>
              <w:spacing w:after="0"/>
              <w:rPr>
                <w:sz w:val="24"/>
                <w:szCs w:val="24"/>
                <w:color w:val="auto"/>
              </w:rPr>
            </w:pPr>
          </w:p>
        </w:tc>
        <w:tc>
          <w:tcPr>
            <w:tcW w:w="9340" w:type="dxa"/>
            <w:vAlign w:val="bottom"/>
          </w:tcPr>
          <w:p>
            <w:pPr>
              <w:jc w:val="center"/>
              <w:ind w:right="270"/>
              <w:spacing w:after="0"/>
              <w:rPr>
                <w:sz w:val="20"/>
                <w:szCs w:val="20"/>
                <w:color w:val="auto"/>
              </w:rPr>
            </w:pPr>
            <w:r>
              <w:rPr>
                <w:rFonts w:ascii="Arial" w:cs="Arial" w:eastAsia="Arial" w:hAnsi="Arial"/>
                <w:sz w:val="18"/>
                <w:szCs w:val="18"/>
                <w:color w:val="auto"/>
                <w:w w:val="97"/>
              </w:rPr>
              <w:t>ARTICLE THREE</w:t>
            </w:r>
          </w:p>
        </w:tc>
        <w:tc>
          <w:tcPr>
            <w:tcW w:w="8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9340" w:type="dxa"/>
            <w:vAlign w:val="bottom"/>
          </w:tcPr>
          <w:p>
            <w:pPr>
              <w:jc w:val="center"/>
              <w:ind w:right="270"/>
              <w:spacing w:after="0"/>
              <w:rPr>
                <w:sz w:val="20"/>
                <w:szCs w:val="20"/>
                <w:color w:val="auto"/>
              </w:rPr>
            </w:pPr>
            <w:r>
              <w:rPr>
                <w:rFonts w:ascii="Arial" w:cs="Arial" w:eastAsia="Arial" w:hAnsi="Arial"/>
                <w:sz w:val="18"/>
                <w:szCs w:val="18"/>
                <w:color w:val="auto"/>
                <w:w w:val="95"/>
              </w:rPr>
              <w:t>THE DEBT SECURITIES</w:t>
            </w:r>
          </w:p>
        </w:tc>
        <w:tc>
          <w:tcPr>
            <w:tcW w:w="860" w:type="dxa"/>
            <w:vAlign w:val="bottom"/>
          </w:tcPr>
          <w:p>
            <w:pPr>
              <w:spacing w:after="0"/>
              <w:rPr>
                <w:sz w:val="24"/>
                <w:szCs w:val="24"/>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Amount Unlimited; Issuable in Series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Denominations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17</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Execution, Authentication, Delivery and Dating</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17</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3.04.</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Temporary Debt Securities; Global Notes Representing Registered Securities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18</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3.05.</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Registration, Transfer and Exchange</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20</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3.06.</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Mutilated, Destroyed, Lost and Stolen Debt Securities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3.07.</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Payment of Interest; Interest Rights Preserved</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22</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3.08.</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Cancellation</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3.09.</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Computation of Interest</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3.10.</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Currency of Payments in Respect of Debt Securities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3.11.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Judgments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26</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3.12.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Exchange Upon Default</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26</w:t>
            </w:r>
          </w:p>
        </w:tc>
      </w:tr>
      <w:tr>
        <w:trPr>
          <w:trHeight w:val="230"/>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3.13.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CUSIP and ISIN Numbers</w:t>
            </w:r>
          </w:p>
        </w:tc>
        <w:tc>
          <w:tcPr>
            <w:tcW w:w="860" w:type="dxa"/>
            <w:vAlign w:val="bottom"/>
          </w:tcPr>
          <w:p>
            <w:pPr>
              <w:jc w:val="right"/>
              <w:ind w:right="251"/>
              <w:spacing w:after="0"/>
              <w:rPr>
                <w:sz w:val="20"/>
                <w:szCs w:val="20"/>
                <w:color w:val="auto"/>
              </w:rPr>
            </w:pPr>
            <w:r>
              <w:rPr>
                <w:rFonts w:ascii="Arial" w:cs="Arial" w:eastAsia="Arial" w:hAnsi="Arial"/>
                <w:sz w:val="18"/>
                <w:szCs w:val="18"/>
                <w:i w:val="1"/>
                <w:iCs w:val="1"/>
                <w:color w:val="auto"/>
              </w:rPr>
              <w:t>27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26"/>
        </w:trPr>
        <w:tc>
          <w:tcPr>
            <w:tcW w:w="1220" w:type="dxa"/>
            <w:vAlign w:val="bottom"/>
          </w:tcPr>
          <w:p>
            <w:pPr>
              <w:spacing w:after="0"/>
              <w:rPr>
                <w:sz w:val="24"/>
                <w:szCs w:val="24"/>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color w:val="auto"/>
                <w:w w:val="96"/>
              </w:rPr>
              <w:t>ARTICLE FOUR</w:t>
            </w:r>
          </w:p>
        </w:tc>
        <w:tc>
          <w:tcPr>
            <w:tcW w:w="8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color w:val="auto"/>
                <w:w w:val="96"/>
              </w:rPr>
              <w:t>SATISFACTION AND DISCHARGE</w:t>
            </w:r>
          </w:p>
        </w:tc>
        <w:tc>
          <w:tcPr>
            <w:tcW w:w="860" w:type="dxa"/>
            <w:vAlign w:val="bottom"/>
          </w:tcPr>
          <w:p>
            <w:pPr>
              <w:spacing w:after="0"/>
              <w:rPr>
                <w:sz w:val="24"/>
                <w:szCs w:val="24"/>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4.01.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Satisfaction and Discharge of Indenture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27</w:t>
            </w:r>
          </w:p>
        </w:tc>
      </w:tr>
      <w:tr>
        <w:trPr>
          <w:trHeight w:val="230"/>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4.02.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Application of Trust Money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28</w:t>
            </w:r>
          </w:p>
        </w:tc>
      </w:tr>
      <w:tr>
        <w:trPr>
          <w:trHeight w:val="648"/>
        </w:trPr>
        <w:tc>
          <w:tcPr>
            <w:tcW w:w="1220" w:type="dxa"/>
            <w:vAlign w:val="bottom"/>
          </w:tcPr>
          <w:p>
            <w:pPr>
              <w:spacing w:after="0"/>
              <w:rPr>
                <w:sz w:val="24"/>
                <w:szCs w:val="24"/>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color w:val="auto"/>
                <w:w w:val="99"/>
              </w:rPr>
              <w:t>ARTICLE FIVE</w:t>
            </w:r>
          </w:p>
        </w:tc>
        <w:tc>
          <w:tcPr>
            <w:tcW w:w="8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9340" w:type="dxa"/>
            <w:vAlign w:val="bottom"/>
          </w:tcPr>
          <w:p>
            <w:pPr>
              <w:jc w:val="center"/>
              <w:ind w:right="270"/>
              <w:spacing w:after="0"/>
              <w:rPr>
                <w:sz w:val="20"/>
                <w:szCs w:val="20"/>
                <w:color w:val="auto"/>
              </w:rPr>
            </w:pPr>
            <w:r>
              <w:rPr>
                <w:rFonts w:ascii="Arial" w:cs="Arial" w:eastAsia="Arial" w:hAnsi="Arial"/>
                <w:sz w:val="18"/>
                <w:szCs w:val="18"/>
                <w:color w:val="auto"/>
                <w:w w:val="95"/>
              </w:rPr>
              <w:t>REMEDIES</w:t>
            </w:r>
          </w:p>
        </w:tc>
        <w:tc>
          <w:tcPr>
            <w:tcW w:w="860" w:type="dxa"/>
            <w:vAlign w:val="bottom"/>
          </w:tcPr>
          <w:p>
            <w:pPr>
              <w:spacing w:after="0"/>
              <w:rPr>
                <w:sz w:val="24"/>
                <w:szCs w:val="24"/>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Events of Default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28</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Acceleration of Maturity; Rescission and Annulment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30</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Collection of Indebtedness and Suits for Enforcement by Trustee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30</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5.04.</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Trustee May File Proofs of Claim</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31</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5.05.</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Trustee May Enforce Claims Without Possession of Debt Securities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32</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5.06.</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Application of Money Collected</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32</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5.07.</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Limitation on Suits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32</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5.08.</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Unconditional Right of Holders to Receive Principal, Premium and Interest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5.09.</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Restoration of Rights and Remedies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5.10.</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Rights and Remedies Cumulative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5.11.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Delay or Omission Not Waiver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5.12.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Control by Holders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5.13.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Waiver of Past Defaults or Events of Default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5.14.</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Undertaking for Costs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30"/>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5.15.</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Waiver of Stay or Extension Laws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35</w:t>
            </w:r>
          </w:p>
        </w:tc>
      </w:tr>
      <w:tr>
        <w:trPr>
          <w:trHeight w:val="648"/>
        </w:trPr>
        <w:tc>
          <w:tcPr>
            <w:tcW w:w="1220" w:type="dxa"/>
            <w:vAlign w:val="bottom"/>
          </w:tcPr>
          <w:p>
            <w:pPr>
              <w:spacing w:after="0"/>
              <w:rPr>
                <w:sz w:val="24"/>
                <w:szCs w:val="24"/>
                <w:color w:val="auto"/>
              </w:rPr>
            </w:pPr>
          </w:p>
        </w:tc>
        <w:tc>
          <w:tcPr>
            <w:tcW w:w="9340" w:type="dxa"/>
            <w:vAlign w:val="bottom"/>
          </w:tcPr>
          <w:p>
            <w:pPr>
              <w:jc w:val="center"/>
              <w:ind w:right="250"/>
              <w:spacing w:after="0"/>
              <w:rPr>
                <w:sz w:val="20"/>
                <w:szCs w:val="20"/>
                <w:color w:val="auto"/>
              </w:rPr>
            </w:pPr>
            <w:r>
              <w:rPr>
                <w:rFonts w:ascii="Arial" w:cs="Arial" w:eastAsia="Arial" w:hAnsi="Arial"/>
                <w:sz w:val="18"/>
                <w:szCs w:val="18"/>
                <w:color w:val="auto"/>
                <w:w w:val="98"/>
              </w:rPr>
              <w:t>ARTICLE SIX</w:t>
            </w:r>
          </w:p>
        </w:tc>
        <w:tc>
          <w:tcPr>
            <w:tcW w:w="8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9340" w:type="dxa"/>
            <w:vAlign w:val="bottom"/>
          </w:tcPr>
          <w:p>
            <w:pPr>
              <w:jc w:val="center"/>
              <w:ind w:right="270"/>
              <w:spacing w:after="0"/>
              <w:rPr>
                <w:sz w:val="20"/>
                <w:szCs w:val="20"/>
                <w:color w:val="auto"/>
              </w:rPr>
            </w:pPr>
            <w:r>
              <w:rPr>
                <w:rFonts w:ascii="Arial" w:cs="Arial" w:eastAsia="Arial" w:hAnsi="Arial"/>
                <w:sz w:val="18"/>
                <w:szCs w:val="18"/>
                <w:color w:val="auto"/>
                <w:w w:val="94"/>
              </w:rPr>
              <w:t>THE TRUSTEE</w:t>
            </w:r>
          </w:p>
        </w:tc>
        <w:tc>
          <w:tcPr>
            <w:tcW w:w="860" w:type="dxa"/>
            <w:vAlign w:val="bottom"/>
          </w:tcPr>
          <w:p>
            <w:pPr>
              <w:spacing w:after="0"/>
              <w:rPr>
                <w:sz w:val="24"/>
                <w:szCs w:val="24"/>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Certain Duties and Responsibilities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35</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Notice of Defaults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36</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Certain Rights of Trustee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36</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6.04.</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Not Responsible for Recitals or Issuance of Debt Securities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37</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6.05.</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May Hold Debt Securities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6.06.</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Money Held in Trust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6.07.</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Compensation and Reimbursement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6.08.</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Disqualification; Conflicting Interests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6.09.</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Corporate Trustee Required; Eligibility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43</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6.10.</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Resignation and Removal; Appointment of Successor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44</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6.11.</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Acceptance of Appointment by Successor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45</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6.12.</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Merger, Conversion, Consolidation or Succession to Business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46</w:t>
            </w:r>
          </w:p>
        </w:tc>
      </w:tr>
      <w:tr>
        <w:trPr>
          <w:trHeight w:val="216"/>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6.13.</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Preferential Collection of Claims Against Company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46</w:t>
            </w:r>
          </w:p>
        </w:tc>
      </w:tr>
      <w:tr>
        <w:trPr>
          <w:trHeight w:val="230"/>
        </w:trPr>
        <w:tc>
          <w:tcPr>
            <w:tcW w:w="1220" w:type="dxa"/>
            <w:vAlign w:val="bottom"/>
          </w:tcPr>
          <w:p>
            <w:pPr>
              <w:spacing w:after="0"/>
              <w:rPr>
                <w:sz w:val="20"/>
                <w:szCs w:val="20"/>
                <w:color w:val="auto"/>
              </w:rPr>
            </w:pPr>
            <w:r>
              <w:rPr>
                <w:rFonts w:ascii="Arial" w:cs="Arial" w:eastAsia="Arial" w:hAnsi="Arial"/>
                <w:sz w:val="18"/>
                <w:szCs w:val="18"/>
                <w:i w:val="1"/>
                <w:iCs w:val="1"/>
                <w:color w:val="auto"/>
              </w:rPr>
              <w:t>Section 6.14.</w:t>
            </w:r>
          </w:p>
        </w:tc>
        <w:tc>
          <w:tcPr>
            <w:tcW w:w="9340" w:type="dxa"/>
            <w:vAlign w:val="bottom"/>
          </w:tcPr>
          <w:p>
            <w:pPr>
              <w:ind w:left="280"/>
              <w:spacing w:after="0"/>
              <w:rPr>
                <w:sz w:val="20"/>
                <w:szCs w:val="20"/>
                <w:color w:val="auto"/>
              </w:rPr>
            </w:pPr>
            <w:r>
              <w:rPr>
                <w:rFonts w:ascii="Arial" w:cs="Arial" w:eastAsia="Arial" w:hAnsi="Arial"/>
                <w:sz w:val="18"/>
                <w:szCs w:val="18"/>
                <w:i w:val="1"/>
                <w:iCs w:val="1"/>
                <w:color w:val="auto"/>
              </w:rPr>
              <w:t>Appointment of Authenticating Agent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26"/>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7"/>
              </w:rPr>
              <w:t>ARTICLE SEVEN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30"/>
              <w:spacing w:after="0"/>
              <w:rPr>
                <w:sz w:val="20"/>
                <w:szCs w:val="20"/>
                <w:color w:val="auto"/>
              </w:rPr>
            </w:pPr>
            <w:r>
              <w:rPr>
                <w:rFonts w:ascii="Arial" w:cs="Arial" w:eastAsia="Arial" w:hAnsi="Arial"/>
                <w:sz w:val="18"/>
                <w:szCs w:val="18"/>
                <w:color w:val="auto"/>
                <w:w w:val="95"/>
              </w:rPr>
              <w:t>HOLDERS’ LISTS AND REPORTS BY TRUSTEE AND COMPANY</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7.01.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Company to Furnish Trustee Names and Addresses of Holders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7.02.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Preservation of Information; Communication to Holders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7.03.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Reports by Trustee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52</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7.04.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Reports by Company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53</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8"/>
              </w:rPr>
              <w:t>ARTICLE EIGHT</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6"/>
              </w:rPr>
              <w:t>CONCERNING THE HOLDERS</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8.01.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Acts of Holders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54</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8.02.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Proof of Ownership; Proof of Execution of Instruments by Holder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55</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8.03.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Persons Deemed Owners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55</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8.04.</w:t>
            </w:r>
          </w:p>
        </w:tc>
        <w:tc>
          <w:tcPr>
            <w:tcW w:w="9260" w:type="dxa"/>
            <w:vAlign w:val="bottom"/>
          </w:tcPr>
          <w:p>
            <w:pPr>
              <w:ind w:left="280"/>
              <w:spacing w:after="0"/>
              <w:rPr>
                <w:sz w:val="20"/>
                <w:szCs w:val="20"/>
                <w:color w:val="auto"/>
              </w:rPr>
            </w:pPr>
            <w:r>
              <w:rPr>
                <w:rFonts w:ascii="Arial" w:cs="Arial" w:eastAsia="Arial" w:hAnsi="Arial"/>
                <w:sz w:val="18"/>
                <w:szCs w:val="18"/>
                <w:color w:val="auto"/>
              </w:rPr>
              <w:t>Revocation of Consents; Future Holders Bound</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55</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8"/>
              </w:rPr>
              <w:t>ARTICLE NINE</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30"/>
              <w:spacing w:after="0"/>
              <w:rPr>
                <w:sz w:val="20"/>
                <w:szCs w:val="20"/>
                <w:color w:val="auto"/>
              </w:rPr>
            </w:pPr>
            <w:r>
              <w:rPr>
                <w:rFonts w:ascii="Arial" w:cs="Arial" w:eastAsia="Arial" w:hAnsi="Arial"/>
                <w:sz w:val="18"/>
                <w:szCs w:val="18"/>
                <w:color w:val="auto"/>
                <w:w w:val="96"/>
              </w:rPr>
              <w:t>HOLDERS’ MEETINGS</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9.01.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Purposes of Meetings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56</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9.02.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Call of Meetings by Trustee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56</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9.03.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Call of Meetings by Company or Holders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56</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9.04.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Qualifications for Voting</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56</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9.05.</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Regulations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9.06.</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Voting</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9.07.</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No Delay of Rights by Meeting</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7"/>
              </w:rPr>
              <w:t>ARTICLE TEN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5"/>
              </w:rPr>
              <w:t>CONSOLIDATION, MERGER, CONVEYANCE, TRANSFER OR LEASE</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10.01.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Company May Consolidate, etc., Only on Certain Terms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10.02.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Successor Corporation Substituted</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8"/>
              </w:rPr>
              <w:t>ARTICLE ELEVEN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30"/>
              <w:spacing w:after="0"/>
              <w:rPr>
                <w:sz w:val="20"/>
                <w:szCs w:val="20"/>
                <w:color w:val="auto"/>
              </w:rPr>
            </w:pPr>
            <w:r>
              <w:rPr>
                <w:rFonts w:ascii="Arial" w:cs="Arial" w:eastAsia="Arial" w:hAnsi="Arial"/>
                <w:sz w:val="18"/>
                <w:szCs w:val="18"/>
                <w:color w:val="auto"/>
                <w:w w:val="96"/>
              </w:rPr>
              <w:t>SUPPLEMENTAL INDENTURES</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11.01.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59</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11.02.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59</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11.03.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Execution of Supplemental Indentures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11.04.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Effect of Supplemental Indentures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11.05.</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Conformity with Trust Indenture Act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11.06.</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Reference in Debt Securities to Supplemental Indentures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11.07.</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Notice of Supplemental Indenture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26"/>
        </w:trPr>
        <w:tc>
          <w:tcPr>
            <w:tcW w:w="1300" w:type="dxa"/>
            <w:vAlign w:val="bottom"/>
          </w:tcPr>
          <w:p>
            <w:pPr>
              <w:spacing w:after="0"/>
              <w:rPr>
                <w:sz w:val="24"/>
                <w:szCs w:val="24"/>
                <w:color w:val="auto"/>
              </w:rPr>
            </w:pPr>
          </w:p>
        </w:tc>
        <w:tc>
          <w:tcPr>
            <w:tcW w:w="9260" w:type="dxa"/>
            <w:vAlign w:val="bottom"/>
          </w:tcPr>
          <w:p>
            <w:pPr>
              <w:jc w:val="center"/>
              <w:ind w:right="330"/>
              <w:spacing w:after="0"/>
              <w:rPr>
                <w:sz w:val="20"/>
                <w:szCs w:val="20"/>
                <w:color w:val="auto"/>
              </w:rPr>
            </w:pPr>
            <w:r>
              <w:rPr>
                <w:rFonts w:ascii="Arial" w:cs="Arial" w:eastAsia="Arial" w:hAnsi="Arial"/>
                <w:sz w:val="18"/>
                <w:szCs w:val="18"/>
                <w:color w:val="auto"/>
                <w:w w:val="98"/>
              </w:rPr>
              <w:t>ARTICLE TWELVE</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8"/>
              </w:rPr>
              <w:t>COVENANTS</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12.01.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Payment of Principal, Premium and Interest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12.02.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Officer’s Certificate as to Default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12.03.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Maintenance of Office or Agency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12.04.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Money for Debt Securities; Payments To Be Held in Trust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12.05.</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Corporate Existence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63</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12.06.</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Waiver of Certain Covenants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63</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7"/>
              </w:rPr>
              <w:t>ARTICLE THIRTEEN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5"/>
              </w:rPr>
              <w:t>REDEMPTION OF DEBT SECURITIES</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13.01.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Applicability of Article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64</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13.02.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Election to Redeem; Notice to Trustee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64</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13.03.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Selection by Trustee of Debt Securities to Be Redeemed</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64</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13.04.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Notice of Redemption</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65</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13.05.</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Deposit of Redemption Price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65</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13.06.</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Debt Securities Payable on Redemption Date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65</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13.07.</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Debt Securities Redeemed in Part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66</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30"/>
              <w:spacing w:after="0"/>
              <w:rPr>
                <w:sz w:val="20"/>
                <w:szCs w:val="20"/>
                <w:color w:val="auto"/>
              </w:rPr>
            </w:pPr>
            <w:r>
              <w:rPr>
                <w:rFonts w:ascii="Arial" w:cs="Arial" w:eastAsia="Arial" w:hAnsi="Arial"/>
                <w:sz w:val="18"/>
                <w:szCs w:val="18"/>
                <w:color w:val="auto"/>
                <w:w w:val="95"/>
              </w:rPr>
              <w:t>ARTICLE FOURTEEN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7"/>
              </w:rPr>
              <w:t>SINKING FUNDS</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14.01.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Applicability of Article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66</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14.02.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Satisfaction of Mandatory Sinking Fund Payments with Debt Securities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66</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14.03.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Redemption of Debt Securities for Sinking Fund</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67</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30"/>
              <w:spacing w:after="0"/>
              <w:rPr>
                <w:sz w:val="20"/>
                <w:szCs w:val="20"/>
                <w:color w:val="auto"/>
              </w:rPr>
            </w:pPr>
            <w:r>
              <w:rPr>
                <w:rFonts w:ascii="Arial" w:cs="Arial" w:eastAsia="Arial" w:hAnsi="Arial"/>
                <w:sz w:val="18"/>
                <w:szCs w:val="18"/>
                <w:color w:val="auto"/>
                <w:w w:val="97"/>
              </w:rPr>
              <w:t>ARTICLE FIFTEEN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6"/>
              </w:rPr>
              <w:t>DEFEASANCE</w:t>
            </w:r>
          </w:p>
        </w:tc>
        <w:tc>
          <w:tcPr>
            <w:tcW w:w="86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Option to Effect Legal Defeasance or Covenant Defeasance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68</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Legal Defeasance and Discharge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68</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Covenant Defeasance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69</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Conditions to Legal or Covenant Defeasance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69</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15.05.</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Deposited Money and U.S. Government Obligations to Be Held in Trust; Other Miscellaneous Provisions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15.06.</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Repayment to Company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71</w:t>
            </w: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15.07.</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Reinstatement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71</w:t>
            </w: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15.08.</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Survival</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72</w:t>
            </w:r>
          </w:p>
        </w:tc>
      </w:tr>
      <w:tr>
        <w:trPr>
          <w:trHeight w:val="648"/>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w w:val="97"/>
              </w:rPr>
              <w:t>ARTICLE SIXTEEN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jc w:val="center"/>
              <w:ind w:right="330"/>
              <w:spacing w:after="0"/>
              <w:rPr>
                <w:sz w:val="20"/>
                <w:szCs w:val="20"/>
                <w:color w:val="auto"/>
              </w:rPr>
            </w:pPr>
            <w:r>
              <w:rPr>
                <w:rFonts w:ascii="Arial" w:cs="Arial" w:eastAsia="Arial" w:hAnsi="Arial"/>
                <w:sz w:val="18"/>
                <w:szCs w:val="18"/>
                <w:color w:val="auto"/>
                <w:w w:val="95"/>
              </w:rPr>
              <w:t>CONVERSION</w:t>
            </w:r>
          </w:p>
        </w:tc>
        <w:tc>
          <w:tcPr>
            <w:tcW w:w="86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Applicability; Conversion Privilege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72</w:t>
            </w:r>
          </w:p>
        </w:tc>
      </w:tr>
      <w:tr>
        <w:trPr>
          <w:trHeight w:val="405"/>
        </w:trPr>
        <w:tc>
          <w:tcPr>
            <w:tcW w:w="1300" w:type="dxa"/>
            <w:vAlign w:val="bottom"/>
          </w:tcPr>
          <w:p>
            <w:pPr>
              <w:spacing w:after="0"/>
              <w:rPr>
                <w:sz w:val="24"/>
                <w:szCs w:val="24"/>
                <w:color w:val="auto"/>
              </w:rPr>
            </w:pPr>
          </w:p>
        </w:tc>
        <w:tc>
          <w:tcPr>
            <w:tcW w:w="9260" w:type="dxa"/>
            <w:vAlign w:val="bottom"/>
          </w:tcPr>
          <w:p>
            <w:pPr>
              <w:jc w:val="center"/>
              <w:ind w:right="350"/>
              <w:spacing w:after="0"/>
              <w:rPr>
                <w:sz w:val="20"/>
                <w:szCs w:val="20"/>
                <w:color w:val="auto"/>
              </w:rPr>
            </w:pPr>
            <w:r>
              <w:rPr>
                <w:rFonts w:ascii="Arial" w:cs="Arial" w:eastAsia="Arial" w:hAnsi="Arial"/>
                <w:sz w:val="18"/>
                <w:szCs w:val="18"/>
                <w:color w:val="auto"/>
              </w:rPr>
              <w:t>-iv-</w:t>
            </w:r>
          </w:p>
        </w:tc>
        <w:tc>
          <w:tcPr>
            <w:tcW w:w="860" w:type="dxa"/>
            <w:vAlign w:val="bottom"/>
          </w:tcPr>
          <w:p>
            <w:pPr>
              <w:spacing w:after="0"/>
              <w:rPr>
                <w:sz w:val="24"/>
                <w:szCs w:val="24"/>
                <w:color w:val="auto"/>
              </w:rPr>
            </w:pPr>
          </w:p>
        </w:tc>
      </w:tr>
      <w:tr>
        <w:trPr>
          <w:trHeight w:val="226"/>
        </w:trPr>
        <w:tc>
          <w:tcPr>
            <w:tcW w:w="1300" w:type="dxa"/>
            <w:vAlign w:val="bottom"/>
            <w:tcBorders>
              <w:bottom w:val="single" w:sz="8" w:color="808080"/>
            </w:tcBorders>
          </w:tcPr>
          <w:p>
            <w:pPr>
              <w:spacing w:after="0"/>
              <w:rPr>
                <w:sz w:val="19"/>
                <w:szCs w:val="19"/>
                <w:color w:val="auto"/>
              </w:rPr>
            </w:pPr>
          </w:p>
        </w:tc>
        <w:tc>
          <w:tcPr>
            <w:tcW w:w="9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1"/>
        </w:trPr>
        <w:tc>
          <w:tcPr>
            <w:tcW w:w="1300" w:type="dxa"/>
            <w:vAlign w:val="bottom"/>
            <w:vMerge w:val="restart"/>
          </w:tcPr>
          <w:p>
            <w:pPr>
              <w:spacing w:after="0"/>
              <w:rPr>
                <w:sz w:val="20"/>
                <w:szCs w:val="20"/>
                <w:color w:val="auto"/>
              </w:rPr>
            </w:pPr>
            <w:r>
              <w:rPr>
                <w:rFonts w:ascii="Arial" w:cs="Arial" w:eastAsia="Arial" w:hAnsi="Arial"/>
                <w:sz w:val="18"/>
                <w:szCs w:val="18"/>
                <w:i w:val="1"/>
                <w:iCs w:val="1"/>
                <w:color w:val="auto"/>
              </w:rPr>
              <w:t>Section 16.02.</w:t>
            </w:r>
          </w:p>
        </w:tc>
        <w:tc>
          <w:tcPr>
            <w:tcW w:w="9260" w:type="dxa"/>
            <w:vAlign w:val="bottom"/>
            <w:vMerge w:val="restart"/>
          </w:tcPr>
          <w:p>
            <w:pPr>
              <w:ind w:left="280"/>
              <w:spacing w:after="0"/>
              <w:rPr>
                <w:sz w:val="20"/>
                <w:szCs w:val="20"/>
                <w:color w:val="auto"/>
              </w:rPr>
            </w:pPr>
            <w:r>
              <w:rPr>
                <w:rFonts w:ascii="Arial" w:cs="Arial" w:eastAsia="Arial" w:hAnsi="Arial"/>
                <w:sz w:val="18"/>
                <w:szCs w:val="18"/>
                <w:i w:val="1"/>
                <w:iCs w:val="1"/>
                <w:color w:val="auto"/>
              </w:rPr>
              <w:t>Conversion Procedure; Conversion Price; Fractional Shares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300" w:type="dxa"/>
            <w:vAlign w:val="bottom"/>
            <w:vMerge w:val="continue"/>
          </w:tcPr>
          <w:p>
            <w:pPr>
              <w:spacing w:after="0"/>
              <w:rPr>
                <w:sz w:val="16"/>
                <w:szCs w:val="16"/>
                <w:color w:val="auto"/>
              </w:rPr>
            </w:pPr>
          </w:p>
        </w:tc>
        <w:tc>
          <w:tcPr>
            <w:tcW w:w="9260" w:type="dxa"/>
            <w:vAlign w:val="bottom"/>
            <w:vMerge w:val="continue"/>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89"/>
              </w:rPr>
              <w:t>72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Adjustment of Conversion Price for Common Shares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Consolidation or Merger of the Company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16.05.</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Notice of Adjustment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16.06.</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Notice in Certain Events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16.07.</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Company to Reserve Shares; Registration; Listing</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16.08.</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Taxes on Conversion</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16.09.</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Conversion After Record Date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16.10.</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Company Determination Final</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16.11.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Trustee’s Disclaimer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78</w:t>
            </w: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9260" w:type="dxa"/>
            <w:vAlign w:val="bottom"/>
          </w:tcPr>
          <w:p>
            <w:pPr>
              <w:ind w:left="3500"/>
              <w:spacing w:after="0"/>
              <w:rPr>
                <w:sz w:val="20"/>
                <w:szCs w:val="20"/>
                <w:color w:val="auto"/>
              </w:rPr>
            </w:pPr>
            <w:r>
              <w:rPr>
                <w:rFonts w:ascii="Arial" w:cs="Arial" w:eastAsia="Arial" w:hAnsi="Arial"/>
                <w:sz w:val="18"/>
                <w:szCs w:val="18"/>
                <w:color w:val="auto"/>
              </w:rPr>
              <w:t>ARTICLE SEVENTEEN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9260" w:type="dxa"/>
            <w:vAlign w:val="bottom"/>
          </w:tcPr>
          <w:p>
            <w:pPr>
              <w:ind w:left="3860"/>
              <w:spacing w:after="0"/>
              <w:rPr>
                <w:sz w:val="20"/>
                <w:szCs w:val="20"/>
                <w:color w:val="auto"/>
              </w:rPr>
            </w:pPr>
            <w:r>
              <w:rPr>
                <w:rFonts w:ascii="Arial" w:cs="Arial" w:eastAsia="Arial" w:hAnsi="Arial"/>
                <w:sz w:val="18"/>
                <w:szCs w:val="18"/>
                <w:color w:val="auto"/>
              </w:rPr>
              <w:t>GUARANTEE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17.01.</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Unconditional Guarantee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17.02.</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Execution and Delivery of Guarantee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80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17.03.</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Limitation on Guarantors’ Liability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80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17.04.</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Release of Guarantors from Guarantee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80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i w:val="1"/>
                <w:iCs w:val="1"/>
                <w:color w:val="auto"/>
              </w:rPr>
              <w:t>Section 17.05.</w:t>
            </w:r>
          </w:p>
        </w:tc>
        <w:tc>
          <w:tcPr>
            <w:tcW w:w="9260" w:type="dxa"/>
            <w:vAlign w:val="bottom"/>
          </w:tcPr>
          <w:p>
            <w:pPr>
              <w:ind w:left="280"/>
              <w:spacing w:after="0"/>
              <w:rPr>
                <w:sz w:val="20"/>
                <w:szCs w:val="20"/>
                <w:color w:val="auto"/>
              </w:rPr>
            </w:pPr>
            <w:r>
              <w:rPr>
                <w:rFonts w:ascii="Arial" w:cs="Arial" w:eastAsia="Arial" w:hAnsi="Arial"/>
                <w:sz w:val="18"/>
                <w:szCs w:val="18"/>
                <w:i w:val="1"/>
                <w:iCs w:val="1"/>
                <w:color w:val="auto"/>
              </w:rPr>
              <w:t>Guarantor Contribution</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81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100" w:type="dxa"/>
            <w:vAlign w:val="bottom"/>
          </w:tcPr>
          <w:p>
            <w:pPr>
              <w:ind w:left="740"/>
              <w:spacing w:after="0"/>
              <w:rPr>
                <w:sz w:val="20"/>
                <w:szCs w:val="20"/>
                <w:color w:val="auto"/>
              </w:rPr>
            </w:pPr>
            <w:r>
              <w:rPr>
                <w:rFonts w:ascii="Arial" w:cs="Arial" w:eastAsia="Arial" w:hAnsi="Arial"/>
                <w:sz w:val="18"/>
                <w:szCs w:val="18"/>
                <w:color w:val="auto"/>
              </w:rPr>
              <w:t>Reconciliation and tie between Trust Indenture Act of 1939 and Indenture</w:t>
            </w:r>
          </w:p>
        </w:tc>
      </w:tr>
      <w:tr>
        <w:trPr>
          <w:trHeight w:val="365"/>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Trust Indenture Act Section</w:t>
            </w:r>
          </w:p>
        </w:tc>
        <w:tc>
          <w:tcPr>
            <w:tcW w:w="9100" w:type="dxa"/>
            <w:vAlign w:val="bottom"/>
            <w:tcBorders>
              <w:bottom w:val="single" w:sz="8" w:color="auto"/>
            </w:tcBorders>
          </w:tcPr>
          <w:p>
            <w:pPr>
              <w:ind w:left="7720"/>
              <w:spacing w:after="0"/>
              <w:rPr>
                <w:sz w:val="20"/>
                <w:szCs w:val="20"/>
                <w:color w:val="auto"/>
              </w:rPr>
            </w:pPr>
            <w:r>
              <w:rPr>
                <w:rFonts w:ascii="Arial" w:cs="Arial" w:eastAsia="Arial" w:hAnsi="Arial"/>
                <w:sz w:val="14"/>
                <w:szCs w:val="14"/>
                <w:color w:val="auto"/>
              </w:rPr>
              <w:t>Indenture Section</w:t>
            </w: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w w:val="98"/>
              </w:rPr>
              <w:t>Sec. 310</w:t>
            </w:r>
          </w:p>
        </w:tc>
        <w:tc>
          <w:tcPr>
            <w:tcW w:w="1600" w:type="dxa"/>
            <w:vAlign w:val="bottom"/>
          </w:tcPr>
          <w:p>
            <w:pPr>
              <w:ind w:left="80"/>
              <w:spacing w:after="0"/>
              <w:rPr>
                <w:sz w:val="20"/>
                <w:szCs w:val="20"/>
                <w:color w:val="auto"/>
              </w:rPr>
            </w:pPr>
            <w:r>
              <w:rPr>
                <w:rFonts w:ascii="Arial" w:cs="Arial" w:eastAsia="Arial" w:hAnsi="Arial"/>
                <w:sz w:val="18"/>
                <w:szCs w:val="18"/>
                <w:color w:val="auto"/>
              </w:rPr>
              <w:t>(a)(1)</w:t>
            </w:r>
          </w:p>
        </w:tc>
        <w:tc>
          <w:tcPr>
            <w:tcW w:w="9100" w:type="dxa"/>
            <w:vAlign w:val="bottom"/>
          </w:tcPr>
          <w:p>
            <w:pPr>
              <w:ind w:left="7340"/>
              <w:spacing w:after="0"/>
              <w:rPr>
                <w:sz w:val="20"/>
                <w:szCs w:val="20"/>
                <w:color w:val="auto"/>
              </w:rPr>
            </w:pPr>
            <w:r>
              <w:rPr>
                <w:rFonts w:ascii="Arial" w:cs="Arial" w:eastAsia="Arial" w:hAnsi="Arial"/>
                <w:sz w:val="18"/>
                <w:szCs w:val="18"/>
                <w:color w:val="auto"/>
              </w:rPr>
              <w:t>6.09</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(a)(2)</w:t>
            </w:r>
          </w:p>
        </w:tc>
        <w:tc>
          <w:tcPr>
            <w:tcW w:w="9100" w:type="dxa"/>
            <w:vAlign w:val="bottom"/>
          </w:tcPr>
          <w:p>
            <w:pPr>
              <w:ind w:left="7340"/>
              <w:spacing w:after="0"/>
              <w:rPr>
                <w:sz w:val="20"/>
                <w:szCs w:val="20"/>
                <w:color w:val="auto"/>
              </w:rPr>
            </w:pPr>
            <w:r>
              <w:rPr>
                <w:rFonts w:ascii="Arial" w:cs="Arial" w:eastAsia="Arial" w:hAnsi="Arial"/>
                <w:sz w:val="18"/>
                <w:szCs w:val="18"/>
                <w:color w:val="auto"/>
              </w:rPr>
              <w:t>6.09</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(a)(3)</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(a)(4)</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(a)(5)</w:t>
            </w:r>
          </w:p>
        </w:tc>
        <w:tc>
          <w:tcPr>
            <w:tcW w:w="9100" w:type="dxa"/>
            <w:vAlign w:val="bottom"/>
          </w:tcPr>
          <w:p>
            <w:pPr>
              <w:ind w:left="7340"/>
              <w:spacing w:after="0"/>
              <w:rPr>
                <w:sz w:val="20"/>
                <w:szCs w:val="20"/>
                <w:color w:val="auto"/>
              </w:rPr>
            </w:pPr>
            <w:r>
              <w:rPr>
                <w:rFonts w:ascii="Arial" w:cs="Arial" w:eastAsia="Arial" w:hAnsi="Arial"/>
                <w:sz w:val="18"/>
                <w:szCs w:val="18"/>
                <w:color w:val="auto"/>
              </w:rPr>
              <w:t>6.09</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6.08, 6.10</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Sec. 311</w:t>
            </w:r>
          </w:p>
        </w:tc>
        <w:tc>
          <w:tcPr>
            <w:tcW w:w="1600" w:type="dxa"/>
            <w:vAlign w:val="bottom"/>
          </w:tcPr>
          <w:p>
            <w:pPr>
              <w:ind w:left="80"/>
              <w:spacing w:after="0"/>
              <w:rPr>
                <w:sz w:val="20"/>
                <w:szCs w:val="20"/>
                <w:color w:val="auto"/>
              </w:rPr>
            </w:pPr>
            <w:r>
              <w:rPr>
                <w:rFonts w:ascii="Arial" w:cs="Arial" w:eastAsia="Arial" w:hAnsi="Arial"/>
                <w:sz w:val="18"/>
                <w:szCs w:val="18"/>
                <w:color w:val="auto"/>
              </w:rPr>
              <w:t>(a)</w:t>
            </w:r>
          </w:p>
        </w:tc>
        <w:tc>
          <w:tcPr>
            <w:tcW w:w="9100" w:type="dxa"/>
            <w:vAlign w:val="bottom"/>
          </w:tcPr>
          <w:p>
            <w:pPr>
              <w:ind w:left="7340"/>
              <w:spacing w:after="0"/>
              <w:rPr>
                <w:sz w:val="20"/>
                <w:szCs w:val="20"/>
                <w:color w:val="auto"/>
              </w:rPr>
            </w:pPr>
            <w:r>
              <w:rPr>
                <w:rFonts w:ascii="Arial" w:cs="Arial" w:eastAsia="Arial" w:hAnsi="Arial"/>
                <w:sz w:val="18"/>
                <w:szCs w:val="18"/>
                <w:color w:val="auto"/>
              </w:rPr>
              <w:t>6.13(a)</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6.13(b)</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Sec. 312</w:t>
            </w:r>
          </w:p>
        </w:tc>
        <w:tc>
          <w:tcPr>
            <w:tcW w:w="1600" w:type="dxa"/>
            <w:vAlign w:val="bottom"/>
          </w:tcPr>
          <w:p>
            <w:pPr>
              <w:ind w:left="80"/>
              <w:spacing w:after="0"/>
              <w:rPr>
                <w:sz w:val="20"/>
                <w:szCs w:val="20"/>
                <w:color w:val="auto"/>
              </w:rPr>
            </w:pPr>
            <w:r>
              <w:rPr>
                <w:rFonts w:ascii="Arial" w:cs="Arial" w:eastAsia="Arial" w:hAnsi="Arial"/>
                <w:sz w:val="18"/>
                <w:szCs w:val="18"/>
                <w:color w:val="auto"/>
              </w:rPr>
              <w:t>(a)</w:t>
            </w:r>
          </w:p>
        </w:tc>
        <w:tc>
          <w:tcPr>
            <w:tcW w:w="9100" w:type="dxa"/>
            <w:vAlign w:val="bottom"/>
          </w:tcPr>
          <w:p>
            <w:pPr>
              <w:ind w:left="7340"/>
              <w:spacing w:after="0"/>
              <w:rPr>
                <w:sz w:val="20"/>
                <w:szCs w:val="20"/>
                <w:color w:val="auto"/>
              </w:rPr>
            </w:pPr>
            <w:r>
              <w:rPr>
                <w:rFonts w:ascii="Arial" w:cs="Arial" w:eastAsia="Arial" w:hAnsi="Arial"/>
                <w:sz w:val="18"/>
                <w:szCs w:val="18"/>
                <w:color w:val="auto"/>
              </w:rPr>
              <w:t>7.01, 7.02(a)</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7.02(b)</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w:t>
            </w:r>
          </w:p>
        </w:tc>
        <w:tc>
          <w:tcPr>
            <w:tcW w:w="9100" w:type="dxa"/>
            <w:vAlign w:val="bottom"/>
          </w:tcPr>
          <w:p>
            <w:pPr>
              <w:ind w:left="7340"/>
              <w:spacing w:after="0"/>
              <w:rPr>
                <w:sz w:val="20"/>
                <w:szCs w:val="20"/>
                <w:color w:val="auto"/>
              </w:rPr>
            </w:pPr>
            <w:r>
              <w:rPr>
                <w:rFonts w:ascii="Arial" w:cs="Arial" w:eastAsia="Arial" w:hAnsi="Arial"/>
                <w:sz w:val="18"/>
                <w:szCs w:val="18"/>
                <w:color w:val="auto"/>
              </w:rPr>
              <w:t>7.02(c)</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Sec. 313</w:t>
            </w:r>
          </w:p>
        </w:tc>
        <w:tc>
          <w:tcPr>
            <w:tcW w:w="1600" w:type="dxa"/>
            <w:vAlign w:val="bottom"/>
          </w:tcPr>
          <w:p>
            <w:pPr>
              <w:ind w:left="80"/>
              <w:spacing w:after="0"/>
              <w:rPr>
                <w:sz w:val="20"/>
                <w:szCs w:val="20"/>
                <w:color w:val="auto"/>
              </w:rPr>
            </w:pPr>
            <w:r>
              <w:rPr>
                <w:rFonts w:ascii="Arial" w:cs="Arial" w:eastAsia="Arial" w:hAnsi="Arial"/>
                <w:sz w:val="18"/>
                <w:szCs w:val="18"/>
                <w:color w:val="auto"/>
              </w:rPr>
              <w:t>(a)</w:t>
            </w:r>
          </w:p>
        </w:tc>
        <w:tc>
          <w:tcPr>
            <w:tcW w:w="9100" w:type="dxa"/>
            <w:vAlign w:val="bottom"/>
          </w:tcPr>
          <w:p>
            <w:pPr>
              <w:ind w:left="7340"/>
              <w:spacing w:after="0"/>
              <w:rPr>
                <w:sz w:val="20"/>
                <w:szCs w:val="20"/>
                <w:color w:val="auto"/>
              </w:rPr>
            </w:pPr>
            <w:r>
              <w:rPr>
                <w:rFonts w:ascii="Arial" w:cs="Arial" w:eastAsia="Arial" w:hAnsi="Arial"/>
                <w:sz w:val="18"/>
                <w:szCs w:val="18"/>
                <w:color w:val="auto"/>
              </w:rPr>
              <w:t>7.03(a)</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7.03(b)</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w:t>
            </w:r>
          </w:p>
        </w:tc>
        <w:tc>
          <w:tcPr>
            <w:tcW w:w="9100" w:type="dxa"/>
            <w:vAlign w:val="bottom"/>
          </w:tcPr>
          <w:p>
            <w:pPr>
              <w:ind w:left="7340"/>
              <w:spacing w:after="0"/>
              <w:rPr>
                <w:sz w:val="20"/>
                <w:szCs w:val="20"/>
                <w:color w:val="auto"/>
              </w:rPr>
            </w:pPr>
            <w:r>
              <w:rPr>
                <w:rFonts w:ascii="Arial" w:cs="Arial" w:eastAsia="Arial" w:hAnsi="Arial"/>
                <w:sz w:val="18"/>
                <w:szCs w:val="18"/>
                <w:color w:val="auto"/>
              </w:rPr>
              <w:t>7.03(a), 7.03(c)</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(d)</w:t>
            </w:r>
          </w:p>
        </w:tc>
        <w:tc>
          <w:tcPr>
            <w:tcW w:w="9100" w:type="dxa"/>
            <w:vAlign w:val="bottom"/>
          </w:tcPr>
          <w:p>
            <w:pPr>
              <w:ind w:left="7340"/>
              <w:spacing w:after="0"/>
              <w:rPr>
                <w:sz w:val="20"/>
                <w:szCs w:val="20"/>
                <w:color w:val="auto"/>
              </w:rPr>
            </w:pPr>
            <w:r>
              <w:rPr>
                <w:rFonts w:ascii="Arial" w:cs="Arial" w:eastAsia="Arial" w:hAnsi="Arial"/>
                <w:sz w:val="18"/>
                <w:szCs w:val="18"/>
                <w:color w:val="auto"/>
              </w:rPr>
              <w:t>7.03(d)</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Sec. 314</w:t>
            </w:r>
          </w:p>
        </w:tc>
        <w:tc>
          <w:tcPr>
            <w:tcW w:w="1600" w:type="dxa"/>
            <w:vAlign w:val="bottom"/>
          </w:tcPr>
          <w:p>
            <w:pPr>
              <w:ind w:left="80"/>
              <w:spacing w:after="0"/>
              <w:rPr>
                <w:sz w:val="20"/>
                <w:szCs w:val="20"/>
                <w:color w:val="auto"/>
              </w:rPr>
            </w:pPr>
            <w:r>
              <w:rPr>
                <w:rFonts w:ascii="Arial" w:cs="Arial" w:eastAsia="Arial" w:hAnsi="Arial"/>
                <w:sz w:val="18"/>
                <w:szCs w:val="18"/>
                <w:color w:val="auto"/>
              </w:rPr>
              <w:t>(a)</w:t>
            </w:r>
          </w:p>
        </w:tc>
        <w:tc>
          <w:tcPr>
            <w:tcW w:w="9100" w:type="dxa"/>
            <w:vAlign w:val="bottom"/>
          </w:tcPr>
          <w:p>
            <w:pPr>
              <w:ind w:left="7340"/>
              <w:spacing w:after="0"/>
              <w:rPr>
                <w:sz w:val="20"/>
                <w:szCs w:val="20"/>
                <w:color w:val="auto"/>
              </w:rPr>
            </w:pPr>
            <w:r>
              <w:rPr>
                <w:rFonts w:ascii="Arial" w:cs="Arial" w:eastAsia="Arial" w:hAnsi="Arial"/>
                <w:sz w:val="18"/>
                <w:szCs w:val="18"/>
                <w:color w:val="auto"/>
              </w:rPr>
              <w:t>7.04, 12.02</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(c)(1)</w:t>
            </w:r>
          </w:p>
        </w:tc>
        <w:tc>
          <w:tcPr>
            <w:tcW w:w="9100" w:type="dxa"/>
            <w:vAlign w:val="bottom"/>
          </w:tcPr>
          <w:p>
            <w:pPr>
              <w:ind w:left="7340"/>
              <w:spacing w:after="0"/>
              <w:rPr>
                <w:sz w:val="20"/>
                <w:szCs w:val="20"/>
                <w:color w:val="auto"/>
              </w:rPr>
            </w:pPr>
            <w:r>
              <w:rPr>
                <w:rFonts w:ascii="Arial" w:cs="Arial" w:eastAsia="Arial" w:hAnsi="Arial"/>
                <w:sz w:val="18"/>
                <w:szCs w:val="18"/>
                <w:color w:val="auto"/>
              </w:rPr>
              <w:t>1.02</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(c)(2)</w:t>
            </w:r>
          </w:p>
        </w:tc>
        <w:tc>
          <w:tcPr>
            <w:tcW w:w="9100" w:type="dxa"/>
            <w:vAlign w:val="bottom"/>
          </w:tcPr>
          <w:p>
            <w:pPr>
              <w:ind w:left="7340"/>
              <w:spacing w:after="0"/>
              <w:rPr>
                <w:sz w:val="20"/>
                <w:szCs w:val="20"/>
                <w:color w:val="auto"/>
              </w:rPr>
            </w:pPr>
            <w:r>
              <w:rPr>
                <w:rFonts w:ascii="Arial" w:cs="Arial" w:eastAsia="Arial" w:hAnsi="Arial"/>
                <w:sz w:val="18"/>
                <w:szCs w:val="18"/>
                <w:color w:val="auto"/>
              </w:rPr>
              <w:t>1.02</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(c)(3)</w:t>
            </w:r>
          </w:p>
        </w:tc>
        <w:tc>
          <w:tcPr>
            <w:tcW w:w="9100" w:type="dxa"/>
            <w:vAlign w:val="bottom"/>
          </w:tcPr>
          <w:p>
            <w:pPr>
              <w:ind w:left="7340"/>
              <w:spacing w:after="0"/>
              <w:rPr>
                <w:sz w:val="20"/>
                <w:szCs w:val="20"/>
                <w:color w:val="auto"/>
              </w:rPr>
            </w:pPr>
            <w:r>
              <w:rPr>
                <w:rFonts w:ascii="Arial" w:cs="Arial" w:eastAsia="Arial" w:hAnsi="Arial"/>
                <w:sz w:val="18"/>
                <w:szCs w:val="18"/>
                <w:color w:val="auto"/>
              </w:rPr>
              <w:t>15.04(a), 15.05</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(d)</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(e)</w:t>
            </w:r>
          </w:p>
        </w:tc>
        <w:tc>
          <w:tcPr>
            <w:tcW w:w="9100" w:type="dxa"/>
            <w:vAlign w:val="bottom"/>
          </w:tcPr>
          <w:p>
            <w:pPr>
              <w:ind w:left="7340"/>
              <w:spacing w:after="0"/>
              <w:rPr>
                <w:sz w:val="20"/>
                <w:szCs w:val="20"/>
                <w:color w:val="auto"/>
              </w:rPr>
            </w:pPr>
            <w:r>
              <w:rPr>
                <w:rFonts w:ascii="Arial" w:cs="Arial" w:eastAsia="Arial" w:hAnsi="Arial"/>
                <w:sz w:val="18"/>
                <w:szCs w:val="18"/>
                <w:color w:val="auto"/>
              </w:rPr>
              <w:t>1.02</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Sec. 315</w:t>
            </w:r>
          </w:p>
        </w:tc>
        <w:tc>
          <w:tcPr>
            <w:tcW w:w="1600" w:type="dxa"/>
            <w:vAlign w:val="bottom"/>
          </w:tcPr>
          <w:p>
            <w:pPr>
              <w:ind w:left="80"/>
              <w:spacing w:after="0"/>
              <w:rPr>
                <w:sz w:val="20"/>
                <w:szCs w:val="20"/>
                <w:color w:val="auto"/>
              </w:rPr>
            </w:pPr>
            <w:r>
              <w:rPr>
                <w:rFonts w:ascii="Arial" w:cs="Arial" w:eastAsia="Arial" w:hAnsi="Arial"/>
                <w:sz w:val="18"/>
                <w:szCs w:val="18"/>
                <w:color w:val="auto"/>
              </w:rPr>
              <w:t>(a)</w:t>
            </w:r>
          </w:p>
        </w:tc>
        <w:tc>
          <w:tcPr>
            <w:tcW w:w="9100" w:type="dxa"/>
            <w:vAlign w:val="bottom"/>
          </w:tcPr>
          <w:p>
            <w:pPr>
              <w:ind w:left="7340"/>
              <w:spacing w:after="0"/>
              <w:rPr>
                <w:sz w:val="20"/>
                <w:szCs w:val="20"/>
                <w:color w:val="auto"/>
              </w:rPr>
            </w:pPr>
            <w:r>
              <w:rPr>
                <w:rFonts w:ascii="Arial" w:cs="Arial" w:eastAsia="Arial" w:hAnsi="Arial"/>
                <w:sz w:val="18"/>
                <w:szCs w:val="18"/>
                <w:color w:val="auto"/>
              </w:rPr>
              <w:t>6.01(a), 6.01(c)</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6.02, 7.03(a)(7)</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w:t>
            </w:r>
          </w:p>
        </w:tc>
        <w:tc>
          <w:tcPr>
            <w:tcW w:w="9100" w:type="dxa"/>
            <w:vAlign w:val="bottom"/>
          </w:tcPr>
          <w:p>
            <w:pPr>
              <w:ind w:left="7340"/>
              <w:spacing w:after="0"/>
              <w:rPr>
                <w:sz w:val="20"/>
                <w:szCs w:val="20"/>
                <w:color w:val="auto"/>
              </w:rPr>
            </w:pPr>
            <w:r>
              <w:rPr>
                <w:rFonts w:ascii="Arial" w:cs="Arial" w:eastAsia="Arial" w:hAnsi="Arial"/>
                <w:sz w:val="18"/>
                <w:szCs w:val="18"/>
                <w:color w:val="auto"/>
              </w:rPr>
              <w:t>6.01(b)</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(d)(1)</w:t>
            </w:r>
          </w:p>
        </w:tc>
        <w:tc>
          <w:tcPr>
            <w:tcW w:w="9100" w:type="dxa"/>
            <w:vAlign w:val="bottom"/>
          </w:tcPr>
          <w:p>
            <w:pPr>
              <w:ind w:left="7340"/>
              <w:spacing w:after="0"/>
              <w:rPr>
                <w:sz w:val="20"/>
                <w:szCs w:val="20"/>
                <w:color w:val="auto"/>
              </w:rPr>
            </w:pPr>
            <w:r>
              <w:rPr>
                <w:rFonts w:ascii="Arial" w:cs="Arial" w:eastAsia="Arial" w:hAnsi="Arial"/>
                <w:sz w:val="18"/>
                <w:szCs w:val="18"/>
                <w:color w:val="auto"/>
              </w:rPr>
              <w:t>6.01(a)</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(d)(2)</w:t>
            </w:r>
          </w:p>
        </w:tc>
        <w:tc>
          <w:tcPr>
            <w:tcW w:w="9100" w:type="dxa"/>
            <w:vAlign w:val="bottom"/>
          </w:tcPr>
          <w:p>
            <w:pPr>
              <w:ind w:left="7340"/>
              <w:spacing w:after="0"/>
              <w:rPr>
                <w:sz w:val="20"/>
                <w:szCs w:val="20"/>
                <w:color w:val="auto"/>
              </w:rPr>
            </w:pPr>
            <w:r>
              <w:rPr>
                <w:rFonts w:ascii="Arial" w:cs="Arial" w:eastAsia="Arial" w:hAnsi="Arial"/>
                <w:sz w:val="18"/>
                <w:szCs w:val="18"/>
                <w:color w:val="auto"/>
              </w:rPr>
              <w:t>6.01(c)(2)</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(d)(3)</w:t>
            </w:r>
          </w:p>
        </w:tc>
        <w:tc>
          <w:tcPr>
            <w:tcW w:w="9100" w:type="dxa"/>
            <w:vAlign w:val="bottom"/>
          </w:tcPr>
          <w:p>
            <w:pPr>
              <w:ind w:left="7340"/>
              <w:spacing w:after="0"/>
              <w:rPr>
                <w:sz w:val="20"/>
                <w:szCs w:val="20"/>
                <w:color w:val="auto"/>
              </w:rPr>
            </w:pPr>
            <w:r>
              <w:rPr>
                <w:rFonts w:ascii="Arial" w:cs="Arial" w:eastAsia="Arial" w:hAnsi="Arial"/>
                <w:sz w:val="18"/>
                <w:szCs w:val="18"/>
                <w:color w:val="auto"/>
              </w:rPr>
              <w:t>6.01(c)(3)</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(e)</w:t>
            </w:r>
          </w:p>
        </w:tc>
        <w:tc>
          <w:tcPr>
            <w:tcW w:w="9100" w:type="dxa"/>
            <w:vAlign w:val="bottom"/>
          </w:tcPr>
          <w:p>
            <w:pPr>
              <w:ind w:left="7340"/>
              <w:spacing w:after="0"/>
              <w:rPr>
                <w:sz w:val="20"/>
                <w:szCs w:val="20"/>
                <w:color w:val="auto"/>
              </w:rPr>
            </w:pPr>
            <w:r>
              <w:rPr>
                <w:rFonts w:ascii="Arial" w:cs="Arial" w:eastAsia="Arial" w:hAnsi="Arial"/>
                <w:sz w:val="18"/>
                <w:szCs w:val="18"/>
                <w:color w:val="auto"/>
              </w:rPr>
              <w:t>5.14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Sec. 316</w:t>
            </w:r>
          </w:p>
        </w:tc>
        <w:tc>
          <w:tcPr>
            <w:tcW w:w="1600" w:type="dxa"/>
            <w:vAlign w:val="bottom"/>
          </w:tcPr>
          <w:p>
            <w:pPr>
              <w:ind w:left="80"/>
              <w:spacing w:after="0"/>
              <w:rPr>
                <w:sz w:val="20"/>
                <w:szCs w:val="20"/>
                <w:color w:val="auto"/>
              </w:rPr>
            </w:pPr>
            <w:r>
              <w:rPr>
                <w:rFonts w:ascii="Arial" w:cs="Arial" w:eastAsia="Arial" w:hAnsi="Arial"/>
                <w:sz w:val="18"/>
                <w:szCs w:val="18"/>
                <w:color w:val="auto"/>
              </w:rPr>
              <w:t>(a)(1)(A)</w:t>
            </w:r>
          </w:p>
        </w:tc>
        <w:tc>
          <w:tcPr>
            <w:tcW w:w="9100" w:type="dxa"/>
            <w:vAlign w:val="bottom"/>
          </w:tcPr>
          <w:p>
            <w:pPr>
              <w:ind w:left="7340"/>
              <w:spacing w:after="0"/>
              <w:rPr>
                <w:sz w:val="20"/>
                <w:szCs w:val="20"/>
                <w:color w:val="auto"/>
              </w:rPr>
            </w:pPr>
            <w:r>
              <w:rPr>
                <w:rFonts w:ascii="Arial" w:cs="Arial" w:eastAsia="Arial" w:hAnsi="Arial"/>
                <w:sz w:val="18"/>
                <w:szCs w:val="18"/>
                <w:color w:val="auto"/>
              </w:rPr>
              <w:t>5.02, 5.12</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(a)(1)(B)</w:t>
            </w:r>
          </w:p>
        </w:tc>
        <w:tc>
          <w:tcPr>
            <w:tcW w:w="9100" w:type="dxa"/>
            <w:vAlign w:val="bottom"/>
          </w:tcPr>
          <w:p>
            <w:pPr>
              <w:ind w:left="7340"/>
              <w:spacing w:after="0"/>
              <w:rPr>
                <w:sz w:val="20"/>
                <w:szCs w:val="20"/>
                <w:color w:val="auto"/>
              </w:rPr>
            </w:pPr>
            <w:r>
              <w:rPr>
                <w:rFonts w:ascii="Arial" w:cs="Arial" w:eastAsia="Arial" w:hAnsi="Arial"/>
                <w:sz w:val="18"/>
                <w:szCs w:val="18"/>
                <w:color w:val="auto"/>
              </w:rPr>
              <w:t>5.13</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(a)(2)</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5.08</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(c)</w:t>
            </w:r>
          </w:p>
        </w:tc>
        <w:tc>
          <w:tcPr>
            <w:tcW w:w="9100" w:type="dxa"/>
            <w:vAlign w:val="bottom"/>
          </w:tcPr>
          <w:p>
            <w:pPr>
              <w:ind w:left="7340"/>
              <w:spacing w:after="0"/>
              <w:rPr>
                <w:sz w:val="20"/>
                <w:szCs w:val="20"/>
                <w:color w:val="auto"/>
              </w:rPr>
            </w:pPr>
            <w:r>
              <w:rPr>
                <w:rFonts w:ascii="Arial" w:cs="Arial" w:eastAsia="Arial" w:hAnsi="Arial"/>
                <w:sz w:val="18"/>
                <w:szCs w:val="18"/>
                <w:color w:val="auto"/>
              </w:rPr>
              <w:t>Not Applicable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Sec. 317</w:t>
            </w:r>
          </w:p>
        </w:tc>
        <w:tc>
          <w:tcPr>
            <w:tcW w:w="1600" w:type="dxa"/>
            <w:vAlign w:val="bottom"/>
          </w:tcPr>
          <w:p>
            <w:pPr>
              <w:ind w:left="80"/>
              <w:spacing w:after="0"/>
              <w:rPr>
                <w:sz w:val="20"/>
                <w:szCs w:val="20"/>
                <w:color w:val="auto"/>
              </w:rPr>
            </w:pPr>
            <w:r>
              <w:rPr>
                <w:rFonts w:ascii="Arial" w:cs="Arial" w:eastAsia="Arial" w:hAnsi="Arial"/>
                <w:sz w:val="18"/>
                <w:szCs w:val="18"/>
                <w:color w:val="auto"/>
              </w:rPr>
              <w:t>(a)(1)</w:t>
            </w:r>
          </w:p>
        </w:tc>
        <w:tc>
          <w:tcPr>
            <w:tcW w:w="9100" w:type="dxa"/>
            <w:vAlign w:val="bottom"/>
          </w:tcPr>
          <w:p>
            <w:pPr>
              <w:ind w:left="7340"/>
              <w:spacing w:after="0"/>
              <w:rPr>
                <w:sz w:val="20"/>
                <w:szCs w:val="20"/>
                <w:color w:val="auto"/>
              </w:rPr>
            </w:pPr>
            <w:r>
              <w:rPr>
                <w:rFonts w:ascii="Arial" w:cs="Arial" w:eastAsia="Arial" w:hAnsi="Arial"/>
                <w:sz w:val="18"/>
                <w:szCs w:val="18"/>
                <w:color w:val="auto"/>
              </w:rPr>
              <w:t>5.03</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(a)(2)</w:t>
            </w:r>
          </w:p>
        </w:tc>
        <w:tc>
          <w:tcPr>
            <w:tcW w:w="9100" w:type="dxa"/>
            <w:vAlign w:val="bottom"/>
          </w:tcPr>
          <w:p>
            <w:pPr>
              <w:ind w:left="7340"/>
              <w:spacing w:after="0"/>
              <w:rPr>
                <w:sz w:val="20"/>
                <w:szCs w:val="20"/>
                <w:color w:val="auto"/>
              </w:rPr>
            </w:pPr>
            <w:r>
              <w:rPr>
                <w:rFonts w:ascii="Arial" w:cs="Arial" w:eastAsia="Arial" w:hAnsi="Arial"/>
                <w:sz w:val="18"/>
                <w:szCs w:val="18"/>
                <w:color w:val="auto"/>
              </w:rPr>
              <w:t>5.04</w:t>
            </w:r>
          </w:p>
        </w:tc>
      </w:tr>
      <w:tr>
        <w:trPr>
          <w:trHeight w:val="216"/>
        </w:trPr>
        <w:tc>
          <w:tcPr>
            <w:tcW w:w="7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w:t>
            </w:r>
          </w:p>
        </w:tc>
        <w:tc>
          <w:tcPr>
            <w:tcW w:w="9100" w:type="dxa"/>
            <w:vAlign w:val="bottom"/>
          </w:tcPr>
          <w:p>
            <w:pPr>
              <w:ind w:left="7340"/>
              <w:spacing w:after="0"/>
              <w:rPr>
                <w:sz w:val="20"/>
                <w:szCs w:val="20"/>
                <w:color w:val="auto"/>
              </w:rPr>
            </w:pPr>
            <w:r>
              <w:rPr>
                <w:rFonts w:ascii="Arial" w:cs="Arial" w:eastAsia="Arial" w:hAnsi="Arial"/>
                <w:sz w:val="18"/>
                <w:szCs w:val="18"/>
                <w:color w:val="auto"/>
              </w:rPr>
              <w:t>12.04</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8"/>
              </w:rPr>
              <w:t>Sec. 318</w:t>
            </w:r>
          </w:p>
        </w:tc>
        <w:tc>
          <w:tcPr>
            <w:tcW w:w="1600" w:type="dxa"/>
            <w:vAlign w:val="bottom"/>
          </w:tcPr>
          <w:p>
            <w:pPr>
              <w:spacing w:after="0"/>
              <w:rPr>
                <w:sz w:val="20"/>
                <w:szCs w:val="20"/>
                <w:color w:val="auto"/>
              </w:rPr>
            </w:pPr>
          </w:p>
        </w:tc>
        <w:tc>
          <w:tcPr>
            <w:tcW w:w="9100" w:type="dxa"/>
            <w:vAlign w:val="bottom"/>
          </w:tcPr>
          <w:p>
            <w:pPr>
              <w:ind w:left="7340"/>
              <w:spacing w:after="0"/>
              <w:rPr>
                <w:sz w:val="20"/>
                <w:szCs w:val="20"/>
                <w:color w:val="auto"/>
              </w:rPr>
            </w:pPr>
            <w:r>
              <w:rPr>
                <w:rFonts w:ascii="Arial" w:cs="Arial" w:eastAsia="Arial" w:hAnsi="Arial"/>
                <w:sz w:val="18"/>
                <w:szCs w:val="18"/>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4" w:name="page55"/>
    <w:bookmarkEnd w:id="54"/>
    <w:p>
      <w:pPr>
        <w:ind w:right="60" w:firstLine="225"/>
        <w:spacing w:after="0" w:line="259" w:lineRule="auto"/>
        <w:rPr>
          <w:sz w:val="20"/>
          <w:szCs w:val="20"/>
          <w:color w:val="auto"/>
        </w:rPr>
      </w:pPr>
      <w:r>
        <w:rPr>
          <w:rFonts w:ascii="Arial" w:cs="Arial" w:eastAsia="Arial" w:hAnsi="Arial"/>
          <w:sz w:val="18"/>
          <w:szCs w:val="18"/>
          <w:color w:val="auto"/>
        </w:rPr>
        <w:t>INDENTURE dated as of [ ], 2010, among THE SCOTTS MIRACLE-GRO COMPANY, an Ohio corporation (hereinafter called the “Company”), having its principal executive office at 14111 Scottslawn Road, Marysville, Ohio 43041, each of the Guarantors from time to time party hereto in respect of a particular series of Debt Securities (as defined below) and U.S. BANK NATIONAL ASSOCIATION (hereinafter called the “Trustee”), having its Corporate Trust Office at 10 West Broad Street, 12th Floor, Columbus, Ohio 43215.</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 OF THE COMPANY</w:t>
      </w:r>
    </w:p>
    <w:p>
      <w:pPr>
        <w:spacing w:after="0" w:line="117"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debentures, notes, bonds or other evidences of indebtedness (herein generally called the “Debt Securities”), to be issued in one or more series, as in this Indenture provided.</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things necessary have been done to make this Indenture a valid agreement of the Company, in accordance with its terms.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For and in consideration of the premises and the purchase of Debt Securities by the Holders thereof, it is mutually covenanted and agreed, for the equal and proportionate benefit of all Holders of Debt Securities or of Debt Securities of any series, as follows:</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ONE</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DEFINITIONS AND OTHER PROVISIONS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GENERAL APPLICATION</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720" w:hanging="25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240" w:right="60" w:firstLine="221"/>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ind w:left="240" w:right="80" w:firstLine="221"/>
        <w:spacing w:after="0" w:line="272"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accounting terms not otherwise defined herein have the meanings assigned to them in accordance with generally accepted accounting principles or as provided with respect to any series of Debt Securities, and, except as otherwise herein provided or as provided with respect to any series of Debt Securities, the term “generally accepted accounting principles” or “GAAP” with respect to any computation required or permitted hereunder with respect to any series of Debt Securities, shall mean such as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of the United States which are in effect as of the issuance date of such series of Debt Securities; and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5" w:name="page56"/>
    <w:bookmarkEnd w:id="55"/>
    <w:p>
      <w:pPr>
        <w:ind w:left="240" w:right="120" w:firstLine="221"/>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terms, used principally in Article Three or Article Six, are defined in those respective Articles.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 when used with respect to any Holder, has the meaning specified in Section 8.01.</w:t>
      </w:r>
    </w:p>
    <w:p>
      <w:pPr>
        <w:spacing w:after="0" w:line="117" w:lineRule="exact"/>
        <w:rPr>
          <w:sz w:val="20"/>
          <w:szCs w:val="20"/>
          <w:color w:val="auto"/>
        </w:rPr>
      </w:pPr>
    </w:p>
    <w:p>
      <w:pPr>
        <w:jc w:val="both"/>
        <w:ind w:right="120" w:firstLine="225"/>
        <w:spacing w:after="0" w:line="30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the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the purposes of this definition, the terms “controlling,” “controlled by,” and “under common control with” shall have correlative meanings.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“Authenticating Agent” has the meaning specified in Section 6.14.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of Directors” means, as to any Person, the board of directors of such Person or any duly authorized committee thereof.</w:t>
      </w:r>
    </w:p>
    <w:p>
      <w:pPr>
        <w:spacing w:after="0" w:line="117" w:lineRule="exact"/>
        <w:rPr>
          <w:sz w:val="20"/>
          <w:szCs w:val="20"/>
          <w:color w:val="auto"/>
        </w:rPr>
      </w:pPr>
    </w:p>
    <w:p>
      <w:pPr>
        <w:jc w:val="both"/>
        <w:ind w:right="240" w:firstLine="225"/>
        <w:spacing w:after="0" w:line="342" w:lineRule="auto"/>
        <w:rPr>
          <w:sz w:val="20"/>
          <w:szCs w:val="20"/>
          <w:color w:val="auto"/>
        </w:rPr>
      </w:pPr>
      <w:r>
        <w:rPr>
          <w:rFonts w:ascii="Arial" w:cs="Arial" w:eastAsia="Arial" w:hAnsi="Arial"/>
          <w:sz w:val="16"/>
          <w:szCs w:val="16"/>
          <w:color w:val="auto"/>
        </w:rPr>
        <w:t>“Board Resolution”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spacing w:after="0" w:line="1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“Business Day” means a day other than a Saturday, Sunday or other day on which banking institutions in New York are authorized or required by law to close.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“Capital Stock” means:</w:t>
      </w:r>
    </w:p>
    <w:p>
      <w:pPr>
        <w:spacing w:after="0" w:line="117" w:lineRule="exact"/>
        <w:rPr>
          <w:sz w:val="20"/>
          <w:szCs w:val="20"/>
          <w:color w:val="auto"/>
        </w:rPr>
      </w:pPr>
    </w:p>
    <w:p>
      <w:pPr>
        <w:ind w:left="720" w:hanging="25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240" w:right="500" w:firstLine="221"/>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17" w:lineRule="exact"/>
        <w:rPr>
          <w:rFonts w:ascii="Arial" w:cs="Arial" w:eastAsia="Arial" w:hAnsi="Arial"/>
          <w:sz w:val="18"/>
          <w:szCs w:val="18"/>
          <w:color w:val="auto"/>
        </w:rPr>
      </w:pPr>
    </w:p>
    <w:p>
      <w:pPr>
        <w:ind w:left="240" w:right="80" w:firstLine="221"/>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“Closing Price” of the Common Shares shall mean the last reported sale price of such shares (regular way) as shown on the Composite Tape of the New York Stock Exchange (or, if such shares are not listed or admitted to trading on the New York Stock Exchange, on the principal national securities exchange on which such shares are listed or admitted to trading), or, in case no such sale takes place on such day, the average of the closing bid and asked prices on the New York Stock Exchange (or, if such shares are not listed or admitted to trading on the New York Stock Exchange, on the principal national securities exchange on which such shares are listed or admitted to trading), or, if it is not listed or admitted to trading on any national securities exchange, the average of the closing bid and asked prices as reported by The NASDAQ Stock Market, or if such shares are not so reported, the average of the closing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right="320"/>
        <w:spacing w:after="0" w:line="277" w:lineRule="auto"/>
        <w:rPr>
          <w:sz w:val="20"/>
          <w:szCs w:val="20"/>
          <w:color w:val="auto"/>
        </w:rPr>
      </w:pPr>
      <w:r>
        <w:rPr>
          <w:rFonts w:ascii="Arial" w:cs="Arial" w:eastAsia="Arial" w:hAnsi="Arial"/>
          <w:sz w:val="18"/>
          <w:szCs w:val="18"/>
          <w:color w:val="auto"/>
        </w:rPr>
        <w:t>bid and asked prices as furnished by any member of the Financial Industry Regulatory Authority, Inc., selected from time to time by the Company for that purpose.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“Code” means the Internal Revenue Code of 1986, as amended.</w:t>
      </w:r>
    </w:p>
    <w:p>
      <w:pPr>
        <w:spacing w:after="0" w:line="117"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on such date.</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“Common Shares” shall mean the Common Shares, without par value, of the Company authorized at the date of this Indenture as originally signed, or any other class of stock resulting from successive changes or reclassifications of such Common Shares, and in any such case including any shares thereof authorized after the date of this Indenture.</w:t>
      </w:r>
    </w:p>
    <w:p>
      <w:pPr>
        <w:spacing w:after="0" w:line="7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62"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“Company Request” and “Company Order” mean, respectively, a written request or order signed in the name of the Company by the Chairman of the Board, Chief Executive Officer, the President, the Chief Financial Officer or a Vice President and by the Treasurer, an Assistant Treasurer, the Controller, an Assistant Controller, the Secretary or an Assistant Secretary of the Company, and delivered to the Trustee.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“Component Currency” has the meaning specified in Section 3.10(h).</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“Conversion Agent” means any Person authorized by the Company to receive Debt Securities to be converted into Common Shares on behalf of the Company. The Company initially authorizes the Trustee to act as Conversion Agent for the Debt Securities on its behalf. The Company may at any time from time to time authorize one or more Persons to act as Conversion Agent in addition to or in place of the Trustee with respect to any series of Debt Securities issued under this Indenture.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“Conversion Date” has the meaning specified in Section 3.10(d).</w:t>
      </w:r>
    </w:p>
    <w:p>
      <w:pPr>
        <w:spacing w:after="0" w:line="11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“Conversion Event” means the cessation of (i) a Foreign Currency to be used both by the government of the country which issued such Currency and for the settlement of transactions by public institutions of or within the international banking community or (ii) any Currency unit to be used for the purposes for which it was established.</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“Conversion Price” means, with respect to any series of Debt Securities which are convertible into Common Shares, the price per share of Common Shares at which the Debt Securities of such series are so convertible pursuant to Section 3.01 with respect to such series, as the same may be adjusted from time to time in accordance with Section 16.03.</w:t>
      </w:r>
    </w:p>
    <w:p>
      <w:pPr>
        <w:spacing w:after="0" w:line="7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“Corporate Trust Office” means the principal corporate trust office of the Trustee at which at any particular time its corporate trust business shall be administered, which office at the date of execution of this instrument is located at U.S. Bank National Association, Attention: Corporate Trust Services, 10 West Broad Street, 12th Floor, Columbus, Ohio 43215.</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“Currency” means Dollars or Foreign Currency.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jc w:val="both"/>
        <w:ind w:right="60" w:firstLine="225"/>
        <w:spacing w:after="0" w:line="259" w:lineRule="auto"/>
        <w:rPr>
          <w:sz w:val="20"/>
          <w:szCs w:val="20"/>
          <w:color w:val="auto"/>
        </w:rPr>
      </w:pPr>
      <w:r>
        <w:rPr>
          <w:rFonts w:ascii="Arial" w:cs="Arial" w:eastAsia="Arial" w:hAnsi="Arial"/>
          <w:sz w:val="18"/>
          <w:szCs w:val="18"/>
          <w:color w:val="auto"/>
        </w:rPr>
        <w:t xml:space="preserve">“Currency Determination Agent” means the agent, if any, from time to time selected by the Trustee for purposes of Section 3.10;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agent shall accept such appointment in writing and the terms of such appointment shall be acceptable to the Company and shall, in the opinion of the Company and the Trustee at the time of such appointment, require such agent to make the determinations required by this Indenture by a method consistent with the method provided in this Indenture for the making of such decision or determination.</w:t>
      </w:r>
    </w:p>
    <w:p>
      <w:pPr>
        <w:spacing w:after="0" w:line="7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“Current Market Price” on any date shall mean the average of the daily Closing Prices per share of Common Shares for any thirty (30) consecutive Trading Days selected by the Company prior to the date in question, which thirty (30) consecutive Trading Day period shall not commence more than forty-five</w:t>
      </w:r>
    </w:p>
    <w:p>
      <w:pPr>
        <w:jc w:val="both"/>
        <w:ind w:right="140" w:firstLine="8"/>
        <w:spacing w:after="0" w:line="277" w:lineRule="auto"/>
        <w:tabs>
          <w:tab w:leader="none" w:pos="342"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Trading Days prior to the day in question;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Section 16.03(3), the “Current Market Price” of the Common Shares shall mean the average of the daily Closing Prices per share of Common Shares for the five (5) consecutive Trading Days ending on the date of the distribution referred to in Section 16.03(3) (or if such date shall not be a Trading Day, on the Trading Day immediately preceding such date).</w:t>
      </w:r>
    </w:p>
    <w:p>
      <w:pPr>
        <w:spacing w:after="0" w:line="65"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“Debt Securities” has the meaning stated in the first recital of this Indenture and more particularly means any Debt Securities (including any Global Notes) authenticated and delivered under this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11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“Depositary” means, with respect to the Debt Securities of any series issuable or issued in the form of one or more Global Notes,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Debt Securities of any such series shall mean the Depositary with respect to the Global Notes of that series.</w:t>
      </w:r>
    </w:p>
    <w:p>
      <w:pPr>
        <w:spacing w:after="0" w:line="46"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“Discount Security” means any Debt Security which is issued with “original issue discount” within the meaning of Section 1273(a) of the Code (or any successor provision) and the regulations thereunder.</w:t>
      </w:r>
    </w:p>
    <w:p>
      <w:pPr>
        <w:spacing w:after="0" w:line="62"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“Dollar” or “$” means a dollar or other equivalent unit in such coin or currency of the United States as at the time of payment is legal tender for the payment of public and private debts.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“Dollar Equivalent of the Currency Unit” has the meaning specified in Section 3.10(g).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“Dollar Equivalent of the Foreign Currency” has the meaning specified in Section 3.10(f).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“Election Date” has the meaning specified in Section 3.10(h).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“Event of Default” has the meaning specified in Section 5.01.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“Exchange Rate Officer’s Certificate” means a telex or a certificate setting forth (i) the applicable Market Exchange Rate and (ii) the Dollar, Foreign Currency or Currency unit amounts of principal,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right="120"/>
        <w:spacing w:after="0" w:line="286" w:lineRule="auto"/>
        <w:rPr>
          <w:sz w:val="20"/>
          <w:szCs w:val="20"/>
          <w:color w:val="auto"/>
        </w:rPr>
      </w:pPr>
      <w:r>
        <w:rPr>
          <w:rFonts w:ascii="Arial" w:cs="Arial" w:eastAsia="Arial" w:hAnsi="Arial"/>
          <w:sz w:val="17"/>
          <w:szCs w:val="17"/>
          <w:color w:val="auto"/>
        </w:rPr>
        <w:t>premium, if any, and any interest respectively (on an aggregate basis and on the basis of a Debt Security having the lowest denomination principal amount determined in accordance with Section 3.02 in the relevant Currency or Currency unit), payable on the basis of such Market Exchange Rate sent (in the case of a telex) or signed (in the case of a certificate) by the Treasurer or any Assistant Treasurer of the Company.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“Fixed Rate Security” means a Debt Security which provides for the payment of interest at a fixed rate.</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“Floating Rate Security” means a Debt Security which provides for the payment of interest at a variable rate determined periodically by reference to an interest rate index or any other index specified pursuant to Section 3.01.</w:t>
      </w:r>
    </w:p>
    <w:p>
      <w:pPr>
        <w:spacing w:after="0" w:line="62"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“Foreign Currency” means any coin, currency, currency unit or composite currency, including, without limitation, the euro, issued by the government of one or more countries other than the United States, or by any internationally recognized union, confederation or association of such governments.</w:t>
      </w:r>
    </w:p>
    <w:p>
      <w:pPr>
        <w:spacing w:after="0" w:line="1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“Global Note” means with respect to any series of Debt Securities issued hereunder, a Debt Security (in either temporary or permanent form) which is executed by the Company and authenticated and delivered by the Trustee to the Depositary or pursuant to the Depositary’s instruction, all in accordance with this Indenture and any indentures supplemental hereto, or resolution of the Board of Directors and set forth in an Officer’s Certificate, which shall be registered in the name of the Depositary or its nominee and which shall represent, and shall be denominated in an amount equal to the aggregate principal amount of, all the Outstanding Debt Securities of such series or any portion thereof, in either case having the same terms, including, without limitation, the same original issue date, date or dates on which principal is due and interest rate or method of determining interest.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“Guarantee” means the guarantee of Debt Securities of any applicable series by each Guarantor thereof under this Indenture.</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“Guarantors” means with respect to any series of Debt Securities, (i) the Company’s Subsidiaries signatory to the supplemental indenture with respect thereto or specified in the Officers’ Certificate with respect to such series as the initial Guarantors of such series, and (ii) each of the Company’s Subsidiaries that becomes a Guarantor of such series of Debt Securities pursuant to the provisions of this Indenture, in each case, until released from its Guarantee pursuant to the provisions of this Indenture and the terms of such series of Debt Securities.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“Holder,” “Holder of Debt Securities” or other similar terms means, with respect to a Debt Security, the Registered Holder.</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pursuant to the applicable provisions hereof and, unless the context otherwise requires, shall include the terms of a particular series of Debt Securities as established pursuant to Section 3.01.</w:t>
      </w:r>
    </w:p>
    <w:p>
      <w:pPr>
        <w:spacing w:after="0" w:line="73"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term “interest,” when used with respect to a Discount Security which by its terms bears interest only on a certain date, means interest payable after such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Payment Date” with respect to any Debt Security means the Stated Maturity of an installment of interest on such Debt Security.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9" w:name="page60"/>
    <w:bookmarkEnd w:id="59"/>
    <w:p>
      <w:pPr>
        <w:ind w:firstLine="225"/>
        <w:spacing w:after="0" w:line="276" w:lineRule="auto"/>
        <w:rPr>
          <w:sz w:val="20"/>
          <w:szCs w:val="20"/>
          <w:color w:val="auto"/>
        </w:rPr>
      </w:pPr>
      <w:r>
        <w:rPr>
          <w:rFonts w:ascii="Arial" w:cs="Arial" w:eastAsia="Arial" w:hAnsi="Arial"/>
          <w:sz w:val="17"/>
          <w:szCs w:val="17"/>
          <w:color w:val="auto"/>
        </w:rPr>
        <w:t>“Market Exchange Rate” means the noon Dollar buying rate in The City of New York for cable transfers of such currency or currencies as published by the Federal Reserve Bank of New York as of the most recent available date. If such Market Exchange Rate is not available for any reason with respect to such currency, the Trustee shall use, in its sole discretion and without liability on its part, such quotation of the Federal Reserve Bank of New York or, quotations from one or more major banks in The City of New York or in the country of issue of the currency in question, which for purposes of the euro shall be any member state of the European Union that has adopted the euro, as the Trustee shall deem appropriate.</w:t>
      </w:r>
    </w:p>
    <w:p>
      <w:pPr>
        <w:spacing w:after="0" w:line="64"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“Maturity” when used with respect to any Debt Security means the date on which the principal of such Debt Security or an installment of principal becomes due and payable as therein or herein provided, whether at the Stated Maturity or by declaration of acceleration, call for redemption, repayment or repurchase at the option of the Holder thereof or otherwise.</w:t>
      </w:r>
    </w:p>
    <w:p>
      <w:pPr>
        <w:spacing w:after="0" w:line="7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“Officers’ Certificate” means a certificate signed by the Chairman of the Board, Chief Executive Officer, the President, the Chief Financial Officer or a Vice President, and by the Treasurer, an Assistant Treasurer, the Controller, an Assistant Controller, the Secretary or an Assistant Secretary of the Company, and delivered to the Trustee.</w:t>
      </w:r>
    </w:p>
    <w:p>
      <w:pPr>
        <w:spacing w:after="0" w:line="73"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“Opinion of Counsel” means a written opinion from legal counsel, who may be internal counsel for the Company, or who is otherwise reasonably acceptable to the Trustee, complying with the terms of this Indenture to the Trustee.</w:t>
      </w:r>
    </w:p>
    <w:p>
      <w:pPr>
        <w:spacing w:after="0" w:line="62"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“Outstanding” when used with respect to Debt Securities, means, as of the date of determination, all Debt Securities theretofore authenticated and delivered under this Indenture, except:</w:t>
      </w:r>
    </w:p>
    <w:p>
      <w:pPr>
        <w:spacing w:after="0" w:line="62" w:lineRule="exact"/>
        <w:rPr>
          <w:sz w:val="20"/>
          <w:szCs w:val="20"/>
          <w:color w:val="auto"/>
        </w:rPr>
      </w:pPr>
    </w:p>
    <w:p>
      <w:pPr>
        <w:ind w:left="680" w:hanging="219"/>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Securities theretofore cancelled by the Trustee or delivered to the Trustee for cancellation;</w:t>
      </w:r>
    </w:p>
    <w:p>
      <w:pPr>
        <w:spacing w:after="0" w:line="117" w:lineRule="exact"/>
        <w:rPr>
          <w:rFonts w:ascii="Arial" w:cs="Arial" w:eastAsia="Arial" w:hAnsi="Arial"/>
          <w:sz w:val="18"/>
          <w:szCs w:val="18"/>
          <w:color w:val="auto"/>
        </w:rPr>
      </w:pPr>
    </w:p>
    <w:p>
      <w:pPr>
        <w:ind w:left="240" w:right="40" w:firstLine="221"/>
        <w:spacing w:after="0" w:line="279" w:lineRule="auto"/>
        <w:tabs>
          <w:tab w:leader="none" w:pos="73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Debt Securities for whose redemption money in the necessary amount has been theretofore deposited with the Trustee or any Paying Agent (other than the Company) in trust or set aside and segregated in trust by the Company (if the Company shall act as its own Paying Agent) for the Holders of such Debt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Debt Securities are to be redeemed notice of such redemption has been duly given pursuant to this Indenture or provision therefor satisfactory to the Trustee has been made and the date for such redemption has passed; and</w:t>
      </w:r>
    </w:p>
    <w:p>
      <w:pPr>
        <w:spacing w:after="0" w:line="63" w:lineRule="exact"/>
        <w:rPr>
          <w:rFonts w:ascii="Arial" w:cs="Arial" w:eastAsia="Arial" w:hAnsi="Arial"/>
          <w:sz w:val="17"/>
          <w:szCs w:val="17"/>
          <w:color w:val="auto"/>
        </w:rPr>
      </w:pPr>
    </w:p>
    <w:p>
      <w:pPr>
        <w:ind w:left="240" w:right="20" w:firstLine="221"/>
        <w:spacing w:after="0" w:line="312"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Debt Securities which have been paid pursuant to Section 3.06 or in exchange for or in lieu of which other Debt Securities have been authenticated and delivered pursuant to this Indenture, other than any such Debt Securities in respect of which there shall have been presented to the Trustee proof satisfactory to it that such Debt Securities are held by a bona fide purchaser in whose hands such Debt Securities are valid obligations of the Company;</w:t>
      </w:r>
    </w:p>
    <w:p>
      <w:pPr>
        <w:spacing w:after="0" w:line="3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determining whether the Holders of the requisite principal amount of Debt Securities Outstanding have performed any Act hereunder, Debt Securities owned by the Company or any other obligor upon the Debt Securities or any Affiliate of the Company or of such other obligor shall be disregarded and deemed not to be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connection with any offer by the Company or any obligor to purchase Debt Securities, Debt Securities rendered by a Holder shall be Outstanding until the date of purchase), except that, in determining whether the Trustee shall be protected in relying upon any such Act, only Debt Securities which the Trustee knows to be so owned shall be so disregarded. Debt Securities so owned which have been pledged in good faith may be regarded as Outstanding if the pledgee establishes to the satisfaction of the Trustee the pledgee’s right to act with respect to such</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0" w:name="page61"/>
    <w:bookmarkEnd w:id="60"/>
    <w:p>
      <w:pPr>
        <w:spacing w:after="0" w:line="255" w:lineRule="auto"/>
        <w:rPr>
          <w:sz w:val="20"/>
          <w:szCs w:val="20"/>
          <w:color w:val="auto"/>
        </w:rPr>
      </w:pPr>
      <w:r>
        <w:rPr>
          <w:rFonts w:ascii="Arial" w:cs="Arial" w:eastAsia="Arial" w:hAnsi="Arial"/>
          <w:sz w:val="18"/>
          <w:szCs w:val="18"/>
          <w:color w:val="auto"/>
        </w:rPr>
        <w:t>Debt Securities and that the pledgee is not the Company or any other obligor upon the Debt Securities or any Affiliate of the Company or of such other obligor. In determining whether the Holders of the requisite principal amount of Outstanding Debt Securities have performed any Act hereunder, the principal amount of a Discount Security that shall be deemed to be Outstanding for such purpose shall be the amount of the principal thereof that would be due and payable as of the date of such determination upon a declaration of acceleration of the Maturity thereof pursuant to Section 5.02 and the principal amount of a Debt Security denominated in a Foreign Currency that shall be deemed to be Outstanding for such purpose shall be the amount calculated pursuant to Section 3.10(j).</w:t>
      </w:r>
    </w:p>
    <w:p>
      <w:pPr>
        <w:spacing w:after="0" w:line="8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“Overdue Rate” when used with respect to any series of the Debt Securities, means the rate designated as such in or pursuant to the Board Resolution or the supplemental indenture, as the case may be, relating to such series as contemplated by Section 3.01.</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(and premium, if any) or interest on any Debt Securities on behalf of the Company.</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joint-stock company, trust, estate,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“Place of Payment” when used with respect to the Debt Securities of any series means the place or places where the principal of (and premium, if any) and interest on the Debt Securities of that series are payable as specified pursuant to Section 3.01.</w:t>
      </w:r>
    </w:p>
    <w:p>
      <w:pPr>
        <w:spacing w:after="0" w:line="62"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“Predecessor Security” of any particular Debt Security means every previous Debt Security evidencing all or a portion of the same debt as that evidenced by such particular Debt Security; and, for the purposes of this definition, any Debt Security authenticated and delivered under Section 3.06 in lieu of a mutilated, lost, destroyed or stolen Debt Security shall be deemed to evidence the same debt as the mutilated, lost, destroyed or stolen Debt Security.</w:t>
      </w:r>
    </w:p>
    <w:p>
      <w:pPr>
        <w:spacing w:after="0" w:line="39"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“Redemption Date” when used with respect to any Debt Security to be redeemed, means the date fixed for redemption by or pursuant to this Indenture, including pursuant to the Board Resolution or supplemental indenture relating to such Debt Security as contemplated by Section 3.01.</w:t>
      </w:r>
    </w:p>
    <w:p>
      <w:pPr>
        <w:spacing w:after="0" w:line="38" w:lineRule="exact"/>
        <w:rPr>
          <w:sz w:val="20"/>
          <w:szCs w:val="20"/>
          <w:color w:val="auto"/>
        </w:rPr>
      </w:pPr>
    </w:p>
    <w:p>
      <w:pPr>
        <w:ind w:right="280" w:firstLine="225"/>
        <w:spacing w:after="0" w:line="286" w:lineRule="auto"/>
        <w:rPr>
          <w:sz w:val="20"/>
          <w:szCs w:val="20"/>
          <w:color w:val="auto"/>
        </w:rPr>
      </w:pPr>
      <w:r>
        <w:rPr>
          <w:rFonts w:ascii="Arial" w:cs="Arial" w:eastAsia="Arial" w:hAnsi="Arial"/>
          <w:sz w:val="17"/>
          <w:szCs w:val="17"/>
          <w:color w:val="auto"/>
        </w:rPr>
        <w:t>“Redemption Price” means, in the case of a Discount Security, the amount of the principal thereof that would be due and payable as of the Redemption Date upon a declaration of acceleration of the Maturity thereof pursuant to Section 5.02, and in the case of any other Debt Security, the principal amount thereof, plus, in each case, premium, if any, and accrued and unpaid interest, if any, to the Redemption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“Register” and “Registrar” have the respective meanings specified in Section 3.05(a).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“Registered Holder” means the Person in whose name a Registered Security is registered in the Register.</w:t>
      </w:r>
    </w:p>
    <w:p>
      <w:pPr>
        <w:spacing w:after="0" w:line="11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“Registered Security” means any Debt Security in the form established pursuant to Section 2.01 which is registered as to principal and interest in the Register.</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“Regular Record Date” for the interest payable on the Registered Securities of any series on any Interest Payment Date means the date specified for the purpose pursuant to Section 3.01 for such Interest Payment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1" w:name="page62"/>
    <w:bookmarkEnd w:id="61"/>
    <w:p>
      <w:pPr>
        <w:jc w:val="both"/>
        <w:ind w:firstLine="225"/>
        <w:spacing w:after="0" w:line="259" w:lineRule="auto"/>
        <w:rPr>
          <w:sz w:val="20"/>
          <w:szCs w:val="20"/>
          <w:color w:val="auto"/>
        </w:rPr>
      </w:pPr>
      <w:r>
        <w:rPr>
          <w:rFonts w:ascii="Arial" w:cs="Arial" w:eastAsia="Arial" w:hAnsi="Arial"/>
          <w:sz w:val="18"/>
          <w:szCs w:val="18"/>
          <w:color w:val="auto"/>
        </w:rPr>
        <w:t>“Responsible Officer” when used with respect to the Trustee means any vice president, the secretary, any assistant secretary or any assistant vice president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3.07.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“Specified Amount” has the meaning specified in Section 3.10(h).</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“Stated Maturity” when used with respect to any Debt Security or any installment of principal thereof or premium thereon or interest thereon means the date specified in such Debt Security, as the date on which the principal of such Debt Security or such installment of principal, premium or interest is due and payable.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“Subsidiary” means, with respect to any Person:</w:t>
      </w:r>
    </w:p>
    <w:p>
      <w:pPr>
        <w:spacing w:after="0" w:line="117" w:lineRule="exact"/>
        <w:rPr>
          <w:sz w:val="20"/>
          <w:szCs w:val="20"/>
          <w:color w:val="auto"/>
        </w:rPr>
      </w:pPr>
    </w:p>
    <w:p>
      <w:pPr>
        <w:ind w:left="240" w:right="40" w:firstLine="221"/>
        <w:spacing w:after="0" w:line="312"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38" w:lineRule="exact"/>
        <w:rPr>
          <w:rFonts w:ascii="Arial" w:cs="Arial" w:eastAsia="Arial" w:hAnsi="Arial"/>
          <w:sz w:val="16"/>
          <w:szCs w:val="16"/>
          <w:color w:val="auto"/>
        </w:rPr>
      </w:pPr>
    </w:p>
    <w:p>
      <w:pPr>
        <w:ind w:left="240" w:right="120" w:firstLine="221"/>
        <w:spacing w:after="0" w:line="30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38"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“Trading Day” shall mean, with respect to the Common Shares, so long as the Common Shares are listed or admitted to trading on the New York Stock Exchange, a day on which the New York Stock Exchange is open for the transaction of business, or, if the Common Shares are not listed or admitted to trading on the New York Stock Exchange, a day on which the principal national securities exchange on which the Common Shares are listed is open for the transaction of business, or, if the Common Shares are not so listed or admitted for trading on any national securities exchange, a day on which NASDAQ is open for the transaction of business.</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“Trust Indenture Act” means the Trust Indenture Act of 1939 as amended and as in force at the date as of which this instrument was executed, and, to the extent required by law, as amended.</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Debt Securities of any series shall mean the Trustee with respect to Debt Securities of such series.</w:t>
      </w:r>
    </w:p>
    <w:p>
      <w:pPr>
        <w:spacing w:after="0" w:line="7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“United States” means the United States of America (including the States and the District of Columbia), and its possessions, which include Puerto Rico, the U.S. Virgin Islands, Guam, American Samoa, Wake Island and the Northern Mariana Islands.</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“U.S. Government Obligations” means securities that are (i) direct obligations of the United States for the payment of which its full faith and credit is pledged, or (ii) obligations of a Person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62" w:name="page63"/>
    <w:bookmarkEnd w:id="62"/>
    <w:p>
      <w:pPr>
        <w:spacing w:after="0" w:line="272" w:lineRule="auto"/>
        <w:rPr>
          <w:sz w:val="20"/>
          <w:szCs w:val="20"/>
          <w:color w:val="auto"/>
        </w:rPr>
      </w:pPr>
      <w:r>
        <w:rPr>
          <w:rFonts w:ascii="Arial" w:cs="Arial" w:eastAsia="Arial" w:hAnsi="Arial"/>
          <w:sz w:val="17"/>
          <w:szCs w:val="17"/>
          <w:color w:val="auto"/>
        </w:rPr>
        <w:t xml:space="preserve">controlled or supervised by and acting as an agency or instrumentality of the United States the payment of which is unconditionally guaranteed as a full faith and credit obligation by the United States, which, in either case under clauses (i) or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“Valuation Date” has the meaning specified in Section 3.10(c).</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“Vice President” includes with respect to the Company and the Trustee, any Vice President of the Company or the Trustee, as the case may be, whether or not designated by a number or word or words added before or after the title “Vice President.”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117"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64"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certificates provided pursuant to Section 12.02) shall include:</w:t>
      </w:r>
    </w:p>
    <w:p>
      <w:pPr>
        <w:spacing w:after="0" w:line="62" w:lineRule="exact"/>
        <w:rPr>
          <w:sz w:val="20"/>
          <w:szCs w:val="20"/>
          <w:color w:val="auto"/>
        </w:rPr>
      </w:pPr>
    </w:p>
    <w:p>
      <w:pPr>
        <w:ind w:left="720" w:hanging="259"/>
        <w:spacing w:after="0"/>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 thereto;</w:t>
      </w:r>
    </w:p>
    <w:p>
      <w:pPr>
        <w:spacing w:after="0" w:line="140" w:lineRule="exact"/>
        <w:rPr>
          <w:rFonts w:ascii="Arial" w:cs="Arial" w:eastAsia="Arial" w:hAnsi="Arial"/>
          <w:sz w:val="16"/>
          <w:szCs w:val="16"/>
          <w:color w:val="auto"/>
        </w:rPr>
      </w:pPr>
    </w:p>
    <w:p>
      <w:pPr>
        <w:ind w:left="240" w:right="160" w:firstLine="221"/>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240" w:right="200" w:firstLine="221"/>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firstLine="215"/>
        <w:spacing w:after="0" w:line="255"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85"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Act of Holders or other document provided or permitted by this Indenture to be made upon, given or furnished to, or filed with,</w:t>
      </w:r>
    </w:p>
    <w:p>
      <w:pPr>
        <w:spacing w:after="0" w:line="117" w:lineRule="exact"/>
        <w:rPr>
          <w:sz w:val="20"/>
          <w:szCs w:val="20"/>
          <w:color w:val="auto"/>
        </w:rPr>
      </w:pPr>
    </w:p>
    <w:p>
      <w:pPr>
        <w:ind w:left="240" w:right="100" w:firstLine="221"/>
        <w:spacing w:after="0" w:line="308" w:lineRule="auto"/>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Trustee by any Holder or by the Company shall be sufficient for every purpose hereunder (unless otherwise herein expressly provided) if made, given, furnished or filed in writing to or with the Trustee at its Corporate Trust Office, Attention: Corporate Trust Department, or</w:t>
      </w:r>
    </w:p>
    <w:p>
      <w:pPr>
        <w:spacing w:after="0" w:line="38" w:lineRule="exact"/>
        <w:rPr>
          <w:rFonts w:ascii="Arial" w:cs="Arial" w:eastAsia="Arial" w:hAnsi="Arial"/>
          <w:sz w:val="17"/>
          <w:szCs w:val="17"/>
          <w:color w:val="auto"/>
        </w:rPr>
      </w:pPr>
    </w:p>
    <w:p>
      <w:pPr>
        <w:jc w:val="both"/>
        <w:ind w:left="240" w:right="400" w:firstLine="221"/>
        <w:spacing w:after="0" w:line="259"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or airmail postage prepaid if sent from outside the United States, to the Company addressed to it at the address of its principal office specified in the first paragraph of this instrument, to the attention of its Treasurer, or at any other address previously furnished in writing to the Trustee by the Company.</w:t>
      </w:r>
    </w:p>
    <w:p>
      <w:pPr>
        <w:spacing w:after="0" w:line="79" w:lineRule="exact"/>
        <w:rPr>
          <w:sz w:val="20"/>
          <w:szCs w:val="20"/>
          <w:color w:val="auto"/>
        </w:rPr>
      </w:pPr>
    </w:p>
    <w:p>
      <w:pPr>
        <w:ind w:right="620" w:firstLine="215"/>
        <w:spacing w:after="0" w:line="277" w:lineRule="auto"/>
        <w:rPr>
          <w:sz w:val="20"/>
          <w:szCs w:val="20"/>
          <w:color w:val="auto"/>
        </w:rPr>
      </w:pPr>
      <w:r>
        <w:rPr>
          <w:rFonts w:ascii="Arial" w:cs="Arial" w:eastAsia="Arial" w:hAnsi="Arial"/>
          <w:sz w:val="18"/>
          <w:szCs w:val="18"/>
          <w:color w:val="auto"/>
        </w:rPr>
        <w:t>Any such Act or other document shall be in the English language, except that any published notice may be in an official language of the country of publication.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117" w:lineRule="exact"/>
        <w:rPr>
          <w:sz w:val="20"/>
          <w:szCs w:val="20"/>
          <w:color w:val="auto"/>
        </w:rPr>
      </w:pPr>
    </w:p>
    <w:p>
      <w:pPr>
        <w:ind w:right="240" w:firstLine="222"/>
        <w:spacing w:after="0" w:line="302" w:lineRule="auto"/>
        <w:rPr>
          <w:sz w:val="20"/>
          <w:szCs w:val="20"/>
          <w:color w:val="auto"/>
        </w:rPr>
      </w:pPr>
      <w:r>
        <w:rPr>
          <w:rFonts w:ascii="Arial" w:cs="Arial" w:eastAsia="Arial" w:hAnsi="Arial"/>
          <w:sz w:val="16"/>
          <w:szCs w:val="16"/>
          <w:color w:val="auto"/>
        </w:rPr>
        <w:t xml:space="preserve">When this Indenture provides for notice to Holders of any event, such notice shall be sufficiently given to Registered Holders (unless otherwise herein expressly provided) if in writing and mailed, first-class postage prepaid, to such Registered Holders as their names and addresses appear in the Register, within the time prescribed;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case, any notice to Holders of Floating Rate Securities regarding the determination of a periodic rate of interest, if such notice is required pursuant to Section 3.01, shall be sufficiently given if given in the manner specified pursuant to Section 3.01.</w:t>
      </w:r>
    </w:p>
    <w:p>
      <w:pPr>
        <w:spacing w:after="0" w:line="46"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the event of suspension of regular mail service or by reason of any other cause it shall be impracticable to give notice by mail, such notification as shall be given with the approval of the Trustee shall constitute sufficient notice for every purpose hereunder.</w:t>
      </w:r>
    </w:p>
    <w:p>
      <w:pPr>
        <w:spacing w:after="0" w:line="62"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ind w:right="100"/>
        <w:spacing w:after="0" w:line="257" w:lineRule="auto"/>
        <w:rPr>
          <w:sz w:val="20"/>
          <w:szCs w:val="20"/>
          <w:color w:val="auto"/>
        </w:rPr>
      </w:pPr>
      <w:r>
        <w:rPr>
          <w:rFonts w:ascii="Arial" w:cs="Arial" w:eastAsia="Arial" w:hAnsi="Arial"/>
          <w:sz w:val="18"/>
          <w:szCs w:val="18"/>
          <w:color w:val="auto"/>
        </w:rPr>
        <w:t>case where notice to Holders is given by mail, neither the failure to mail such notice nor any defect in any notice so mailed to any particular Holder shall affect the sufficiency of such notice with respect to other Holders, and any notice which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which is published in the manner herein provided shall be conclusively presumed to have been duly given.</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any provision hereof limits, qualifies or conflicts with the duties imposed on any Person by the provisions of Sections 310 to 317, inclusive, of the Trust Indenture Act, such imposed duties shall control.</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Article and Section headings herein and in the Table of Contents are for convenience only and shall not affect the construction hereof.</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380" w:firstLine="215"/>
        <w:spacing w:after="0" w:line="277" w:lineRule="auto"/>
        <w:rPr>
          <w:sz w:val="20"/>
          <w:szCs w:val="20"/>
          <w:color w:val="auto"/>
        </w:rPr>
      </w:pPr>
      <w:r>
        <w:rPr>
          <w:rFonts w:ascii="Arial" w:cs="Arial" w:eastAsia="Arial" w:hAnsi="Arial"/>
          <w:sz w:val="18"/>
          <w:szCs w:val="18"/>
          <w:color w:val="auto"/>
        </w:rPr>
        <w:t>All covenants and agreements in this Indenture by the parties hereto shall bind their respective successors and assigns and inure to the benefit of their permitted successors and assigns, whether so expressed or not.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case any provision in this Indenture or in the Debt Securities shall be invalid, illegal or unenforceable, the validity, legality and enforceability of the remaining provisions shall not in any way be affected or impaired thereby.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Nothing in this Indenture or in the Debt Securities, express or implied, shall give to any Person, other than the parties hereto, any Registrar, any Paying Agent and their successors hereunder, and the Holders, any benefit or any legal or equitable right, remedy or claim under this Indenture.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Indenture and the Debt Securities shall be governed by and construed in accordance with the laws of the State of New York.</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Unless otherwise specified pursuant to Section 3.01 or in any Debt Security, in any case where any Interest Payment Date, Redemption Date or Stated Maturity of any Debt Security of any series shall not be a Business Day at any Place of Payment for the Debt Securities of that series, then (notwithstanding any other provision of this Indenture or of the Debt Securities) payment of principal (and premium, if any) or interest need not be made at such Place of Payment on such date, but may be made on the next succeeding Business Day at such Place of Payment with the same force and effect as if made on the Interest Payment Date, Redemption Date or at the Stated Maturity, and no interest shall accrue on the amount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5" w:name="page66"/>
    <w:bookmarkEnd w:id="65"/>
    <w:p>
      <w:pPr>
        <w:ind w:right="200"/>
        <w:spacing w:after="0" w:line="277" w:lineRule="auto"/>
        <w:rPr>
          <w:sz w:val="20"/>
          <w:szCs w:val="20"/>
          <w:color w:val="auto"/>
        </w:rPr>
      </w:pPr>
      <w:r>
        <w:rPr>
          <w:rFonts w:ascii="Arial" w:cs="Arial" w:eastAsia="Arial" w:hAnsi="Arial"/>
          <w:sz w:val="18"/>
          <w:szCs w:val="18"/>
          <w:color w:val="auto"/>
        </w:rPr>
        <w:t>so payable for the period from and after such Interest Payment Date, Redemption Date or Stated Maturity, as the case may be, to such Business Day if such payment is made or duly provided for on such Business Day.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Security Interest Created</w:t>
      </w:r>
      <w:r>
        <w:rPr>
          <w:rFonts w:ascii="Arial" w:cs="Arial" w:eastAsia="Arial" w:hAnsi="Arial"/>
          <w:sz w:val="18"/>
          <w:szCs w:val="18"/>
          <w:color w:val="auto"/>
        </w:rPr>
        <w:t>.</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Nothing in this Indenture or in the Debt Securities, express or implied, shall be construed to constitute a security interest under the Uniform Commercial Code or similar legislation, as now or hereafter enacted and in effect in any jurisdiction where property of the Company or its Subsidiaries is or may be located.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Liability Solely Corporate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No recourse shall be had for the payment of the principal of (or premium, if any) or the interest on any Debt Securities, or any part thereof, or of the indebtedness represented thereby, or upon any obligation, covenant or agreement of this Indenture, against any incorporator, or against any shareholder, officer or director, as such, past, present or future, of the Company (or any incorporator, shareholder, officer or director of any predecessor or successor corporation), either directly or through the Company (or any such predecessor or successor corporation), whether by virtue of any constitution, statute or rule of law, or by the enforcement of any assessment or penalty or otherwise; it being expressly agreed and understood that this Indenture and all the Debt Securities are solely corporate obligations, and that no personal liability whatsoever shall attach to, or be incurred by, any such incorporator, shareholder, officer or director, past, present or future, of the Company (or any incorporator, shareholder, officer or director of any such predecessor or successor corporation), either directly or indirectly through the Company or any such predecessor or successor corporation, because of the indebtedness hereby authorized or under or by reason of any of the obligations, covenants, promises or agreements contained in this Indenture or in any of the Debt Securities or to be implied herefrom or therefrom; and that any such personal liability is hereby expressly waived and released as a condition of, and as part of the consideration for, the execution of this Indenture and the issue of Debt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or in the Debt Securities contained shall be taken to prevent recourse to and the enforcement of the liability, if any, of any shareholder or subscriber to capital stock upon or in respect of the shares of capital stock not fully paid.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DEBT SECURITY FORMS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Debt Securities (and any related Guarantees) of each series shall be substantially in one of the forms (including global form) established in or pursuant to a Board Resolution or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Debt Securities may be listed, or to conform to usage, all as determined by the officers executing such Debt Securities as conclusively evidenced by their execution of such Debt Securities. If the form of a series of Debt Securities (or any Global Note) is established in or pursuant to a Board Resolution, a copy of such Board Resolution shall be delivered to the Trustee, together with an Officers’ Certificate setting forth the form of such series, at or prior to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delivery of the Company Order contemplated by Section 3.03 for the authentication and delivery of such Debt Securities (or any such Global Note).</w:t>
      </w:r>
    </w:p>
    <w:p>
      <w:pPr>
        <w:spacing w:after="0" w:line="129"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definitive Debt Securities (and any related Guarantees) of each series shall be printed, lithographed or engraved or produced by any combination of these methods on steel engraved borders or may be produced in any other manner, all as determined by the officers executing such Debt Securities, as conclusively evidenced by their execution of such Debt Securities.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form of the Trustee’s certificate of authentication to be borne by the Debt Securities shall be substantially as follows:</w:t>
      </w:r>
    </w:p>
    <w:p>
      <w:pPr>
        <w:spacing w:after="0" w:line="333" w:lineRule="exact"/>
        <w:rPr>
          <w:sz w:val="20"/>
          <w:szCs w:val="20"/>
          <w:color w:val="auto"/>
        </w:rPr>
      </w:pPr>
    </w:p>
    <w:p>
      <w:pPr>
        <w:ind w:left="220" w:right="3540" w:firstLine="3482"/>
        <w:spacing w:after="0" w:line="440" w:lineRule="auto"/>
        <w:rPr>
          <w:sz w:val="20"/>
          <w:szCs w:val="20"/>
          <w:color w:val="auto"/>
        </w:rPr>
      </w:pPr>
      <w:r>
        <w:rPr>
          <w:rFonts w:ascii="Arial" w:cs="Arial" w:eastAsia="Arial" w:hAnsi="Arial"/>
          <w:sz w:val="17"/>
          <w:szCs w:val="17"/>
          <w:color w:val="auto"/>
        </w:rPr>
        <w:t>TRUSTEE’S CERTIFICATE OF AUTHENTICATION This is one of the series of Debt Securities issued under the within 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171450</wp:posOffset>
            </wp:positionV>
            <wp:extent cx="35502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462915</wp:posOffset>
            </wp:positionV>
            <wp:extent cx="3550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Signatory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Securities in Global Form.</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If any Debt Security of a series is issuable in the form of a Global Note, such Global Note may provide that it shall represent the aggregate amount of Outstanding Debt Securities from time to time endorsed thereon and may also provide that the aggregate amount of Outstanding Debt Securities represented thereby may from time to time be reduced to reflect exchanges. Any endorsement of a Global Note to reflect the amount, or any increase or decrease in the amount, of Outstanding Debt Securities represented thereby shall be made by the Trustee and in such manner as shall be specified in such Global Note. Any instructions by the Company with respect to a Global Note, after its initial issuance, shall be in writing but need not comply with Section 1.02.</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Global Notes may be issued in either temporary or permanent form. Permanent Global Notes will be issued in definitive form.</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THREE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DEBT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aggregate principal amount of Debt Securities which may be authenticated and delivered under this Indenture is unlimited.</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Debt Securities may be issued in one or more series. There shall be established in or pursuant to a Board Resolution and (subject to Section 3.03) set forth in an Officers’ Certificate, or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established in one or more indentures supplemental hereto, prior to the issuance of Debt Securities of any series:</w:t>
      </w:r>
    </w:p>
    <w:p>
      <w:pPr>
        <w:spacing w:after="0" w:line="117" w:lineRule="exact"/>
        <w:rPr>
          <w:sz w:val="20"/>
          <w:szCs w:val="20"/>
          <w:color w:val="auto"/>
        </w:rPr>
      </w:pPr>
    </w:p>
    <w:p>
      <w:pPr>
        <w:ind w:left="720" w:hanging="259"/>
        <w:spacing w:after="0"/>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title of the Debt Securities of the series (which shall distinguish the Debt Securities of such series from all other series of Debt Securities);</w:t>
      </w:r>
    </w:p>
    <w:p>
      <w:pPr>
        <w:spacing w:after="0" w:line="128" w:lineRule="exact"/>
        <w:rPr>
          <w:rFonts w:ascii="Arial" w:cs="Arial" w:eastAsia="Arial" w:hAnsi="Arial"/>
          <w:sz w:val="17"/>
          <w:szCs w:val="17"/>
          <w:color w:val="auto"/>
        </w:rPr>
      </w:pPr>
    </w:p>
    <w:p>
      <w:pPr>
        <w:jc w:val="both"/>
        <w:ind w:left="240" w:firstLine="221"/>
        <w:spacing w:after="0" w:line="286" w:lineRule="auto"/>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aggregate principal amount of such series of Debt Securities and any limit, on the aggregate principal amount of the Debt Securities of the series which may be authenticated and delivered under this Indenture (except for Debt Securities authenticated and delivered upon transfer of, or in exchange for, or in lieu of, other Debt Securities of such series pursuant to Sections 3.04, 3.05, 3.06, 11.06 or 13.07);</w:t>
      </w:r>
    </w:p>
    <w:p>
      <w:pPr>
        <w:spacing w:after="0" w:line="57" w:lineRule="exact"/>
        <w:rPr>
          <w:rFonts w:ascii="Arial" w:cs="Arial" w:eastAsia="Arial" w:hAnsi="Arial"/>
          <w:sz w:val="17"/>
          <w:szCs w:val="17"/>
          <w:color w:val="auto"/>
        </w:rPr>
      </w:pPr>
    </w:p>
    <w:p>
      <w:pPr>
        <w:jc w:val="both"/>
        <w:ind w:left="240" w:right="100" w:firstLine="221"/>
        <w:spacing w:after="0" w:line="264"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Debt Securities of such series will be issued and, if other than the principal amount thereof, the portion of the principal amount thereof payable upon declaration of acceleration of the maturity or upon redemption thereof or the method by which such portion shall be determined;</w:t>
      </w:r>
    </w:p>
    <w:p>
      <w:pPr>
        <w:spacing w:after="0" w:line="73" w:lineRule="exact"/>
        <w:rPr>
          <w:rFonts w:ascii="Arial" w:cs="Arial" w:eastAsia="Arial" w:hAnsi="Arial"/>
          <w:sz w:val="18"/>
          <w:szCs w:val="18"/>
          <w:color w:val="auto"/>
        </w:rPr>
      </w:pPr>
    </w:p>
    <w:p>
      <w:pPr>
        <w:ind w:left="240" w:right="40" w:firstLine="221"/>
        <w:spacing w:after="0" w:line="259"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or dates on which or periods during which the Debt Securities of the series may be issued, and the date or dates or the method by which such date or dates will be determined, on which the principal of (and premium, if any, on) the Debt Securities of such series are or may be payable (which, if so provided in such Board Resolution or supplemental indenture, may be determined by the Company from time to time as set forth in the Debt Securities of the series issued from time to time);</w:t>
      </w:r>
    </w:p>
    <w:p>
      <w:pPr>
        <w:spacing w:after="0" w:line="78" w:lineRule="exact"/>
        <w:rPr>
          <w:rFonts w:ascii="Arial" w:cs="Arial" w:eastAsia="Arial" w:hAnsi="Arial"/>
          <w:sz w:val="18"/>
          <w:szCs w:val="18"/>
          <w:color w:val="auto"/>
        </w:rPr>
      </w:pPr>
    </w:p>
    <w:p>
      <w:pPr>
        <w:ind w:left="240" w:firstLine="221"/>
        <w:spacing w:after="0" w:line="291"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rate or rates (which may be variable or fixed) at which the Debt Securities of the series shall bear interest, if any, or the method by which such rate or rates shall be determined, the date or dates from which such interest, if any, shall accrue or the method by which such date or dates shall be determined (which, in either case or both, if so provided in such Board Resolution or supplemental indenture, may be determined by the Company from time to time and set forth in the Debt Securities of the series issued from time to time); and the Interest Payment Dates on which such interest shall be payable (or the method of determination thereof), and the Regular Record Dates, if any, for the interest payable on such Interest Payment Dates and the notice, if any, to Holders regarding the determination of interest, the manner of giving such notice, the basis upon which interest shall be calculated if other than that of a 360-day year of twelve 30-day months and any conditions or contingencies as to the payment of interest in cash or otherwise, if any;</w:t>
      </w:r>
    </w:p>
    <w:p>
      <w:pPr>
        <w:spacing w:after="0" w:line="59" w:lineRule="exact"/>
        <w:rPr>
          <w:rFonts w:ascii="Arial" w:cs="Arial" w:eastAsia="Arial" w:hAnsi="Arial"/>
          <w:sz w:val="16"/>
          <w:szCs w:val="16"/>
          <w:color w:val="auto"/>
        </w:rPr>
      </w:pPr>
    </w:p>
    <w:p>
      <w:pPr>
        <w:ind w:left="240" w:right="40" w:firstLine="221"/>
        <w:spacing w:after="0" w:line="25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place or places, if any, in addition to or instead of the Corporate Trust Office of the Trustee, where the principal of (and premium, if any) and interest on Debt Securities of the series shall be payable; the extent to which, or the manner in which, any interest payable on any Global Note on an Interest Payment Date will be paid, if other than in the manner provided in Section 3.07; and the manner in which any principal of, or premium, if any, on, any Global Note will be paid, if other than as set forth elsewhere herein and whether any Global Note will require any notation to evidence payment of principal or interest;</w:t>
      </w:r>
    </w:p>
    <w:p>
      <w:pPr>
        <w:spacing w:after="0" w:line="80" w:lineRule="exact"/>
        <w:rPr>
          <w:rFonts w:ascii="Arial" w:cs="Arial" w:eastAsia="Arial" w:hAnsi="Arial"/>
          <w:sz w:val="18"/>
          <w:szCs w:val="18"/>
          <w:color w:val="auto"/>
        </w:rPr>
      </w:pPr>
    </w:p>
    <w:p>
      <w:pPr>
        <w:ind w:left="240" w:right="40" w:firstLine="221"/>
        <w:spacing w:after="0" w:line="259"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purchase or offer to purchase Debt Securities of the series pursuant to any mandatory redemption, sinking fund or analogous provisions or upon other conditions or at the option of the Holder thereof and the period or periods within which or the dates on which, the prices at which and the terms and conditions upon which the Debt Securities of the series shall be redeemed, repaid, purchased or offered to be purchased, in whole or in part, pursuant to such obligation;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8" w:name="page69"/>
    <w:bookmarkEnd w:id="68"/>
    <w:p>
      <w:pPr>
        <w:ind w:right="20" w:firstLine="221"/>
        <w:spacing w:after="0" w:line="264"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 if any, of the Company to redeem the Debt Securities of such series at its option and the period or periods within which, or the date or dates on which, the price or prices at which, and the terms and conditions upon which such Debt Securities may be redeemed, if any, in whole or in part, at the option of the Company or otherwise;</w:t>
      </w:r>
    </w:p>
    <w:p>
      <w:pPr>
        <w:spacing w:after="0" w:line="73" w:lineRule="exact"/>
        <w:rPr>
          <w:rFonts w:ascii="Arial" w:cs="Arial" w:eastAsia="Arial" w:hAnsi="Arial"/>
          <w:sz w:val="18"/>
          <w:szCs w:val="18"/>
          <w:color w:val="auto"/>
        </w:rPr>
      </w:pPr>
    </w:p>
    <w:p>
      <w:pPr>
        <w:ind w:firstLine="221"/>
        <w:spacing w:after="0" w:line="277"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Currency in which the Debt Securities shall be issuable is in Dollars, the denominations of such Debt Securities if other than denominations of $2,000 and any integral multiples of $1,000 in excess thereof (except as provided in Section 3.04);</w:t>
      </w:r>
    </w:p>
    <w:p>
      <w:pPr>
        <w:spacing w:after="0" w:line="62" w:lineRule="exact"/>
        <w:rPr>
          <w:rFonts w:ascii="Arial" w:cs="Arial" w:eastAsia="Arial" w:hAnsi="Arial"/>
          <w:sz w:val="18"/>
          <w:szCs w:val="18"/>
          <w:color w:val="auto"/>
        </w:rPr>
      </w:pPr>
    </w:p>
    <w:p>
      <w:pPr>
        <w:jc w:val="both"/>
        <w:ind w:right="140" w:firstLine="221"/>
        <w:spacing w:after="0" w:line="264"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Debt Securities of the series are to be issued as Discount Securities and the amount of discount with which such Debt Securities may be issued and, if other than the principal amount thereof, the portion of the principal amount of Debt Securities of the series which shall be payable upon declaration of acceleration of the Maturity thereof pursuant to Section 5.02;</w:t>
      </w:r>
    </w:p>
    <w:p>
      <w:pPr>
        <w:spacing w:after="0" w:line="73" w:lineRule="exact"/>
        <w:rPr>
          <w:rFonts w:ascii="Arial" w:cs="Arial" w:eastAsia="Arial" w:hAnsi="Arial"/>
          <w:sz w:val="18"/>
          <w:szCs w:val="18"/>
          <w:color w:val="auto"/>
        </w:rPr>
      </w:pPr>
    </w:p>
    <w:p>
      <w:pPr>
        <w:ind w:left="560" w:hanging="339"/>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provisions, if any, for the defeasance or discharge of certain of the Company’s obligations with respect to Debt Securities of the series;</w:t>
      </w:r>
    </w:p>
    <w:p>
      <w:pPr>
        <w:spacing w:after="0" w:line="128" w:lineRule="exact"/>
        <w:rPr>
          <w:rFonts w:ascii="Arial" w:cs="Arial" w:eastAsia="Arial" w:hAnsi="Arial"/>
          <w:sz w:val="17"/>
          <w:szCs w:val="17"/>
          <w:color w:val="auto"/>
        </w:rPr>
      </w:pPr>
    </w:p>
    <w:p>
      <w:pPr>
        <w:ind w:left="560" w:hanging="339"/>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whether provisions for payment of additional amounts or tax redemptions shall apply and, if such provisions shall apply, such provisions;</w:t>
      </w:r>
    </w:p>
    <w:p>
      <w:pPr>
        <w:spacing w:after="0" w:line="128" w:lineRule="exact"/>
        <w:rPr>
          <w:rFonts w:ascii="Arial" w:cs="Arial" w:eastAsia="Arial" w:hAnsi="Arial"/>
          <w:sz w:val="17"/>
          <w:szCs w:val="17"/>
          <w:color w:val="auto"/>
        </w:rPr>
      </w:pPr>
    </w:p>
    <w:p>
      <w:pPr>
        <w:ind w:right="200" w:firstLine="221"/>
        <w:spacing w:after="0" w:line="259"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other than Dollars, the Foreign Currency or Currencies in which Debt Securities of the series shall be denominated or in which payment of the principal of (and premium, if any) and interest on the Debt Securities of the series may be made, and the particular provisions applicable thereto and, if applicable, the amount of Debt Securities of the series which entitles the Holder of a Debt Security of the series or its proxy to one vote for purposes of Section 9.05;</w:t>
      </w:r>
    </w:p>
    <w:p>
      <w:pPr>
        <w:spacing w:after="0" w:line="78" w:lineRule="exact"/>
        <w:rPr>
          <w:rFonts w:ascii="Arial" w:cs="Arial" w:eastAsia="Arial" w:hAnsi="Arial"/>
          <w:sz w:val="18"/>
          <w:szCs w:val="18"/>
          <w:color w:val="auto"/>
        </w:rPr>
      </w:pPr>
    </w:p>
    <w:p>
      <w:pPr>
        <w:ind w:right="160" w:firstLine="221"/>
        <w:spacing w:after="0" w:line="276" w:lineRule="auto"/>
        <w:tabs>
          <w:tab w:leader="none" w:pos="57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principal of (and premium, if any) or interest on Debt Securities of the series are to be payable, at the election of the Company or a Holder thereof, in a Currency other than that in which the Debt Securities are denominated or payable without such election, in addition to or in lieu of the provisions of Section 3.10, the period or periods within which and the terms and conditions upon which, such election may be made and the time and the manner of determining the exchange rate or rates between the Currency or Currencies in which the Debt Securities are denominated or payable without such election and the Currency or Currencies in which the Debt Securities are to be paid if such election is made;</w:t>
      </w:r>
    </w:p>
    <w:p>
      <w:pPr>
        <w:spacing w:after="0" w:line="64" w:lineRule="exact"/>
        <w:rPr>
          <w:rFonts w:ascii="Arial" w:cs="Arial" w:eastAsia="Arial" w:hAnsi="Arial"/>
          <w:sz w:val="17"/>
          <w:szCs w:val="17"/>
          <w:color w:val="auto"/>
        </w:rPr>
      </w:pPr>
    </w:p>
    <w:p>
      <w:pPr>
        <w:ind w:left="560" w:hanging="339"/>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as of which any Debt Securities of the series shall be dated, if other than as set forth in Section 3.03;</w:t>
      </w:r>
    </w:p>
    <w:p>
      <w:pPr>
        <w:spacing w:after="0" w:line="117" w:lineRule="exact"/>
        <w:rPr>
          <w:rFonts w:ascii="Arial" w:cs="Arial" w:eastAsia="Arial" w:hAnsi="Arial"/>
          <w:sz w:val="18"/>
          <w:szCs w:val="18"/>
          <w:color w:val="auto"/>
        </w:rPr>
      </w:pPr>
    </w:p>
    <w:p>
      <w:pPr>
        <w:ind w:firstLine="221"/>
        <w:spacing w:after="0" w:line="264"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on the Debt Securities of the series may be determined with reference to an index, including, but not limited to, an index based on a Currency or Currencies other than that in which the Debt Securities are denominated or payable, or any other type of index, the manner in which such amounts shall be determined;</w:t>
      </w:r>
    </w:p>
    <w:p>
      <w:pPr>
        <w:spacing w:after="0" w:line="73" w:lineRule="exact"/>
        <w:rPr>
          <w:rFonts w:ascii="Arial" w:cs="Arial" w:eastAsia="Arial" w:hAnsi="Arial"/>
          <w:sz w:val="18"/>
          <w:szCs w:val="18"/>
          <w:color w:val="auto"/>
        </w:rPr>
      </w:pPr>
    </w:p>
    <w:p>
      <w:pPr>
        <w:ind w:right="80" w:firstLine="221"/>
        <w:spacing w:after="0" w:line="277"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Debt Securities of the series are denominated or payable in a Foreign Currency, any other terms concerning the payment of principal of (and premium, if any) or any interest on such Debt Securities (including the Currency or Currencies of payment thereof);</w:t>
      </w:r>
    </w:p>
    <w:p>
      <w:pPr>
        <w:spacing w:after="0" w:line="62" w:lineRule="exact"/>
        <w:rPr>
          <w:rFonts w:ascii="Arial" w:cs="Arial" w:eastAsia="Arial" w:hAnsi="Arial"/>
          <w:sz w:val="18"/>
          <w:szCs w:val="18"/>
          <w:color w:val="auto"/>
        </w:rPr>
      </w:pPr>
    </w:p>
    <w:p>
      <w:pPr>
        <w:ind w:left="560" w:hanging="339"/>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of the original Currency Determination Agent, if any;</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69" w:name="page70"/>
    <w:bookmarkEnd w:id="69"/>
    <w:p>
      <w:pPr>
        <w:ind w:left="800" w:hanging="339"/>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applicable Overdue Rate, if any;</w:t>
      </w:r>
    </w:p>
    <w:p>
      <w:pPr>
        <w:spacing w:after="0" w:line="117" w:lineRule="exact"/>
        <w:rPr>
          <w:rFonts w:ascii="Arial" w:cs="Arial" w:eastAsia="Arial" w:hAnsi="Arial"/>
          <w:sz w:val="18"/>
          <w:szCs w:val="18"/>
          <w:color w:val="auto"/>
        </w:rPr>
      </w:pPr>
    </w:p>
    <w:p>
      <w:pPr>
        <w:ind w:left="800" w:hanging="339"/>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Debt Securities of the series do not bear interest, the applicable dates for purposes of Section 7.01;</w:t>
      </w:r>
    </w:p>
    <w:p>
      <w:pPr>
        <w:spacing w:after="0" w:line="117" w:lineRule="exact"/>
        <w:rPr>
          <w:rFonts w:ascii="Arial" w:cs="Arial" w:eastAsia="Arial" w:hAnsi="Arial"/>
          <w:sz w:val="18"/>
          <w:szCs w:val="18"/>
          <w:color w:val="auto"/>
        </w:rPr>
      </w:pPr>
    </w:p>
    <w:p>
      <w:pPr>
        <w:ind w:left="240" w:right="320" w:firstLine="221"/>
        <w:spacing w:after="0" w:line="277"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addition to, or modification or deletion of, any Events of Default, covenants or term of the subordination provided for with respect to Debt Securities of the series;</w:t>
      </w:r>
    </w:p>
    <w:p>
      <w:pPr>
        <w:spacing w:after="0" w:line="62" w:lineRule="exact"/>
        <w:rPr>
          <w:rFonts w:ascii="Arial" w:cs="Arial" w:eastAsia="Arial" w:hAnsi="Arial"/>
          <w:sz w:val="18"/>
          <w:szCs w:val="18"/>
          <w:color w:val="auto"/>
        </w:rPr>
      </w:pPr>
    </w:p>
    <w:p>
      <w:pPr>
        <w:ind w:left="240" w:right="60" w:firstLine="221"/>
        <w:spacing w:after="0" w:line="259"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one or more Global Notes and, in such case, the Depositary for such Global Note or Notes; and if the Debt Securities of the series are issuable only as Registered Securities, the manner in which and the circumstances under which Global Notes representing Debt Securities of the series may be exchanged for Registered Securities in definitive form, if other than, or in addition to, the manner and circumstances specified in Section 3.04(b);</w:t>
      </w:r>
    </w:p>
    <w:p>
      <w:pPr>
        <w:spacing w:after="0" w:line="78" w:lineRule="exact"/>
        <w:rPr>
          <w:rFonts w:ascii="Arial" w:cs="Arial" w:eastAsia="Arial" w:hAnsi="Arial"/>
          <w:sz w:val="18"/>
          <w:szCs w:val="18"/>
          <w:color w:val="auto"/>
        </w:rPr>
      </w:pPr>
    </w:p>
    <w:p>
      <w:pPr>
        <w:ind w:left="240" w:right="240" w:firstLine="221"/>
        <w:spacing w:after="0" w:line="277"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if any, of any depositaries, trustees (other than the applicable Trustee), Paying Agents, Authenticating Agents, Registrars (other than the Trustee) or other agents with respect to the Debt Securities of such series;</w:t>
      </w:r>
    </w:p>
    <w:p>
      <w:pPr>
        <w:spacing w:after="0" w:line="62" w:lineRule="exact"/>
        <w:rPr>
          <w:rFonts w:ascii="Arial" w:cs="Arial" w:eastAsia="Arial" w:hAnsi="Arial"/>
          <w:sz w:val="18"/>
          <w:szCs w:val="18"/>
          <w:color w:val="auto"/>
        </w:rPr>
      </w:pPr>
    </w:p>
    <w:p>
      <w:pPr>
        <w:ind w:left="240" w:right="660" w:firstLine="221"/>
        <w:spacing w:after="0" w:line="277"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Debt Securities of such series will be issuable in definitive form only upon receipt of certain certificates or other documents or upon satisfaction of certain conditions, the form and terms of such certificates, documents or conditions;</w:t>
      </w:r>
    </w:p>
    <w:p>
      <w:pPr>
        <w:spacing w:after="0" w:line="62" w:lineRule="exact"/>
        <w:rPr>
          <w:rFonts w:ascii="Arial" w:cs="Arial" w:eastAsia="Arial" w:hAnsi="Arial"/>
          <w:sz w:val="18"/>
          <w:szCs w:val="18"/>
          <w:color w:val="auto"/>
        </w:rPr>
      </w:pPr>
    </w:p>
    <w:p>
      <w:pPr>
        <w:jc w:val="both"/>
        <w:ind w:left="240" w:right="80" w:firstLine="221"/>
        <w:spacing w:after="0" w:line="264"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Debt Securities of such series will be convertible into shares of Common Shares and, if so, the terms and conditions, which may be in addition to or in lieu of the provisions contained in this Indenture, upon which such Debt Securities will be so convertible, including the conversion price and the conversion period;</w:t>
      </w:r>
    </w:p>
    <w:p>
      <w:pPr>
        <w:spacing w:after="0" w:line="73" w:lineRule="exact"/>
        <w:rPr>
          <w:rFonts w:ascii="Arial" w:cs="Arial" w:eastAsia="Arial" w:hAnsi="Arial"/>
          <w:sz w:val="18"/>
          <w:szCs w:val="18"/>
          <w:color w:val="auto"/>
        </w:rPr>
      </w:pPr>
    </w:p>
    <w:p>
      <w:pPr>
        <w:ind w:left="240" w:right="200" w:firstLine="221"/>
        <w:spacing w:after="0" w:line="277"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portion of the principal amount of the Debt Securities which will be payable upon declaration of acceleration of the maturity thereof, if other than the principal amount thereof;</w:t>
      </w:r>
    </w:p>
    <w:p>
      <w:pPr>
        <w:spacing w:after="0" w:line="62" w:lineRule="exact"/>
        <w:rPr>
          <w:rFonts w:ascii="Arial" w:cs="Arial" w:eastAsia="Arial" w:hAnsi="Arial"/>
          <w:sz w:val="18"/>
          <w:szCs w:val="18"/>
          <w:color w:val="auto"/>
        </w:rPr>
      </w:pPr>
    </w:p>
    <w:p>
      <w:pPr>
        <w:ind w:left="800" w:hanging="339"/>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nature, content and date for reports by the Company to the holders of the Offered Debt Securities;</w:t>
      </w:r>
    </w:p>
    <w:p>
      <w:pPr>
        <w:spacing w:after="0" w:line="117" w:lineRule="exact"/>
        <w:rPr>
          <w:rFonts w:ascii="Arial" w:cs="Arial" w:eastAsia="Arial" w:hAnsi="Arial"/>
          <w:sz w:val="18"/>
          <w:szCs w:val="18"/>
          <w:color w:val="auto"/>
        </w:rPr>
      </w:pPr>
    </w:p>
    <w:p>
      <w:pPr>
        <w:ind w:left="240" w:right="600" w:firstLine="221"/>
        <w:spacing w:after="0" w:line="277"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the right of the Trustee or the Holders to declare the principal of, and premium and interest on, such Debt Securities due and payable;</w:t>
      </w:r>
    </w:p>
    <w:p>
      <w:pPr>
        <w:spacing w:after="0" w:line="62" w:lineRule="exact"/>
        <w:rPr>
          <w:rFonts w:ascii="Arial" w:cs="Arial" w:eastAsia="Arial" w:hAnsi="Arial"/>
          <w:sz w:val="18"/>
          <w:szCs w:val="18"/>
          <w:color w:val="auto"/>
        </w:rPr>
      </w:pPr>
    </w:p>
    <w:p>
      <w:pPr>
        <w:ind w:left="240" w:right="580" w:firstLine="221"/>
        <w:spacing w:after="0" w:line="277" w:lineRule="auto"/>
        <w:tabs>
          <w:tab w:leader="none" w:pos="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or not the Debt Securities shall have the benefit of Article Seventeen and, if so, which entities shall be the initial Guarantors of the Company’s obligations with respect to such Debt Securities; and</w:t>
      </w:r>
    </w:p>
    <w:p>
      <w:pPr>
        <w:spacing w:after="0" w:line="62" w:lineRule="exact"/>
        <w:rPr>
          <w:rFonts w:ascii="Arial" w:cs="Arial" w:eastAsia="Arial" w:hAnsi="Arial"/>
          <w:sz w:val="18"/>
          <w:szCs w:val="18"/>
          <w:color w:val="auto"/>
        </w:rPr>
      </w:pPr>
    </w:p>
    <w:p>
      <w:pPr>
        <w:ind w:left="800" w:hanging="339"/>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117" w:lineRule="exact"/>
        <w:rPr>
          <w:sz w:val="20"/>
          <w:szCs w:val="20"/>
          <w:color w:val="auto"/>
        </w:rPr>
      </w:pPr>
    </w:p>
    <w:p>
      <w:pPr>
        <w:ind w:firstLine="215"/>
        <w:spacing w:after="0" w:line="302" w:lineRule="auto"/>
        <w:rPr>
          <w:sz w:val="20"/>
          <w:szCs w:val="20"/>
          <w:color w:val="auto"/>
        </w:rPr>
      </w:pPr>
      <w:r>
        <w:rPr>
          <w:rFonts w:ascii="Arial" w:cs="Arial" w:eastAsia="Arial" w:hAnsi="Arial"/>
          <w:sz w:val="16"/>
          <w:szCs w:val="16"/>
          <w:color w:val="auto"/>
        </w:rPr>
        <w:t>All Debt Securities of any one series shall be substantially identical except as to denomination, rate of interest, Stated Maturity and the date from which interest, if any, shall accrue, which, as set forth above, may be determined by the Company from time to time as to Debt Securities of a series if so provided in or established pursuant to the authority granted in a Board Resolution or in any such indenture supplemental hereto, and except as may otherwise be provided in or pursuant to such Board Resolution and (subject to Section 3.03) set forth in such Officers’ Certificate, or in any such indenture supplemental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0" w:name="page71"/>
    <w:bookmarkEnd w:id="70"/>
    <w:p>
      <w:pPr>
        <w:ind w:right="320"/>
        <w:spacing w:after="0" w:line="277" w:lineRule="auto"/>
        <w:rPr>
          <w:sz w:val="20"/>
          <w:szCs w:val="20"/>
          <w:color w:val="auto"/>
        </w:rPr>
      </w:pPr>
      <w:r>
        <w:rPr>
          <w:rFonts w:ascii="Arial" w:cs="Arial" w:eastAsia="Arial" w:hAnsi="Arial"/>
          <w:sz w:val="18"/>
          <w:szCs w:val="18"/>
          <w:color w:val="auto"/>
        </w:rPr>
        <w:t>hereto. All Debt Securities of any one series need not be issued at the same time, and unless otherwise provided, a series may be reopened for issuance of additional Debt Securities of such series.</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If any of the terms of a series of Debt Securities is established in or pursuant to a Board Resolution, a copy of such Board Resolution shall be certified by the Secretary or an Assistant Secretary of the Company and delivered to the Trustee at or prior to the delivery of the Officers’ Certificate setting forth the terms of the series.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color w:val="auto"/>
        </w:rPr>
        <w:t>In the absence of any specification pursuant to Section 3.01 with respect to the Debt Securities of any series, the Debt Securities of such series shall be issuable only as Registered Securities in denominations of $2,000 and any integral multiples of $1,000 in excess thereof and shall be payable only in Dollars.</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Debt Securities of any series shall be executed on behalf of the Company by its Chairman of the Board, Chief Executive Officer, Chief Financial Officer, President, one of its Vice Presidents or its Treasurer, under its corporate seal reproduced thereon and attested by its Secretary or one of its Assistant Secretaries. The signature of any of these officers may be manual or facsimile. Each Guarantor shall execute the Guarantee in the manner set forth in Section 17.02.</w:t>
      </w:r>
    </w:p>
    <w:p>
      <w:pPr>
        <w:spacing w:after="0" w:line="79"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Debt Securities and Guarantees bearing the manual or facsimile signatures of individuals who were at any time the proper officers of the Company shall bind the Company and the applicable Guarantors, notwithstanding that such individuals or any of them have ceased to hold such offices prior to the authentication and delivery of such Debt Securities or Guarantees, as applicable, or did not hold such offices at the date of such Debt Securities or Guarantees.</w:t>
      </w:r>
    </w:p>
    <w:p>
      <w:pPr>
        <w:spacing w:after="0" w:line="79" w:lineRule="exact"/>
        <w:rPr>
          <w:sz w:val="20"/>
          <w:szCs w:val="20"/>
          <w:color w:val="auto"/>
        </w:rPr>
      </w:pPr>
    </w:p>
    <w:p>
      <w:pPr>
        <w:ind w:right="20" w:firstLine="215"/>
        <w:spacing w:after="0" w:line="290"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Debt Securities, of any series, executed by the Company, to the Trustee for authentication, together with a Company Order for the authentication and delivery of such Debt Securities and the Trustee in accordance with the Company Order shall authenticate and deliver such Debt Securities. If all the Debt Securities of any one series are not to be issued at one time and if a Board Resolution or supplemental indenture relating to such series shall so permit, such Company Order may set forth procedures acceptable to the Trustee for the issuance of such Debt Securities such as interest rate, Stated Maturity, date of issuance and date from which interest, if any, shall accrue. If any Debt Security shall be represented by a permanent Global Note, then, for purposes of this Section 3.03 and Section 3.04, the notation of a beneficial owner’s interest therein upon original issuance of such Debt Security or upon exchange of a portion of a temporary Global Note shall be deemed to be delivery in connection with the original issuance of such beneficial owner’s interest in such permanent Global Note.</w:t>
      </w:r>
    </w:p>
    <w:p>
      <w:pPr>
        <w:spacing w:after="0" w:line="58"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Trustee shall be entitled to receive, and (subject to Section 6.01) shall be fully protected in relying upon, prior to the authentication and delivery of the Debt Securities of such series, (i) the supplemental indenture or the Board Resolution by or pursuant to which the form and terms of such Debt Securities have been approved and (ii) an Opinion of Counsel substantially to the effect that:</w:t>
      </w:r>
    </w:p>
    <w:p>
      <w:pPr>
        <w:spacing w:after="0" w:line="73" w:lineRule="exact"/>
        <w:rPr>
          <w:sz w:val="20"/>
          <w:szCs w:val="20"/>
          <w:color w:val="auto"/>
        </w:rPr>
      </w:pPr>
    </w:p>
    <w:p>
      <w:pPr>
        <w:ind w:left="240" w:right="160" w:firstLine="221"/>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form of the Debt Securities has been established by or pursuant to a Board Resolution as permitted by Section 3.01, that such form has been established in conformity with the provisions of the Indenture;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1" w:name="page72"/>
    <w:bookmarkEnd w:id="71"/>
    <w:p>
      <w:pPr>
        <w:ind w:left="240" w:right="160" w:firstLine="221"/>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terms of such Debt Securities have been established by or pursuant to a Board Resolution as permitted by Section 3.01, that such terms have been established in conformity with the provisions of this Indenture; and</w:t>
      </w:r>
    </w:p>
    <w:p>
      <w:pPr>
        <w:spacing w:after="0" w:line="62" w:lineRule="exact"/>
        <w:rPr>
          <w:rFonts w:ascii="Arial" w:cs="Arial" w:eastAsia="Arial" w:hAnsi="Arial"/>
          <w:sz w:val="18"/>
          <w:szCs w:val="18"/>
          <w:color w:val="auto"/>
        </w:rPr>
      </w:pPr>
    </w:p>
    <w:p>
      <w:pPr>
        <w:ind w:left="240" w:right="80" w:firstLine="221"/>
        <w:spacing w:after="0" w:line="25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Debt Securities, when authenticated and delivered by the Trustee and issued by the Company in the manner and subject to any conditions specified in such Opinion of Counsel, will constitute valid and binding obligations enforceable against the Company in accordance with their terms, subject to applicable bankruptcy, insolvency and similar laws affecting creditors’ rights generally and subject, as to enforceability, to general principles of equity (regardless of whether enforcement is sought in a proceeding in equity or at law) and subject to such other exceptions as counsel shall request and as to which the Trustee shall not reasonably object.</w:t>
      </w:r>
    </w:p>
    <w:p>
      <w:pPr>
        <w:spacing w:after="0" w:line="80"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Trustee shall not be required to authenticate such Debt Securities if the issuance of such Debt Securities pursuant to this Indenture will affect the Trustee’s own rights, duties or immunities under the Debt Securities and this Indenture in a manner which is not reasonably acceptable to the Trustee.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Registered Security shall be dated the date of its authentication.</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No Debt Security shall be entitled to any benefit under this Indenture or be valid or obligatory for any purpose unless there appears on such Debt Security a certificate of authentication substantially in one of the forms provided for herein duly executed by the Trustee or by an Authenticating Agent, and such certificate upon any Debt Security shall be conclusive evidence, and the only evidence, that such Debt Security has been duly authenticated and delivered hereunder and is entitled to the benefits of this Indenture. Notwithstanding the foregoing, if any Debt Security shall have been duly authenticated and delivered hereunder but never issued and sold by the Company, and the Company shall deliver such Debt Security to the Trustee for cancellation as provided in Section 3.08 together with a written statement (which need not comply with Section 1.02) stating that such Debt Security has never been issued and sold by the Company, for all purposes of this Indenture such Debt Security shall be deemed never to have been authenticated and delivered hereunder and shall never be entitled to the benefits of this Indenture.</w:t>
      </w:r>
    </w:p>
    <w:p>
      <w:pPr>
        <w:spacing w:after="0" w:line="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Debt Securities; Global Notes Representing Registered Securities</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272" w:lineRule="auto"/>
        <w:tabs>
          <w:tab w:leader="none" w:pos="47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Pending the preparation of definitive Registered Securities of any series, the Company may execute, and upon Company Order the Trustee shall authenticate and deliver, temporary Registered Securities which are printed, lithographed, typewritten, mimeographed or otherwise produced, in any authorized denomination for Registered Securities of such series, substantially of the tenor of the definitive Registered Securities in lieu of which they are issued and with such appropriate insertions, omissions, substitutions and other variations as the officers executing such Registered Securities may determine, as conclusively evidenced by their execution of such Registered Securities. Every such temporary Registered Security shall be executed by the Company and shall be authenticated and delivered by the Trustee upon the same conditions and in substantially the same manner, and with the same effect, as the definitive Registered Securities in lieu of which they are issued.</w:t>
      </w:r>
    </w:p>
    <w:p>
      <w:pPr>
        <w:spacing w:after="0" w:line="7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If temporary Debt Securities of any series are issued, the Company will cause definitive Debt Securities of such series to be prepared without unreasonable delay. After the preparation of definitive Debt Securities of such series, the temporary Debt Securities of such series shall be exchangeable for definitive Debt Securities of such series, of a like Stated Maturity and with like terms and provisions, upon surrender of the temporary Debt Securities of such series at the office or agency of the Company in a Place of Payment for such series, without charge to the Holder, except as provided in Section 3.05 in connection with a transfer. Upon surrender for cancellation of any one or more temporary Debt Securities of 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right="140"/>
        <w:spacing w:after="0" w:line="312" w:lineRule="auto"/>
        <w:rPr>
          <w:sz w:val="20"/>
          <w:szCs w:val="20"/>
          <w:color w:val="auto"/>
        </w:rPr>
      </w:pPr>
      <w:r>
        <w:rPr>
          <w:rFonts w:ascii="Arial" w:cs="Arial" w:eastAsia="Arial" w:hAnsi="Arial"/>
          <w:sz w:val="16"/>
          <w:szCs w:val="16"/>
          <w:color w:val="auto"/>
        </w:rPr>
        <w:t>series, the Company shall execute and the Trustee shall authenticate and deliver in exchange therefor a like principal amount of definitive Debt Securities of the same series of authorized denominations and of a like Stated Maturity and like terms and provisions. Until so exchanged, the temporary Registered Securities of any series shall in all respects be entitled to the same benefits under this Indenture as definitive Registered Securities of such series.</w:t>
      </w:r>
    </w:p>
    <w:p>
      <w:pPr>
        <w:spacing w:after="0" w:line="39" w:lineRule="exact"/>
        <w:rPr>
          <w:sz w:val="20"/>
          <w:szCs w:val="20"/>
          <w:color w:val="auto"/>
        </w:rPr>
      </w:pPr>
    </w:p>
    <w:p>
      <w:pPr>
        <w:ind w:right="120" w:firstLine="233"/>
        <w:spacing w:after="0" w:line="293" w:lineRule="auto"/>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3.01 that the Registered Securities of a series are to be issued in whole or in part in the form of one or more Global Notes, then the Company shall execute and the Trustee shall, in accordance with Section 3.03 and the Company Order with respect to such series, authenticate and deliver one or more Global Notes in temporary or permanent form that (i) shall represent and shall be denominated in an amount equal to the aggregate principal amount of the Outstanding Debt Securities of such series to be represented by one or more Global Notes, (ii) shall be registered in the name of the Depositary for such Global Note or Notes or the nominee of such Depositary, (iii) shall be delivered by the Trustee to such Depository or delivered or held pursuant to such Depositary’s instructions, and (iv) shall bear a legend substantially to the following effect:</w:t>
      </w:r>
    </w:p>
    <w:p>
      <w:pPr>
        <w:spacing w:after="0" w:line="57"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color w:val="auto"/>
        </w:rPr>
        <w:t>“THIS DEBT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AND UNTIL THIS DEBT SECURITY IS EXCHANGED IN WHOLE OR IN PART FOR DEBT SECURITIES IN DEFINITIVE FORM.”</w:t>
      </w:r>
    </w:p>
    <w:p>
      <w:pPr>
        <w:spacing w:after="0" w:line="6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Each Depositary designated pursuant to Section 3.01 must, at the time of its designation and at all times while it serves as Depositary, be a clearing agency registered under the Exchange Act and any other applicable statute or regulation.</w:t>
      </w:r>
    </w:p>
    <w:p>
      <w:pPr>
        <w:spacing w:after="0" w:line="62"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Notwithstanding any other provision of this Section 3.04 or Section 3.05, unless and until a Global Note is exchanged in whole or in part for Registered Securities in definitive form, a Global Note representing all or a portion of the Registered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46"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If at any time the Depositary for the Debt Securities of a series notifies the Company that it is unwilling or unable to continue as Depositary for the Debt Securities of such series or if at any time the Depositary for Debt Securities of a series shall no longer be a clearing agency registered and in good standing under the Exchange Act or other applicable statute or regulation (as required by this Section 3.04), the Company shall appoint a successor Depositary eligible under this Section 3.04 with respect to the Debt Securities of such series. If a successor Depositary for the Debt Securities of such series is not appointed by the Company within 90 days after the Company receives such notice or becomes aware of such condition, the Company will execute, and the Trustee, upon receipt of a Company Order for the authentication and delivery of definitive Debt Securities of such series, will authenticate and deliver, Registered Securities of such series in definitive form in an aggregate principal amount equal to the principal amount of the Global Note or Notes representing such series in exchange for such Global Note or Notes.</w:t>
      </w:r>
    </w:p>
    <w:p>
      <w:pPr>
        <w:spacing w:after="0" w:line="7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 may at any time and in its sole discretion determine that the Registered Securities of any series issued in the form of one or more Global Notes shall no longer be represented by such Global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ind w:right="20"/>
        <w:spacing w:after="0" w:line="286" w:lineRule="auto"/>
        <w:rPr>
          <w:sz w:val="20"/>
          <w:szCs w:val="20"/>
          <w:color w:val="auto"/>
        </w:rPr>
      </w:pPr>
      <w:r>
        <w:rPr>
          <w:rFonts w:ascii="Arial" w:cs="Arial" w:eastAsia="Arial" w:hAnsi="Arial"/>
          <w:sz w:val="17"/>
          <w:szCs w:val="17"/>
          <w:color w:val="auto"/>
        </w:rPr>
        <w:t>Note or Notes. In such event, the Company will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5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If the Registered Securities of any series shall have been issued in the form of one or more Global Notes and if an Event of Default with respect to the Debt Securities of such series shall have occurred and be continuing, the Company will promptly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8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If specified by the Company pursuant to Section 3.01 with respect to Registered Securities of a series, the Depositary for such series of Registered Securities may surrender a Global Note for such series of Debt Securities in exchange in whole or in part for Registered Securities of such series in definitive form on such terms as are acceptable to the Company and such depositary. Thereupon, the Company shall execute and the Trustee shall authenticate and deliver, without charge:</w:t>
      </w:r>
    </w:p>
    <w:p>
      <w:pPr>
        <w:spacing w:after="0" w:line="79" w:lineRule="exact"/>
        <w:rPr>
          <w:sz w:val="20"/>
          <w:szCs w:val="20"/>
          <w:color w:val="auto"/>
        </w:rPr>
      </w:pPr>
    </w:p>
    <w:p>
      <w:pPr>
        <w:ind w:left="240" w:right="140" w:firstLine="221"/>
        <w:spacing w:after="0" w:line="308"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each Person specified by the Depositary a new Registered Security or Securities of the same series, of any authorized denomination as requested by such Person in an aggregate principal amount equal to and in exchange for such Person’s beneficial interest in the Global Note; and</w:t>
      </w:r>
    </w:p>
    <w:p>
      <w:pPr>
        <w:spacing w:after="0" w:line="38" w:lineRule="exact"/>
        <w:rPr>
          <w:rFonts w:ascii="Arial" w:cs="Arial" w:eastAsia="Arial" w:hAnsi="Arial"/>
          <w:sz w:val="17"/>
          <w:szCs w:val="17"/>
          <w:color w:val="auto"/>
        </w:rPr>
      </w:pPr>
    </w:p>
    <w:p>
      <w:pPr>
        <w:ind w:left="240" w:right="40" w:firstLine="221"/>
        <w:spacing w:after="0" w:line="277" w:lineRule="auto"/>
        <w:tabs>
          <w:tab w:leader="none" w:pos="7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Depositary a new Global Note in a denomination equal to the difference, if any, between the principal amount of the surrendered Global Note and the aggregate principal amount of Registered Securities delivered to Holders thereof.</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Upon the exchange of a Global Note for Registered Securities in definitive form, such Global Note shall be cancelled by the Trustee. Debt Securities issued in exchange for a Global Note pursuant to this subsection (b) shall be registered in such names and in such authorized denominations as the Depositary for such Global Note, pursuant to instructions from its direct or indirect participants or otherwise, shall instruct the Trustee. The Trustee shall deliver such Debt Securities to the Persons in whose names such Debt Securities are so registered.</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Transfer and Exchange</w:t>
      </w:r>
      <w:r>
        <w:rPr>
          <w:rFonts w:ascii="Arial" w:cs="Arial" w:eastAsia="Arial" w:hAnsi="Arial"/>
          <w:sz w:val="18"/>
          <w:szCs w:val="18"/>
          <w:color w:val="auto"/>
        </w:rPr>
        <w:t>.</w:t>
      </w:r>
    </w:p>
    <w:p>
      <w:pPr>
        <w:spacing w:after="0" w:line="117" w:lineRule="exact"/>
        <w:rPr>
          <w:sz w:val="20"/>
          <w:szCs w:val="20"/>
          <w:color w:val="auto"/>
        </w:rPr>
      </w:pPr>
    </w:p>
    <w:p>
      <w:pPr>
        <w:ind w:firstLine="233"/>
        <w:spacing w:after="0" w:line="276" w:lineRule="auto"/>
        <w:tabs>
          <w:tab w:leader="none" w:pos="467"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Company shall cause to be kept at the Corporate Trust Office of the Trustee a register (the registers maintained in such office and in any other office or agency of the Company in a Place of Payment being herein sometimes collectively referred to as the “Register”) in which, subject to such reasonable regulations as it may prescribe, the Company shall provide for the registration of Registered Securities and of transfers and exchanges of Registered Securities. The Trustee is hereby appointed “Registrar” for the purpose of registering Registered Securities and registering transfers and exchanges of Registered Securities as herein provided;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at its option appoint co-Registrars.</w:t>
      </w:r>
    </w:p>
    <w:p>
      <w:pPr>
        <w:spacing w:after="0" w:line="64"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Upon surrender for registration of transfer of any Registered Security of any series at the office or agency of the Company maintained for such purpose, the Company shall execute, and the Trustee shall authenticate and deliver, in the name of the designated transferee, one or more new Registered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right="320"/>
        <w:spacing w:after="0" w:line="277" w:lineRule="auto"/>
        <w:rPr>
          <w:sz w:val="20"/>
          <w:szCs w:val="20"/>
          <w:color w:val="auto"/>
        </w:rPr>
      </w:pPr>
      <w:r>
        <w:rPr>
          <w:rFonts w:ascii="Arial" w:cs="Arial" w:eastAsia="Arial" w:hAnsi="Arial"/>
          <w:sz w:val="18"/>
          <w:szCs w:val="18"/>
          <w:color w:val="auto"/>
        </w:rPr>
        <w:t>of the same series of like aggregate principal amount of such denominations as are authorized for Registered Securities of such series and of a like Stated Maturity and with like terms and conditions.</w:t>
      </w:r>
    </w:p>
    <w:p>
      <w:pPr>
        <w:spacing w:after="0" w:line="62"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Except as otherwise provided in Section 3.04 and this Section 3.05, at the option of the Holder, Registered Securities of any series may be exchanged for other Registered Securities of the same series of like aggregate principal amount and of a like Stated Maturity and with like terms and conditions, upon surrender of the Registered Securities to be exchanged at such office or agency. Whenever any Registered Securities are surrendered for exchange, the Company shall execute, and the Trustee shall authenticate and deliver, the Registered Securities which the Holder making the exchange is entitled to receive.</w:t>
      </w:r>
    </w:p>
    <w:p>
      <w:pPr>
        <w:spacing w:after="0" w:line="46" w:lineRule="exact"/>
        <w:rPr>
          <w:sz w:val="20"/>
          <w:szCs w:val="20"/>
          <w:color w:val="auto"/>
        </w:rPr>
      </w:pPr>
    </w:p>
    <w:p>
      <w:pPr>
        <w:ind w:right="120" w:firstLine="233"/>
        <w:spacing w:after="0" w:line="277"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Debt Securities issued upon any transfer or exchange of Debt Securities shall be valid obligations of the Company, evidencing the same debt, and entitled to the same benefits under this Indenture, as the Debt Securities surrendered for such transfer or exchange.</w:t>
      </w:r>
    </w:p>
    <w:p>
      <w:pPr>
        <w:spacing w:after="0" w:line="62"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Every Registered Security presented or surrendered for transfer or exchange shall (if so required by the Company or the Trustee) be duly endorsed, or be accompanied by a written instrument of transfer in form satisfactory to the Company and the Registrar, duly executed, by the Holder thereof or his attorney duly authorized in writing.</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No service charge will be made for any transfer or exchange of Debt Securities except as provided in Section 3.06. The Company may require payment of a sum sufficient to cover any tax or other governmental charge that may be imposed in connection with any registration, transfer or exchange of Debt Securities, other than those expressly provided in this Indenture to be made at the Company’s own expense or without expense or without charge to the Holders.</w:t>
      </w:r>
    </w:p>
    <w:p>
      <w:pPr>
        <w:spacing w:after="0" w:line="7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shall not be required (i) to register, transfer or exchange Debt Securities of any series during a period beginning at the opening of business 15 days before the day of the transmission of a notice of redemption of Debt Securities of such series selected for redemption under Section 13.03 and ending at the close of business on the day of such transmission, or (ii) to register, transfer or exchange any Debt Security so selected for redemption in whole or in part, except the unredeemed portion of any Debt Security being redeemed in part.</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Debt Securities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If (i) any mutilated Debt Security is surrendered to the Trustee at its Corporate Trust Office, or (ii) the Company and the Trustee receive evidence to their satisfaction of the destruction, loss or theft of any Debt Security, and there is delivered to the Company and the Trustee such security or indemnity as may be required by them to save each of them and any Paying Agent harmless, and neither the Company nor the Trustee receives notice that such Debt Security has been acquired by a bona fide purchaser, then the Company shall execute and upon Company Request the Trustee shall authenticate and deliver, in exchange for or in lieu of any such mutilated, destroyed, lost or stolen Debt Security, a new Debt Security of the same series of like Stated Maturity and with like terms and conditions and like principal amount, bearing a number not contemporaneously used with respect to any Debt Securities Outstanding.</w:t>
      </w:r>
    </w:p>
    <w:p>
      <w:pPr>
        <w:spacing w:after="0" w:line="5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case any such mutilated, destroyed, lost or stolen Debt Security has become or is about to become due and payable, the Company in its discretion may, instead of issuing a new Debt Security, pay the amount due on such Debt Security in accordance with its terms.</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Upon the issuance of any new Debt Security under this Section 3.06, the Company may require the payment of a sum sufficient to cover any tax or other governmental charge that may be imposed in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respect thereto and any other expenses (including the fees and expenses of the Trustee) connected therewith.</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Every new Debt Security of any series issued pursuant to this Section 3.06 shall constitute an original additional contractual obligation of the Company, whether or not the destroyed, lost or stolen Debt Security shall be at any time enforceable by anyone, and shall be entitled to all the benefits of this Indenture equally and proportionately with any and all other Debt Securities of that series duly issued hereunder.</w:t>
      </w:r>
    </w:p>
    <w:p>
      <w:pPr>
        <w:spacing w:after="0" w:line="73"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provisions of this Section 3.06 are exclusive and shall preclude (to the extent lawful) all other rights and remedies with respect to the replacement or payment of mutilated, destroyed, lost or stolen Debt Securities.</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117" w:lineRule="exact"/>
        <w:rPr>
          <w:sz w:val="20"/>
          <w:szCs w:val="20"/>
          <w:color w:val="auto"/>
        </w:rPr>
      </w:pPr>
    </w:p>
    <w:p>
      <w:pPr>
        <w:ind w:right="140" w:firstLine="233"/>
        <w:spacing w:after="0" w:line="284" w:lineRule="auto"/>
        <w:tabs>
          <w:tab w:leader="none" w:pos="4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Interest on any Registered Security which is payable and is punctually paid or duly provided for on any Interest Payment Date shall be paid to the Person in whose name such Registered Security (or one or more Predecessor Securities) is registered at the close of business on the Regular Record Date for such interest notwithstanding the cancellation of such Registered Security upon any transfer or exchange subsequent to the Regular Record Date. Unless otherwise specified as contemplated by Section 3.01 with respect to the Debt Securities of any series, payment of interest on Registered Securities shall be made at the place or places specified pursuant to Section 3.01 or, at the option of the Company, by check mailed to the address of the Person entitled thereto as such address appears in the Register or, if provided pursuant to Section 3.01, by wire transfer to an account designated by the Registered Holder.</w:t>
      </w:r>
    </w:p>
    <w:p>
      <w:pPr>
        <w:spacing w:after="0" w:line="4" w:lineRule="exact"/>
        <w:rPr>
          <w:rFonts w:ascii="Arial" w:cs="Arial" w:eastAsia="Arial" w:hAnsi="Arial"/>
          <w:sz w:val="16"/>
          <w:szCs w:val="16"/>
          <w:color w:val="auto"/>
        </w:rPr>
      </w:pPr>
    </w:p>
    <w:p>
      <w:pPr>
        <w:ind w:right="300" w:firstLine="233"/>
        <w:spacing w:after="0" w:line="254"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interest on any Debt Security which is payable but is not punctually paid or duly provided for on any Interest Payment Date (herein called “Defaulted Interest”) shall, if such Debt Security is a Registered Security, forthwith cease to be payable to the Registered Holder on the relevant Regular Record Date by virtue of his having been such Registered Holder, and such Defaulted Interest may be paid by the Company, at its election in each case, as provided in clause (1) or (2) below:</w:t>
      </w:r>
    </w:p>
    <w:p>
      <w:pPr>
        <w:spacing w:after="0" w:line="81" w:lineRule="exact"/>
        <w:rPr>
          <w:rFonts w:ascii="Arial" w:cs="Arial" w:eastAsia="Arial" w:hAnsi="Arial"/>
          <w:sz w:val="18"/>
          <w:szCs w:val="18"/>
          <w:color w:val="auto"/>
        </w:rPr>
      </w:pPr>
    </w:p>
    <w:p>
      <w:pPr>
        <w:ind w:left="940" w:hanging="251"/>
        <w:spacing w:after="0"/>
        <w:tabs>
          <w:tab w:leader="none" w:pos="9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such Registered Securities (or their</w:t>
      </w:r>
    </w:p>
    <w:p>
      <w:pPr>
        <w:spacing w:after="0" w:line="34" w:lineRule="exact"/>
        <w:rPr>
          <w:rFonts w:ascii="Arial" w:cs="Arial" w:eastAsia="Arial" w:hAnsi="Arial"/>
          <w:sz w:val="17"/>
          <w:szCs w:val="17"/>
          <w:color w:val="auto"/>
        </w:rPr>
      </w:pPr>
    </w:p>
    <w:p>
      <w:pPr>
        <w:ind w:left="460"/>
        <w:spacing w:after="0" w:line="281" w:lineRule="auto"/>
        <w:rPr>
          <w:rFonts w:ascii="Arial" w:cs="Arial" w:eastAsia="Arial" w:hAnsi="Arial"/>
          <w:sz w:val="17"/>
          <w:szCs w:val="17"/>
          <w:color w:val="auto"/>
        </w:rPr>
      </w:pPr>
      <w:r>
        <w:rPr>
          <w:rFonts w:ascii="Arial" w:cs="Arial" w:eastAsia="Arial" w:hAnsi="Arial"/>
          <w:sz w:val="16"/>
          <w:szCs w:val="16"/>
          <w:color w:val="auto"/>
        </w:rPr>
        <w:t>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Registered Security and the date of the proposed payment, and at the same time the Company shall deposit with the Trustee an amount of money in the Currency or Currency unit in which the Debt Securities of such series are payable (except as otherwise specified pursuant to Sections 3.01 or</w:t>
      </w:r>
    </w:p>
    <w:p>
      <w:pPr>
        <w:spacing w:after="0" w:line="2" w:lineRule="exact"/>
        <w:rPr>
          <w:rFonts w:ascii="Arial" w:cs="Arial" w:eastAsia="Arial" w:hAnsi="Arial"/>
          <w:sz w:val="17"/>
          <w:szCs w:val="17"/>
          <w:color w:val="auto"/>
        </w:rPr>
      </w:pPr>
    </w:p>
    <w:p>
      <w:pPr>
        <w:ind w:left="460"/>
        <w:spacing w:after="0" w:line="287" w:lineRule="auto"/>
        <w:rPr>
          <w:rFonts w:ascii="Arial" w:cs="Arial" w:eastAsia="Arial" w:hAnsi="Arial"/>
          <w:sz w:val="17"/>
          <w:szCs w:val="17"/>
          <w:color w:val="auto"/>
        </w:rPr>
      </w:pPr>
      <w:r>
        <w:rPr>
          <w:rFonts w:ascii="Arial" w:cs="Arial" w:eastAsia="Arial" w:hAnsi="Arial"/>
          <w:sz w:val="16"/>
          <w:szCs w:val="16"/>
          <w:color w:val="auto"/>
        </w:rPr>
        <w:t>3.10)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date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Registered Securities at their addresses as they appear in the Register, not less than 10 days prior to such Special Record Date. Notice of the proposed payment of such Defaulted Interest and the Special Record Date therefor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left="240" w:right="60"/>
        <w:spacing w:after="0" w:line="264" w:lineRule="auto"/>
        <w:rPr>
          <w:sz w:val="20"/>
          <w:szCs w:val="20"/>
          <w:color w:val="auto"/>
        </w:rPr>
      </w:pPr>
      <w:r>
        <w:rPr>
          <w:rFonts w:ascii="Arial" w:cs="Arial" w:eastAsia="Arial" w:hAnsi="Arial"/>
          <w:sz w:val="18"/>
          <w:szCs w:val="18"/>
          <w:color w:val="auto"/>
        </w:rPr>
        <w:t>having been mailed as aforesaid, such Defaulted Interest shall be paid to the Persons in whose names such Registered Securities (or their respective Predecessor Securities) are registered at the close of business on such Special Record Date and shall no longer be payable pursuant to the following clause (2).</w:t>
      </w:r>
    </w:p>
    <w:p>
      <w:pPr>
        <w:spacing w:after="0" w:line="73" w:lineRule="exact"/>
        <w:rPr>
          <w:sz w:val="20"/>
          <w:szCs w:val="20"/>
          <w:color w:val="auto"/>
        </w:rPr>
      </w:pPr>
    </w:p>
    <w:p>
      <w:pPr>
        <w:ind w:left="240" w:right="40" w:firstLine="221"/>
        <w:spacing w:after="0" w:line="259" w:lineRule="auto"/>
        <w:tabs>
          <w:tab w:leader="none" w:pos="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Registered Securities in any other lawful manner not inconsistent with the requirements of any securities exchange on which such Registered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8" w:lineRule="exact"/>
        <w:rPr>
          <w:rFonts w:ascii="Arial" w:cs="Arial" w:eastAsia="Arial" w:hAnsi="Arial"/>
          <w:sz w:val="18"/>
          <w:szCs w:val="18"/>
          <w:color w:val="auto"/>
        </w:rPr>
      </w:pPr>
    </w:p>
    <w:p>
      <w:pPr>
        <w:ind w:right="60" w:firstLine="233"/>
        <w:spacing w:after="0" w:line="308" w:lineRule="auto"/>
        <w:tabs>
          <w:tab w:leader="none" w:pos="4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the foregoing provisions of this Section 3.07, each Debt Security delivered under this Indenture upon transfer of or in exchange for or in lieu of any other Debt Security shall carry the rights to interest accrued and unpaid, and to accrue, which were carried by such other Debt Security.</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Unless otherwise specified pursuant to Section 3.01 for Debt Securities of any series, all Debt Securities surrendered for payment, redemption, transfer, exchange or credit against any sinking fund shall, if surrendered to any Person other than the Trustee, be delivered to the Trustee. All Registered Securities so delivered shall be promptly cancelled by the Trustee. The Company may at any time deliver to the Trustee for cancellation any Debt Securities previously authenticated and delivered hereunder which the Company may have acquired in any manner whatsoever, and may deliver to the Trustee (or to any other Person for delivery to the Trustee) for cancellation any Debt Securities previously authenticated hereunder which the Company has not issued, and all Debt Securities so delivered shall be promptly cancelled by the Trustee. No Debt Securities shall be authenticated in lieu of or in exchange for any Debt Securities cancelled as provided in this Section 3.08, except as expressly permitted by this Indenture. All cancelled Debt Securities held by the Trustee shall be delivered to the Company upon Company Request. The acquisition of any Debt Securities by the Company shall not operate as a redemption or satisfaction of the indebtedness represented thereby unless and until such Debt Securities are surrendered to the Trustee for cancellation. Permanent Global Notes shall not be destroyed until exchanged in full for definitive Debt Securities or until payment thereon is made in full.</w:t>
      </w:r>
    </w:p>
    <w:p>
      <w:pPr>
        <w:spacing w:after="0" w:line="6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Except as otherwise specified pursuant to Section 3.01 for Debt Securities of any series, interest on the Debt Securities of each series shall be computed on the basis of a 360-day year of twelve 30-day months.</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Currency of Payments in Respect of Debt Securities</w:t>
      </w:r>
      <w:r>
        <w:rPr>
          <w:rFonts w:ascii="Arial" w:cs="Arial" w:eastAsia="Arial" w:hAnsi="Arial"/>
          <w:sz w:val="18"/>
          <w:szCs w:val="18"/>
          <w:color w:val="auto"/>
        </w:rPr>
        <w:t>.</w:t>
      </w:r>
    </w:p>
    <w:p>
      <w:pPr>
        <w:spacing w:after="0" w:line="117" w:lineRule="exact"/>
        <w:rPr>
          <w:sz w:val="20"/>
          <w:szCs w:val="20"/>
          <w:color w:val="auto"/>
        </w:rPr>
      </w:pPr>
    </w:p>
    <w:p>
      <w:pPr>
        <w:ind w:right="120" w:firstLine="233"/>
        <w:spacing w:after="0" w:line="286" w:lineRule="auto"/>
        <w:tabs>
          <w:tab w:leader="none" w:pos="467"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 respect to Registered Securities of any series not permitting the election provided for in paragraph (b) below or the Holders of which have not made the election provided for in paragraph (b) below, except as provided in paragraph (d) below, payment of the principal of (and premium, if any) and any interest on any Registered Security of such series will be made in the Currency in which such Registered Security is payable.</w:t>
      </w:r>
    </w:p>
    <w:p>
      <w:pPr>
        <w:spacing w:after="0" w:line="57" w:lineRule="exact"/>
        <w:rPr>
          <w:rFonts w:ascii="Arial" w:cs="Arial" w:eastAsia="Arial" w:hAnsi="Arial"/>
          <w:sz w:val="17"/>
          <w:szCs w:val="17"/>
          <w:color w:val="auto"/>
        </w:rPr>
      </w:pPr>
    </w:p>
    <w:p>
      <w:pPr>
        <w:ind w:right="620" w:firstLine="233"/>
        <w:spacing w:after="0" w:line="286" w:lineRule="auto"/>
        <w:tabs>
          <w:tab w:leader="none" w:pos="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It may be provided pursuant to Section 3.01 with respect to the Registered Securities of any series that Holders shall have the option, subject to paragraphs (d) and (e) below, to receive payments of principal of (and premium, if any) and any interest on such Registered Securities in any of the Currencies which may be designated for such election by delivering to the Trustee a written election, to be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spacing w:after="0" w:line="271" w:lineRule="auto"/>
        <w:rPr>
          <w:sz w:val="20"/>
          <w:szCs w:val="20"/>
          <w:color w:val="auto"/>
        </w:rPr>
      </w:pPr>
      <w:r>
        <w:rPr>
          <w:rFonts w:ascii="Arial" w:cs="Arial" w:eastAsia="Arial" w:hAnsi="Arial"/>
          <w:sz w:val="17"/>
          <w:szCs w:val="17"/>
          <w:color w:val="auto"/>
        </w:rPr>
        <w:t>form and substance satisfactory to the Trustee,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or election may be made with respect to payments to be made on any Registered Security of such series with respect to which an Event of Default has occurred or notice of redemption has been given by the Company pursuant to Article Thirteen). Any Holder of any such Registered Security who shall not have delivered any such election to the Trustee by the close of business on the applicable Election Date will be paid the amount due on the applicable payment date in the relevant Currency as provided in paragraph (a) of this Section 3.10.</w:t>
      </w:r>
    </w:p>
    <w:p>
      <w:pPr>
        <w:spacing w:after="0" w:line="71" w:lineRule="exact"/>
        <w:rPr>
          <w:sz w:val="20"/>
          <w:szCs w:val="20"/>
          <w:color w:val="auto"/>
        </w:rPr>
      </w:pPr>
    </w:p>
    <w:p>
      <w:pPr>
        <w:ind w:right="60" w:firstLine="233"/>
        <w:spacing w:after="0" w:line="270" w:lineRule="auto"/>
        <w:tabs>
          <w:tab w:leader="none" w:pos="470" w:val="left"/>
        </w:tabs>
        <w:numPr>
          <w:ilvl w:val="1"/>
          <w:numId w:val="61"/>
        </w:numPr>
        <w:rPr>
          <w:rFonts w:ascii="Arial" w:cs="Arial" w:eastAsia="Arial" w:hAnsi="Arial"/>
          <w:sz w:val="17"/>
          <w:szCs w:val="17"/>
          <w:color w:val="auto"/>
        </w:rPr>
      </w:pPr>
      <w:r>
        <w:rPr>
          <w:rFonts w:ascii="Arial" w:cs="Arial" w:eastAsia="Arial" w:hAnsi="Arial"/>
          <w:sz w:val="17"/>
          <w:szCs w:val="17"/>
          <w:color w:val="auto"/>
        </w:rPr>
        <w:t>If the election referred to in paragraph (b) above has been provided for pursuant to Section 3.01, then not later than the fourth Business Day after the Election Date for each payment date, the Trustee will deliver to the Company a written notice specifying the Currency in which such series of the Registered Securities is payable, the respective aggregate amounts of principal of (and premium, if any) and any interest on the Registered Securities to be paid on such payment date, specifying the amounts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on the second Business Day preceding each payment date, the Company will deliver to the Trustee an Exchange Rate Officer’s Certificate in respect of the Currency payments to be made on such payment date. The Currency amount receivable by Holders of Registered Securities who have elected payment in a Currency as provided in paragraph (b) above shall be determined by the Company on the basis of the applicable Market Exchange Rate in effect on the third Business Day (the “Valuation Date”) immediately preceding each payment date.</w:t>
      </w:r>
    </w:p>
    <w:p>
      <w:pPr>
        <w:spacing w:after="0" w:line="69" w:lineRule="exact"/>
        <w:rPr>
          <w:rFonts w:ascii="Arial" w:cs="Arial" w:eastAsia="Arial" w:hAnsi="Arial"/>
          <w:sz w:val="17"/>
          <w:szCs w:val="17"/>
          <w:color w:val="auto"/>
        </w:rPr>
      </w:pPr>
    </w:p>
    <w:p>
      <w:pPr>
        <w:ind w:right="120" w:firstLine="233"/>
        <w:spacing w:after="0" w:line="290" w:lineRule="auto"/>
        <w:tabs>
          <w:tab w:leader="none" w:pos="4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a Conversion Event occurs with respect to a Foreign Currency or any other Currency unit in which any of the Debt Securities are denominated or payable other than pursuant to an election provided for pursuant to paragraph (b) above, then with respect to each date for the payment of principal of (and premium, if any) and any interest on the applicable Debt Securities denominated or payable in such Foreign Currency or such other Currency unit occurring after the last date on which such Foreign Currency, or such other Currency unit was used (the “Conversion Date”), the Dollar shall be the Currency of payment for use on each such payment date. The Dollar amount to be paid by the Company to the Trustee and by the Trustee or any Paying Agent to the Holders of such Debt Securities with respect to such payment date shall be the Dollar Equivalent of the Foreign Currency or, in the case of a Currency unit, the Dollar Equivalent of the Currency Unit, in each case as determined by the Currency Determination Agent, if any, or, if there shall not be a Currency Determination Agent, then by the Trustee, in the manner provided in paragraph (f) or (g) below.</w:t>
      </w:r>
    </w:p>
    <w:p>
      <w:pPr>
        <w:spacing w:after="0" w:line="58" w:lineRule="exact"/>
        <w:rPr>
          <w:rFonts w:ascii="Arial" w:cs="Arial" w:eastAsia="Arial" w:hAnsi="Arial"/>
          <w:sz w:val="16"/>
          <w:szCs w:val="16"/>
          <w:color w:val="auto"/>
        </w:rPr>
      </w:pPr>
    </w:p>
    <w:p>
      <w:pPr>
        <w:ind w:left="480" w:hanging="247"/>
        <w:spacing w:after="0"/>
        <w:tabs>
          <w:tab w:leader="none" w:pos="4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If the Holder of a Registered Security denominated in any Currency shall have elected to be paid in another Currency as provided in paragraph</w:t>
      </w:r>
    </w:p>
    <w:p>
      <w:pPr>
        <w:spacing w:after="0" w:line="34" w:lineRule="exact"/>
        <w:rPr>
          <w:rFonts w:ascii="Arial" w:cs="Arial" w:eastAsia="Arial" w:hAnsi="Arial"/>
          <w:sz w:val="17"/>
          <w:szCs w:val="17"/>
          <w:color w:val="auto"/>
        </w:rPr>
      </w:pPr>
    </w:p>
    <w:p>
      <w:pPr>
        <w:ind w:right="20" w:firstLine="8"/>
        <w:spacing w:after="0" w:line="277"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above, and a Conversion Event occurs with respect to such elected Currency, such Holder shall receive payment in the Currency in which payment would have been made in the absence of such election. If a Conversion Event occurs with respect to the Currency in which payment would have been made in the absence of such election, such Holder shall receive payment in Dollars as provided in paragraph (d) of this Section 3.10.</w:t>
      </w:r>
    </w:p>
    <w:p>
      <w:pPr>
        <w:spacing w:after="0" w:line="65" w:lineRule="exact"/>
        <w:rPr>
          <w:rFonts w:ascii="Arial" w:cs="Arial" w:eastAsia="Arial" w:hAnsi="Arial"/>
          <w:sz w:val="17"/>
          <w:szCs w:val="17"/>
          <w:color w:val="auto"/>
        </w:rPr>
      </w:pPr>
    </w:p>
    <w:p>
      <w:pPr>
        <w:ind w:right="80" w:firstLine="233"/>
        <w:spacing w:after="0" w:line="277" w:lineRule="auto"/>
        <w:tabs>
          <w:tab w:leader="none" w:pos="4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“Dollar Equivalent of the Foreign Currency” shall be determined by the Currency Determination Agent, if any, or, if there shall not be a Currency Determination Agent, then by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8" w:name="page79"/>
    <w:bookmarkEnd w:id="78"/>
    <w:p>
      <w:pPr>
        <w:ind w:right="180"/>
        <w:spacing w:after="0" w:line="277" w:lineRule="auto"/>
        <w:rPr>
          <w:sz w:val="20"/>
          <w:szCs w:val="20"/>
          <w:color w:val="auto"/>
        </w:rPr>
      </w:pPr>
      <w:r>
        <w:rPr>
          <w:rFonts w:ascii="Arial" w:cs="Arial" w:eastAsia="Arial" w:hAnsi="Arial"/>
          <w:sz w:val="18"/>
          <w:szCs w:val="18"/>
          <w:color w:val="auto"/>
        </w:rPr>
        <w:t>Trustee, and shall be obtained for each subsequent payment date by converting the specified Foreign Currency into Dollars at the Market Exchange Rate on the Conversion Date.</w:t>
      </w:r>
    </w:p>
    <w:p>
      <w:pPr>
        <w:spacing w:after="0" w:line="62" w:lineRule="exact"/>
        <w:rPr>
          <w:sz w:val="20"/>
          <w:szCs w:val="20"/>
          <w:color w:val="auto"/>
        </w:rPr>
      </w:pPr>
    </w:p>
    <w:p>
      <w:pPr>
        <w:ind w:right="120" w:firstLine="233"/>
        <w:spacing w:after="0" w:line="259" w:lineRule="auto"/>
        <w:tabs>
          <w:tab w:leader="none" w:pos="4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“Dollar Equivalent of the Currency Unit” shall be determined by the Currency Determination Agent, if any, or, if there shall not be a Currency Determination Agent, then by the Trustee,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purposes of this Section 3.10 the following terms shall have the following meanings: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“Component Currency” shall mean any Currency which, on the Conversion Date, was a component Currency of the relevant Currency unit.</w:t>
      </w:r>
    </w:p>
    <w:p>
      <w:pPr>
        <w:spacing w:after="0" w:line="129"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 “Specified Amount” 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with appropriate Dollar equivalents at the Market Exchange Rate on the date of such replacement equal to the Dollar equivalent of the Specified Amount of such former Component Currency at the Market Exchange Rate on such date,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the Specified Amount of such Component Currency shall, for purposes of calculating the Dollar Equivalent of the Currency Unit, be converted into Dollars at the Market Exchange Rate in effect on the Conversion Date of such Component Currency.</w:t>
      </w:r>
    </w:p>
    <w:p>
      <w:pPr>
        <w:spacing w:after="0" w:line="6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“Election Date” shall mean the record date with respect to any payment date, and with respect to the Maturity shall mean the record date (if within 16 or fewer days prior to the Maturity) immediately preceding the Maturity, and with respect to any series of Debt Securities whose record date immediately preceding the Maturity is more than 16 days prior to the Maturity or any series of Debt Securities for which no record dates are provided with respect to interest payments, shall mean the date which is 16 days prior to the Maturity.</w:t>
      </w:r>
    </w:p>
    <w:p>
      <w:pPr>
        <w:spacing w:after="0" w:line="79" w:lineRule="exact"/>
        <w:rPr>
          <w:sz w:val="20"/>
          <w:szCs w:val="20"/>
          <w:color w:val="auto"/>
        </w:rPr>
      </w:pPr>
    </w:p>
    <w:p>
      <w:pPr>
        <w:ind w:right="40" w:firstLine="233"/>
        <w:spacing w:after="0" w:line="255" w:lineRule="auto"/>
        <w:tabs>
          <w:tab w:leader="none" w:pos="4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decisions and determinations of the Trustee or the Currency Determination Agent, if any, regarding the Dollar Equivalent of the Foreign Currency, the Dollar Equivalent of the Currency Unit and the Market Exchange Rate shall be in its sole discretion and shall, in the absence of manifest error, be conclusive for all purposes and irrevocably binding upon the Company and all Holders of the Debt Securities denominated or payable in the relevant Currency. In the event of a Conversion Event with respect to a Foreign Currency, the Company, after learning thereof, will immediately give written notice thereof to the Trustee (and the Trustee will promptly thereafter give notice in the manner provided in Section 1.05 to the Holders) specifying the Conversion Date. In the event of a Conversion Event with respect to any Currency unit in which Debt Securities are denominated or payable, the Company, after learning thereof, will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ind w:right="100"/>
        <w:spacing w:after="0" w:line="297" w:lineRule="auto"/>
        <w:rPr>
          <w:sz w:val="20"/>
          <w:szCs w:val="20"/>
          <w:color w:val="auto"/>
        </w:rPr>
      </w:pPr>
      <w:r>
        <w:rPr>
          <w:rFonts w:ascii="Arial" w:cs="Arial" w:eastAsia="Arial" w:hAnsi="Arial"/>
          <w:sz w:val="16"/>
          <w:szCs w:val="16"/>
          <w:color w:val="auto"/>
        </w:rPr>
        <w:t>immediately give notice thereof to the Trustee (and the Trustee will promptly thereafter give written notice in the manner provided in Section 1.05 to the Holders) specifying the Conversion Date and the Specified Amount of each Component Currency on the Conversion Date. In the event of any subsequent change in any Component Currency as set forth in the definition of Specified Amount above, the Company, after learning thereof, will similarly give written notice to the Trustee. The Trustee shall be fully justified and protected in relying and acting upon information received by it from the Company and the Currency Determination Agent, if any, and shall not otherwise have any duty or obligation to determine such information independently.</w:t>
      </w:r>
    </w:p>
    <w:p>
      <w:pPr>
        <w:spacing w:after="0" w:line="50" w:lineRule="exact"/>
        <w:rPr>
          <w:sz w:val="20"/>
          <w:szCs w:val="20"/>
          <w:color w:val="auto"/>
        </w:rPr>
      </w:pPr>
    </w:p>
    <w:p>
      <w:pPr>
        <w:ind w:right="20" w:firstLine="233"/>
        <w:spacing w:after="0" w:line="273" w:lineRule="auto"/>
        <w:tabs>
          <w:tab w:leader="none" w:pos="4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For purposes of any provision of this Indenture where the Holders of Outstanding Debt Securities may perform an Act which requires that a specified percentage of the Outstanding Debt Securities of all series perform such Act and for purposes of any decision or determination by the Trustee of amounts due and unpaid for the principal (and premium, if any) and interest on the Debt Securities of all series in respect of which moneys are to be disbursed ratably, the principal of (and premium, if any) and interest on the Outstanding Debt Securities denominated in a Foreign Currency will be the amount in Dollars based upon the Market Exchange Rate for Debt Securities of such series, as of the date for determining whether the Holders entitled to perform such Act have performed it, or as of the date of such decision or determination by the Trustee, as the case may be.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Judgments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If for the purpose of obtaining a judgment in any court with respect to any obligation of the Company hereunder or under any Debt Security, it shall become necessary to convert into any other Currency any amount in the Currency due hereunder or under such Debt Security, then such conversion shall be made at the Market Exchange Rate as in effect on the date the Company shall make payment to any Person in satisfaction of such judgment. If pursuant to any such judgment, conversion shall be made on a date other than the date payment is made and there shall occur a change between such Market Exchange Rate and the Market Exchange Rate as in effect on the date of payment, the Company agrees to pay such additional amounts (if any) as may be necessary to ensure that the amount paid is equal to the amount in such other Currency which, when converted at the Market Exchange Rate as in effect on the date of payment or distribution, is the amount then due hereunder or under such Debt Security. Any amount due from the Company under this Section 3.11 shall be due as a separate debt and is not to be affected by or merged into any judgment being obtained for any other sums due hereunder or in respect of any Debt Security. In no event, however, shall the Company be required to pay more in the Currency or Currency unit due hereunder or under such Debt Security at the Market Exchange Rate as in effect when payment is made than the amount of Currency stated to be due hereunder or under such Debt Security so that in any event the Company’s obligations hereunder or under such Debt Security will be effectively maintained as obligations in such Currency, and the Company shall be entitled to withhold (or be reimbursed for, as the case may be) any excess of the amount actually realized upon any such conversion over the amount due and payable on the date of payment or distribution.</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Exchange Upon Default</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If default is made in the payments referred to in Section 12.01, the Company hereby undertakes that upon presentation and surrender of a permanent Global Note to the Trustee (or to any other Person or at any other address as the Company may designate in writing), on any Business Day on or after the due date thereof the Company will issue and the Trustee will authenticate and deliver to the Holder of such permanent Global Note duly executed and authenticated definitive Debt Securities with the same issue date and maturity date as set out in such permanent Global Note.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0" w:name="page81"/>
    <w:bookmarkEnd w:id="80"/>
    <w:p>
      <w:pPr>
        <w:ind w:left="9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CUSIP and ISIN Numbers</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 xml:space="preserve">The Company in issuing the Debt Securities may use “CUSIP” and “ISIN” numbers (if then generally in use), and, if so, the Trustee shall use “CUSIP” and “ISIN”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accuracy of such numbers either as printed on the Debt Securities or as contained in any notice of a redemption and that reliance may be placed only on the other identification numbers printed on the Debt Securities, and any such redemption shall not be affected by any defect in or omission of such numbers. The Company will promptly notify the Trustee in writing of any change in the “CUSIP” or “ISIN” numbers.</w:t>
      </w:r>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FOUR</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SATISFACTION AND DISCHARGE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This Indenture, with respect to the Debt Securities of any series, shall be discharged and shall cease to be of further effect (except as to surviving rights of registration of transfer or exchange of such Debt Securities, as expressly provided for herein) as to all outstanding Debt Securities of such series, when either</w:t>
      </w:r>
    </w:p>
    <w:p>
      <w:pPr>
        <w:spacing w:after="0" w:line="16" w:lineRule="exact"/>
        <w:rPr>
          <w:sz w:val="20"/>
          <w:szCs w:val="20"/>
          <w:color w:val="auto"/>
        </w:rPr>
      </w:pPr>
    </w:p>
    <w:p>
      <w:pPr>
        <w:ind w:left="240" w:right="80" w:firstLine="221"/>
        <w:spacing w:after="0" w:line="312" w:lineRule="auto"/>
        <w:tabs>
          <w:tab w:leader="none" w:pos="71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the Debt Securities of such series theretofore authenticated and delivered (except lost, stolen or destroyed Debt Securities of such series which have been replaced or paid and Debt Securities of such series for whose payment money has theretofore been deposited in trust or segregated and held in trust by the Company and thereafter repaid to the Company as provided in this Indenture) have been delivered to the Registrar for cancellation, and</w:t>
      </w:r>
    </w:p>
    <w:p>
      <w:pPr>
        <w:spacing w:after="0" w:line="38" w:lineRule="exact"/>
        <w:rPr>
          <w:rFonts w:ascii="Arial" w:cs="Arial" w:eastAsia="Arial" w:hAnsi="Arial"/>
          <w:sz w:val="16"/>
          <w:szCs w:val="16"/>
          <w:color w:val="auto"/>
        </w:rPr>
      </w:pPr>
    </w:p>
    <w:p>
      <w:pPr>
        <w:ind w:left="900" w:hanging="211"/>
        <w:spacing w:after="0"/>
        <w:tabs>
          <w:tab w:leader="none" w:pos="9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Company has paid all sums payable under this Indenture by the Company with respect to all Debt Securities of such series, and</w:t>
      </w:r>
    </w:p>
    <w:p>
      <w:pPr>
        <w:spacing w:after="0" w:line="128" w:lineRule="exact"/>
        <w:rPr>
          <w:rFonts w:ascii="Arial" w:cs="Arial" w:eastAsia="Arial" w:hAnsi="Arial"/>
          <w:sz w:val="17"/>
          <w:szCs w:val="17"/>
          <w:color w:val="auto"/>
        </w:rPr>
      </w:pPr>
    </w:p>
    <w:p>
      <w:pPr>
        <w:ind w:left="460" w:right="320" w:firstLine="229"/>
        <w:spacing w:after="0" w:line="342" w:lineRule="auto"/>
        <w:tabs>
          <w:tab w:leader="none" w:pos="95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this Indenture relating to the satisfaction and discharge of this Indenture with respect to all Debt Securities of such series have been complied with; or</w:t>
      </w:r>
    </w:p>
    <w:p>
      <w:pPr>
        <w:spacing w:after="0" w:line="15" w:lineRule="exact"/>
        <w:rPr>
          <w:rFonts w:ascii="Arial" w:cs="Arial" w:eastAsia="Arial" w:hAnsi="Arial"/>
          <w:sz w:val="16"/>
          <w:szCs w:val="16"/>
          <w:color w:val="auto"/>
        </w:rPr>
      </w:pPr>
    </w:p>
    <w:p>
      <w:pPr>
        <w:jc w:val="both"/>
        <w:ind w:left="240" w:right="100" w:firstLine="221"/>
        <w:spacing w:after="0" w:line="264"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Debt Securities of such series, all of the Debt Securities of such series shall have otherwise become due and payable or all of the Debt Securities of such series will become due and payable, or may be called for redemption, within one year, and</w:t>
      </w:r>
    </w:p>
    <w:p>
      <w:pPr>
        <w:spacing w:after="0" w:line="73" w:lineRule="exact"/>
        <w:rPr>
          <w:rFonts w:ascii="Arial" w:cs="Arial" w:eastAsia="Arial" w:hAnsi="Arial"/>
          <w:sz w:val="18"/>
          <w:szCs w:val="18"/>
          <w:color w:val="auto"/>
        </w:rPr>
      </w:pPr>
    </w:p>
    <w:p>
      <w:pPr>
        <w:ind w:left="460" w:right="140" w:firstLine="229"/>
        <w:spacing w:after="0" w:line="276" w:lineRule="auto"/>
        <w:tabs>
          <w:tab w:leader="none" w:pos="9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Company has irrevocably deposited or caused to be deposited with the Trustee or another trustee funds, in trust solely for the benefit of the Holders of Debt Securities of such series, U.S. legal tender, U.S. Government Obligations or a combination thereof, in such amounts as will be sufficient (without consideration of any reinvestment of interest) to pay and discharge the entire indebtedness (including all principal and accrued interest) on the Debt Securities of such series not theretofore delivered to the Trustee for cancellation, together with irrevocable instructions from the Company directing the Trustee to apply such funds to the payment thereof at maturity or redemption, as the case may be;</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81" w:name="page82"/>
    <w:bookmarkEnd w:id="81"/>
    <w:p>
      <w:pPr>
        <w:ind w:left="460" w:right="20" w:firstLine="229"/>
        <w:spacing w:after="0" w:line="264" w:lineRule="auto"/>
        <w:tabs>
          <w:tab w:leader="none" w:pos="9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material instrument to which the Company is a party or by which it is bound;</w:t>
      </w:r>
    </w:p>
    <w:p>
      <w:pPr>
        <w:spacing w:after="0" w:line="73" w:lineRule="exact"/>
        <w:rPr>
          <w:rFonts w:ascii="Arial" w:cs="Arial" w:eastAsia="Arial" w:hAnsi="Arial"/>
          <w:sz w:val="18"/>
          <w:szCs w:val="18"/>
          <w:color w:val="auto"/>
        </w:rPr>
      </w:pPr>
    </w:p>
    <w:p>
      <w:pPr>
        <w:ind w:left="1000" w:hanging="311"/>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this Indenture with respect to all Debt Securities of such series; and</w:t>
      </w:r>
    </w:p>
    <w:p>
      <w:pPr>
        <w:spacing w:after="0" w:line="117" w:lineRule="exact"/>
        <w:rPr>
          <w:rFonts w:ascii="Arial" w:cs="Arial" w:eastAsia="Arial" w:hAnsi="Arial"/>
          <w:sz w:val="18"/>
          <w:szCs w:val="18"/>
          <w:color w:val="auto"/>
        </w:rPr>
      </w:pPr>
    </w:p>
    <w:p>
      <w:pPr>
        <w:ind w:left="460" w:right="260" w:firstLine="229"/>
        <w:spacing w:after="0" w:line="342" w:lineRule="auto"/>
        <w:tabs>
          <w:tab w:leader="none" w:pos="99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this Indenture with respect to all Debt Securities of such series relating to the satisfaction and discharge of this Indenture have been complied with.</w:t>
      </w:r>
    </w:p>
    <w:p>
      <w:pPr>
        <w:spacing w:after="0" w:line="16"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Notwithstanding the satisfaction and discharge of this Indenture with respect to Debt Securities of any series, the obligations of the Company to the Trustee under Section 6.07, the obligations of the Trustee to any Authenticating Agent under Section 6.14, the obligations of the Company under Section 12.01, and, if money shall have been deposited with the Trustee pursuant to clause (b) of this Section 4.01, the obligations of the Trustee under Section 4.02 and the last paragraph of Section 12.04, shall survive with respect to such series. If, after the deposit referred to in Section 4.01 has been made,</w:t>
      </w:r>
    </w:p>
    <w:p>
      <w:pPr>
        <w:spacing w:after="0" w:line="2" w:lineRule="exact"/>
        <w:rPr>
          <w:sz w:val="20"/>
          <w:szCs w:val="20"/>
          <w:color w:val="auto"/>
        </w:rPr>
      </w:pPr>
    </w:p>
    <w:p>
      <w:pPr>
        <w:ind w:right="100" w:firstLine="8"/>
        <w:spacing w:after="0" w:line="273" w:lineRule="auto"/>
        <w:tabs>
          <w:tab w:leader="none" w:pos="2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Holder of a Debt Security is entitled to, and does, elect pursuant to Section 3.10(b), to receive payment in a Currency other than that in which the deposit pursuant to Section 4.01 was made, or (y) if a Conversion Event occurs with respect to the Currency in which the deposit was made or elected to be received by the Holder pursuant to Section 3.10(b), then the indebtedness represented by such Debt Security shall be fully discharged to the extent that the deposit made with respect to such Debt Security shall be converted into the Currency in which such payment is made.</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Subject to the provisions of the last paragraph of Section 12.04, all money deposited with the Trustee pursuant to Section 4.01 shall be held in trust and applied by it, in accordance with the provisions of the Debt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FIVE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REMEDIES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Wherever used herein with respect to Debt Securities of any series, each of the following is an “Event of Default”:</w:t>
      </w:r>
    </w:p>
    <w:p>
      <w:pPr>
        <w:spacing w:after="0" w:line="117" w:lineRule="exact"/>
        <w:rPr>
          <w:sz w:val="20"/>
          <w:szCs w:val="20"/>
          <w:color w:val="auto"/>
        </w:rPr>
      </w:pPr>
    </w:p>
    <w:p>
      <w:pPr>
        <w:ind w:left="720" w:hanging="259"/>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upon any Debt Security of such series;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any Debt Security of such series at its Maturity; or</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82" w:name="page83"/>
    <w:bookmarkEnd w:id="82"/>
    <w:p>
      <w:pPr>
        <w:ind w:left="480" w:hanging="259"/>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such series; or</w:t>
      </w:r>
    </w:p>
    <w:p>
      <w:pPr>
        <w:spacing w:after="0" w:line="117" w:lineRule="exact"/>
        <w:rPr>
          <w:rFonts w:ascii="Arial" w:cs="Arial" w:eastAsia="Arial" w:hAnsi="Arial"/>
          <w:sz w:val="18"/>
          <w:szCs w:val="18"/>
          <w:color w:val="auto"/>
        </w:rPr>
      </w:pPr>
    </w:p>
    <w:p>
      <w:pPr>
        <w:ind w:firstLine="221"/>
        <w:spacing w:after="0" w:line="259"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default in the observance or performance of any other covenant or agreement contained in this Indenture with respect to Debt Securities of such series which default continues for a period of 60 days after the Company receives written notice specifying the default (and demanding that such default be remedied) from the Trustee or the Holders (with a copy to the Trustee) of at least 25% of the outstanding principal amount of the Debt Securities of such series;</w:t>
      </w:r>
    </w:p>
    <w:p>
      <w:pPr>
        <w:spacing w:after="0" w:line="78" w:lineRule="exact"/>
        <w:rPr>
          <w:rFonts w:ascii="Arial" w:cs="Arial" w:eastAsia="Arial" w:hAnsi="Arial"/>
          <w:sz w:val="18"/>
          <w:szCs w:val="18"/>
          <w:color w:val="auto"/>
        </w:rPr>
      </w:pPr>
    </w:p>
    <w:p>
      <w:pPr>
        <w:ind w:right="40" w:firstLine="221"/>
        <w:spacing w:after="0" w:line="273" w:lineRule="auto"/>
        <w:tabs>
          <w:tab w:leader="none" w:pos="4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court having jurisdiction in the premises enters (x) a decree or order for relief in respect of the Company in an involuntary case or proceeding under any applicable federal or state bankruptcy, insolvency, reorganization or other similar law or (y)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70" w:lineRule="exact"/>
        <w:rPr>
          <w:rFonts w:ascii="Arial" w:cs="Arial" w:eastAsia="Arial" w:hAnsi="Arial"/>
          <w:sz w:val="17"/>
          <w:szCs w:val="17"/>
          <w:color w:val="auto"/>
        </w:rPr>
      </w:pPr>
    </w:p>
    <w:p>
      <w:pPr>
        <w:ind w:left="480" w:hanging="259"/>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17" w:lineRule="exact"/>
        <w:rPr>
          <w:rFonts w:ascii="Arial" w:cs="Arial" w:eastAsia="Arial" w:hAnsi="Arial"/>
          <w:sz w:val="18"/>
          <w:szCs w:val="18"/>
          <w:color w:val="auto"/>
        </w:rPr>
      </w:pPr>
    </w:p>
    <w:p>
      <w:pPr>
        <w:ind w:left="220" w:right="280" w:firstLine="229"/>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applicable federal or state bankruptcy, insolvency, reorganization or other similar law or any other case or proceeding to be adjudicated a bankrupt or insolvent; or</w:t>
      </w:r>
    </w:p>
    <w:p>
      <w:pPr>
        <w:spacing w:after="0" w:line="62" w:lineRule="exact"/>
        <w:rPr>
          <w:rFonts w:ascii="Arial" w:cs="Arial" w:eastAsia="Arial" w:hAnsi="Arial"/>
          <w:sz w:val="18"/>
          <w:szCs w:val="18"/>
          <w:color w:val="auto"/>
        </w:rPr>
      </w:pPr>
    </w:p>
    <w:p>
      <w:pPr>
        <w:ind w:left="220" w:right="140" w:firstLine="229"/>
        <w:spacing w:after="0" w:line="264" w:lineRule="auto"/>
        <w:tabs>
          <w:tab w:leader="none" w:pos="7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the Company; or</w:t>
      </w:r>
    </w:p>
    <w:p>
      <w:pPr>
        <w:spacing w:after="0" w:line="73" w:lineRule="exact"/>
        <w:rPr>
          <w:rFonts w:ascii="Arial" w:cs="Arial" w:eastAsia="Arial" w:hAnsi="Arial"/>
          <w:sz w:val="18"/>
          <w:szCs w:val="18"/>
          <w:color w:val="auto"/>
        </w:rPr>
      </w:pPr>
    </w:p>
    <w:p>
      <w:pPr>
        <w:ind w:left="760" w:hanging="311"/>
        <w:spacing w:after="0"/>
        <w:tabs>
          <w:tab w:leader="none" w:pos="7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files a petition or answer or consent seeking reorganization or relief under any applicable federal or state law; or</w:t>
      </w:r>
    </w:p>
    <w:p>
      <w:pPr>
        <w:spacing w:after="0" w:line="117" w:lineRule="exact"/>
        <w:rPr>
          <w:rFonts w:ascii="Arial" w:cs="Arial" w:eastAsia="Arial" w:hAnsi="Arial"/>
          <w:sz w:val="18"/>
          <w:szCs w:val="18"/>
          <w:color w:val="auto"/>
        </w:rPr>
      </w:pPr>
    </w:p>
    <w:p>
      <w:pPr>
        <w:ind w:left="220" w:right="620" w:firstLine="229"/>
        <w:spacing w:after="0" w:line="277" w:lineRule="auto"/>
        <w:tabs>
          <w:tab w:leader="none" w:pos="7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consents to the filing of such petition or to the appointment of or taking possession by a custodian, receiver, liquidator, assignee, trustee, sequestrator or similar official of the Company or of any substantial part of its property; or</w:t>
      </w:r>
    </w:p>
    <w:p>
      <w:pPr>
        <w:spacing w:after="0" w:line="62" w:lineRule="exact"/>
        <w:rPr>
          <w:rFonts w:ascii="Arial" w:cs="Arial" w:eastAsia="Arial" w:hAnsi="Arial"/>
          <w:sz w:val="18"/>
          <w:szCs w:val="18"/>
          <w:color w:val="auto"/>
        </w:rPr>
      </w:pPr>
    </w:p>
    <w:p>
      <w:pPr>
        <w:ind w:left="700" w:hanging="251"/>
        <w:spacing w:after="0"/>
        <w:tabs>
          <w:tab w:leader="none" w:pos="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makes an assignment for the benefit of creditors; or</w:t>
      </w:r>
    </w:p>
    <w:p>
      <w:pPr>
        <w:spacing w:after="0" w:line="117" w:lineRule="exact"/>
        <w:rPr>
          <w:rFonts w:ascii="Arial" w:cs="Arial" w:eastAsia="Arial" w:hAnsi="Arial"/>
          <w:sz w:val="18"/>
          <w:szCs w:val="18"/>
          <w:color w:val="auto"/>
        </w:rPr>
      </w:pPr>
    </w:p>
    <w:p>
      <w:pPr>
        <w:ind w:left="760" w:hanging="311"/>
        <w:spacing w:after="0"/>
        <w:tabs>
          <w:tab w:leader="none" w:pos="7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admits in writing its inability to pay its debts generally as they become due; or</w:t>
      </w:r>
    </w:p>
    <w:p>
      <w:pPr>
        <w:spacing w:after="0" w:line="117" w:lineRule="exact"/>
        <w:rPr>
          <w:rFonts w:ascii="Arial" w:cs="Arial" w:eastAsia="Arial" w:hAnsi="Arial"/>
          <w:sz w:val="18"/>
          <w:szCs w:val="18"/>
          <w:color w:val="auto"/>
        </w:rPr>
      </w:pPr>
    </w:p>
    <w:p>
      <w:pPr>
        <w:ind w:left="800" w:hanging="351"/>
        <w:spacing w:after="0"/>
        <w:tabs>
          <w:tab w:leader="none" w:pos="8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takes corporate action in furtherance of any such action; or</w:t>
      </w:r>
    </w:p>
    <w:p>
      <w:pPr>
        <w:spacing w:after="0" w:line="117" w:lineRule="exact"/>
        <w:rPr>
          <w:rFonts w:ascii="Arial" w:cs="Arial" w:eastAsia="Arial" w:hAnsi="Arial"/>
          <w:sz w:val="18"/>
          <w:szCs w:val="18"/>
          <w:color w:val="auto"/>
        </w:rPr>
      </w:pPr>
    </w:p>
    <w:p>
      <w:pPr>
        <w:ind w:left="480" w:hanging="262"/>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Section 3.01.</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83" w:name="page84"/>
    <w:bookmarkEnd w:id="83"/>
    <w:p>
      <w:pPr>
        <w:ind w:left="9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If an Event of Default (other than an Event of Default specified in clause (5) or (6) of Section 5.01 with respect to the Company) with respect to Debt Securities of any series at the time Outstanding occurs and is continuing, then in every such case the Trustee or the Holders of not less than 25% in principal amount of the Outstanding Debt Securities of such series may declare the principal amount (or, if any Debt Securities of such series are Discount Securities, such portion of the principal amount of such Discount Securities as may be specified in the terms of such Discount Securities) of all the Debt Securities of such series to be due and payable immediately, by a notice in writing to the Company (and to the Trustee if given by Holders), and upon any such declaration such principal amount (or specified amount) plus accrued and unpaid interest (and premium, if payable) shall become immediately due and payable. Upon payment of such amount in the Currency in which such Debt Securities are denominated (except as otherwise provided pursuant to Sections 3.01 or 3.10), all obligations of the Company in respect of the payment of principal of the Debt Securities of such series shall terminate.</w:t>
      </w:r>
    </w:p>
    <w:p>
      <w:pPr>
        <w:spacing w:after="0" w:line="58"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If an Event of Default specified in clause (5) or (6) of Section 5.01 occurs and is continuing with respect to the Company, then all unpaid principal of, and premium, if any, and accrued and unpaid interest on all of the Debt Securities under this Indenture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w:t>
      </w:r>
    </w:p>
    <w:p>
      <w:pPr>
        <w:spacing w:after="0" w:line="73" w:lineRule="exact"/>
        <w:rPr>
          <w:sz w:val="20"/>
          <w:szCs w:val="20"/>
          <w:color w:val="auto"/>
        </w:rPr>
      </w:pPr>
    </w:p>
    <w:p>
      <w:pPr>
        <w:ind w:right="120" w:firstLine="215"/>
        <w:spacing w:after="0" w:line="312" w:lineRule="auto"/>
        <w:rPr>
          <w:sz w:val="20"/>
          <w:szCs w:val="20"/>
          <w:color w:val="auto"/>
        </w:rPr>
      </w:pPr>
      <w:r>
        <w:rPr>
          <w:rFonts w:ascii="Arial" w:cs="Arial" w:eastAsia="Arial" w:hAnsi="Arial"/>
          <w:sz w:val="16"/>
          <w:szCs w:val="16"/>
          <w:color w:val="auto"/>
        </w:rPr>
        <w:t>At any time after such a declaration of acceleration with respect to Debt Securities of any series has been made and before a judgment or decree for payment of the money due has been obtained by the Trustee as hereinafter in this Article provided, the Holders of a majority in principal amount of the Outstanding Debt Securities of such series, by written notice to the Company and the Trustee, may rescind and annul such declaration and its consequences:</w:t>
      </w:r>
    </w:p>
    <w:p>
      <w:pPr>
        <w:spacing w:after="0" w:line="39" w:lineRule="exact"/>
        <w:rPr>
          <w:sz w:val="20"/>
          <w:szCs w:val="20"/>
          <w:color w:val="auto"/>
        </w:rPr>
      </w:pPr>
    </w:p>
    <w:p>
      <w:pPr>
        <w:ind w:left="720" w:hanging="259"/>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117" w:lineRule="exact"/>
        <w:rPr>
          <w:rFonts w:ascii="Arial" w:cs="Arial" w:eastAsia="Arial" w:hAnsi="Arial"/>
          <w:sz w:val="18"/>
          <w:szCs w:val="18"/>
          <w:color w:val="auto"/>
        </w:rPr>
      </w:pPr>
    </w:p>
    <w:p>
      <w:pPr>
        <w:ind w:left="240" w:right="40" w:firstLine="221"/>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all existing Events of Default with respect to Debt Securities of such series have been cured or waived except nonpayment of principal or interest that has become due solely because of the acceleration;</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with respect to Debt Securities of such series, which has become due otherwise than by such declaration of acceleration, has been paid;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Company has paid the Trustee its reasonable compensation and reimbursed the Trustee for its expenses, disbursements and advances.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and waiver shall affect any subsequent default or impair any right consequent thereto.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240" w:right="320" w:firstLine="221"/>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Debt Security when such interest or payment becomes due and payable and such default continues for a period of 30 days,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4" w:name="page85"/>
    <w:bookmarkEnd w:id="84"/>
    <w:p>
      <w:pPr>
        <w:ind w:left="720" w:hanging="259"/>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is made in the payment of principal of (or premium, if any, on) any Debt Security at the Maturity thereof, or</w:t>
      </w:r>
    </w:p>
    <w:p>
      <w:pPr>
        <w:spacing w:after="0" w:line="117" w:lineRule="exact"/>
        <w:rPr>
          <w:rFonts w:ascii="Arial" w:cs="Arial" w:eastAsia="Arial" w:hAnsi="Arial"/>
          <w:sz w:val="18"/>
          <w:szCs w:val="18"/>
          <w:color w:val="auto"/>
        </w:rPr>
      </w:pPr>
    </w:p>
    <w:p>
      <w:pPr>
        <w:ind w:left="240" w:right="420" w:firstLine="221"/>
        <w:spacing w:after="0" w:line="277"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is made in the making or satisfaction of any sinking fund payment or analogous obligation when the same becomes due pursuant to the terms of the Debt Securities of any series,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Debt Securities, the amount then due and payable on such Debt Securities, for the principal (and premium, if any) and interest, if any, and, to the extent that payment of such interest shall be legally enforceable, interest upon the overdue principal (and premium, if any) and upon overdue installments of interest, at the Overdue Rate; and, in addition thereto, such further amount as shall be sufficient to cover the costs and expenses of collection, including the reasonable compensation, expenses, disbursements and advances of the Trustee, its agents and counsel.</w:t>
      </w:r>
    </w:p>
    <w:p>
      <w:pPr>
        <w:spacing w:after="0" w:line="80"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If the Company fails to pay such amount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Debt Securities, and collect the moneys adjudged or decreed to be payable in the manner provided by law out of the property of the Company or any other obligor upon such Debt Securities wherever situated.</w:t>
      </w:r>
    </w:p>
    <w:p>
      <w:pPr>
        <w:spacing w:after="0" w:line="6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an Event of Default with respect to Debt Securities of any series occurs and is continuing, the Trustee may in its discretion proceed to protect and enforce its rights and the rights of the Holders of Debt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proceedings, or any voluntary or involuntary case under the Federal bankruptcy laws, as now or hereafter constituted, relative to the Company or any other obligor upon the Debt Securities, of a particular series or the property of the Company or of such other obligor or their creditors, the Trustee (irrespective of whether the principal of such Debt Securities shall then be due and payable as therein expressed or by declaration of acceleration or otherwise and irrespective of whether the Trustee shall have made any demand on the Company for the payment of overdue principal or interest) shall be entitled and empowered, by intervention in such proceeding or otherwise,</w:t>
      </w:r>
    </w:p>
    <w:p>
      <w:pPr>
        <w:spacing w:after="0" w:line="85" w:lineRule="exact"/>
        <w:rPr>
          <w:sz w:val="20"/>
          <w:szCs w:val="20"/>
          <w:color w:val="auto"/>
        </w:rPr>
      </w:pPr>
    </w:p>
    <w:p>
      <w:pPr>
        <w:ind w:left="240" w:right="100" w:firstLine="221"/>
        <w:spacing w:after="0" w:line="276"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(or, if the Debt Securities of such series are Discount Securities, such portion of the principal amount as may be due and payable with respect to such series pursuant to a declaration in accordance with Section 5.02) (and premium, if any) and interest owing and unpaid in respect of the Debt Securities of such series and to file such other papers or documents as may be necessary or advisable in order to have the claims of the Trustee (including any claim for the reasonable compensation, expenses, disbursements and advances of the Trustee, its agents and counsel) and of the Holders of such Debt Securities allowed in such judicial proceeding, and</w:t>
      </w:r>
    </w:p>
    <w:p>
      <w:pPr>
        <w:spacing w:after="0" w:line="64" w:lineRule="exact"/>
        <w:rPr>
          <w:rFonts w:ascii="Arial" w:cs="Arial" w:eastAsia="Arial" w:hAnsi="Arial"/>
          <w:sz w:val="17"/>
          <w:szCs w:val="17"/>
          <w:color w:val="auto"/>
        </w:rPr>
      </w:pPr>
    </w:p>
    <w:p>
      <w:pPr>
        <w:ind w:left="720" w:hanging="259"/>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spacing w:after="0" w:line="259" w:lineRule="auto"/>
        <w:rPr>
          <w:sz w:val="20"/>
          <w:szCs w:val="20"/>
          <w:color w:val="auto"/>
        </w:rPr>
      </w:pPr>
      <w:r>
        <w:rPr>
          <w:rFonts w:ascii="Arial" w:cs="Arial" w:eastAsia="Arial" w:hAnsi="Arial"/>
          <w:sz w:val="18"/>
          <w:szCs w:val="18"/>
          <w:color w:val="auto"/>
        </w:rPr>
        <w:t>and any receiver, assignee, trustee, custodian, liquidator, sequestrator (or other similar official) in any such proceeding is hereby authorized by each such Holder to make such payments to the Trustee, and in the event that the Trustee shall consent to the making of such payments directly to such Holders, to pay to the Trustee any amount due it for the reasonable compensation, expenses, disbursements and advances of the Trustee, its agents and counsel, and any other amounts due the Trustee under Section 6.07.</w:t>
      </w:r>
    </w:p>
    <w:p>
      <w:pPr>
        <w:spacing w:after="0" w:line="79"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Debt Securities of such series or the rights of any Holder thereof, or to authorize the Trustee to vote in respect of the claim of any Holder in any such proceeding.</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Debt Securities</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rights of action and claims under this Indenture or the Debt Securities of any series may be prosecuted and enforced by the Trustee without the possession of any of such Debt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Debt Securities in respect of which such judgment has been recovered.</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40" w:firstLine="215"/>
        <w:spacing w:after="0" w:line="286" w:lineRule="auto"/>
        <w:rPr>
          <w:sz w:val="20"/>
          <w:szCs w:val="20"/>
          <w:color w:val="auto"/>
        </w:rPr>
      </w:pPr>
      <w:r>
        <w:rPr>
          <w:rFonts w:ascii="Arial" w:cs="Arial" w:eastAsia="Arial" w:hAnsi="Arial"/>
          <w:sz w:val="17"/>
          <w:szCs w:val="17"/>
          <w:color w:val="auto"/>
        </w:rPr>
        <w:t>Any money collected by the Trustee pursuant to this Article shall be applied in the following order, at the date or dates fixed by the Trustee and, in case of the distribution of such money on account of principal (and premium, if any) or interest, upon presentation of the Debt Securities of any series in respect of which money has been collected and the notation thereon of the payment if only partially paid and upon surrender thereof if fully paid: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117" w:lineRule="exact"/>
        <w:rPr>
          <w:sz w:val="20"/>
          <w:szCs w:val="20"/>
          <w:color w:val="auto"/>
        </w:rPr>
      </w:pPr>
    </w:p>
    <w:p>
      <w:pPr>
        <w:jc w:val="both"/>
        <w:ind w:left="240" w:firstLine="225"/>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premium, if any) and interest on the Debt Securities of such series, in respect of which or for the benefit of which such money has been collected ratably, without preference or priority of any kind, according to the amounts due and payable on such Debt Securities for principal (and premium, if any) and interest, respectively; and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balance, if any, to the Person or Persons entitled thereto.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 Holder of any Debt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5560" w:right="1800" w:hanging="5099"/>
        <w:spacing w:after="0" w:line="496" w:lineRule="auto"/>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such series;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6" w:name="page87"/>
    <w:bookmarkEnd w:id="86"/>
    <w:p>
      <w:pPr>
        <w:ind w:left="240" w:right="560" w:firstLine="221"/>
        <w:spacing w:after="0" w:line="27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such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17" w:lineRule="exact"/>
        <w:rPr>
          <w:rFonts w:ascii="Arial" w:cs="Arial" w:eastAsia="Arial" w:hAnsi="Arial"/>
          <w:sz w:val="18"/>
          <w:szCs w:val="18"/>
          <w:color w:val="auto"/>
        </w:rPr>
      </w:pPr>
    </w:p>
    <w:p>
      <w:pPr>
        <w:ind w:left="240" w:right="40" w:firstLine="221"/>
        <w:spacing w:after="0" w:line="27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Debt Securities of such series;</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such Holders or of the Holders of Outstanding Debt Securities of any other series, or to obtain or to seek to obtain priority or preference over any other of such Holders or to enforce any right under this Indenture, except in the manner herein provided and for the equal and ratable benefit of all of such Holders. For the protection and enforcement of the provisions of this Section 5.07, each and every Holder of Debt Securities of any series and the Trustee for such series shall be entitled to such relief as can be given at law or in equity.</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Notwithstanding any other provision in this Indenture, the Holder of any Debt Security shall have the right, which is absolute and unconditional, to receive payment of the principal of (and premium, if any) and (subject to Section 3.07) interest on such Debt Security on the respective Stated Maturity or Maturities expressed in such Debt Security (or, in the case of redemption, on the Redemption Date) and to institute suit for the enforcement of any such payment and interest thereon, and such right shall not be impaired without the consent of such Holder.</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Except as otherwise expressly provided elsewhere in this Indenture,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left="92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No delay or omission of the Trustee or of any Holder to exercise any right or remedy accruing upon any Event of Default shall impair any such right or remedy or constitute a waiver of any such Event of Default or any acquiescence therein. Every right and remedy given by this Indenture or by law to the Trustee or to the Holders may be exercised from time to time, and as often as may be deemed expedient, by the Trustee or by the Holders, as the case may be.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1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 xml:space="preserve">The Holders of a majority in principal amount of the Outstanding Debt Securities of any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73" w:lineRule="exact"/>
        <w:rPr>
          <w:sz w:val="20"/>
          <w:szCs w:val="20"/>
          <w:color w:val="auto"/>
        </w:rPr>
      </w:pPr>
    </w:p>
    <w:p>
      <w:pPr>
        <w:ind w:left="720" w:hanging="259"/>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240" w:firstLine="221"/>
        <w:spacing w:after="0" w:line="264"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the provisions of Section 6.01, the Trustee shall have the right to decline to follow any such direction if the Trustee in good faith shall, by a Responsible Officer or Responsible Officers of the Trustee, determine that the proceeding so directed would be unjustly prejudicial to the Holders of Debt Securities of such series not joining in any such direction; and</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 or Events of Default</w:t>
      </w:r>
      <w:r>
        <w:rPr>
          <w:rFonts w:ascii="Arial" w:cs="Arial" w:eastAsia="Arial" w:hAnsi="Arial"/>
          <w:sz w:val="18"/>
          <w:szCs w:val="18"/>
          <w:color w:val="auto"/>
        </w:rPr>
        <w:t>.</w:t>
      </w:r>
    </w:p>
    <w:p>
      <w:pPr>
        <w:spacing w:after="0" w:line="117"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Holders of not less than a majority in aggregate principal amount of the Outstanding Debt Securities of any series may on behalf of the Holders of all the Debt Securities of any such series waive any past Default or Event of Default hereunder with respect to such series and its consequences, except a Default or Event of Default</w:t>
      </w:r>
    </w:p>
    <w:p>
      <w:pPr>
        <w:spacing w:after="0" w:line="73" w:lineRule="exact"/>
        <w:rPr>
          <w:sz w:val="20"/>
          <w:szCs w:val="20"/>
          <w:color w:val="auto"/>
        </w:rPr>
      </w:pPr>
    </w:p>
    <w:p>
      <w:pPr>
        <w:ind w:left="240" w:right="560" w:firstLine="221"/>
        <w:spacing w:after="0" w:line="277"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any Debt Security of such series, or in the payment of any sinking fund installment or analogous obligation with respect to the Debt Securities of such series, or</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pursuant to Article Eleven cannot be modified or amended without the consent of the Holder of each Outstanding Debt Security of such series affected.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Upon any such waiver, such Default or Event of Default shall cease to exist, and such Default or Event of Default arising therefrom shall be deemed to have been cured, for every purpose of the Debt Securities of such series under this Indenture, but no such waiver shall extend to any subsequent or other Default or impair any right consequent thereon.</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right="120" w:firstLine="215"/>
        <w:spacing w:after="0" w:line="264" w:lineRule="auto"/>
        <w:rPr>
          <w:sz w:val="20"/>
          <w:szCs w:val="20"/>
          <w:color w:val="auto"/>
        </w:rPr>
      </w:pPr>
      <w:r>
        <w:rPr>
          <w:rFonts w:ascii="Arial" w:cs="Arial" w:eastAsia="Arial" w:hAnsi="Arial"/>
          <w:sz w:val="18"/>
          <w:szCs w:val="18"/>
          <w:color w:val="auto"/>
        </w:rPr>
        <w:t>All parties to this Indenture agree, and each Holder of any Debt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other than the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88" w:name="page89"/>
    <w:bookmarkEnd w:id="88"/>
    <w:p>
      <w:pPr>
        <w:spacing w:after="0" w:line="273" w:lineRule="auto"/>
        <w:rPr>
          <w:sz w:val="20"/>
          <w:szCs w:val="20"/>
          <w:color w:val="auto"/>
        </w:rPr>
      </w:pPr>
      <w:r>
        <w:rPr>
          <w:rFonts w:ascii="Arial" w:cs="Arial" w:eastAsia="Arial" w:hAnsi="Arial"/>
          <w:sz w:val="17"/>
          <w:szCs w:val="17"/>
          <w:color w:val="auto"/>
        </w:rPr>
        <w:t>Trustee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Trustee, to any suit instituted by any Holder or group of Holders holding in the aggregate more than 10% in principal amount of the Outstanding Debt Securities of any series, or to any suit instituted by any Holder of a Debt Security for the enforcement of the payment of the principal of (or premium, if any) or interest on such Debt Security on or after the respective Stated Maturity or Maturities expressed in such Debt Security (or, in the case of redemption, on or after the Redemption Date).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117"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9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SIX</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TRUSTEE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117" w:lineRule="exact"/>
        <w:rPr>
          <w:sz w:val="20"/>
          <w:szCs w:val="20"/>
          <w:color w:val="auto"/>
        </w:rPr>
      </w:pPr>
    </w:p>
    <w:p>
      <w:pPr>
        <w:ind w:left="480" w:hanging="247"/>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Debt Securities of any series,</w:t>
      </w:r>
    </w:p>
    <w:p>
      <w:pPr>
        <w:spacing w:after="0" w:line="117" w:lineRule="exact"/>
        <w:rPr>
          <w:rFonts w:ascii="Arial" w:cs="Arial" w:eastAsia="Arial" w:hAnsi="Arial"/>
          <w:sz w:val="18"/>
          <w:szCs w:val="18"/>
          <w:color w:val="auto"/>
        </w:rPr>
      </w:pPr>
    </w:p>
    <w:p>
      <w:pPr>
        <w:ind w:left="240" w:right="560" w:firstLine="221"/>
        <w:spacing w:after="0" w:line="277" w:lineRule="auto"/>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w:t>
      </w:r>
    </w:p>
    <w:p>
      <w:pPr>
        <w:spacing w:after="0" w:line="34" w:lineRule="exact"/>
        <w:rPr>
          <w:rFonts w:ascii="Arial" w:cs="Arial" w:eastAsia="Arial" w:hAnsi="Arial"/>
          <w:sz w:val="17"/>
          <w:szCs w:val="17"/>
          <w:color w:val="auto"/>
        </w:rPr>
      </w:pPr>
    </w:p>
    <w:p>
      <w:pPr>
        <w:ind w:left="240"/>
        <w:spacing w:after="0" w:line="255" w:lineRule="auto"/>
        <w:rPr>
          <w:rFonts w:ascii="Arial" w:cs="Arial" w:eastAsia="Arial" w:hAnsi="Arial"/>
          <w:sz w:val="17"/>
          <w:szCs w:val="17"/>
          <w:color w:val="auto"/>
        </w:rPr>
      </w:pPr>
      <w:r>
        <w:rPr>
          <w:rFonts w:ascii="Arial" w:cs="Arial" w:eastAsia="Arial" w:hAnsi="Arial"/>
          <w:sz w:val="18"/>
          <w:szCs w:val="18"/>
          <w:color w:val="auto"/>
        </w:rPr>
        <w:t>expressed therein, upon certificates or opinions furnished to the Trustee and conforming to the requirements of this Indenture; but in the case of any such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82" w:lineRule="exact"/>
        <w:rPr>
          <w:rFonts w:ascii="Arial" w:cs="Arial" w:eastAsia="Arial" w:hAnsi="Arial"/>
          <w:sz w:val="17"/>
          <w:szCs w:val="17"/>
          <w:color w:val="auto"/>
        </w:rPr>
      </w:pPr>
    </w:p>
    <w:p>
      <w:pPr>
        <w:ind w:right="120" w:firstLine="233"/>
        <w:spacing w:after="0" w:line="264" w:lineRule="auto"/>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 an Event of Default with respect to Debt Securities of any series has occurred and is continuing, the Trustee shall, with respect to the Debt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73" w:lineRule="exact"/>
        <w:rPr>
          <w:rFonts w:ascii="Arial" w:cs="Arial" w:eastAsia="Arial" w:hAnsi="Arial"/>
          <w:sz w:val="18"/>
          <w:szCs w:val="18"/>
          <w:color w:val="auto"/>
        </w:rPr>
      </w:pPr>
    </w:p>
    <w:p>
      <w:pPr>
        <w:ind w:right="80" w:firstLine="233"/>
        <w:spacing w:after="0" w:line="277" w:lineRule="auto"/>
        <w:tabs>
          <w:tab w:leader="none" w:pos="4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 6.01;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ind w:left="240" w:right="120" w:firstLine="221"/>
        <w:spacing w:after="0" w:line="277" w:lineRule="auto"/>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unless it shall be proved that the Trustee was negligent in ascertaining the pertinent facts;</w:t>
      </w:r>
    </w:p>
    <w:p>
      <w:pPr>
        <w:spacing w:after="0" w:line="62" w:lineRule="exact"/>
        <w:rPr>
          <w:rFonts w:ascii="Arial" w:cs="Arial" w:eastAsia="Arial" w:hAnsi="Arial"/>
          <w:sz w:val="18"/>
          <w:szCs w:val="18"/>
          <w:color w:val="auto"/>
        </w:rPr>
      </w:pPr>
    </w:p>
    <w:p>
      <w:pPr>
        <w:jc w:val="both"/>
        <w:ind w:left="240" w:right="140" w:firstLine="221"/>
        <w:spacing w:after="0" w:line="259" w:lineRule="auto"/>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Debt Securities of any series in good faith in accordance with the direction of the Holders of a majority in principal amount of the Outstanding Debt Securities of such series relating to the time, method and place of conducting any proceeding for any remedy available to the Trustee, or exercising any trust or power conferred upon the Trustee, under this Indenture; and</w:t>
      </w:r>
    </w:p>
    <w:p>
      <w:pPr>
        <w:spacing w:after="0" w:line="78" w:lineRule="exact"/>
        <w:rPr>
          <w:rFonts w:ascii="Arial" w:cs="Arial" w:eastAsia="Arial" w:hAnsi="Arial"/>
          <w:sz w:val="18"/>
          <w:szCs w:val="18"/>
          <w:color w:val="auto"/>
        </w:rPr>
      </w:pPr>
    </w:p>
    <w:p>
      <w:pPr>
        <w:ind w:left="240" w:right="320" w:firstLine="221"/>
        <w:spacing w:after="0" w:line="264" w:lineRule="auto"/>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73" w:lineRule="exact"/>
        <w:rPr>
          <w:rFonts w:ascii="Arial" w:cs="Arial" w:eastAsia="Arial" w:hAnsi="Arial"/>
          <w:sz w:val="18"/>
          <w:szCs w:val="18"/>
          <w:color w:val="auto"/>
        </w:rPr>
      </w:pPr>
    </w:p>
    <w:p>
      <w:pPr>
        <w:ind w:right="660" w:firstLine="233"/>
        <w:spacing w:after="0" w:line="277" w:lineRule="auto"/>
        <w:tabs>
          <w:tab w:leader="none" w:pos="4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6.01.</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 xml:space="preserve">Within 90 days after the occurrence of any Default hereunder with respect to Debt Securities, of any series, the Trustee shall give notice to all Holders of Debt Securities of such series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in the payment of the principal of (or premium, if any) or interest on any Debt Security of such series or in the payment of any sinking fund installment with respect to Debt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Debt Securities of such series;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Default of the character specified in Section 5.01(4) with respect to Debt Securities of such series no such notice to Holders shall be given until at least 30 days after the occurrence thereof.</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Notice given pursuant to this Section 6.02 shall be transmitted by mail:</w:t>
      </w:r>
    </w:p>
    <w:p>
      <w:pPr>
        <w:spacing w:after="0" w:line="117" w:lineRule="exact"/>
        <w:rPr>
          <w:sz w:val="20"/>
          <w:szCs w:val="20"/>
          <w:color w:val="auto"/>
        </w:rPr>
      </w:pPr>
    </w:p>
    <w:p>
      <w:pPr>
        <w:ind w:left="720" w:hanging="259"/>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all Registered Holders, as the names and addresses of the Registered Holders appear in the Register; and</w:t>
      </w:r>
    </w:p>
    <w:p>
      <w:pPr>
        <w:spacing w:after="0" w:line="117" w:lineRule="exact"/>
        <w:rPr>
          <w:rFonts w:ascii="Arial" w:cs="Arial" w:eastAsia="Arial" w:hAnsi="Arial"/>
          <w:sz w:val="18"/>
          <w:szCs w:val="18"/>
          <w:color w:val="auto"/>
        </w:rPr>
      </w:pPr>
    </w:p>
    <w:p>
      <w:pPr>
        <w:ind w:left="240" w:right="760" w:firstLine="221"/>
        <w:spacing w:after="0" w:line="277"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each Holder of a Debt Security of any series whose name and address appear in the information preserved at the time by the Trustee in accordance with Section 7.02(a) of this Indenture.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otherwise provided in Section 6.01:</w:t>
      </w:r>
    </w:p>
    <w:p>
      <w:pPr>
        <w:spacing w:after="0" w:line="117" w:lineRule="exact"/>
        <w:rPr>
          <w:sz w:val="20"/>
          <w:szCs w:val="20"/>
          <w:color w:val="auto"/>
        </w:rPr>
      </w:pPr>
    </w:p>
    <w:p>
      <w:pPr>
        <w:ind w:left="240" w:right="320" w:firstLine="221"/>
        <w:spacing w:after="0" w:line="264" w:lineRule="auto"/>
        <w:tabs>
          <w:tab w:leader="none" w:pos="7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0" w:name="page91"/>
    <w:bookmarkEnd w:id="90"/>
    <w:p>
      <w:pPr>
        <w:ind w:left="240" w:right="520" w:firstLine="221"/>
        <w:spacing w:after="0" w:line="277" w:lineRule="auto"/>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62" w:lineRule="exact"/>
        <w:rPr>
          <w:rFonts w:ascii="Arial" w:cs="Arial" w:eastAsia="Arial" w:hAnsi="Arial"/>
          <w:sz w:val="18"/>
          <w:szCs w:val="18"/>
          <w:color w:val="auto"/>
        </w:rPr>
      </w:pPr>
    </w:p>
    <w:p>
      <w:pPr>
        <w:ind w:left="240" w:right="180" w:firstLine="221"/>
        <w:spacing w:after="0" w:line="264" w:lineRule="auto"/>
        <w:tabs>
          <w:tab w:leader="none" w:pos="71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left="240" w:right="600" w:firstLine="221"/>
        <w:spacing w:after="0" w:line="277" w:lineRule="auto"/>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62" w:lineRule="exact"/>
        <w:rPr>
          <w:rFonts w:ascii="Arial" w:cs="Arial" w:eastAsia="Arial" w:hAnsi="Arial"/>
          <w:sz w:val="18"/>
          <w:szCs w:val="18"/>
          <w:color w:val="auto"/>
        </w:rPr>
      </w:pPr>
    </w:p>
    <w:p>
      <w:pPr>
        <w:jc w:val="both"/>
        <w:ind w:left="240" w:right="120" w:firstLine="221"/>
        <w:spacing w:after="0" w:line="286" w:lineRule="auto"/>
        <w:tabs>
          <w:tab w:leader="none" w:pos="71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of Debt Securities of any series pursuant to this Indenture, unless such Holders shall have offered to the Trustee reasonable security or indemnity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left="240" w:right="500" w:firstLine="221"/>
        <w:spacing w:after="0" w:line="264" w:lineRule="auto"/>
        <w:tabs>
          <w:tab w:leader="none" w:pos="6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except, (i) any Event of Default under Section 5.01(1) or (2) or</w:t>
      </w:r>
    </w:p>
    <w:p>
      <w:pPr>
        <w:spacing w:after="0" w:line="46" w:lineRule="exact"/>
        <w:rPr>
          <w:rFonts w:ascii="Arial" w:cs="Arial" w:eastAsia="Arial" w:hAnsi="Arial"/>
          <w:sz w:val="16"/>
          <w:szCs w:val="16"/>
          <w:color w:val="auto"/>
        </w:rPr>
      </w:pPr>
    </w:p>
    <w:p>
      <w:pPr>
        <w:ind w:left="240" w:right="280" w:hanging="4"/>
        <w:spacing w:after="0" w:line="323" w:lineRule="auto"/>
        <w:tabs>
          <w:tab w:leader="none" w:pos="5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Default or Event of Default of which the Trustee shall have actually received written notice in accordance with Section 1.04 that references this Indenture and the applicable series of Debt Securities, or of which a Responsible Officer of the Trustee shall have obtained actual knowledge;</w:t>
      </w:r>
    </w:p>
    <w:p>
      <w:pPr>
        <w:spacing w:after="0" w:line="30" w:lineRule="exact"/>
        <w:rPr>
          <w:rFonts w:ascii="Arial" w:cs="Arial" w:eastAsia="Arial" w:hAnsi="Arial"/>
          <w:sz w:val="16"/>
          <w:szCs w:val="16"/>
          <w:color w:val="auto"/>
        </w:rPr>
      </w:pPr>
    </w:p>
    <w:p>
      <w:pPr>
        <w:ind w:left="720" w:hanging="259"/>
        <w:spacing w:after="0"/>
        <w:tabs>
          <w:tab w:leader="none" w:pos="7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Trustee shall not be liable for interest on any money received by it except as the Trustee may otherwise agree in writing with the Company;</w:t>
      </w:r>
    </w:p>
    <w:p>
      <w:pPr>
        <w:spacing w:after="0" w:line="140" w:lineRule="exact"/>
        <w:rPr>
          <w:rFonts w:ascii="Arial" w:cs="Arial" w:eastAsia="Arial" w:hAnsi="Arial"/>
          <w:sz w:val="16"/>
          <w:szCs w:val="16"/>
          <w:color w:val="auto"/>
        </w:rPr>
      </w:pPr>
    </w:p>
    <w:p>
      <w:pPr>
        <w:ind w:left="240" w:right="80" w:firstLine="221"/>
        <w:spacing w:after="0" w:line="302" w:lineRule="auto"/>
        <w:tabs>
          <w:tab w:leader="none" w:pos="6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46" w:lineRule="exact"/>
        <w:rPr>
          <w:rFonts w:ascii="Arial" w:cs="Arial" w:eastAsia="Arial" w:hAnsi="Arial"/>
          <w:sz w:val="16"/>
          <w:szCs w:val="16"/>
          <w:color w:val="auto"/>
        </w:rPr>
      </w:pPr>
    </w:p>
    <w:p>
      <w:pPr>
        <w:ind w:left="240" w:right="240" w:firstLine="221"/>
        <w:spacing w:after="0" w:line="264" w:lineRule="auto"/>
        <w:tabs>
          <w:tab w:leader="none" w:pos="6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(including any agent appointed pursuant to Section 3.10(i)) or attorney appointed with due care by it hereunder.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Debt Securities</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recitals contained herein and in the Debt Securities, except the Trustee’s certificates of authentication, shall be taken as the statements of the Company, and the Trustee assumes no responsibility for their correctness. The Trustee makes no representations as to the validity or sufficiency of this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Indenture or of the Debt Securities, of any series. The Trustee shall not be accountable for the use or application by the Company of any Debt Securities or the proceeds thereof.</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Debt Securities</w:t>
      </w:r>
      <w:r>
        <w:rPr>
          <w:rFonts w:ascii="Arial" w:cs="Arial" w:eastAsia="Arial" w:hAnsi="Arial"/>
          <w:sz w:val="18"/>
          <w:szCs w:val="18"/>
          <w:color w:val="auto"/>
        </w:rPr>
        <w:t>.</w:t>
      </w:r>
    </w:p>
    <w:p>
      <w:pPr>
        <w:spacing w:after="0" w:line="11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Trustee, any Paying Agent, the Registrar or any other agent of the Company, in its individual or any other capacity, may become the owner or pledgee of Debt Securities, and, subject to Sections 6.08 and 6.13, may otherwise deal with the Company with the same rights it would have if it were not Trustee, Paying Agent, Registrar or such other agent.</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117"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Money in any Currency held by the Trustee or any Paying Agent in trust hereunder need not be segregated from other funds except to the extent required by law. Neither the Trustee nor any Paying Agent shall be under any liability for interest on any money received by it hereunder except as otherwise agreed with the Company.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left="240" w:right="140" w:firstLine="221"/>
        <w:spacing w:after="0" w:line="277"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in Dollars for all services rendered by it hereunder (which compensation shall not be limited by any provision of law in regard to the compensation of a trustee of an express trust);</w:t>
      </w:r>
    </w:p>
    <w:p>
      <w:pPr>
        <w:spacing w:after="0" w:line="62" w:lineRule="exact"/>
        <w:rPr>
          <w:rFonts w:ascii="Arial" w:cs="Arial" w:eastAsia="Arial" w:hAnsi="Arial"/>
          <w:sz w:val="18"/>
          <w:szCs w:val="18"/>
          <w:color w:val="auto"/>
        </w:rPr>
      </w:pPr>
    </w:p>
    <w:p>
      <w:pPr>
        <w:ind w:left="240" w:right="40" w:firstLine="221"/>
        <w:spacing w:after="0" w:line="312" w:lineRule="auto"/>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in Dollars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38" w:lineRule="exact"/>
        <w:rPr>
          <w:rFonts w:ascii="Arial" w:cs="Arial" w:eastAsia="Arial" w:hAnsi="Arial"/>
          <w:sz w:val="16"/>
          <w:szCs w:val="16"/>
          <w:color w:val="auto"/>
        </w:rPr>
      </w:pPr>
    </w:p>
    <w:p>
      <w:pPr>
        <w:ind w:left="240" w:right="180" w:firstLine="221"/>
        <w:spacing w:after="0" w:line="279" w:lineRule="auto"/>
        <w:tabs>
          <w:tab w:leader="none" w:pos="7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indemnify in Dollars the Trustee, the Paying Agent, the Conversion Agent, the Authenticating Agent, the Registrar and their respective predecessors for, and to hold it harmless against, any loss, liability or expense incurred without negligence or bad faith on its part, arising out of or in connection with the acceptance or administration of this trust or performance of its duties hereunder, including the costs and expenses of defending itself against any claim or liability in connection with the exercise or performance of any of its powers or duties hereunder.</w:t>
      </w:r>
    </w:p>
    <w:p>
      <w:pPr>
        <w:spacing w:after="0" w:line="63" w:lineRule="exact"/>
        <w:rPr>
          <w:sz w:val="20"/>
          <w:szCs w:val="20"/>
          <w:color w:val="auto"/>
        </w:rPr>
      </w:pPr>
    </w:p>
    <w:p>
      <w:pPr>
        <w:ind w:right="20" w:firstLine="215"/>
        <w:spacing w:after="0" w:line="342" w:lineRule="auto"/>
        <w:rPr>
          <w:sz w:val="20"/>
          <w:szCs w:val="20"/>
          <w:color w:val="auto"/>
        </w:rPr>
      </w:pPr>
      <w:r>
        <w:rPr>
          <w:rFonts w:ascii="Arial" w:cs="Arial" w:eastAsia="Arial" w:hAnsi="Arial"/>
          <w:sz w:val="16"/>
          <w:szCs w:val="16"/>
          <w:color w:val="auto"/>
        </w:rPr>
        <w:t>As security for the performance of the obligations of the Company under this Section 6.07, the Trustee shall have a claim prior to the Debt Securities, upon all property and funds held or collected by the Trustee as such, except funds held in trust for the payment of amounts due on the Debt Securities.</w:t>
      </w:r>
    </w:p>
    <w:p>
      <w:pPr>
        <w:spacing w:after="0" w:line="16"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obligations of the Company under this Section 6.07 to compensate and indemnify the Trustee and the other indemnified parties for expenses, disbursements and advances shall constitute additional indebtedness under this Indenture and shall survive the satisfaction and discharge of this Indenture.</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160" w:firstLine="233"/>
        <w:spacing w:after="0" w:line="342" w:lineRule="auto"/>
        <w:tabs>
          <w:tab w:leader="none" w:pos="47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Trustee has or shall acquire any conflicting interest, as defined in this Section 6.08 with respect to the Debt Securities of any series, then, within 90 days after ascertaining that it has such conflicting interest, and if the default (as hereinafter defined) to which such conflicting interest relates has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right="220"/>
        <w:spacing w:after="0" w:line="286" w:lineRule="auto"/>
        <w:rPr>
          <w:sz w:val="20"/>
          <w:szCs w:val="20"/>
          <w:color w:val="auto"/>
        </w:rPr>
      </w:pPr>
      <w:r>
        <w:rPr>
          <w:rFonts w:ascii="Arial" w:cs="Arial" w:eastAsia="Arial" w:hAnsi="Arial"/>
          <w:sz w:val="17"/>
          <w:szCs w:val="17"/>
          <w:color w:val="auto"/>
        </w:rPr>
        <w:t>not been cured or duly waived or otherwise eliminated before the end of such 90-day period, the Trustee shall either eliminate such conflicting interest or, except as otherwise provided below, resign as Trustee with respect to the Debt Securities of such series, and the Company shall take prompt steps to have a successor Trustee appointed, in the manner and with the effect hereinafter specified in this Article.</w:t>
      </w:r>
    </w:p>
    <w:p>
      <w:pPr>
        <w:spacing w:after="0" w:line="57" w:lineRule="exact"/>
        <w:rPr>
          <w:sz w:val="20"/>
          <w:szCs w:val="20"/>
          <w:color w:val="auto"/>
        </w:rPr>
      </w:pPr>
    </w:p>
    <w:p>
      <w:pPr>
        <w:ind w:right="340" w:firstLine="233"/>
        <w:spacing w:after="0" w:line="264" w:lineRule="auto"/>
        <w:tabs>
          <w:tab w:leader="none" w:pos="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that the Trustee shall fail to comply with the provisions of subsection (a) of this Section 6.08 with respect to the Debt Securities of any series, the Trustee shall, within 10 days after the expiration of such 90-day period, transmit to all Holders of Debt Securities of such series notice of such failure.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Notice given pursuant to this Section 6.08(b) shall be transmitted by mail:</w:t>
      </w:r>
    </w:p>
    <w:p>
      <w:pPr>
        <w:spacing w:after="0" w:line="117" w:lineRule="exact"/>
        <w:rPr>
          <w:sz w:val="20"/>
          <w:szCs w:val="20"/>
          <w:color w:val="auto"/>
        </w:rPr>
      </w:pPr>
    </w:p>
    <w:p>
      <w:pPr>
        <w:ind w:left="720" w:hanging="259"/>
        <w:spacing w:after="0"/>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all Registered Holders, as the names and addresses of the Registered Holders appear in the Register; and</w:t>
      </w:r>
    </w:p>
    <w:p>
      <w:pPr>
        <w:spacing w:after="0" w:line="117" w:lineRule="exact"/>
        <w:rPr>
          <w:rFonts w:ascii="Arial" w:cs="Arial" w:eastAsia="Arial" w:hAnsi="Arial"/>
          <w:sz w:val="18"/>
          <w:szCs w:val="18"/>
          <w:color w:val="auto"/>
        </w:rPr>
      </w:pPr>
    </w:p>
    <w:p>
      <w:pPr>
        <w:ind w:left="240" w:right="800" w:firstLine="221"/>
        <w:spacing w:after="0" w:line="277" w:lineRule="auto"/>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each Holder of a Debt Security of any series whose name and address appear in the information preserved at the time by the Trustee in accordance with Section 7.02(a) of this Indenture.</w:t>
      </w:r>
    </w:p>
    <w:p>
      <w:pPr>
        <w:spacing w:after="0" w:line="62" w:lineRule="exact"/>
        <w:rPr>
          <w:rFonts w:ascii="Arial" w:cs="Arial" w:eastAsia="Arial" w:hAnsi="Arial"/>
          <w:sz w:val="18"/>
          <w:szCs w:val="18"/>
          <w:color w:val="auto"/>
        </w:rPr>
      </w:pPr>
    </w:p>
    <w:p>
      <w:pPr>
        <w:ind w:right="20" w:firstLine="233"/>
        <w:spacing w:after="0" w:line="264" w:lineRule="auto"/>
        <w:tabs>
          <w:tab w:leader="none" w:pos="4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purposes of this Section 6.08, the Trustee shall be deemed to have a conflicting interest with respect to the Debt Securities of any series, if there shall exist an Event of Default (as such term is defined herein, but exclusive of any period of grace or requirement of notice) with respect to such Debt Securities and</w:t>
      </w:r>
    </w:p>
    <w:p>
      <w:pPr>
        <w:spacing w:after="0" w:line="73" w:lineRule="exact"/>
        <w:rPr>
          <w:rFonts w:ascii="Arial" w:cs="Arial" w:eastAsia="Arial" w:hAnsi="Arial"/>
          <w:sz w:val="18"/>
          <w:szCs w:val="18"/>
          <w:color w:val="auto"/>
        </w:rPr>
      </w:pPr>
    </w:p>
    <w:p>
      <w:pPr>
        <w:ind w:left="240" w:firstLine="221"/>
        <w:spacing w:after="0" w:line="255" w:lineRule="auto"/>
        <w:tabs>
          <w:tab w:leader="none" w:pos="7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Trustee is trustee under this Indenture with respect to the Outstanding Debt Securities of any series other than that series or is trustee under another indenture under which any other securities, or certificates of interest or participation in any other securities, of the Company are outstanding, unless such other indenture is a collateral trust indenture under which the only collateral consists of Debt Securities issued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the operation of this paragraph of this Indenture with respect to the Debt Securities of any series other than that series and any other indenture or indentures under which other securities, or certificates of interest or participation in other securities, of the Company are outstanding, if</w:t>
      </w:r>
    </w:p>
    <w:p>
      <w:pPr>
        <w:spacing w:after="0" w:line="85" w:lineRule="exact"/>
        <w:rPr>
          <w:rFonts w:ascii="Arial" w:cs="Arial" w:eastAsia="Arial" w:hAnsi="Arial"/>
          <w:sz w:val="18"/>
          <w:szCs w:val="18"/>
          <w:color w:val="auto"/>
        </w:rPr>
      </w:pPr>
    </w:p>
    <w:p>
      <w:pPr>
        <w:ind w:left="460" w:right="60" w:firstLine="229"/>
        <w:spacing w:after="0" w:line="293" w:lineRule="auto"/>
        <w:tabs>
          <w:tab w:leader="none" w:pos="900" w:val="left"/>
        </w:tabs>
        <w:numPr>
          <w:ilvl w:val="2"/>
          <w:numId w:val="90"/>
        </w:numPr>
        <w:rPr>
          <w:rFonts w:ascii="Arial" w:cs="Arial" w:eastAsia="Arial" w:hAnsi="Arial"/>
          <w:sz w:val="16"/>
          <w:szCs w:val="16"/>
          <w:color w:val="auto"/>
        </w:rPr>
      </w:pPr>
      <w:r>
        <w:rPr>
          <w:rFonts w:ascii="Arial" w:cs="Arial" w:eastAsia="Arial" w:hAnsi="Arial"/>
          <w:sz w:val="16"/>
          <w:szCs w:val="16"/>
          <w:color w:val="auto"/>
        </w:rPr>
        <w:t>this Indenture and such other indenture or indentures (and all series of securities issuable thereunder) are wholly unsecured and rank equally and such other indenture or indentures are hereafter qualified under the Trust Indenture Act, unless the Commission shall have found and declared by order pursuant to Section 305(b) or Section 307(c) of the Trust Indenture Act that differences exist between the provisions of this Indenture with respect to the Debt Securities of such series and one or more other series or the provisions of such other indenture or indentures which are so likely to involve a material conflict of interest as to make it necessary, in the public interest or for the protection of investors to disqualify the Trustee from acting as such under this Indenture with respect to the Debt Securities of such series and such other series or under such other indenture or indentures, or</w:t>
      </w:r>
    </w:p>
    <w:p>
      <w:pPr>
        <w:spacing w:after="0" w:line="56" w:lineRule="exact"/>
        <w:rPr>
          <w:rFonts w:ascii="Arial" w:cs="Arial" w:eastAsia="Arial" w:hAnsi="Arial"/>
          <w:sz w:val="16"/>
          <w:szCs w:val="16"/>
          <w:color w:val="auto"/>
        </w:rPr>
      </w:pPr>
    </w:p>
    <w:p>
      <w:pPr>
        <w:ind w:left="460" w:right="220" w:firstLine="229"/>
        <w:spacing w:after="0" w:line="312" w:lineRule="auto"/>
        <w:tabs>
          <w:tab w:leader="none" w:pos="950" w:val="left"/>
        </w:tabs>
        <w:numPr>
          <w:ilvl w:val="2"/>
          <w:numId w:val="90"/>
        </w:numPr>
        <w:rPr>
          <w:rFonts w:ascii="Arial" w:cs="Arial" w:eastAsia="Arial" w:hAnsi="Arial"/>
          <w:sz w:val="16"/>
          <w:szCs w:val="16"/>
          <w:color w:val="auto"/>
        </w:rPr>
      </w:pPr>
      <w:r>
        <w:rPr>
          <w:rFonts w:ascii="Arial" w:cs="Arial" w:eastAsia="Arial" w:hAnsi="Arial"/>
          <w:sz w:val="16"/>
          <w:szCs w:val="16"/>
          <w:color w:val="auto"/>
        </w:rPr>
        <w:t>the Company shall have sustained the burden of proving, on application to the Commission and after opportunity for hearing thereon, that trusteeship under this Indenture with respect to the Debt Securities of such series and such other series or such other indenture or indentures is not so likely to involve a material conflict of interest as to make it necessary in the public interest or for the protection of investors to disqualify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ind w:left="224"/>
        <w:spacing w:after="0" w:line="277" w:lineRule="auto"/>
        <w:rPr>
          <w:sz w:val="20"/>
          <w:szCs w:val="20"/>
          <w:color w:val="auto"/>
        </w:rPr>
      </w:pPr>
      <w:r>
        <w:rPr>
          <w:rFonts w:ascii="Arial" w:cs="Arial" w:eastAsia="Arial" w:hAnsi="Arial"/>
          <w:sz w:val="18"/>
          <w:szCs w:val="18"/>
          <w:color w:val="auto"/>
        </w:rPr>
        <w:t>Trustee from acting as such under this Indenture with respect to the Debt Securities of such series and such other series or under such other indenture or indentures;</w:t>
      </w:r>
    </w:p>
    <w:p>
      <w:pPr>
        <w:spacing w:after="0" w:line="62" w:lineRule="exact"/>
        <w:rPr>
          <w:sz w:val="20"/>
          <w:szCs w:val="20"/>
          <w:color w:val="auto"/>
        </w:rPr>
      </w:pPr>
    </w:p>
    <w:p>
      <w:pPr>
        <w:ind w:left="484" w:hanging="259"/>
        <w:spacing w:after="0"/>
        <w:tabs>
          <w:tab w:leader="none" w:pos="48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Trustee or any of its directors or executive officers is an underwriter for the Company;</w:t>
      </w:r>
    </w:p>
    <w:p>
      <w:pPr>
        <w:spacing w:after="0" w:line="117" w:lineRule="exact"/>
        <w:rPr>
          <w:rFonts w:ascii="Arial" w:cs="Arial" w:eastAsia="Arial" w:hAnsi="Arial"/>
          <w:sz w:val="18"/>
          <w:szCs w:val="18"/>
          <w:color w:val="auto"/>
        </w:rPr>
      </w:pPr>
    </w:p>
    <w:p>
      <w:pPr>
        <w:ind w:left="4" w:right="100" w:firstLine="221"/>
        <w:spacing w:after="0" w:line="277" w:lineRule="auto"/>
        <w:tabs>
          <w:tab w:leader="none" w:pos="48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Trustee directly or indirectly controls or is directly or indirectly controlled by or is under direct or indirect common control with an underwriter for the Company;</w:t>
      </w:r>
    </w:p>
    <w:p>
      <w:pPr>
        <w:spacing w:after="0" w:line="62" w:lineRule="exact"/>
        <w:rPr>
          <w:rFonts w:ascii="Arial" w:cs="Arial" w:eastAsia="Arial" w:hAnsi="Arial"/>
          <w:sz w:val="18"/>
          <w:szCs w:val="18"/>
          <w:color w:val="auto"/>
        </w:rPr>
      </w:pPr>
    </w:p>
    <w:p>
      <w:pPr>
        <w:ind w:left="4" w:right="20" w:firstLine="221"/>
        <w:spacing w:after="0" w:line="254" w:lineRule="auto"/>
        <w:tabs>
          <w:tab w:leader="none" w:pos="48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Trustee or any of its directors or executive officers is a director, officer, partner, employee, appointee or representative of the Company, or of an underwriter (other than the Trustee itself) for the Company who is currently engaged in the business of underwriting, except that (i) one individual may be a director or an executive officer, or both, of the Trustee and a director or an executive officer, or both, of the Company but may not be at the same time an executive officer of both the Trustee and the Company; (ii) if and so long as the number of directors of the Trustee in office is more than nine, one additional individual may be a director or an executive officer, or both, of the Trustee and a director of the Company; and (iii) the Trustee may be designated by the Company or by any underwriter for the Company to act in the capacity of transfer agent, registrar, custodian, paying agent, fiscal agent, escrow agent, or depositary or in any other similar capacity, or, subject to the provisions of paragraph (l) of this subsection, to act as trustee, whether under an indenture or otherwise;</w:t>
      </w:r>
    </w:p>
    <w:p>
      <w:pPr>
        <w:spacing w:after="0" w:line="84" w:lineRule="exact"/>
        <w:rPr>
          <w:rFonts w:ascii="Arial" w:cs="Arial" w:eastAsia="Arial" w:hAnsi="Arial"/>
          <w:sz w:val="18"/>
          <w:szCs w:val="18"/>
          <w:color w:val="auto"/>
        </w:rPr>
      </w:pPr>
    </w:p>
    <w:p>
      <w:pPr>
        <w:ind w:left="4" w:right="260" w:firstLine="221"/>
        <w:spacing w:after="0" w:line="259" w:lineRule="auto"/>
        <w:tabs>
          <w:tab w:leader="none" w:pos="484" w:val="left"/>
        </w:tabs>
        <w:numPr>
          <w:ilvl w:val="1"/>
          <w:numId w:val="91"/>
        </w:numPr>
        <w:rPr>
          <w:rFonts w:ascii="Arial" w:cs="Arial" w:eastAsia="Arial" w:hAnsi="Arial"/>
          <w:sz w:val="18"/>
          <w:szCs w:val="18"/>
          <w:color w:val="auto"/>
        </w:rPr>
      </w:pPr>
      <w:r>
        <w:rPr>
          <w:rFonts w:ascii="Arial" w:cs="Arial" w:eastAsia="Arial" w:hAnsi="Arial"/>
          <w:sz w:val="18"/>
          <w:szCs w:val="18"/>
          <w:color w:val="auto"/>
        </w:rPr>
        <w:t>10% or more of the voting securities of the Trustee is beneficially owned either by the Company or by any director, partner or executive officer thereof, or 20% or more of such voting securities is beneficially owned, collectively, by any two or more of such persons; or 10% or more of the voting securities of the Trustee is beneficially owned either by an underwriter for the Company or by any director, partner or executive officer thereof or is beneficially owned, collectively, by any two or more such persons;</w:t>
      </w:r>
    </w:p>
    <w:p>
      <w:pPr>
        <w:spacing w:after="0" w:line="78" w:lineRule="exact"/>
        <w:rPr>
          <w:rFonts w:ascii="Arial" w:cs="Arial" w:eastAsia="Arial" w:hAnsi="Arial"/>
          <w:sz w:val="18"/>
          <w:szCs w:val="18"/>
          <w:color w:val="auto"/>
        </w:rPr>
      </w:pPr>
    </w:p>
    <w:p>
      <w:pPr>
        <w:ind w:left="484" w:hanging="259"/>
        <w:spacing w:after="0"/>
        <w:tabs>
          <w:tab w:leader="none" w:pos="484"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Trustee is the beneficial owner of, or holds as collateral security for an obligation which is in default (as hereinafter in this subsection defined),</w:t>
      </w:r>
    </w:p>
    <w:p>
      <w:pPr>
        <w:spacing w:after="0" w:line="46" w:lineRule="exact"/>
        <w:rPr>
          <w:rFonts w:ascii="Arial" w:cs="Arial" w:eastAsia="Arial" w:hAnsi="Arial"/>
          <w:sz w:val="16"/>
          <w:szCs w:val="16"/>
          <w:color w:val="auto"/>
        </w:rPr>
      </w:pPr>
    </w:p>
    <w:p>
      <w:pPr>
        <w:ind w:left="4" w:right="160" w:hanging="4"/>
        <w:spacing w:after="0" w:line="255" w:lineRule="auto"/>
        <w:tabs>
          <w:tab w:leader="none" w:pos="2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5% or more of the voting securities, or 10% or more of any other class of security, of the Company not including the Debt Securities issued under this Indenture and securities issued under any other indenture under which the Trustee is also trustee, or (ii) 10% or more of any class of security of an underwriter for the Company;</w:t>
      </w:r>
    </w:p>
    <w:p>
      <w:pPr>
        <w:spacing w:after="0" w:line="82" w:lineRule="exact"/>
        <w:rPr>
          <w:rFonts w:ascii="Arial" w:cs="Arial" w:eastAsia="Arial" w:hAnsi="Arial"/>
          <w:sz w:val="18"/>
          <w:szCs w:val="18"/>
          <w:color w:val="auto"/>
        </w:rPr>
      </w:pPr>
    </w:p>
    <w:p>
      <w:pPr>
        <w:ind w:left="4" w:right="100" w:firstLine="221"/>
        <w:spacing w:after="0" w:line="264" w:lineRule="auto"/>
        <w:tabs>
          <w:tab w:leader="none" w:pos="48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Trustee is the beneficial owner of or holds as collateral security for an obligation which is in default, 5% or more of the voting securities of any person who, to the knowledge of the Trustee, owns 10% or more of the voting securities of, or controls directly or indirectly or is under direct or indirect common control with, the Company;</w:t>
      </w:r>
    </w:p>
    <w:p>
      <w:pPr>
        <w:spacing w:after="0" w:line="73" w:lineRule="exact"/>
        <w:rPr>
          <w:rFonts w:ascii="Arial" w:cs="Arial" w:eastAsia="Arial" w:hAnsi="Arial"/>
          <w:sz w:val="18"/>
          <w:szCs w:val="18"/>
          <w:color w:val="auto"/>
        </w:rPr>
      </w:pPr>
    </w:p>
    <w:p>
      <w:pPr>
        <w:ind w:left="4" w:firstLine="221"/>
        <w:spacing w:after="0" w:line="277" w:lineRule="auto"/>
        <w:tabs>
          <w:tab w:leader="none" w:pos="48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Trustee is the beneficial owner of or holds as collateral security for an obligation which is in default, 10% or more of any class of security of any person who, to the knowledge of the Trustee, owns 50% or more of the voting securities of the Company;</w:t>
      </w:r>
    </w:p>
    <w:p>
      <w:pPr>
        <w:spacing w:after="0" w:line="62" w:lineRule="exact"/>
        <w:rPr>
          <w:rFonts w:ascii="Arial" w:cs="Arial" w:eastAsia="Arial" w:hAnsi="Arial"/>
          <w:sz w:val="18"/>
          <w:szCs w:val="18"/>
          <w:color w:val="auto"/>
        </w:rPr>
      </w:pPr>
    </w:p>
    <w:p>
      <w:pPr>
        <w:ind w:left="484" w:hanging="259"/>
        <w:spacing w:after="0"/>
        <w:tabs>
          <w:tab w:leader="none" w:pos="484"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Trustee owns, on the date of such Event of Default or any anniversary of such Event of Default while such Event of Default remains</w:t>
      </w:r>
    </w:p>
    <w:p>
      <w:pPr>
        <w:spacing w:after="0" w:line="34" w:lineRule="exact"/>
        <w:rPr>
          <w:rFonts w:ascii="Arial" w:cs="Arial" w:eastAsia="Arial" w:hAnsi="Arial"/>
          <w:sz w:val="17"/>
          <w:szCs w:val="17"/>
          <w:color w:val="auto"/>
        </w:rPr>
      </w:pPr>
    </w:p>
    <w:p>
      <w:pPr>
        <w:ind w:left="4"/>
        <w:spacing w:after="0" w:line="277" w:lineRule="auto"/>
        <w:rPr>
          <w:rFonts w:ascii="Arial" w:cs="Arial" w:eastAsia="Arial" w:hAnsi="Arial"/>
          <w:sz w:val="17"/>
          <w:szCs w:val="17"/>
          <w:color w:val="auto"/>
        </w:rPr>
      </w:pPr>
      <w:r>
        <w:rPr>
          <w:rFonts w:ascii="Arial" w:cs="Arial" w:eastAsia="Arial" w:hAnsi="Arial"/>
          <w:sz w:val="17"/>
          <w:szCs w:val="17"/>
          <w:color w:val="auto"/>
        </w:rPr>
        <w:t>outstanding, in the capacity of executor, administrator, testamentary or inter vivos trustee, guardian, committee or conservator, or in any other similar capacity, an aggregate of 25% or more of the voting securities, or of any class of security, of any person, the beneficial ownership of a specified percentage of which would have constituted a conflicting interest under paragraph (6), (7) or (8) of this subsection. As to any such</w:t>
      </w:r>
    </w:p>
    <w:p>
      <w:pPr>
        <w:spacing w:after="0" w:line="146"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94" w:name="page95"/>
    <w:bookmarkEnd w:id="94"/>
    <w:p>
      <w:pPr>
        <w:ind w:left="240"/>
        <w:spacing w:after="0" w:line="270" w:lineRule="auto"/>
        <w:rPr>
          <w:sz w:val="20"/>
          <w:szCs w:val="20"/>
          <w:color w:val="auto"/>
        </w:rPr>
      </w:pPr>
      <w:r>
        <w:rPr>
          <w:rFonts w:ascii="Arial" w:cs="Arial" w:eastAsia="Arial" w:hAnsi="Arial"/>
          <w:sz w:val="17"/>
          <w:szCs w:val="17"/>
          <w:color w:val="auto"/>
        </w:rPr>
        <w:t>securities of which the Trustee acquired ownership through becoming executor, administrator or testamentary trustee of an estate which included them, the provisions of the preceding sentence shall not apply, for a period of not more than two years from the date of such acquisition, to the extent that such securities included in such estate do not exceed 25% of such voting securities or 25% of any such class of security. Promptly after the dates of any such Event of Default and annually in each succeeding year that such Event of Default continues, the Trustee shall make a check of its holdings of such securities in any of the above-mentioned capacities as of such dates. If the Company fails to make payment in full of the principal of (or premium, if any) or interest on any of the Debt Securities when and as the same becomes due and payable, and such failure continues for 30 days thereafter, the Trustee shall make a prompt check of its holdings of such securities in any of the above-mentioned capacities as of the date of the expiration of such 30-day period, and after such date, notwithstanding the foregoing provisions of this paragraph, all such securities so held by the Trustee, with sole or joint control over such securities vested in it, shall be considered as though beneficially owned by the Trustee for the purposes of paragraphs (6), (7) and (8) of this subsection; or</w:t>
      </w:r>
    </w:p>
    <w:p>
      <w:pPr>
        <w:spacing w:after="0" w:line="70" w:lineRule="exact"/>
        <w:rPr>
          <w:sz w:val="20"/>
          <w:szCs w:val="20"/>
          <w:color w:val="auto"/>
        </w:rPr>
      </w:pPr>
    </w:p>
    <w:p>
      <w:pPr>
        <w:ind w:left="240" w:right="300" w:firstLine="221"/>
        <w:spacing w:after="0" w:line="277" w:lineRule="auto"/>
        <w:tabs>
          <w:tab w:leader="none" w:pos="8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under the circumstances described in paragraphs (1), (3), (4), (5) or (6) of Section 6.13(b) of this Indenture, the Trustee shall be or shall become a creditor of the Company.</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For the purposes of paragraph (1) of this subsection, the term “series of securities” or “series” means a series, class or group of securities issuable under an indenture pursuant to whose terms holders of one such series may vote to direct the Trustee, or otherwise take action pursuant to a vote of such holders, separately from holders of another series; </w:t>
      </w:r>
      <w:r>
        <w:rPr>
          <w:rFonts w:ascii="Arial" w:cs="Arial" w:eastAsia="Arial" w:hAnsi="Arial"/>
          <w:sz w:val="18"/>
          <w:szCs w:val="18"/>
          <w:u w:val="single" w:color="auto"/>
          <w:color w:val="auto"/>
        </w:rPr>
        <w:t>provided</w:t>
      </w:r>
      <w:r>
        <w:rPr>
          <w:rFonts w:ascii="Arial" w:cs="Arial" w:eastAsia="Arial" w:hAnsi="Arial"/>
          <w:sz w:val="18"/>
          <w:szCs w:val="18"/>
          <w:color w:val="auto"/>
        </w:rPr>
        <w:t>, that “series of securities” or “series” shall not include any series of securities issuable under an indenture if all such series rank equally and are wholly unsecured.</w:t>
      </w:r>
    </w:p>
    <w:p>
      <w:pPr>
        <w:spacing w:after="0" w:line="79"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specification of percentages in paragraphs (5) to (9), inclusive, of this subsection shall not be construed as indicating that the ownership of such percentages of the securities of a person is or is not necessary or sufficient to constitute direct or indirect control for the purposes of paragraph (3) or (7) of this subsection.</w:t>
      </w:r>
    </w:p>
    <w:p>
      <w:pPr>
        <w:spacing w:after="0" w:line="73"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For the purposes of paragraphs (6), (7), (8) and (9) of this subsection only, (i) the terms “security” and “securities” shall include only such securities as are generally known as corporate securities, but shall not include any note or other evidence of indebtedness issued to evidence an obligation to repay moneys lent to a person by one or more banks, trust companies or banking firms, or any certificate of interest or participation in any such note or evidence of indebtedness; (ii) an obligation shall be deemed to be “in default” when a default in payment of principal shall have continued for 30 days or more and shall not have been cured; and (iii) the Trustee shall not be deemed to be the owner or holder of (A) any security which it holds as collateral security, as trustee or otherwise, for an obligation which is not in default as defined in clause (ii) above, or (B) any security which it holds as collateral security under this Indenture, irrespective of any default hereunder, or (C) any security which it holds as agent for collection, or as custodian, escrow agent or depositary, or in any similar representative capacity.</w:t>
      </w:r>
    </w:p>
    <w:p>
      <w:pPr>
        <w:spacing w:after="0" w:line="84" w:lineRule="exact"/>
        <w:rPr>
          <w:sz w:val="20"/>
          <w:szCs w:val="20"/>
          <w:color w:val="auto"/>
        </w:rPr>
      </w:pPr>
    </w:p>
    <w:p>
      <w:pPr>
        <w:ind w:left="480" w:hanging="247"/>
        <w:spacing w:after="0"/>
        <w:tabs>
          <w:tab w:leader="none" w:pos="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the purposes of this Section 6.08:</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term “underwriter” when used with reference to the Company means every person who, within one year prior to the time as of which the</w:t>
      </w:r>
    </w:p>
    <w:p>
      <w:pPr>
        <w:spacing w:after="0" w:line="34" w:lineRule="exact"/>
        <w:rPr>
          <w:rFonts w:ascii="Arial" w:cs="Arial" w:eastAsia="Arial" w:hAnsi="Arial"/>
          <w:sz w:val="17"/>
          <w:szCs w:val="17"/>
          <w:color w:val="auto"/>
        </w:rPr>
      </w:pPr>
    </w:p>
    <w:p>
      <w:pPr>
        <w:ind w:left="240"/>
        <w:spacing w:after="0" w:line="277" w:lineRule="auto"/>
        <w:rPr>
          <w:rFonts w:ascii="Arial" w:cs="Arial" w:eastAsia="Arial" w:hAnsi="Arial"/>
          <w:sz w:val="17"/>
          <w:szCs w:val="17"/>
          <w:color w:val="auto"/>
        </w:rPr>
      </w:pPr>
      <w:r>
        <w:rPr>
          <w:rFonts w:ascii="Arial" w:cs="Arial" w:eastAsia="Arial" w:hAnsi="Arial"/>
          <w:sz w:val="17"/>
          <w:szCs w:val="17"/>
          <w:color w:val="auto"/>
        </w:rPr>
        <w:t>determination is made, has purchased from the Company with a view to, or has offered or sold for the Company in connection with, the distribution of any security of the Company outstanding at such time, or has participated or has had a direct or indirect participation in any such undertaking, or has participated or has had a participation in the direct or indirect underwriting of any such undertaking, but such term shall</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5" w:name="page96"/>
    <w:bookmarkEnd w:id="95"/>
    <w:p>
      <w:pPr>
        <w:ind w:left="7" w:right="280"/>
        <w:spacing w:after="0" w:line="277" w:lineRule="auto"/>
        <w:rPr>
          <w:sz w:val="20"/>
          <w:szCs w:val="20"/>
          <w:color w:val="auto"/>
        </w:rPr>
      </w:pPr>
      <w:r>
        <w:rPr>
          <w:rFonts w:ascii="Arial" w:cs="Arial" w:eastAsia="Arial" w:hAnsi="Arial"/>
          <w:sz w:val="18"/>
          <w:szCs w:val="18"/>
          <w:color w:val="auto"/>
        </w:rPr>
        <w:t>not include a person whose interest was limited to a commission from an underwriter or dealer not in excess of the usual and customary distributors’ or sellers’ commission.</w:t>
      </w:r>
    </w:p>
    <w:p>
      <w:pPr>
        <w:spacing w:after="0" w:line="62" w:lineRule="exact"/>
        <w:rPr>
          <w:sz w:val="20"/>
          <w:szCs w:val="20"/>
          <w:color w:val="auto"/>
        </w:rPr>
      </w:pPr>
    </w:p>
    <w:p>
      <w:pPr>
        <w:ind w:left="7" w:right="240" w:firstLine="221"/>
        <w:spacing w:after="0" w:line="277" w:lineRule="auto"/>
        <w:tabs>
          <w:tab w:leader="none" w:pos="487"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term “director” means any director of a corporation, or any individual performing similar functions with respect to any organization whether incorporated or unincorporated.</w:t>
      </w:r>
    </w:p>
    <w:p>
      <w:pPr>
        <w:spacing w:after="0" w:line="62" w:lineRule="exact"/>
        <w:rPr>
          <w:rFonts w:ascii="Arial" w:cs="Arial" w:eastAsia="Arial" w:hAnsi="Arial"/>
          <w:sz w:val="18"/>
          <w:szCs w:val="18"/>
          <w:color w:val="auto"/>
        </w:rPr>
      </w:pPr>
    </w:p>
    <w:p>
      <w:pPr>
        <w:ind w:left="7" w:right="280" w:firstLine="221"/>
        <w:spacing w:after="0" w:line="264" w:lineRule="auto"/>
        <w:tabs>
          <w:tab w:leader="none" w:pos="487"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term “person” means an individual, a corporation, a partnership, an association, a joint stock company, a trust, an estate, an unincorporated organization, or a government or political subdivision thereof. As used in this paragraph, the term “trust” shall include only a trust where the interest or interests of the beneficiary or beneficiaries are evidenced by a security.</w:t>
      </w:r>
    </w:p>
    <w:p>
      <w:pPr>
        <w:spacing w:after="0" w:line="73" w:lineRule="exact"/>
        <w:rPr>
          <w:rFonts w:ascii="Arial" w:cs="Arial" w:eastAsia="Arial" w:hAnsi="Arial"/>
          <w:sz w:val="18"/>
          <w:szCs w:val="18"/>
          <w:color w:val="auto"/>
        </w:rPr>
      </w:pPr>
    </w:p>
    <w:p>
      <w:pPr>
        <w:ind w:left="7" w:right="40" w:firstLine="221"/>
        <w:spacing w:after="0" w:line="286" w:lineRule="auto"/>
        <w:tabs>
          <w:tab w:leader="none" w:pos="487"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term “voting security” means any security presently entitling the owner or holder thereof to vote in the direction or management of the affairs of a person, or any security issued under or pursuant to any trust, agreement or arrangements whereby a trustee or trustees or agent or agents for the owner or holder of such security are presently entitled to vote in the direction or management of the affairs of a person.</w:t>
      </w:r>
    </w:p>
    <w:p>
      <w:pPr>
        <w:spacing w:after="0" w:line="57" w:lineRule="exact"/>
        <w:rPr>
          <w:rFonts w:ascii="Arial" w:cs="Arial" w:eastAsia="Arial" w:hAnsi="Arial"/>
          <w:sz w:val="17"/>
          <w:szCs w:val="17"/>
          <w:color w:val="auto"/>
        </w:rPr>
      </w:pPr>
    </w:p>
    <w:p>
      <w:pPr>
        <w:ind w:left="487" w:hanging="259"/>
        <w:spacing w:after="0"/>
        <w:tabs>
          <w:tab w:leader="none" w:pos="487"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term “Company” means any obligor upon the Debt Securities of any series.</w:t>
      </w:r>
    </w:p>
    <w:p>
      <w:pPr>
        <w:spacing w:after="0" w:line="117" w:lineRule="exact"/>
        <w:rPr>
          <w:rFonts w:ascii="Arial" w:cs="Arial" w:eastAsia="Arial" w:hAnsi="Arial"/>
          <w:sz w:val="18"/>
          <w:szCs w:val="18"/>
          <w:color w:val="auto"/>
        </w:rPr>
      </w:pPr>
    </w:p>
    <w:p>
      <w:pPr>
        <w:ind w:left="487" w:hanging="259"/>
        <w:spacing w:after="0"/>
        <w:tabs>
          <w:tab w:leader="none" w:pos="487"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term “executive officer” means the president, every vice president, every trust officer, the cashier, the secretary, and the treasurer of a</w:t>
      </w:r>
    </w:p>
    <w:p>
      <w:pPr>
        <w:spacing w:after="0" w:line="34" w:lineRule="exact"/>
        <w:rPr>
          <w:rFonts w:ascii="Arial" w:cs="Arial" w:eastAsia="Arial" w:hAnsi="Arial"/>
          <w:sz w:val="17"/>
          <w:szCs w:val="17"/>
          <w:color w:val="auto"/>
        </w:rPr>
      </w:pPr>
    </w:p>
    <w:p>
      <w:pPr>
        <w:ind w:left="7" w:right="280"/>
        <w:spacing w:after="0" w:line="261" w:lineRule="auto"/>
        <w:rPr>
          <w:rFonts w:ascii="Arial" w:cs="Arial" w:eastAsia="Arial" w:hAnsi="Arial"/>
          <w:sz w:val="17"/>
          <w:szCs w:val="17"/>
          <w:color w:val="auto"/>
        </w:rPr>
      </w:pPr>
      <w:r>
        <w:rPr>
          <w:rFonts w:ascii="Arial" w:cs="Arial" w:eastAsia="Arial" w:hAnsi="Arial"/>
          <w:sz w:val="18"/>
          <w:szCs w:val="18"/>
          <w:color w:val="auto"/>
        </w:rPr>
        <w:t>corporation, and any individual customarily performing similar functions with respect to any organization, whether incorporated or unincorporated, but shall not include the chairman of the board of directors.</w:t>
      </w:r>
    </w:p>
    <w:p>
      <w:pPr>
        <w:spacing w:after="0" w:line="75" w:lineRule="exact"/>
        <w:rPr>
          <w:rFonts w:ascii="Arial" w:cs="Arial" w:eastAsia="Arial" w:hAnsi="Arial"/>
          <w:sz w:val="17"/>
          <w:szCs w:val="17"/>
          <w:color w:val="auto"/>
        </w:rPr>
      </w:pPr>
    </w:p>
    <w:p>
      <w:pPr>
        <w:ind w:left="247" w:hanging="247"/>
        <w:spacing w:after="0"/>
        <w:tabs>
          <w:tab w:leader="none" w:pos="2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percentages of voting securities and other securities specified in this Section 6.08 shall be calculated in accordance with the following provisions:</w:t>
      </w:r>
    </w:p>
    <w:p>
      <w:pPr>
        <w:spacing w:after="0" w:line="140" w:lineRule="exact"/>
        <w:rPr>
          <w:rFonts w:ascii="Arial" w:cs="Arial" w:eastAsia="Arial" w:hAnsi="Arial"/>
          <w:sz w:val="16"/>
          <w:szCs w:val="16"/>
          <w:color w:val="auto"/>
        </w:rPr>
      </w:pPr>
    </w:p>
    <w:p>
      <w:pPr>
        <w:ind w:left="7" w:right="100" w:firstLine="221"/>
        <w:spacing w:after="0" w:line="259" w:lineRule="auto"/>
        <w:tabs>
          <w:tab w:leader="none" w:pos="48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specified percentage of the voting securities of the Trustee, the Company or any other person referred to in this Section 6.08 (each of whom is referred to as a “person” in this paragraph) means such amount of the outstanding voting securities of such person as entitles the holder or holders thereof to cast such specified percentage of the aggregate votes which the holders of all the outstanding voting securities of such person are entitled to cast in the direction or management of the affairs of such person.</w:t>
      </w:r>
    </w:p>
    <w:p>
      <w:pPr>
        <w:spacing w:after="0" w:line="78" w:lineRule="exact"/>
        <w:rPr>
          <w:rFonts w:ascii="Arial" w:cs="Arial" w:eastAsia="Arial" w:hAnsi="Arial"/>
          <w:sz w:val="18"/>
          <w:szCs w:val="18"/>
          <w:color w:val="auto"/>
        </w:rPr>
      </w:pPr>
    </w:p>
    <w:p>
      <w:pPr>
        <w:ind w:left="487" w:hanging="259"/>
        <w:spacing w:after="0"/>
        <w:tabs>
          <w:tab w:leader="none" w:pos="487" w:val="left"/>
        </w:tabs>
        <w:numPr>
          <w:ilvl w:val="1"/>
          <w:numId w:val="96"/>
        </w:numPr>
        <w:rPr>
          <w:rFonts w:ascii="Arial" w:cs="Arial" w:eastAsia="Arial" w:hAnsi="Arial"/>
          <w:sz w:val="16"/>
          <w:szCs w:val="16"/>
          <w:color w:val="auto"/>
        </w:rPr>
      </w:pPr>
      <w:r>
        <w:rPr>
          <w:rFonts w:ascii="Arial" w:cs="Arial" w:eastAsia="Arial" w:hAnsi="Arial"/>
          <w:sz w:val="16"/>
          <w:szCs w:val="16"/>
          <w:color w:val="auto"/>
        </w:rPr>
        <w:t>A specified percentage of a class of securities of a person means such percentage of the aggregate amount of securities of the class outstanding.</w:t>
      </w:r>
    </w:p>
    <w:p>
      <w:pPr>
        <w:spacing w:after="0" w:line="140" w:lineRule="exact"/>
        <w:rPr>
          <w:rFonts w:ascii="Arial" w:cs="Arial" w:eastAsia="Arial" w:hAnsi="Arial"/>
          <w:sz w:val="16"/>
          <w:szCs w:val="16"/>
          <w:color w:val="auto"/>
        </w:rPr>
      </w:pPr>
    </w:p>
    <w:p>
      <w:pPr>
        <w:ind w:left="7" w:firstLine="221"/>
        <w:spacing w:after="0" w:line="277" w:lineRule="auto"/>
        <w:tabs>
          <w:tab w:leader="none" w:pos="48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term “amount”, when used with regard to securities means the principal amount if relating to evidences of indebtedness, the number of shares if relating to capital shares, and the number of units if relating to any other kind of security.</w:t>
      </w:r>
    </w:p>
    <w:p>
      <w:pPr>
        <w:spacing w:after="0" w:line="62" w:lineRule="exact"/>
        <w:rPr>
          <w:rFonts w:ascii="Arial" w:cs="Arial" w:eastAsia="Arial" w:hAnsi="Arial"/>
          <w:sz w:val="18"/>
          <w:szCs w:val="18"/>
          <w:color w:val="auto"/>
        </w:rPr>
      </w:pPr>
    </w:p>
    <w:p>
      <w:pPr>
        <w:ind w:left="7" w:right="380" w:firstLine="221"/>
        <w:spacing w:after="0" w:line="277" w:lineRule="auto"/>
        <w:tabs>
          <w:tab w:leader="none" w:pos="48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term “outstanding” means issued and not held by or for the account of the issuer. The following securities shall not be deemed outstanding within the meaning of this definition:</w:t>
      </w:r>
    </w:p>
    <w:p>
      <w:pPr>
        <w:spacing w:after="0" w:line="62" w:lineRule="exact"/>
        <w:rPr>
          <w:rFonts w:ascii="Arial" w:cs="Arial" w:eastAsia="Arial" w:hAnsi="Arial"/>
          <w:sz w:val="18"/>
          <w:szCs w:val="18"/>
          <w:color w:val="auto"/>
        </w:rPr>
      </w:pPr>
    </w:p>
    <w:p>
      <w:pPr>
        <w:ind w:left="667" w:hanging="211"/>
        <w:spacing w:after="0"/>
        <w:tabs>
          <w:tab w:leader="none" w:pos="667" w:val="left"/>
        </w:tabs>
        <w:numPr>
          <w:ilvl w:val="2"/>
          <w:numId w:val="96"/>
        </w:numPr>
        <w:rPr>
          <w:rFonts w:ascii="Arial" w:cs="Arial" w:eastAsia="Arial" w:hAnsi="Arial"/>
          <w:sz w:val="18"/>
          <w:szCs w:val="18"/>
          <w:color w:val="auto"/>
        </w:rPr>
      </w:pPr>
      <w:r>
        <w:rPr>
          <w:rFonts w:ascii="Arial" w:cs="Arial" w:eastAsia="Arial" w:hAnsi="Arial"/>
          <w:sz w:val="18"/>
          <w:szCs w:val="18"/>
          <w:color w:val="auto"/>
        </w:rPr>
        <w:t>securities of an issuer held in a sinking fund relating to securities of the issuer of the same class;</w:t>
      </w:r>
    </w:p>
    <w:p>
      <w:pPr>
        <w:spacing w:after="0" w:line="198"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96" w:name="page97"/>
    <w:bookmarkEnd w:id="96"/>
    <w:p>
      <w:pPr>
        <w:ind w:left="460" w:firstLine="229"/>
        <w:spacing w:after="0" w:line="277" w:lineRule="auto"/>
        <w:tabs>
          <w:tab w:leader="none" w:pos="95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securities of an issuer held in a sinking fund relating to another class of securities of the issuer, if the obligation evidenced by such other class of securities is not in default as to principal or interest or otherwise;</w:t>
      </w:r>
    </w:p>
    <w:p>
      <w:pPr>
        <w:spacing w:after="0" w:line="62" w:lineRule="exact"/>
        <w:rPr>
          <w:rFonts w:ascii="Arial" w:cs="Arial" w:eastAsia="Arial" w:hAnsi="Arial"/>
          <w:sz w:val="18"/>
          <w:szCs w:val="18"/>
          <w:color w:val="auto"/>
        </w:rPr>
      </w:pPr>
    </w:p>
    <w:p>
      <w:pPr>
        <w:ind w:left="1000" w:hanging="311"/>
        <w:spacing w:after="0"/>
        <w:tabs>
          <w:tab w:leader="none" w:pos="10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securities pledged by the issuer thereof as security for an obligation of the issuer not in default as to principal or interest or otherwise; and</w:t>
      </w:r>
    </w:p>
    <w:p>
      <w:pPr>
        <w:spacing w:after="0" w:line="128" w:lineRule="exact"/>
        <w:rPr>
          <w:rFonts w:ascii="Arial" w:cs="Arial" w:eastAsia="Arial" w:hAnsi="Arial"/>
          <w:sz w:val="17"/>
          <w:szCs w:val="17"/>
          <w:color w:val="auto"/>
        </w:rPr>
      </w:pPr>
    </w:p>
    <w:p>
      <w:pPr>
        <w:ind w:left="1000" w:hanging="311"/>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securities held in escrow if placed in escrow by the issuer thereof;</w:t>
      </w:r>
    </w:p>
    <w:p>
      <w:pPr>
        <w:spacing w:after="0" w:line="117"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voting securities of an issuer shall be deemed outstanding if any person other than the issuer is entitled to exercise the voting rights thereof.</w:t>
      </w:r>
    </w:p>
    <w:p>
      <w:pPr>
        <w:spacing w:after="0" w:line="62" w:lineRule="exact"/>
        <w:rPr>
          <w:sz w:val="20"/>
          <w:szCs w:val="20"/>
          <w:color w:val="auto"/>
        </w:rPr>
      </w:pPr>
    </w:p>
    <w:p>
      <w:pPr>
        <w:ind w:left="240" w:right="140" w:firstLine="221"/>
        <w:spacing w:after="0" w:line="297" w:lineRule="auto"/>
        <w:tabs>
          <w:tab w:leader="none" w:pos="7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A security shall be deemed to be of the same class as another security if both securities confer upon the holder or holders thereof substantially the same rights and privileges;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secured evidences of indebtedness, all of which are issued under a single indenture, differences in the interest rates or maturity dates of various series thereof shall not be deemed sufficient to constitute such series different classes;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unsecured evidences of indebtedness, differences in the interest rates or maturity dates thereof shall not be deemed sufficient to constitute them securities of different classes, whether or not they are issued under a single indenture.</w:t>
      </w:r>
    </w:p>
    <w:p>
      <w:pPr>
        <w:spacing w:after="0" w:line="50" w:lineRule="exact"/>
        <w:rPr>
          <w:rFonts w:ascii="Arial" w:cs="Arial" w:eastAsia="Arial" w:hAnsi="Arial"/>
          <w:sz w:val="16"/>
          <w:szCs w:val="16"/>
          <w:color w:val="auto"/>
        </w:rPr>
      </w:pPr>
    </w:p>
    <w:p>
      <w:pPr>
        <w:ind w:right="340" w:firstLine="233"/>
        <w:spacing w:after="0" w:line="264" w:lineRule="auto"/>
        <w:tabs>
          <w:tab w:leader="none" w:pos="4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in the case of a default in the payment of the principal of or interest on any Debt Security of any series, or in the payment of any sinking or purchase fund installment, the Trustee shall not be required to resign as provided by this Section 6.08 if the Trustee shall have sustained the burden of proving, on application to the Commission and after opportunity for hearing thereon, that:</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Event of Default may be cured or waived during a reasonable period and under the procedures described in such application; and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stay of the Trustee’s duty to resign will not be inconsistent with the interests of Holders of the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filing of such an application shall automatically stay the performance of the duty to resign until the Commission orders otherwise.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$100,000,000, subject to supervision or examination by Federal, State or District of Columbia authority. If such corporation publishes reports of condition at least annually, pursuant to law or to the requirements of the aforesaid supervising or examining authority, then for the purposes of this Section 6.09,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upon any Debt Securities.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7" w:name="page98"/>
    <w:bookmarkEnd w:id="97"/>
    <w:p>
      <w:pPr>
        <w:ind w:left="92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firstLine="233"/>
        <w:spacing w:after="0" w:line="277" w:lineRule="auto"/>
        <w:tabs>
          <w:tab w:leader="none" w:pos="4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under Section 6.11.</w:t>
      </w:r>
    </w:p>
    <w:p>
      <w:pPr>
        <w:spacing w:after="0" w:line="62" w:lineRule="exact"/>
        <w:rPr>
          <w:rFonts w:ascii="Arial" w:cs="Arial" w:eastAsia="Arial" w:hAnsi="Arial"/>
          <w:sz w:val="18"/>
          <w:szCs w:val="18"/>
          <w:color w:val="auto"/>
        </w:rPr>
      </w:pPr>
    </w:p>
    <w:p>
      <w:pPr>
        <w:ind w:right="60" w:firstLine="233"/>
        <w:spacing w:after="0" w:line="259" w:lineRule="auto"/>
        <w:tabs>
          <w:tab w:leader="none" w:pos="4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Debt Securities of one or more series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 with respect to the Debt Securities of such series.</w:t>
      </w:r>
    </w:p>
    <w:p>
      <w:pPr>
        <w:spacing w:after="0" w:line="78" w:lineRule="exact"/>
        <w:rPr>
          <w:rFonts w:ascii="Arial" w:cs="Arial" w:eastAsia="Arial" w:hAnsi="Arial"/>
          <w:sz w:val="18"/>
          <w:szCs w:val="18"/>
          <w:color w:val="auto"/>
        </w:rPr>
      </w:pPr>
    </w:p>
    <w:p>
      <w:pPr>
        <w:ind w:right="40" w:firstLine="233"/>
        <w:spacing w:after="0" w:line="277" w:lineRule="auto"/>
        <w:tabs>
          <w:tab w:leader="none" w:pos="46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Debt Securities of any series and a successor Trustee appointed by Act of the Holders of a majority in principal amount of the Outstanding Debt Securities of such series, delivered to the Trustee and to the Company.</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rFonts w:ascii="Arial" w:cs="Arial" w:eastAsia="Arial" w:hAnsi="Arial"/>
          <w:sz w:val="18"/>
          <w:szCs w:val="18"/>
          <w:color w:val="auto"/>
        </w:rPr>
      </w:pPr>
    </w:p>
    <w:p>
      <w:pPr>
        <w:ind w:left="240" w:right="80" w:firstLine="221"/>
        <w:spacing w:after="0" w:line="277" w:lineRule="auto"/>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Trustee shall fail to comply with Section 6.08(a) with respect to the Debt Securities of any series after written request therefor by the Company or by any Holder who has been a bona fide Holder of a Debt Security of such series for at least six months, or</w:t>
      </w:r>
    </w:p>
    <w:p>
      <w:pPr>
        <w:spacing w:after="0" w:line="62" w:lineRule="exact"/>
        <w:rPr>
          <w:rFonts w:ascii="Arial" w:cs="Arial" w:eastAsia="Arial" w:hAnsi="Arial"/>
          <w:sz w:val="18"/>
          <w:szCs w:val="18"/>
          <w:color w:val="auto"/>
        </w:rPr>
      </w:pPr>
    </w:p>
    <w:p>
      <w:pPr>
        <w:ind w:left="240" w:right="20" w:firstLine="221"/>
        <w:spacing w:after="0" w:line="277" w:lineRule="auto"/>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with respect to the Debt Securities of any series and shall fail to resign after written request therefor by the Company or by any such Holder, or</w:t>
      </w:r>
    </w:p>
    <w:p>
      <w:pPr>
        <w:spacing w:after="0" w:line="62" w:lineRule="exact"/>
        <w:rPr>
          <w:rFonts w:ascii="Arial" w:cs="Arial" w:eastAsia="Arial" w:hAnsi="Arial"/>
          <w:sz w:val="18"/>
          <w:szCs w:val="18"/>
          <w:color w:val="auto"/>
        </w:rPr>
      </w:pPr>
    </w:p>
    <w:p>
      <w:pPr>
        <w:jc w:val="both"/>
        <w:ind w:left="240" w:right="360" w:firstLine="221"/>
        <w:spacing w:after="0" w:line="264" w:lineRule="auto"/>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then, in any such case, (i) the Company by a Board Resolution may remove the Trustee with respect to all Debt Securities, or (ii) subject to Section 5.14, any Holder who has been a bona fide Holder of a Debt Security of any series for at least six months may, on behalf of himself and all others similarly situated, petition any court of competent jurisdiction for the removal of the Trustee and the appointment of a successor Trustee for the Debt Securities of such series.</w:t>
      </w:r>
    </w:p>
    <w:p>
      <w:pPr>
        <w:spacing w:after="0" w:line="39" w:lineRule="exact"/>
        <w:rPr>
          <w:sz w:val="20"/>
          <w:szCs w:val="20"/>
          <w:color w:val="auto"/>
        </w:rPr>
      </w:pPr>
    </w:p>
    <w:p>
      <w:pPr>
        <w:ind w:right="80" w:firstLine="233"/>
        <w:spacing w:after="0" w:line="270" w:lineRule="auto"/>
        <w:tabs>
          <w:tab w:leader="none" w:pos="47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Debt Securities of one or more series, the Company, by a Board Resolution, shall promptly appoint a successor Trustee or Trustees with respect to the Debt Securities of that or those series (it being understood that any such successor Trustee may be appointed with respect to the Debt Securities of one or more or all of such series and that at any time there shall be only one Trustee with respect to the Debt Securities of any particular series) and shall comply with the applicable requirements of Section 6.11. If, within one year after such resignation, removal or incapability, or the occurrence of such vacancy, a successor Trustee with respect to the Debt Securities of any series shall be appointed by Act of the Holders of a majority in principal amount of the Outstanding Debt Securities of such series delivered to the Company and the retiring Trustee, the successor Trustee so appointed shall, forthwith upon its acceptance of such appointment, become the successor Trustee with respect to the Debt Securities of such series and to that extent supersede the successor Trustee appointed by the Company. If no successor Trustee with respect to the Debt Securities of any series shall have been so appointed by the Company or the Holders of such series and accepted appointment in the manner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8" w:name="page99"/>
    <w:bookmarkEnd w:id="98"/>
    <w:p>
      <w:pPr>
        <w:jc w:val="both"/>
        <w:ind w:right="180"/>
        <w:spacing w:after="0" w:line="264" w:lineRule="auto"/>
        <w:rPr>
          <w:sz w:val="20"/>
          <w:szCs w:val="20"/>
          <w:color w:val="auto"/>
        </w:rPr>
      </w:pPr>
      <w:r>
        <w:rPr>
          <w:rFonts w:ascii="Arial" w:cs="Arial" w:eastAsia="Arial" w:hAnsi="Arial"/>
          <w:sz w:val="18"/>
          <w:szCs w:val="18"/>
          <w:color w:val="auto"/>
        </w:rPr>
        <w:t>hereinafter provided, any Holder who has been a bona fide Holder of a Debt Security of such series for at least six months may, subject to Section 5.14, on behalf of himself and all others similarly situated, petition any court of competent jurisdiction for the appointment of a successor Trustee with respect to the Debt Securities of such series.</w:t>
      </w:r>
    </w:p>
    <w:p>
      <w:pPr>
        <w:spacing w:after="0" w:line="73" w:lineRule="exact"/>
        <w:rPr>
          <w:sz w:val="20"/>
          <w:szCs w:val="20"/>
          <w:color w:val="auto"/>
        </w:rPr>
      </w:pPr>
    </w:p>
    <w:p>
      <w:pPr>
        <w:ind w:firstLine="233"/>
        <w:spacing w:after="0" w:line="259" w:lineRule="auto"/>
        <w:tabs>
          <w:tab w:leader="none" w:pos="4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Debt Securities of any series and each appointment of a successor Trustee with respect to the Debt Securities of any series in the manner and to the extent provided in Section 1.05 to the Holders of Debt Securities of such series. Each notice shall include the name of the successor Trustee with respect to the Debt Securities of such series and the address of its Corporate Trust Office.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255" w:lineRule="auto"/>
        <w:tabs>
          <w:tab w:leader="none" w:pos="4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an appointment hereunder of a successor Trustee with respect to all Debt Securities, each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6.07.</w:t>
      </w:r>
    </w:p>
    <w:p>
      <w:pPr>
        <w:spacing w:after="0" w:line="81" w:lineRule="exact"/>
        <w:rPr>
          <w:rFonts w:ascii="Arial" w:cs="Arial" w:eastAsia="Arial" w:hAnsi="Arial"/>
          <w:sz w:val="18"/>
          <w:szCs w:val="18"/>
          <w:color w:val="auto"/>
        </w:rPr>
      </w:pPr>
    </w:p>
    <w:p>
      <w:pPr>
        <w:ind w:right="20" w:firstLine="233"/>
        <w:spacing w:after="0" w:line="286" w:lineRule="auto"/>
        <w:tabs>
          <w:tab w:leader="none" w:pos="4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Debt Securities of one or more (but not all) series, the Company, the retiring Trustee and each successor Trustee with respect to the Debt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Debt Securities of that or those series to which the appointment of such successor Trustee relates, (2) if the retiring Trustee is not retiring with respect to all Debt Securities, shall contain such provisions as shall be deemed necessary or desirable to confirm that all the rights, powers, trusts and duties of the retiring Trustee with respect to the Debt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any such supplemental indenture shall constitute such Trustees co-trustees of the same trust and that each such Trustee shall be trustee of a trust or trusts hereunder separate and apart from any other trust or trusts hereunder administered by any other such Trustee; and upon the execution and delivery of any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Debt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Debt Securities of that or those series to which the appointment of such successor Trustee relates.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ind w:right="80" w:firstLine="233"/>
        <w:spacing w:after="0" w:line="308" w:lineRule="auto"/>
        <w:tabs>
          <w:tab w:leader="none" w:pos="47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6.11, as the case may be.</w:t>
      </w:r>
    </w:p>
    <w:p>
      <w:pPr>
        <w:spacing w:after="0" w:line="38" w:lineRule="exact"/>
        <w:rPr>
          <w:rFonts w:ascii="Arial" w:cs="Arial" w:eastAsia="Arial" w:hAnsi="Arial"/>
          <w:sz w:val="17"/>
          <w:szCs w:val="17"/>
          <w:color w:val="auto"/>
        </w:rPr>
      </w:pPr>
    </w:p>
    <w:p>
      <w:pPr>
        <w:ind w:firstLine="233"/>
        <w:spacing w:after="0" w:line="277" w:lineRule="auto"/>
        <w:tabs>
          <w:tab w:leader="none" w:pos="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corporation shall be otherwise qualified and eligible under this Article, without the execution or filing of any paper or any further act on the part of any of the parties hereto. In case any Debt Securities shall have been authenticated, but not delivered, by the Trustee then in office, any successor by merger, conversion or consolidation to such authenticating Trustee may adopt such authentication and deliver the Debt Securities so authenticated with the same effect as if such successor Trustee had itself authenticated such Debt Securities. In case any Debt Securities shall not have been authenticated by such predecessor Trustee, any such successor Trustee may authenticate and deliver such Debt Securities, in either its own name or that of its predecessor Trustee, with the full force and effect which this Indenture provides for the certificate of authentication of the Trustee.</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117" w:lineRule="exact"/>
        <w:rPr>
          <w:sz w:val="20"/>
          <w:szCs w:val="20"/>
          <w:color w:val="auto"/>
        </w:rPr>
      </w:pPr>
    </w:p>
    <w:p>
      <w:pPr>
        <w:ind w:right="260" w:firstLine="233"/>
        <w:spacing w:after="0" w:line="279" w:lineRule="auto"/>
        <w:tabs>
          <w:tab w:leader="none" w:pos="47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Subject to subsection (b) of this Section 6.13, if the Trustee shall be or shall become a creditor, directly or indirectly, secured or unsecured, of the Company within three months prior to a default, as defined in subsection (c) of this Section 6.13, or subsequent to such default, then, unless and until such default shall be cured, the Trustee shall set apart and hold in a special account for the benefit of the Trustee individually, the Holders of the Debt Securities and the holders of other indenture securities (as defined in subsection (c) of this Section 6.13):</w:t>
      </w:r>
    </w:p>
    <w:p>
      <w:pPr>
        <w:spacing w:after="0" w:line="63" w:lineRule="exact"/>
        <w:rPr>
          <w:rFonts w:ascii="Arial" w:cs="Arial" w:eastAsia="Arial" w:hAnsi="Arial"/>
          <w:sz w:val="17"/>
          <w:szCs w:val="17"/>
          <w:color w:val="auto"/>
        </w:rPr>
      </w:pPr>
    </w:p>
    <w:p>
      <w:pPr>
        <w:ind w:left="240" w:right="100" w:firstLine="221"/>
        <w:spacing w:after="0" w:line="297"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 amount equal to any and all reductions in the amount due and owing upon any claim as such creditor in respect of principal or interest, effected after the beginning of such three-month period and valid as against the Company and its other creditors, except any such reduction resulting from the receipt or disposition of any property described in paragraph (2) of this subsection, or from the exercise of any right of set-off which the Trustee could have exercised if a voluntary or involuntary case had been commenced in respect of the Company under the Federal bankruptcy laws, as now or hereafter constituted, or any other applicable Federal or State bankruptcy, insolvency or other similar law upon the date of such default; and</w:t>
      </w:r>
    </w:p>
    <w:p>
      <w:pPr>
        <w:spacing w:after="0" w:line="50" w:lineRule="exact"/>
        <w:rPr>
          <w:rFonts w:ascii="Arial" w:cs="Arial" w:eastAsia="Arial" w:hAnsi="Arial"/>
          <w:sz w:val="16"/>
          <w:szCs w:val="16"/>
          <w:color w:val="auto"/>
        </w:rPr>
      </w:pPr>
    </w:p>
    <w:p>
      <w:pPr>
        <w:ind w:left="240" w:right="20" w:firstLine="221"/>
        <w:spacing w:after="0" w:line="264" w:lineRule="auto"/>
        <w:tabs>
          <w:tab w:leader="none" w:pos="7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all property received by the Trustee in respect of any claim as such creditor, either as security therefor, or in satisfaction or composition thereof, or otherwise, after the beginning of such three-month period, or an amount equal to the proceeds of any such property, if disposed of,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rights, if any, of the Company and its other creditors in such property or such proceeds.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Nothing herein contained, however, shall affect the right of the Trustee:</w:t>
      </w:r>
    </w:p>
    <w:p>
      <w:pPr>
        <w:spacing w:after="0" w:line="117" w:lineRule="exact"/>
        <w:rPr>
          <w:sz w:val="20"/>
          <w:szCs w:val="20"/>
          <w:color w:val="auto"/>
        </w:rPr>
      </w:pPr>
    </w:p>
    <w:p>
      <w:pPr>
        <w:ind w:left="760" w:hanging="299"/>
        <w:spacing w:after="0"/>
        <w:tabs>
          <w:tab w:leader="none" w:pos="7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to retain for its own account (i) payments made on account of any such claim by any Person (other than the Company) who is liable thereon, and</w:t>
      </w:r>
    </w:p>
    <w:p>
      <w:pPr>
        <w:spacing w:after="0" w:line="46" w:lineRule="exact"/>
        <w:rPr>
          <w:rFonts w:ascii="Arial" w:cs="Arial" w:eastAsia="Arial" w:hAnsi="Arial"/>
          <w:sz w:val="16"/>
          <w:szCs w:val="16"/>
          <w:color w:val="auto"/>
        </w:rPr>
      </w:pPr>
    </w:p>
    <w:p>
      <w:pPr>
        <w:ind w:left="500" w:hanging="264"/>
        <w:spacing w:after="0"/>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proceeds of the bona fide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0" w:name="page101"/>
    <w:bookmarkEnd w:id="100"/>
    <w:p>
      <w:pPr>
        <w:ind w:left="240"/>
        <w:spacing w:after="0" w:line="264" w:lineRule="auto"/>
        <w:rPr>
          <w:sz w:val="20"/>
          <w:szCs w:val="20"/>
          <w:color w:val="auto"/>
        </w:rPr>
      </w:pPr>
      <w:r>
        <w:rPr>
          <w:rFonts w:ascii="Arial" w:cs="Arial" w:eastAsia="Arial" w:hAnsi="Arial"/>
          <w:sz w:val="18"/>
          <w:szCs w:val="18"/>
          <w:color w:val="auto"/>
        </w:rPr>
        <w:t>sale of any such claim by the Trustee to a third Person, and (iii) distributions made in cash, securities or other property in respect of claims filed against the Company in bankruptcy or receivership or in proceedings or reorganization pursuant to the Federal bankruptcy laws, as now or hereafter constituted, or any other applicable Federal or state bankruptcy, insolvency or other similar law;</w:t>
      </w:r>
    </w:p>
    <w:p>
      <w:pPr>
        <w:spacing w:after="0" w:line="73" w:lineRule="exact"/>
        <w:rPr>
          <w:sz w:val="20"/>
          <w:szCs w:val="20"/>
          <w:color w:val="auto"/>
        </w:rPr>
      </w:pPr>
    </w:p>
    <w:p>
      <w:pPr>
        <w:ind w:left="240" w:right="280" w:firstLine="221"/>
        <w:spacing w:after="0" w:line="277" w:lineRule="auto"/>
        <w:tabs>
          <w:tab w:leader="none" w:pos="7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realize, for its own account, upon any property held by it as security for any such claim, if such property was so held prior to the beginning of such three-month period;</w:t>
      </w:r>
    </w:p>
    <w:p>
      <w:pPr>
        <w:spacing w:after="0" w:line="62" w:lineRule="exact"/>
        <w:rPr>
          <w:rFonts w:ascii="Arial" w:cs="Arial" w:eastAsia="Arial" w:hAnsi="Arial"/>
          <w:sz w:val="18"/>
          <w:szCs w:val="18"/>
          <w:color w:val="auto"/>
        </w:rPr>
      </w:pPr>
    </w:p>
    <w:p>
      <w:pPr>
        <w:ind w:left="240" w:firstLine="221"/>
        <w:spacing w:after="0" w:line="279" w:lineRule="auto"/>
        <w:tabs>
          <w:tab w:leader="none" w:pos="7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realize, for its own account, but only to the extent of the claim hereinafter mentioned, upon any property held by it as security for any such claim, if such claim was created after the beginning of such three-month period and such property was received as security therefor simultaneously with the creation thereof, and if the Trustee shall sustain the burden of proving that at the time such property was so received the Trustee had no reasonable cause to believe that a default, as defined in subsection (c) of this Section 6.13, would occur within three months, or</w:t>
      </w:r>
    </w:p>
    <w:p>
      <w:pPr>
        <w:spacing w:after="0" w:line="63" w:lineRule="exact"/>
        <w:rPr>
          <w:rFonts w:ascii="Arial" w:cs="Arial" w:eastAsia="Arial" w:hAnsi="Arial"/>
          <w:sz w:val="17"/>
          <w:szCs w:val="17"/>
          <w:color w:val="auto"/>
        </w:rPr>
      </w:pPr>
    </w:p>
    <w:p>
      <w:pPr>
        <w:ind w:left="240" w:right="140" w:firstLine="221"/>
        <w:spacing w:after="0" w:line="277" w:lineRule="auto"/>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receive payment on any claim referred to in paragraph (B) or (C) against the release of any property held as security for such claim as provided in paragraph (B) or (C), as the case may be, to the extent of the fair value of such property.</w:t>
      </w:r>
    </w:p>
    <w:p>
      <w:pPr>
        <w:spacing w:after="0" w:line="62"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For the purposes of paragraphs (B), (C) and (D), property substituted after the beginning of such three-month period for property held as security at the time of such substitution shall, to the extent of the fair value of the property released, have the same status as the property released, and, to the extent that any claim referred to in any of such paragraphs is created in renewal of or in substitution for or for the purpose of repaying or refunding any pre-existing claim of the Trustee as such creditor, such claim shall have the same status as such pre-existing claim.</w:t>
      </w:r>
    </w:p>
    <w:p>
      <w:pPr>
        <w:spacing w:after="0" w:line="63"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If the Trustee shall be required to account, the funds and property held in such special account and the proceeds thereof shall be apportioned among the Trustee, the Holders and the holders of other indenture securities in such manner that the Trustee, the Holders and the holders of other indenture securities realize, as a result of payments from such special account and payments of dividends on claims filed against the Company in bankruptcy or receivership or in proceedings for reorganization pursuant to the Federal bankruptcy laws, as now or hereafter constituted or any other applicable Federal or State bankruptcy, insolvency or other similar law, the same percentage of their respective claims, figured before crediting to the claim of the Trustee anything on account of the receipt by it from the Company of the funds and property in such special account and before crediting to the respective claims of the Trustee and the Holders and the holders of other indenture securities dividends on claims filed against the Company in bankruptcy or receivership or in proceedings for reorganization pursuant to the Federal bankruptcy laws, as now or hereafter constituted, or any other applicable Federal or State bankruptcy, insolvency or other similar law, but after crediting thereon receipts on account of the indebtedness represented by their respective claims from all sources other than from such dividends and from the funds and property so held in such special account. As used in this paragraph, with respect to any claim, the term “dividends” shall include any distribution with respect to such claim, in bankruptcy or receivership or proceedings for reorganization pursuant to the Federal bankruptcy laws, as now or hereafter constituted, or any other applicable Federal or State bankruptcy, insolvency or other similar law, whether such distribution is made in cash, securities, or other property, but shall not include any such distribution with respect to the secured portion, if any, of such claim. The court in which such bankruptcy, receivership or proceedings for reorganization is pending shall have jurisdiction (i) to apportion among the Trustee and the Holders and the holders of other indenture securities, in accordance with the provisions of this paragraph, the funds and property held in such special account and proceeds thereof, or (ii) in lieu of such apportionment, in whole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1" w:name="page102"/>
    <w:bookmarkEnd w:id="101"/>
    <w:p>
      <w:pPr>
        <w:ind w:right="40"/>
        <w:spacing w:after="0" w:line="302" w:lineRule="auto"/>
        <w:rPr>
          <w:sz w:val="20"/>
          <w:szCs w:val="20"/>
          <w:color w:val="auto"/>
        </w:rPr>
      </w:pPr>
      <w:r>
        <w:rPr>
          <w:rFonts w:ascii="Arial" w:cs="Arial" w:eastAsia="Arial" w:hAnsi="Arial"/>
          <w:sz w:val="16"/>
          <w:szCs w:val="16"/>
          <w:color w:val="auto"/>
        </w:rPr>
        <w:t>or in part, to give to the provisions of this paragraph due consideration in determining the fairness of the distributions to be made to the Trustee and the Holders and the holders of other indenture securities with respect to their respective claims, in which event it shall not be necessary to liquidate or to appraise the value of any securities or other property held in such special account or as security for any such claim, or to make a specific allocation of such distributions as between the secured and unsecured portions of such claim, or otherwise to apply the provisions of this paragraph as a mathematical formula.</w:t>
      </w:r>
    </w:p>
    <w:p>
      <w:pPr>
        <w:spacing w:after="0" w:line="46"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Any Trustee which has resigned or been removed after the beginning of such three-month period shall be subject to the provisions of this subsection as though such resignation or removal had not occurred. If any Trustee has resigned or been removed prior to the beginning of such three-month period, it shall be subject to the provisions of this subsection if and only if the following conditions exist:</w:t>
      </w:r>
    </w:p>
    <w:p>
      <w:pPr>
        <w:spacing w:after="0" w:line="73" w:lineRule="exact"/>
        <w:rPr>
          <w:sz w:val="20"/>
          <w:szCs w:val="20"/>
          <w:color w:val="auto"/>
        </w:rPr>
      </w:pPr>
    </w:p>
    <w:p>
      <w:pPr>
        <w:ind w:left="240" w:right="340" w:firstLine="221"/>
        <w:spacing w:after="0" w:line="277"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receipt of property or reduction of claim, which would have given rise to the obligation to account, if such Trustee had continued as Trustee, occurred after the beginning of such three-month period;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receipt of property or reduction of claim occurred within three months after such resignation or removal.</w:t>
      </w:r>
    </w:p>
    <w:p>
      <w:pPr>
        <w:spacing w:after="0" w:line="117" w:lineRule="exact"/>
        <w:rPr>
          <w:sz w:val="20"/>
          <w:szCs w:val="20"/>
          <w:color w:val="auto"/>
        </w:rPr>
      </w:pPr>
    </w:p>
    <w:p>
      <w:pPr>
        <w:ind w:left="480" w:hanging="247"/>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shall be excluded from the operation of subsection (a) of this Section 6.13 a creditor relationship arising from:</w:t>
      </w:r>
    </w:p>
    <w:p>
      <w:pPr>
        <w:spacing w:after="0" w:line="117" w:lineRule="exact"/>
        <w:rPr>
          <w:rFonts w:ascii="Arial" w:cs="Arial" w:eastAsia="Arial" w:hAnsi="Arial"/>
          <w:sz w:val="18"/>
          <w:szCs w:val="18"/>
          <w:color w:val="auto"/>
        </w:rPr>
      </w:pPr>
    </w:p>
    <w:p>
      <w:pPr>
        <w:ind w:left="240" w:right="60" w:firstLine="221"/>
        <w:spacing w:after="0" w:line="277" w:lineRule="auto"/>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ownership or acquisition of securities issued under any indenture, or any security or securities having a maturity of one year or more at the time of acquisition by the Trustee;</w:t>
      </w:r>
    </w:p>
    <w:p>
      <w:pPr>
        <w:spacing w:after="0" w:line="62" w:lineRule="exact"/>
        <w:rPr>
          <w:rFonts w:ascii="Arial" w:cs="Arial" w:eastAsia="Arial" w:hAnsi="Arial"/>
          <w:sz w:val="18"/>
          <w:szCs w:val="18"/>
          <w:color w:val="auto"/>
        </w:rPr>
      </w:pPr>
    </w:p>
    <w:p>
      <w:pPr>
        <w:ind w:left="240" w:firstLine="221"/>
        <w:spacing w:after="0" w:line="312" w:lineRule="auto"/>
        <w:tabs>
          <w:tab w:leader="none" w:pos="7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advances authorized by a receivership or bankruptcy court of competent jurisdiction or by this Indenture, for the purpose of preserving any property which shall at any time be subject to the Lien of this Indenture or of discharging tax liens or other prior liens or encumbrances thereon, if notice of such advances and of the circumstances surrounding the making thereof is given to the Holders at the time and in the manner provided in this Indenture;</w:t>
      </w:r>
    </w:p>
    <w:p>
      <w:pPr>
        <w:spacing w:after="0" w:line="38" w:lineRule="exact"/>
        <w:rPr>
          <w:rFonts w:ascii="Arial" w:cs="Arial" w:eastAsia="Arial" w:hAnsi="Arial"/>
          <w:sz w:val="16"/>
          <w:szCs w:val="16"/>
          <w:color w:val="auto"/>
        </w:rPr>
      </w:pPr>
    </w:p>
    <w:p>
      <w:pPr>
        <w:ind w:left="240" w:right="400" w:firstLine="221"/>
        <w:spacing w:after="0" w:line="277" w:lineRule="auto"/>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disbursements made in the ordinary course of business in the capacity of trustee under an indenture, transfer agent, registrar, custodian, paying agent, fiscal agent or depositary, or other similar capacity;</w:t>
      </w:r>
    </w:p>
    <w:p>
      <w:pPr>
        <w:spacing w:after="0" w:line="62" w:lineRule="exact"/>
        <w:rPr>
          <w:rFonts w:ascii="Arial" w:cs="Arial" w:eastAsia="Arial" w:hAnsi="Arial"/>
          <w:sz w:val="18"/>
          <w:szCs w:val="18"/>
          <w:color w:val="auto"/>
        </w:rPr>
      </w:pPr>
    </w:p>
    <w:p>
      <w:pPr>
        <w:ind w:left="240" w:right="320" w:firstLine="221"/>
        <w:spacing w:after="0" w:line="277" w:lineRule="auto"/>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 indebtedness created as a result of services rendered or premises rented, or an indebtedness created as a result of goods or securities sold in a cash transaction as defined in subsection (c) of this Section 6.13;</w:t>
      </w:r>
    </w:p>
    <w:p>
      <w:pPr>
        <w:spacing w:after="0" w:line="62" w:lineRule="exact"/>
        <w:rPr>
          <w:rFonts w:ascii="Arial" w:cs="Arial" w:eastAsia="Arial" w:hAnsi="Arial"/>
          <w:sz w:val="18"/>
          <w:szCs w:val="18"/>
          <w:color w:val="auto"/>
        </w:rPr>
      </w:pPr>
    </w:p>
    <w:p>
      <w:pPr>
        <w:ind w:left="240" w:right="620" w:firstLine="221"/>
        <w:spacing w:after="0" w:line="277" w:lineRule="auto"/>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ownership of stock or of other securities of a corporation organized under the provisions of Section 25(a) of the Federal Reserve Act, as amended, which is directly or indirectly a creditor of the Company;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acquisition, ownership, acceptance or negotiation of any drafts, bills of exchange, acceptances or obligations which fall within the classification of self-liquidating paper as defined in subsection (c) of this Section 6.13.</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2" w:name="page103"/>
    <w:bookmarkEnd w:id="102"/>
    <w:p>
      <w:pPr>
        <w:ind w:left="480" w:hanging="247"/>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purposes of this Section 6.13 only:</w:t>
      </w:r>
    </w:p>
    <w:p>
      <w:pPr>
        <w:spacing w:after="0" w:line="117" w:lineRule="exact"/>
        <w:rPr>
          <w:rFonts w:ascii="Arial" w:cs="Arial" w:eastAsia="Arial" w:hAnsi="Arial"/>
          <w:sz w:val="18"/>
          <w:szCs w:val="18"/>
          <w:color w:val="auto"/>
        </w:rPr>
      </w:pPr>
    </w:p>
    <w:p>
      <w:pPr>
        <w:ind w:left="240" w:firstLine="221"/>
        <w:spacing w:after="0" w:line="277" w:lineRule="auto"/>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 “default” means any failure to make payment in full of the principal of or interest on any of the Debt Securities or upon the other indenture securities when and as such principal or interest becomes due and payable.</w:t>
      </w:r>
    </w:p>
    <w:p>
      <w:pPr>
        <w:spacing w:after="0" w:line="62" w:lineRule="exact"/>
        <w:rPr>
          <w:rFonts w:ascii="Arial" w:cs="Arial" w:eastAsia="Arial" w:hAnsi="Arial"/>
          <w:sz w:val="18"/>
          <w:szCs w:val="18"/>
          <w:color w:val="auto"/>
        </w:rPr>
      </w:pPr>
    </w:p>
    <w:p>
      <w:pPr>
        <w:jc w:val="both"/>
        <w:ind w:left="240" w:right="20" w:firstLine="221"/>
        <w:spacing w:after="0" w:line="264" w:lineRule="auto"/>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 “other indenture securities” means securities upon which the Company is an obligor outstanding under any other indenture (i) under which the Trustee is also trustee, (ii) which contains provisions substantially similar to the provisions of this Section 6.13, and (iii) under which a default exists at the time of the apportionment of the funds and property held in such special account.</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 “cash transaction” means any transaction in which full payment for goods or securities sold is made within seven days after delivery of the goods or securities in currency or in checks or other orders drawn upon banks and payable upon demand.</w:t>
      </w:r>
    </w:p>
    <w:p>
      <w:pPr>
        <w:spacing w:after="0" w:line="62" w:lineRule="exact"/>
        <w:rPr>
          <w:rFonts w:ascii="Arial" w:cs="Arial" w:eastAsia="Arial" w:hAnsi="Arial"/>
          <w:sz w:val="18"/>
          <w:szCs w:val="18"/>
          <w:color w:val="auto"/>
        </w:rPr>
      </w:pPr>
    </w:p>
    <w:p>
      <w:pPr>
        <w:ind w:left="240" w:right="40" w:firstLine="221"/>
        <w:spacing w:after="0" w:line="255" w:lineRule="auto"/>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term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security is received by the Trustee simultaneously with the creation of the creditor relationship with the Company arising from the making, drawing, negotiating or incurring of the draft, bill of exchange, acceptance or obligation.</w:t>
      </w:r>
    </w:p>
    <w:p>
      <w:pPr>
        <w:spacing w:after="0" w:line="85" w:lineRule="exact"/>
        <w:rPr>
          <w:rFonts w:ascii="Arial" w:cs="Arial" w:eastAsia="Arial" w:hAnsi="Arial"/>
          <w:sz w:val="18"/>
          <w:szCs w:val="18"/>
          <w:color w:val="auto"/>
        </w:rPr>
      </w:pPr>
    </w:p>
    <w:p>
      <w:pPr>
        <w:ind w:left="720" w:hanging="259"/>
        <w:spacing w:after="0"/>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 “Company” means any obligor upon the Debt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117" w:lineRule="exact"/>
        <w:rPr>
          <w:sz w:val="20"/>
          <w:szCs w:val="20"/>
          <w:color w:val="auto"/>
        </w:rPr>
      </w:pPr>
    </w:p>
    <w:p>
      <w:pPr>
        <w:ind w:right="20" w:firstLine="215"/>
        <w:spacing w:after="0" w:line="268" w:lineRule="auto"/>
        <w:rPr>
          <w:sz w:val="20"/>
          <w:szCs w:val="20"/>
          <w:color w:val="auto"/>
        </w:rPr>
      </w:pPr>
      <w:r>
        <w:rPr>
          <w:rFonts w:ascii="Arial" w:cs="Arial" w:eastAsia="Arial" w:hAnsi="Arial"/>
          <w:sz w:val="17"/>
          <w:szCs w:val="17"/>
          <w:color w:val="auto"/>
        </w:rPr>
        <w:t>As long as any Debt Securities of a series remain Outstanding, upon a Company Request, there shall be an authenticating agent (the “Authenticating Agent”) appointed, for such period as the Company shall elect, by the Trustee for such series of Debt Securities to act as its agent on its behalf and subject to its direction in connection with the authentication and delivery of each series of Debt Securities for which it is serving as Trustee. Debt Securities of each such series authenticated by such Authenticating Agent shall be entitled to the benefits of this Indenture and shall be valid and obligatory for all purposes as if authenticated by such Trustee. Wherever reference is made in this Indenture to the authentication and delivery of Debt Securities of any series by the Trustee for such series or to the Trustee’s Certificate of Authentication, such reference shall be deemed to include authentication and delivery on behalf of the Trustee for such series by an Authenticating Agent for such series and a Certificate of Authentication executed on behalf of such Trustee by such Authenticating Agent, except that only the Trustee may authenticate Debt Securities upon original issuance and pursuant to Section 3.06 hereof. Such Authenticating Agent shall at all times be a corporation organized and doing business under the laws of the United States of America or of any State, authorized under such laws to exercise corporate trust powers, having a combined capital and surplus of at least $10,000,000 and subject to supervision or examination by Federal or State authority. If such Authenticating Agent publishes reports of condition at least annually, pursuant to law or to the requirements of said supervising or examining authority, then for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such Authenticating Agent shall resign immediately in the manner and with the effect specified in this Section 6.14.</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Any corporation into which any Authenticating Agent may be merged or converted, or with which it may be consolidated, or any corporation resulting from any merger, conversion or consolidation to which any Authenticating Agent shall be a party, or any corporation succeeding to the corporate agency business of any Authenticating Agent, shall continue to be the Authenticating Agent with respect to all series of Debt Securities for which it served as Authenticating Agent without the execution or filing of any paper or any further act on the part of the Trustee for such series or such Authenticating Agent. Any Authenticating Agent may at any time, and if it shall cease to be eligible shall, resign by giving written notice of resignation to the applicable Trustee and to the Company.</w:t>
      </w:r>
    </w:p>
    <w:p>
      <w:pPr>
        <w:spacing w:after="0" w:line="85"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Upon receiving such a notice of resignation or upon such a termination, or in case at any time any Authenticating Agent shall cease to be eligible in accordance with the provisions of this Section 6.14 with respect to one or more or all series of Debt Securities, the Trustee for such series shall upon a Company Request appoint a successor Authenticating Agent, and the Company shall provide notice of such appointment to all Holders of Debt Securities of such series in the manner and to the extent provided in Section 1.05. Any successor Authenticating Agent upon acceptance of its appointment hereunder shall become vested with all rights, powers, duties and responsibilities of its predecessor hereunder, with like effect as if originally named as Authenticating Agent herein. The Trustee for the Debt Securities of such series agrees to pay to the Authenticating Agent for such series from time to time reasonable compensation for its services, and the Trustee shall be entitled to be reimbursed for such payment, subject to the provisions of Section 6.07. The Authenticating Agent for the Debt Securities of any series shall have no responsibility or liability for any action taken by it as such at the direction of the Trustee for such series.</w:t>
      </w:r>
    </w:p>
    <w:p>
      <w:pPr>
        <w:spacing w:after="0" w:line="5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Debt Securities of such series may have endorsed thereon, in addition to the Trustee’s certificate of authentication, an alternative certificate of authentication in the following form:</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series of Debt Securities issued under the within 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289560</wp:posOffset>
            </wp:positionV>
            <wp:extent cx="25901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443865</wp:posOffset>
            </wp:positionV>
            <wp:extent cx="25901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ind w:left="5020"/>
        <w:spacing w:after="0"/>
        <w:rPr>
          <w:sz w:val="20"/>
          <w:szCs w:val="20"/>
          <w:color w:val="auto"/>
        </w:rPr>
      </w:pPr>
      <w:r>
        <w:rPr>
          <w:rFonts w:ascii="Arial" w:cs="Arial" w:eastAsia="Arial" w:hAnsi="Arial"/>
          <w:sz w:val="18"/>
          <w:szCs w:val="18"/>
          <w:color w:val="auto"/>
        </w:rPr>
        <w:t>ARTICLE SEVEN</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HOLDERS’ LISTS AND REPORTS BY TRUSTEE AND COMPANY</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Company to Furnish Trustee Names and Addresses of Holders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will furnish or cause to be furnished to the Trustee with respect to Registered Securities of each series for which it acts as Trustee:</w:t>
      </w:r>
    </w:p>
    <w:p>
      <w:pPr>
        <w:spacing w:after="0" w:line="129" w:lineRule="exact"/>
        <w:rPr>
          <w:sz w:val="20"/>
          <w:szCs w:val="20"/>
          <w:color w:val="auto"/>
        </w:rPr>
      </w:pPr>
    </w:p>
    <w:p>
      <w:pPr>
        <w:jc w:val="both"/>
        <w:ind w:left="240" w:right="100" w:firstLine="221"/>
        <w:spacing w:after="0" w:line="279" w:lineRule="auto"/>
        <w:tabs>
          <w:tab w:leader="none" w:pos="71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semi-annually on a date not more than 15 days after each Regular Record Date with respect to an Interest Payment Date, if any, for the Registered Securities of such series (or on semi-annual dates in each year to be determined pursuant to Section 3.01 if the Registered Securities of such series do not bear interest), a list, in such form as the Trustee may reasonably require, of the names and addresses of the Registered Holders as of the date 15 days next preceding each such Regular Record Date (or such semi-annual dates, as the case may be); and</w:t>
      </w:r>
    </w:p>
    <w:p>
      <w:pPr>
        <w:spacing w:after="0" w:line="63" w:lineRule="exact"/>
        <w:rPr>
          <w:rFonts w:ascii="Arial" w:cs="Arial" w:eastAsia="Arial" w:hAnsi="Arial"/>
          <w:sz w:val="17"/>
          <w:szCs w:val="17"/>
          <w:color w:val="auto"/>
        </w:rPr>
      </w:pPr>
    </w:p>
    <w:p>
      <w:pPr>
        <w:ind w:left="240" w:right="40" w:firstLine="221"/>
        <w:spacing w:after="0" w:line="277"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and so long as the Trustee shall be the Registrar for such series, no such list need be furnished.</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 to Holders</w:t>
      </w:r>
      <w:r>
        <w:rPr>
          <w:rFonts w:ascii="Arial" w:cs="Arial" w:eastAsia="Arial" w:hAnsi="Arial"/>
          <w:sz w:val="18"/>
          <w:szCs w:val="18"/>
          <w:color w:val="auto"/>
        </w:rPr>
        <w:t>.</w:t>
      </w:r>
    </w:p>
    <w:p>
      <w:pPr>
        <w:spacing w:after="0" w:line="117" w:lineRule="exact"/>
        <w:rPr>
          <w:sz w:val="20"/>
          <w:szCs w:val="20"/>
          <w:color w:val="auto"/>
        </w:rPr>
      </w:pPr>
    </w:p>
    <w:p>
      <w:pPr>
        <w:ind w:right="140" w:firstLine="233"/>
        <w:spacing w:after="0" w:line="342" w:lineRule="auto"/>
        <w:tabs>
          <w:tab w:leader="none" w:pos="46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all information as to the names and addresses of Holders contained in the most recent list furnished to the Trustee as provided in Section 7.01 received by it in the capacity of Paying Agent (if so acting) hereunder.</w:t>
      </w:r>
    </w:p>
    <w:p>
      <w:pPr>
        <w:spacing w:after="0" w:line="16"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Trustee may destroy any list furnished to it as provided in Section 7.01 upon receipt of a new list so furnished, destroy any information received by it as Paying Agent (if so acting) hereunder upon delivering to itself as Trustee, not earlier than 45 days after an Interest Payment Date, a list containing the names and addresses of the Holders obtained from such information since the delivery of the next previous list, if any, and destroy any list delivered to itself as Trustee which was compiled from information received by it as Paying Agent (if so acting) hereunder upon the receipt of a new list so delivered.</w:t>
      </w:r>
    </w:p>
    <w:p>
      <w:pPr>
        <w:spacing w:after="0" w:line="46" w:lineRule="exact"/>
        <w:rPr>
          <w:sz w:val="20"/>
          <w:szCs w:val="20"/>
          <w:color w:val="auto"/>
        </w:rPr>
      </w:pPr>
    </w:p>
    <w:p>
      <w:pPr>
        <w:ind w:firstLine="233"/>
        <w:spacing w:after="0" w:line="255" w:lineRule="auto"/>
        <w:tabs>
          <w:tab w:leader="none" w:pos="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three or more Holders (hereinafter referred to as “applicants”) apply in writing to the Trustee, and furnish to the Trustee reasonable proof that each such applicant has owned a Debt Security for a period of at least six months preceding the date of such application, and such application states that the applicants desire to communicate with other Holders of Debt Securities of a particular series (in which case the applicants must hold Debt Securities of such series) or with all Holders of Debt Securities with respect to their rights under this Indenture or under the Debt Securities and is accompanied by a copy of the form of proxy or other communication which such applicants propose to transmit, then the Trustee shall, within five Business Days after the receipt of such application, at its election, either</w:t>
      </w:r>
    </w:p>
    <w:p>
      <w:pPr>
        <w:spacing w:after="0" w:line="85" w:lineRule="exact"/>
        <w:rPr>
          <w:rFonts w:ascii="Arial" w:cs="Arial" w:eastAsia="Arial" w:hAnsi="Arial"/>
          <w:sz w:val="18"/>
          <w:szCs w:val="18"/>
          <w:color w:val="auto"/>
        </w:rPr>
      </w:pPr>
    </w:p>
    <w:p>
      <w:pPr>
        <w:ind w:left="680" w:hanging="219"/>
        <w:spacing w:after="0"/>
        <w:tabs>
          <w:tab w:leader="none" w:pos="6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the Trustee in accordance with Section 7.02(a), or</w:t>
      </w:r>
    </w:p>
    <w:p>
      <w:pPr>
        <w:spacing w:after="0" w:line="117" w:lineRule="exact"/>
        <w:rPr>
          <w:rFonts w:ascii="Arial" w:cs="Arial" w:eastAsia="Arial" w:hAnsi="Arial"/>
          <w:sz w:val="18"/>
          <w:szCs w:val="18"/>
          <w:color w:val="auto"/>
        </w:rPr>
      </w:pPr>
    </w:p>
    <w:p>
      <w:pPr>
        <w:ind w:left="240" w:right="420" w:firstLine="221"/>
        <w:spacing w:after="0" w:line="277" w:lineRule="auto"/>
        <w:tabs>
          <w:tab w:leader="none" w:pos="73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inform such applicants as to the approximate number of Holders of Debt Securities of such series or of all Debt Securities, as the case may be, whose names and addresses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105" w:name="page106"/>
    <w:bookmarkEnd w:id="105"/>
    <w:p>
      <w:pPr>
        <w:ind w:left="240" w:right="560"/>
        <w:spacing w:after="0" w:line="277" w:lineRule="auto"/>
        <w:rPr>
          <w:sz w:val="20"/>
          <w:szCs w:val="20"/>
          <w:color w:val="auto"/>
        </w:rPr>
      </w:pPr>
      <w:r>
        <w:rPr>
          <w:rFonts w:ascii="Arial" w:cs="Arial" w:eastAsia="Arial" w:hAnsi="Arial"/>
          <w:sz w:val="18"/>
          <w:szCs w:val="18"/>
          <w:color w:val="auto"/>
        </w:rPr>
        <w:t>appear in the information preserved at the time by the Trustee in accordance with Section 7.02(a), and as to the approximate cost of mailing to such Holders the form of proxy or other communication, specified in such application.</w:t>
      </w:r>
    </w:p>
    <w:p>
      <w:pPr>
        <w:spacing w:after="0" w:line="62"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If the Trustee shall elect not to afford such applicants access to such information, the Trustee shall, upon written request of such applicants, mail to the Holders of Debt Securities of such series or all Holders, as the case may be, whose names and addresses appear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Debt Securities of such series or all 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72" w:lineRule="exact"/>
        <w:rPr>
          <w:sz w:val="20"/>
          <w:szCs w:val="20"/>
          <w:color w:val="auto"/>
        </w:rPr>
      </w:pPr>
    </w:p>
    <w:p>
      <w:pPr>
        <w:jc w:val="both"/>
        <w:ind w:right="80" w:firstLine="233"/>
        <w:spacing w:after="0" w:line="259" w:lineRule="auto"/>
        <w:tabs>
          <w:tab w:leader="none" w:pos="4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Every Holder of Debt Securities, by receiving and holding the same, agrees with the Company and the Trustee that neither the Company nor the Trustee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of any material pursuant to a request made under Section 7.02(b).</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259" w:lineRule="auto"/>
        <w:tabs>
          <w:tab w:leader="none" w:pos="4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Within 60 days after May 15 of each year, commencing May 15, 2011, the Trustee shall, to the extent required by the Trust Indenture Act, transmit to all Holders of Debt Securities of any series with respect to which it acts as Trustee, in the manner hereinafter provided in this Section 7.03, a brief report dated such date with respect to any of the following events which may have occurred within the previous 12 months (but if no such event has occurred within such period no report need be transmitted):</w:t>
      </w:r>
    </w:p>
    <w:p>
      <w:pPr>
        <w:spacing w:after="0" w:line="78" w:lineRule="exact"/>
        <w:rPr>
          <w:rFonts w:ascii="Arial" w:cs="Arial" w:eastAsia="Arial" w:hAnsi="Arial"/>
          <w:sz w:val="18"/>
          <w:szCs w:val="18"/>
          <w:color w:val="auto"/>
        </w:rPr>
      </w:pPr>
    </w:p>
    <w:p>
      <w:pPr>
        <w:ind w:left="720" w:hanging="259"/>
        <w:spacing w:after="0"/>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change to its eligibility under Section 6.09 and its qualifications under Section 6.08;</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creation of or any material change to a relationship specified in paragraph (1) through (10) of Section 6.08(c) of this Indenture;</w:t>
      </w:r>
    </w:p>
    <w:p>
      <w:pPr>
        <w:spacing w:after="0" w:line="117" w:lineRule="exact"/>
        <w:rPr>
          <w:rFonts w:ascii="Arial" w:cs="Arial" w:eastAsia="Arial" w:hAnsi="Arial"/>
          <w:sz w:val="18"/>
          <w:szCs w:val="18"/>
          <w:color w:val="auto"/>
        </w:rPr>
      </w:pPr>
    </w:p>
    <w:p>
      <w:pPr>
        <w:ind w:left="240" w:right="100" w:firstLine="221"/>
        <w:spacing w:after="0" w:line="257" w:lineRule="auto"/>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character and amount of any advances (and if the Trustee elects so to state, the circumstances surrounding the making thereof) made by the Trustee (as such) which remain unpaid on the date of such report, and for the reimbursement of which it claims or may claim a lien or charge, prior to that of the Debt Securities of such series, on any property or funds held or collected by it as Trustee, except that the Trustee shall not be required (but may elect) to report such advances if such advances so remaining unpaid aggregate not more than 1/2 of 1% of the principal amount of the Outstanding Debt Securities of such series on the date of such report;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ind w:left="240" w:right="440" w:firstLine="221"/>
        <w:spacing w:after="0" w:line="312" w:lineRule="auto"/>
        <w:tabs>
          <w:tab w:leader="none" w:pos="7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change to the amount, interest rate and maturity date of all other indebtedness owing by the Company (or any other obligor on the Debt Securities of such series) to the Trustee in its individual capacity, on the date of such report, with a brief description of any property held as collateral security therefor, except an indebtedness based upon a creditor relationship arising in any manner described in Section 6.13(b)(2), (3), (4) or (6);</w:t>
      </w:r>
    </w:p>
    <w:p>
      <w:pPr>
        <w:spacing w:after="0" w:line="38" w:lineRule="exact"/>
        <w:rPr>
          <w:rFonts w:ascii="Arial" w:cs="Arial" w:eastAsia="Arial" w:hAnsi="Arial"/>
          <w:sz w:val="16"/>
          <w:szCs w:val="16"/>
          <w:color w:val="auto"/>
        </w:rPr>
      </w:pPr>
    </w:p>
    <w:p>
      <w:pPr>
        <w:ind w:left="720" w:hanging="259"/>
        <w:spacing w:after="0"/>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change to the property and funds, if any, physically in the possession of the Trustee as such on the date of such report;</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additional issue of Debt Securities which the Trustee has not previously reported; and</w:t>
      </w:r>
    </w:p>
    <w:p>
      <w:pPr>
        <w:spacing w:after="0" w:line="117" w:lineRule="exact"/>
        <w:rPr>
          <w:rFonts w:ascii="Arial" w:cs="Arial" w:eastAsia="Arial" w:hAnsi="Arial"/>
          <w:sz w:val="18"/>
          <w:szCs w:val="18"/>
          <w:color w:val="auto"/>
        </w:rPr>
      </w:pPr>
    </w:p>
    <w:p>
      <w:pPr>
        <w:jc w:val="both"/>
        <w:ind w:left="240" w:right="200" w:firstLine="221"/>
        <w:spacing w:after="0" w:line="264"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action taken by the Trustee in the performance of its duties hereunder which it has not previously reported and which in its opinion materially affects the Debt Securities of such series, except action in respect of a default, notice of which has been or is to be withheld by the Trustee in accordance with Section 6.02.</w:t>
      </w:r>
    </w:p>
    <w:p>
      <w:pPr>
        <w:spacing w:after="0" w:line="73" w:lineRule="exact"/>
        <w:rPr>
          <w:rFonts w:ascii="Arial" w:cs="Arial" w:eastAsia="Arial" w:hAnsi="Arial"/>
          <w:sz w:val="18"/>
          <w:szCs w:val="18"/>
          <w:color w:val="auto"/>
        </w:rPr>
      </w:pPr>
    </w:p>
    <w:p>
      <w:pPr>
        <w:ind w:firstLine="233"/>
        <w:spacing w:after="0" w:line="290" w:lineRule="auto"/>
        <w:tabs>
          <w:tab w:leader="none" w:pos="47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Trustee shall transmit by mail to all Holders of Debt Securities of any series (whose names and addresses appear in the information preserved at the time by the Trustee in accordance with Section 7.02 (a)) for which it acts as the Trustee, as hereinafter provided, a brief report with respect to the character and amount of any advances (and if the Trustee elects so to state, the circumstances surrounding the making thereof) made by the Trustee (as such) since the date of the last report transmitted pursuant to subsection (a) of this Section 7.03 (or if no such report has yet been so transmitted, since the date of execution of this instrument) for the reimbursement of which it claims or may claim a lien or charge, prior to that of the Debt Securities of such series, on property or funds held or collected by it as Trustee, and which it has not previously reported pursuant to this subsection, except that the Trustee for each series shall not be required (but may elect) to report such advances if such advances remaining unpaid at any time aggregate 10% or less of the principal amount of the Debt Securities of such series Outstanding at such time, such report to be transmitted within 90 days after such time.</w:t>
      </w:r>
    </w:p>
    <w:p>
      <w:pPr>
        <w:spacing w:after="0" w:line="58" w:lineRule="exact"/>
        <w:rPr>
          <w:rFonts w:ascii="Arial" w:cs="Arial" w:eastAsia="Arial" w:hAnsi="Arial"/>
          <w:sz w:val="16"/>
          <w:szCs w:val="16"/>
          <w:color w:val="auto"/>
        </w:rPr>
      </w:pPr>
    </w:p>
    <w:p>
      <w:pPr>
        <w:ind w:left="480" w:hanging="247"/>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Reports pursuant to this Section 7.03 shall be transmitted by mail:</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to all Holders of Registered Securities, as the names and addresses of such Holders of Registered Securities appear in the Register; and</w:t>
      </w:r>
    </w:p>
    <w:p>
      <w:pPr>
        <w:spacing w:after="0" w:line="128" w:lineRule="exact"/>
        <w:rPr>
          <w:rFonts w:ascii="Arial" w:cs="Arial" w:eastAsia="Arial" w:hAnsi="Arial"/>
          <w:sz w:val="17"/>
          <w:szCs w:val="17"/>
          <w:color w:val="auto"/>
        </w:rPr>
      </w:pPr>
    </w:p>
    <w:p>
      <w:pPr>
        <w:ind w:left="240" w:right="560" w:firstLine="221"/>
        <w:spacing w:after="0" w:line="277" w:lineRule="auto"/>
        <w:tabs>
          <w:tab w:leader="none" w:pos="7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except in the cases of reports pursuant to subsection (b) of this Section 7.03, to each Holder of a Debt Security of any series whose name and address appear in the information preserved at the time by the Trustee in accordance with Section 7.02(a).</w:t>
      </w:r>
    </w:p>
    <w:p>
      <w:pPr>
        <w:spacing w:after="0" w:line="62" w:lineRule="exact"/>
        <w:rPr>
          <w:rFonts w:ascii="Arial" w:cs="Arial" w:eastAsia="Arial" w:hAnsi="Arial"/>
          <w:sz w:val="18"/>
          <w:szCs w:val="18"/>
          <w:color w:val="auto"/>
        </w:rPr>
      </w:pPr>
    </w:p>
    <w:p>
      <w:pPr>
        <w:ind w:right="40" w:firstLine="233"/>
        <w:spacing w:after="0" w:line="264" w:lineRule="auto"/>
        <w:tabs>
          <w:tab w:leader="none" w:pos="4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Holders, be filed by the Trustee with each stock exchange upon which any Debt Securities of such series are listed, with the Commission and also with the Company. The Company will notify the Trustee when any series of Debt Securities are listed on any stock exchange.</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specified with respect to a particular series of Debt Securities pursuant to Section 3.01, the Company will:</w:t>
      </w:r>
    </w:p>
    <w:p>
      <w:pPr>
        <w:spacing w:after="0" w:line="117" w:lineRule="exact"/>
        <w:rPr>
          <w:sz w:val="20"/>
          <w:szCs w:val="20"/>
          <w:color w:val="auto"/>
        </w:rPr>
      </w:pPr>
    </w:p>
    <w:p>
      <w:pPr>
        <w:ind w:left="240" w:right="340" w:firstLine="221"/>
        <w:spacing w:after="0" w:line="277" w:lineRule="auto"/>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file with the Trustee, within 15 days after the Company is required to file the same with the Commission, copies of the annual reports and of the information, documents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left="240" w:right="40"/>
        <w:spacing w:after="0" w:line="285" w:lineRule="auto"/>
        <w:rPr>
          <w:sz w:val="20"/>
          <w:szCs w:val="20"/>
          <w:color w:val="auto"/>
        </w:rPr>
      </w:pPr>
      <w:r>
        <w:rPr>
          <w:rFonts w:ascii="Arial" w:cs="Arial" w:eastAsia="Arial" w:hAnsi="Arial"/>
          <w:sz w:val="16"/>
          <w:szCs w:val="16"/>
          <w:color w:val="auto"/>
        </w:rPr>
        <w:t>other reports (or copies of such portions of any of the foregoing as the Commission may from time to time by rules and regulations prescribe) which the Company may be required to file with the Commission pursuant to Section 13 or Section 15(d) of the Exchange Act. Notwithstanding that the Company may not be required to remain subject to the reporting requirements of Section 13 or 15(d) of the Exchange Act or otherwise report on an annual and quarterly basis on forms provided for such annual and quarterly reporting pursuant to rules and regulations promulgated by the Commission, the Company shall continue to file with the Commission and provide the Trustee and the Holders of each series of Debt Securities with, without cost to each Holder,</w:t>
      </w:r>
    </w:p>
    <w:p>
      <w:pPr>
        <w:spacing w:after="0" w:line="2" w:lineRule="exact"/>
        <w:rPr>
          <w:sz w:val="20"/>
          <w:szCs w:val="20"/>
          <w:color w:val="auto"/>
        </w:rPr>
      </w:pPr>
    </w:p>
    <w:p>
      <w:pPr>
        <w:ind w:left="240" w:right="80" w:hanging="4"/>
        <w:spacing w:after="0" w:line="287" w:lineRule="auto"/>
        <w:tabs>
          <w:tab w:leader="none" w:pos="4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annual reports on Form 10-K (or any successor or comparable form) containing the information required (other than pursuant to Item 9 of such report) to be contained therein (or required in such successor or comparable form); (b) within 45 days after the end of each of the first three fiscal quarters of each fiscal year, reports on Form 10-Q (or any successor or comparable form); and (c) promptly from time to time after the occurrence of an event required to be therein reported, such other reports on Form 8-K (or any successor or comparable form) containing the information required to be contained therein (or required in any successor or comparable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such reports with the Commission if the Commission does not permit such filings. The Company will in all cases, without cost to each recipient, provide copies of such information to the Holders of the Debt Securities of each series and, if they are not permitted to file such reports with the Commission, shall make available information to prospective purchasers and to securities analysts and broker-dealers upon their request;</w:t>
      </w:r>
    </w:p>
    <w:p>
      <w:pPr>
        <w:spacing w:after="0" w:line="62" w:lineRule="exact"/>
        <w:rPr>
          <w:rFonts w:ascii="Arial" w:cs="Arial" w:eastAsia="Arial" w:hAnsi="Arial"/>
          <w:sz w:val="16"/>
          <w:szCs w:val="16"/>
          <w:color w:val="auto"/>
        </w:rPr>
      </w:pPr>
    </w:p>
    <w:p>
      <w:pPr>
        <w:ind w:left="240" w:firstLine="221"/>
        <w:spacing w:after="0" w:line="264" w:lineRule="auto"/>
        <w:tabs>
          <w:tab w:leader="none" w:pos="7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73" w:lineRule="exact"/>
        <w:rPr>
          <w:rFonts w:ascii="Arial" w:cs="Arial" w:eastAsia="Arial" w:hAnsi="Arial"/>
          <w:sz w:val="18"/>
          <w:szCs w:val="18"/>
          <w:color w:val="auto"/>
        </w:rPr>
      </w:pPr>
    </w:p>
    <w:p>
      <w:pPr>
        <w:ind w:left="240" w:right="200" w:firstLine="221"/>
        <w:spacing w:after="0" w:line="264" w:lineRule="auto"/>
        <w:tabs>
          <w:tab w:leader="none" w:pos="7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transmit to all Holders of Debt Securities, in the manner and to the extent provided in Section 7.03, within 30 days after the filing thereof with the Trustee, such summaries of any information, documents and reports required to be filed by the Company pursuant to paragraphs (1) and (2) of this Section 7.04 as may be required by rules and regulations prescribed from time to time by the Commission.</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Notwithstanding the foregoing, to the extent the Company files the information and reports referred to in clauses (1), (2) and (3) above with the Commission and such information is publicly available on the Internet, the Company shall be deemed to be in compliance with its obligations to furnish such information.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HOLDERS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or proxy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ind w:right="40"/>
        <w:spacing w:after="0" w:line="297" w:lineRule="auto"/>
        <w:rPr>
          <w:sz w:val="20"/>
          <w:szCs w:val="20"/>
          <w:color w:val="auto"/>
        </w:rPr>
      </w:pPr>
      <w:r>
        <w:rPr>
          <w:rFonts w:ascii="Arial" w:cs="Arial" w:eastAsia="Arial" w:hAnsi="Arial"/>
          <w:sz w:val="16"/>
          <w:szCs w:val="16"/>
          <w:color w:val="auto"/>
        </w:rPr>
        <w:t>thereby) are herein sometimes referred to as the “Act” of the Holders signing such instrument or instruments. Whenever in this Indenture it is provided that the Holders of a specified percentage in aggregate principal amount of the Outstanding Debt Securities of any series may take any Act, the fact that the Holders of such specified percentage have joined therein may be evidenced (a) by the instrument or instruments executed by Holders in person or by agent or proxy appointed in writing, or (b) by the record of Holders voting in favor thereof at any meeting of such Holders duly called and held in accordance with the provisions of Article Nine, or (c) by a combination of such instrument or instruments and any such record of such a meeting of Holders.</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Ownership; Proof of Execution of Instruments by Holder</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ownership of Registered Securities of any series shall be proved by the Register for such series or by a certificate of the Registrar for such series.</w:t>
      </w:r>
    </w:p>
    <w:p>
      <w:pPr>
        <w:spacing w:after="0" w:line="140"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Subject to the provisions of Sections 6.01, 6.03 and 9.05, proof of the execution of any instrument by a Holder or such Holder’s agent shall be sufficient if made in accordance with such reasonable rules and regulations as may be prescribed by the Trustee or in such manner as shall be satisfactory to the Trustee.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record of any Holders’ meeting shall be proved in the manner provided in Section 9.06.</w:t>
      </w:r>
    </w:p>
    <w:p>
      <w:pPr>
        <w:spacing w:after="0" w:line="117"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Trustee may in any instance require further proof with respect to any of the matters referred to in this Section 8.02 so long as the request is a reasonable one.</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Company, the Trustee and any agent of the Company or the Trustee may treat the Person in whose name any Registered Security is registered as the owner of such Registered Security for the purpose of receiving payment of the principal of (and premium, if any) and (subject to Section 3.07) interest, if any, on such Registered Security and for all other purposes whatsoever, whether or not such Registered Security be overdue, and neither the Company, the Trustee nor any agent of the Company or the Trustee shall be affected by notice to the contrary. All payments made to any Holder, or upon his order, shall be valid, and, to the extent of the sum or sums paid, effectual to satisfy and discharge the liability for moneys payable upon such Debt Security.</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Revocation of Consents; Future Holders Bound</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54" w:lineRule="auto"/>
        <w:rPr>
          <w:sz w:val="20"/>
          <w:szCs w:val="20"/>
          <w:color w:val="auto"/>
        </w:rPr>
      </w:pPr>
      <w:r>
        <w:rPr>
          <w:rFonts w:ascii="Arial" w:cs="Arial" w:eastAsia="Arial" w:hAnsi="Arial"/>
          <w:sz w:val="18"/>
          <w:szCs w:val="18"/>
          <w:color w:val="auto"/>
        </w:rPr>
        <w:t>At any time prior to (but not after) the evidencing to the Trustee, as provided in Section 8.01, of the taking of any Act by the Holders of the percentage in aggregate principal amount of the Outstanding Debt Securities specified in this Indenture in connection with such Act, any Holder of a Debt Security the number, letter or other distinguishing symbol of which is shown by the evidence to be included in the Debt Securities the Holders of which have consented to such Act may, by filing written notice with the Trustee at the Corporate Trust Office and upon proof of ownership as provided in Section 8.02, revoke such Act so far as it concerns such Debt Security. Except as aforesaid, any such Act taken by the Holder of any Debt Security shall be conclusive and binding upon such Holder and, subject to the provisions of Section 5.08, upon all future Holders of such Debt Security and of any Debt Securities issued on transfer or in lieu thereof or in exchange or substitution therefor, irrespective of whether or not any notation in regard thereto is made upon such Debt Security or such other Debt Securities.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color w:val="auto"/>
        </w:rPr>
        <w:t>ARTICLE NINE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HOLDERS’ MEETINGS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Purposes of Meetings</w:t>
      </w:r>
      <w:r>
        <w:rPr>
          <w:rFonts w:ascii="Arial" w:cs="Arial" w:eastAsia="Arial" w:hAnsi="Arial"/>
          <w:sz w:val="18"/>
          <w:szCs w:val="18"/>
          <w:color w:val="auto"/>
        </w:rPr>
        <w:t>.</w:t>
      </w:r>
    </w:p>
    <w:p>
      <w:pPr>
        <w:spacing w:after="0" w:line="117" w:lineRule="exact"/>
        <w:rPr>
          <w:sz w:val="20"/>
          <w:szCs w:val="20"/>
          <w:color w:val="auto"/>
        </w:rPr>
      </w:pPr>
    </w:p>
    <w:p>
      <w:pPr>
        <w:ind w:right="360" w:firstLine="215"/>
        <w:spacing w:after="0" w:line="277" w:lineRule="auto"/>
        <w:rPr>
          <w:sz w:val="20"/>
          <w:szCs w:val="20"/>
          <w:color w:val="auto"/>
        </w:rPr>
      </w:pPr>
      <w:r>
        <w:rPr>
          <w:rFonts w:ascii="Arial" w:cs="Arial" w:eastAsia="Arial" w:hAnsi="Arial"/>
          <w:sz w:val="18"/>
          <w:szCs w:val="18"/>
          <w:color w:val="auto"/>
        </w:rPr>
        <w:t>A meeting of Holders of any or all series may be called at any time and from time to time pursuant to the provisions of this Article Nine for any of the following purposes:</w:t>
      </w:r>
    </w:p>
    <w:p>
      <w:pPr>
        <w:spacing w:after="0" w:line="62" w:lineRule="exact"/>
        <w:rPr>
          <w:sz w:val="20"/>
          <w:szCs w:val="20"/>
          <w:color w:val="auto"/>
        </w:rPr>
      </w:pPr>
    </w:p>
    <w:p>
      <w:pPr>
        <w:ind w:left="240" w:right="160" w:firstLine="221"/>
        <w:spacing w:after="0" w:line="264"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for such series, or to give any directions to the Trustee for such series, or to consent to the waiving of any default hereunder and its consequences, or to take any other action authorized to be taken by Holders pursuant to any of the provisions of Article Five;</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remove the Trustee for such series and appoint a successor Trustee pursuant to the provisions of Article Six;</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11.02; or</w:t>
      </w:r>
    </w:p>
    <w:p>
      <w:pPr>
        <w:spacing w:after="0" w:line="117" w:lineRule="exact"/>
        <w:rPr>
          <w:rFonts w:ascii="Arial" w:cs="Arial" w:eastAsia="Arial" w:hAnsi="Arial"/>
          <w:sz w:val="18"/>
          <w:szCs w:val="18"/>
          <w:color w:val="auto"/>
        </w:rPr>
      </w:pPr>
    </w:p>
    <w:p>
      <w:pPr>
        <w:ind w:left="240" w:right="160" w:firstLine="221"/>
        <w:spacing w:after="0" w:line="342" w:lineRule="auto"/>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take any other action authorized to be taken by or on behalf of the Holders of any specified aggregate principal amount of the Outstanding Debt Securities of any one or more or all series, as the case may be, under any other provision of this Indenture or under applicable law.</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Call of Meetings by Trustee</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Trustee for any series may at any time call a meeting of Holders of such series to take any action specified in Section 9.01, to be held at such time or times and at such place or places as the Trustee for such series shall determine. Notice of every meeting of the Holders of any series, setting forth the time and the place of such meeting and in general terms the action proposed to be taken at such meeting, shall be given to Holders of such series in the manner and to the extent provided in Section 1.05. Such notice shall be given not less than 10 days nor more than 90 days prior to the date fixed for the meeting.</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Call of Meetings by Company or Holders</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In case at any time the Company, pursuant to a Board Resolution, or the Holders of at least 10% in aggregate principal amount of the Outstanding Debt Securities of a series or of all series, as the case may be, shall have requested the Trustee for such series to call a meeting of Holders of any or all such series by written request setting forth in reasonable detail the action proposed to be taken at the meeting, and the Trustee shall not have given the notice of such meeting within 10 days after the receipt of such request, then the Company or such Holders may determine the time or times and the place or places for such meetings and may call such meetings to take any action authorized in Section 9.01, by giving notice thereof as provided in Section 9.02.</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Qualifications for Voting</w:t>
      </w:r>
      <w:r>
        <w:rPr>
          <w:rFonts w:ascii="Arial" w:cs="Arial" w:eastAsia="Arial" w:hAnsi="Arial"/>
          <w:sz w:val="18"/>
          <w:szCs w:val="18"/>
          <w:color w:val="auto"/>
        </w:rPr>
        <w:t>.</w:t>
      </w:r>
    </w:p>
    <w:p>
      <w:pPr>
        <w:spacing w:after="0" w:line="117"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To be entitled to vote at any meeting of Holders a Person shall be (a) a Holder of a Debt Security of the series with respect to which such meeting is being held or (b) a Person appointed by an instrument in writing as agent or proxy by such Holder. The only Persons who shall be entitled to be present or to speak at any meeting of Holders shall be the Persons entitled to vote at such meeting and their counsel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10" w:name="page111"/>
    <w:bookmarkEnd w:id="110"/>
    <w:p>
      <w:pPr>
        <w:ind w:right="80"/>
        <w:spacing w:after="0" w:line="277" w:lineRule="auto"/>
        <w:rPr>
          <w:sz w:val="20"/>
          <w:szCs w:val="20"/>
          <w:color w:val="auto"/>
        </w:rPr>
      </w:pPr>
      <w:r>
        <w:rPr>
          <w:rFonts w:ascii="Arial" w:cs="Arial" w:eastAsia="Arial" w:hAnsi="Arial"/>
          <w:sz w:val="18"/>
          <w:szCs w:val="18"/>
          <w:color w:val="auto"/>
        </w:rPr>
        <w:t>and any representatives of the Trustee for the series with respect to which such meeting is being held and its counsel and any representatives of the Company and its counsel.</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Regulations</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Notwithstanding any other provisions of this Indenture, the Trustee for any series may make such reasonable regulations as it may deem advisable for any meeting of Holders of such series, in regard to proof of the holding of Debt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79"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such series as provided in Section 9.03, in which case the Company or the Holders calling the meeting, as the case may be, shall in like manner appoint a temporary chairman. A permanent chairman and a permanent secretary of the meeting shall be elected by a majority vote of the meeting.</w:t>
      </w:r>
    </w:p>
    <w:p>
      <w:pPr>
        <w:spacing w:after="0" w:line="39"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Subject to the provisos in the definition of “Outstanding,” at any meeting each Holder of a Debt Security of the series with respect to which such meeting is being held or proxy therefor shall be entitled to one vote for each $1,000 principal amount (or such other amount as shall be specified as contemplated by Section 3.01) of Debt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Debt Security challenged as not Outstanding and ruled by the chairman of the meeting to be not Outstanding. The chairman of the meeting shall have no right to vote other than by virtue of Outstanding Debt Securities of such series held by him or instruments in writing duly designating him as the person to vote on behalf of Holders of Debt Securities of such series. Any meeting of Holders with respect to which a meeting was duly called pursuant to the provisions of Section 9.02 or 9.03 may be adjourned from time to time by a majority of such Holders present and the meeting may be held as so adjourned without further notice.</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vote upon any resolution submitted to any meeting of Holders with respect to which such meeting is being held shall be by written ballots on which shall be subscribed the signatures of such Holders or of their representatives by proxy and the serial number or numbers of the Debt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taken and there shall be attached to said record the original reports of the inspectors of votes on any vote by ballot taken thereat and affidavits by one or more persons having knowledge of the facts setting forth a copy of the notice of the meeting and showing that said notice was transmitted as provided in Section 9.02. The record shall show the serial numbers of the Debt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ind w:left="114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w:t>
      </w:r>
    </w:p>
    <w:p>
      <w:pPr>
        <w:spacing w:after="0" w:line="117"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Nothing contained in this Article Nine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any Holder under any of the provisions of this Indenture or of the Debt Securities of any series.</w:t>
      </w:r>
    </w:p>
    <w:p>
      <w:pPr>
        <w:spacing w:after="0" w:line="27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TEN</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CONSOLIDATION, MERGER, CONVEYANCE, TRANSFER OR LEASE</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shall not consolidate with or merge with or into or wind up into (whether or not the Company is the surviving corporation) or sell, assign, convey, transfer or lease its properties and assets substantially as an entirety to any Person, unless:</w:t>
      </w:r>
    </w:p>
    <w:p>
      <w:pPr>
        <w:spacing w:after="0" w:line="62" w:lineRule="exact"/>
        <w:rPr>
          <w:sz w:val="20"/>
          <w:szCs w:val="20"/>
          <w:color w:val="auto"/>
        </w:rPr>
      </w:pPr>
    </w:p>
    <w:p>
      <w:pPr>
        <w:ind w:left="240" w:right="400" w:firstLine="221"/>
        <w:spacing w:after="0" w:line="255"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corporation formed by such consolidation or into which the Company is merged or the Person which acquires by conveyance or transfer, or which leases, the properties and assets of the Company substantially as an entirety (the “successor corporation”) shall be a corporation organized and existing under the laws of the United States or any State or territory thereof or the District of Columbia and shall expressly assume, by an indenture supplemental hereto, executed and delivered to the Trustee, in form satisfactory to the Trustee, the due and punctual payment of the principal of (and premium, if any) and interest on all the Debt Securities and the performance of every covenant of this Indenture on the part of the Company to be performed or observed;</w:t>
      </w:r>
    </w:p>
    <w:p>
      <w:pPr>
        <w:spacing w:after="0" w:line="85" w:lineRule="exact"/>
        <w:rPr>
          <w:rFonts w:ascii="Arial" w:cs="Arial" w:eastAsia="Arial" w:hAnsi="Arial"/>
          <w:sz w:val="18"/>
          <w:szCs w:val="18"/>
          <w:color w:val="auto"/>
        </w:rPr>
      </w:pPr>
    </w:p>
    <w:p>
      <w:pPr>
        <w:ind w:left="240" w:right="40" w:firstLine="221"/>
        <w:spacing w:after="0" w:line="277"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 merger,</w:t>
      </w:r>
    </w:p>
    <w:p>
      <w:pPr>
        <w:spacing w:after="0" w:line="34" w:lineRule="exact"/>
        <w:rPr>
          <w:rFonts w:ascii="Arial" w:cs="Arial" w:eastAsia="Arial" w:hAnsi="Arial"/>
          <w:sz w:val="17"/>
          <w:szCs w:val="17"/>
          <w:color w:val="auto"/>
        </w:rPr>
      </w:pPr>
    </w:p>
    <w:p>
      <w:pPr>
        <w:ind w:left="240" w:right="280"/>
        <w:spacing w:after="0" w:line="261" w:lineRule="auto"/>
        <w:rPr>
          <w:rFonts w:ascii="Arial" w:cs="Arial" w:eastAsia="Arial" w:hAnsi="Arial"/>
          <w:sz w:val="17"/>
          <w:szCs w:val="17"/>
          <w:color w:val="auto"/>
        </w:rPr>
      </w:pPr>
      <w:r>
        <w:rPr>
          <w:rFonts w:ascii="Arial" w:cs="Arial" w:eastAsia="Arial" w:hAnsi="Arial"/>
          <w:sz w:val="18"/>
          <w:szCs w:val="18"/>
          <w:color w:val="auto"/>
        </w:rPr>
        <w:t>conveyance, transfer or lease and such supplemental indenture comply with this Article and that all conditions precedent herein provided for relating to such transaction have been complied with; and</w:t>
      </w:r>
    </w:p>
    <w:p>
      <w:pPr>
        <w:spacing w:after="0" w:line="75" w:lineRule="exact"/>
        <w:rPr>
          <w:rFonts w:ascii="Arial" w:cs="Arial" w:eastAsia="Arial" w:hAnsi="Arial"/>
          <w:sz w:val="17"/>
          <w:szCs w:val="17"/>
          <w:color w:val="auto"/>
        </w:rPr>
      </w:pPr>
    </w:p>
    <w:p>
      <w:pPr>
        <w:ind w:left="720" w:hanging="259"/>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other conditions as may be specified under Section 3.01 with respect to any series of Debt Securities.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Upon any consolidation with or merger into any other corporation, or any conveyance, transfer or lease of the properties and assets of the Company substantially as an entirety in accordance with Section 10.01, the successor corporation formed by such consolidation or into which the Company is merged or to which such conveyance, transfer or lease is made shall succeed to, and be substituted for, and may exercise every right and power of, the Company under this Indenture with the same effect as if such successor corporation had been named as the Company herein.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ind w:left="4960"/>
        <w:spacing w:after="0"/>
        <w:rPr>
          <w:sz w:val="20"/>
          <w:szCs w:val="20"/>
          <w:color w:val="auto"/>
        </w:rPr>
      </w:pPr>
      <w:r>
        <w:rPr>
          <w:rFonts w:ascii="Arial" w:cs="Arial" w:eastAsia="Arial" w:hAnsi="Arial"/>
          <w:sz w:val="18"/>
          <w:szCs w:val="18"/>
          <w:color w:val="auto"/>
        </w:rPr>
        <w:t>ARTICLE ELEVEN</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62" w:lineRule="exact"/>
        <w:rPr>
          <w:sz w:val="20"/>
          <w:szCs w:val="20"/>
          <w:color w:val="auto"/>
        </w:rPr>
      </w:pPr>
    </w:p>
    <w:p>
      <w:pPr>
        <w:ind w:left="720" w:hanging="259"/>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cure any ambiguity, defect or inconsistency;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provide for uncertificated Debt Securities of a particular series in addition to or in place of certificated Debt Securities of such series; or</w:t>
      </w:r>
    </w:p>
    <w:p>
      <w:pPr>
        <w:spacing w:after="0" w:line="128" w:lineRule="exact"/>
        <w:rPr>
          <w:rFonts w:ascii="Arial" w:cs="Arial" w:eastAsia="Arial" w:hAnsi="Arial"/>
          <w:sz w:val="17"/>
          <w:szCs w:val="17"/>
          <w:color w:val="auto"/>
        </w:rPr>
      </w:pPr>
    </w:p>
    <w:p>
      <w:pPr>
        <w:ind w:left="240" w:right="120" w:firstLine="221"/>
        <w:spacing w:after="0" w:line="277" w:lineRule="auto"/>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Debt Securities in the case of a merger or consolidation or sale of all or substantially all of the Company’s assets; or</w:t>
      </w:r>
    </w:p>
    <w:p>
      <w:pPr>
        <w:spacing w:after="0" w:line="62" w:lineRule="exact"/>
        <w:rPr>
          <w:rFonts w:ascii="Arial" w:cs="Arial" w:eastAsia="Arial" w:hAnsi="Arial"/>
          <w:sz w:val="18"/>
          <w:szCs w:val="18"/>
          <w:color w:val="auto"/>
        </w:rPr>
      </w:pPr>
    </w:p>
    <w:p>
      <w:pPr>
        <w:ind w:left="240" w:right="160" w:firstLine="221"/>
        <w:spacing w:after="0" w:line="277" w:lineRule="auto"/>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Debt Securities or that does not adversely affect in any material respect the legal rights under this Indenture of any such Holder; or</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any Person as a Guarantor;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comply with any requirements of the Commission in order to effect or maintain the qualification of this Indenture under the Trust Indenture Act;</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720" w:hanging="259"/>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remove a Guarantor which, in accordance with the terms of this Indenture, ceases to be liable in respect of its Guarantee;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this Indenture by a successor Trustee;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secure all of the Debt Securities of a particular series; or</w:t>
      </w:r>
    </w:p>
    <w:p>
      <w:pPr>
        <w:spacing w:after="0" w:line="117" w:lineRule="exact"/>
        <w:rPr>
          <w:rFonts w:ascii="Arial" w:cs="Arial" w:eastAsia="Arial" w:hAnsi="Arial"/>
          <w:sz w:val="18"/>
          <w:szCs w:val="18"/>
          <w:color w:val="auto"/>
        </w:rPr>
      </w:pPr>
    </w:p>
    <w:p>
      <w:pPr>
        <w:ind w:left="240" w:right="320" w:firstLine="221"/>
        <w:spacing w:after="0" w:line="277" w:lineRule="auto"/>
        <w:tabs>
          <w:tab w:leader="none" w:pos="8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or</w:t>
      </w:r>
    </w:p>
    <w:p>
      <w:pPr>
        <w:spacing w:after="0" w:line="62" w:lineRule="exact"/>
        <w:rPr>
          <w:rFonts w:ascii="Arial" w:cs="Arial" w:eastAsia="Arial" w:hAnsi="Arial"/>
          <w:sz w:val="18"/>
          <w:szCs w:val="18"/>
          <w:color w:val="auto"/>
        </w:rPr>
      </w:pPr>
    </w:p>
    <w:p>
      <w:pPr>
        <w:ind w:left="800" w:hanging="339"/>
        <w:spacing w:after="0"/>
        <w:tabs>
          <w:tab w:leader="none" w:pos="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 as permitted by Sections 2.01 and 3.01.</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With the written consent of the Holders of not less than a majority in principal amount of the Outstanding Debt Securities of each series affected by such supplemental indenture voting separately,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of such Debt Securities;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2" w:right="359" w:bottom="1440" w:gutter="0" w:footer="0" w:header="0"/>
        </w:sectPr>
      </w:pPr>
    </w:p>
    <w:bookmarkStart w:id="113" w:name="page114"/>
    <w:bookmarkEnd w:id="113"/>
    <w:p>
      <w:pPr>
        <w:ind w:right="5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Debt Security of each such series affected thereby,</w:t>
      </w:r>
    </w:p>
    <w:p>
      <w:pPr>
        <w:spacing w:after="0" w:line="62" w:lineRule="exact"/>
        <w:rPr>
          <w:sz w:val="20"/>
          <w:szCs w:val="20"/>
          <w:color w:val="auto"/>
        </w:rPr>
      </w:pPr>
    </w:p>
    <w:p>
      <w:pPr>
        <w:ind w:left="240" w:right="120" w:firstLine="221"/>
        <w:spacing w:after="0" w:line="308" w:lineRule="auto"/>
        <w:tabs>
          <w:tab w:leader="none" w:pos="7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reduce the principal amount of Debt Securities of such a series whose Holders must consent to an amendment, supplement or waiver, including the waiver of Defaults or Events of Default, or to a rescission and cancellation of a declaration of acceleration of the Debt Securities;</w:t>
      </w:r>
    </w:p>
    <w:p>
      <w:pPr>
        <w:spacing w:after="0" w:line="38" w:lineRule="exact"/>
        <w:rPr>
          <w:rFonts w:ascii="Arial" w:cs="Arial" w:eastAsia="Arial" w:hAnsi="Arial"/>
          <w:sz w:val="17"/>
          <w:szCs w:val="17"/>
          <w:color w:val="auto"/>
        </w:rPr>
      </w:pPr>
    </w:p>
    <w:p>
      <w:pPr>
        <w:ind w:left="240" w:right="80" w:firstLine="221"/>
        <w:spacing w:after="0" w:line="277"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rate of or change or have the effect of changing the time for payment of interest, including Defaulted Interest, on the Debt Securities of a such series;</w:t>
      </w:r>
    </w:p>
    <w:p>
      <w:pPr>
        <w:spacing w:after="0" w:line="62" w:lineRule="exact"/>
        <w:rPr>
          <w:rFonts w:ascii="Arial" w:cs="Arial" w:eastAsia="Arial" w:hAnsi="Arial"/>
          <w:sz w:val="18"/>
          <w:szCs w:val="18"/>
          <w:color w:val="auto"/>
        </w:rPr>
      </w:pPr>
    </w:p>
    <w:p>
      <w:pPr>
        <w:ind w:left="240" w:right="200" w:firstLine="221"/>
        <w:spacing w:after="0" w:line="277"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such Debt Securities, or change the date on which such Debt Securities may be subject to redemption, or reduce the redemption price therefor;</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such Debt Securities payable in money other than that stated in such Debt Securities;</w:t>
      </w:r>
    </w:p>
    <w:p>
      <w:pPr>
        <w:spacing w:after="0" w:line="117" w:lineRule="exact"/>
        <w:rPr>
          <w:rFonts w:ascii="Arial" w:cs="Arial" w:eastAsia="Arial" w:hAnsi="Arial"/>
          <w:sz w:val="18"/>
          <w:szCs w:val="18"/>
          <w:color w:val="auto"/>
        </w:rPr>
      </w:pPr>
    </w:p>
    <w:p>
      <w:pPr>
        <w:ind w:left="240" w:right="80" w:firstLine="221"/>
        <w:spacing w:after="0" w:line="277"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protecting the right of each Holder to receive payment of principal of and interest on such Debt Securities on or after the due date thereof or to bring suit to enforce such payment;</w:t>
      </w:r>
    </w:p>
    <w:p>
      <w:pPr>
        <w:spacing w:after="0" w:line="62" w:lineRule="exact"/>
        <w:rPr>
          <w:rFonts w:ascii="Arial" w:cs="Arial" w:eastAsia="Arial" w:hAnsi="Arial"/>
          <w:sz w:val="18"/>
          <w:szCs w:val="18"/>
          <w:color w:val="auto"/>
        </w:rPr>
      </w:pPr>
    </w:p>
    <w:p>
      <w:pPr>
        <w:ind w:left="240" w:right="40" w:firstLine="221"/>
        <w:spacing w:after="0" w:line="264"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waive a default in the payment of principal of or interest on any such Debt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(6) shall not limit the right of the Holders of a majority in aggregate principal amount of the Outstanding Debt Securities of such series to rescind and cancel a declaration of acceleration of such Debt Securities following delivery of an acceleration notice as described under Section 5.02;</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contractually subordinate such Debt Securities (or any related Guarantees) to any other Indebtedness;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conflict with the required provisions of the Trust Indenture Act; or</w:t>
      </w:r>
    </w:p>
    <w:p>
      <w:pPr>
        <w:spacing w:after="0" w:line="117" w:lineRule="exact"/>
        <w:rPr>
          <w:rFonts w:ascii="Arial" w:cs="Arial" w:eastAsia="Arial" w:hAnsi="Arial"/>
          <w:sz w:val="18"/>
          <w:szCs w:val="18"/>
          <w:color w:val="auto"/>
        </w:rPr>
      </w:pPr>
    </w:p>
    <w:p>
      <w:pPr>
        <w:ind w:left="240" w:right="140" w:firstLine="221"/>
        <w:spacing w:after="0" w:line="257"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11.02, Section 5.13 or Section 12.06, except to increase any such percentage or to provide that certain other provisions of this Indenture cannot be modified or waived without the consent of the Holder of each Outstanding Debt Security of each series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11.02 and Section 12.06, or the deletion of this proviso, in accordance with the requirements of Section 6.11.</w:t>
      </w:r>
    </w:p>
    <w:p>
      <w:pPr>
        <w:spacing w:after="0" w:line="8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It shall not be necessary for any Act of Holders under this Section 11.02 to approve the particular form of any proposed supplemental indenture, but it shall be sufficient if such Act shall approve the substance thereof.</w:t>
      </w:r>
    </w:p>
    <w:p>
      <w:pPr>
        <w:spacing w:after="0" w:line="62"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with respect to one or more particular series of Debt Securities or which modifies the rights of the Holders of Debt Securities of such series with respect to such covenant or other provision, shall be deemed not to affect the rights under this Indenture of the Holders of Debt Securities of any other series.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ind w:left="92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 in a material way.</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Debt Securities theretofore or thereafter authenticated and delivered hereunder shall be bound thereby.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Reference in Debt Securities to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Debt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Debt Securities of any series so modified as to conform, in the opinion of the Trustee and the Board of Directors, to any such supplemental indenture may be prepared and executed by the Company and authenticated and delivered by the Trustee in exchange for Outstanding Debt Securities of such series.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Notice of Supplemental Indenture</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Promptly after the execution by the Company and the appropriate Trustee of any supplemental indenture pursuant to Section 11.02, the Company shall transmit, in the manner and to the extent provided in Section 1.05, to all Holders of any series of the Debt Securities affected thereby, a notice setting forth in general terms the substance of such supplemental indenture.</w:t>
      </w:r>
    </w:p>
    <w:p>
      <w:pPr>
        <w:spacing w:after="0" w:line="2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ARTICLE TWELVE</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for the benefit of each series of Debt Securities, will duly and punctually pay or cause to be paid the principal of, and premium, if any, and interest on, each of the Debt Securities at the place, at the respective times and in the manner provided herein. Each installment of interest on the Debt Securities may at the Company’s option be paid by mailing checks for such interest payable to the Person entitled thereto to the address of such Person as it appears on the Register.</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15" w:name="page116"/>
    <w:bookmarkEnd w:id="115"/>
    <w:p>
      <w:pPr>
        <w:ind w:left="92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Officer’s Certificate as to Default</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Unless otherwise specifically provided for with respect to any series of Debt Securities under Section 3.01, (a) the Company shall provide an Officers’ Certificate to the Trustee promptly upon any officer of the Company obtaining knowledge of any Default or Event of Default that has occurred and, if applicable, describe such Default or Event of Default and the status thereof and (b) the Company will deliver to the Trustee, on or before a date not more than four months after the end of each fiscal year of the Company ending after the date hereof, a certificate of the principal executive officer, principal financial officer or principal accounting officer of the Company stating whether or not to the best knowledge of the signer thereof the Company is in compliance with all covenants and conditions under this Indenture, and, if any Default or Event of Default shall have occurred, specifying all such Defaults and Events of Default and the nature thereof of which such signer may have knowledge. For purposes of this Section 12.02, such compliance shall be determined without regard to any period of grace or requirement of notice provided under this Indenture.</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If Debt Securities of a series are issuable only as Registered Securities, the Company will maintain in each Place of Payment for such series an office or agency where Debt Securities of that series may be presented or surrendered for payment, where Debt Securities of that series may be surrendered for registration of transfer or exchange, where Debt Securities of that series that are convertible may be surrendered for conversion, if applicable, and where notices and demands to or upon the Company in respect of the Debt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presentations, surrenders, notices and demands.</w:t>
      </w:r>
    </w:p>
    <w:p>
      <w:pPr>
        <w:spacing w:after="0" w:line="84"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 xml:space="preserve">The Company may also from time to time designate different or additional offices or agencies to be maintained for such purposes (in or outside of such Place of Payment), and may from time to time rescind any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designation or rescission shall in any manner relieve the Company of its obligations described in the preceding paragraph. The Company will give prompt written notice to the Trustee of any such additional designation or rescission of designation and any change in the location of any such different or additional office or agency.</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Money for Debt Securities; Payments To Be Held in Trust</w:t>
      </w:r>
      <w:r>
        <w:rPr>
          <w:rFonts w:ascii="Arial" w:cs="Arial" w:eastAsia="Arial" w:hAnsi="Arial"/>
          <w:sz w:val="18"/>
          <w:szCs w:val="18"/>
          <w:color w:val="auto"/>
        </w:rPr>
        <w:t>.</w:t>
      </w:r>
    </w:p>
    <w:p>
      <w:pPr>
        <w:spacing w:after="0" w:line="117" w:lineRule="exact"/>
        <w:rPr>
          <w:sz w:val="20"/>
          <w:szCs w:val="20"/>
          <w:color w:val="auto"/>
        </w:rPr>
      </w:pPr>
    </w:p>
    <w:p>
      <w:pPr>
        <w:ind w:right="300" w:firstLine="225"/>
        <w:spacing w:after="0" w:line="279" w:lineRule="auto"/>
        <w:rPr>
          <w:sz w:val="20"/>
          <w:szCs w:val="20"/>
          <w:color w:val="auto"/>
        </w:rPr>
      </w:pPr>
      <w:r>
        <w:rPr>
          <w:rFonts w:ascii="Arial" w:cs="Arial" w:eastAsia="Arial" w:hAnsi="Arial"/>
          <w:sz w:val="17"/>
          <w:szCs w:val="17"/>
          <w:color w:val="auto"/>
        </w:rPr>
        <w:t>If the Company shall at any time act as its own Paying Agent with respect to any series of Debt Securities, it will, on or before each due date of the principal of (and premium, if any) or interest on any of the Debt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6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Whenever the Company shall have one or more Paying Agents with respect to any series of Debt Securities, it will, by or on each due date of the principal (and premium, if any) or interest on any Debt Securities of such series, deposit with any such Paying Agent a sum sufficient to pay the principal (and premium, if any) or interest so becoming due, such sum to be held in trust for the benefit of the Persons entitled thereto, and (unless any such Paying Agent is the Trustee) the Company will promptly notify the Trustee of its action or failure so to act.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6" w:name="page117"/>
    <w:bookmarkEnd w:id="116"/>
    <w:p>
      <w:pPr>
        <w:ind w:right="220" w:firstLine="222"/>
        <w:spacing w:after="0" w:line="342" w:lineRule="auto"/>
        <w:rPr>
          <w:sz w:val="20"/>
          <w:szCs w:val="20"/>
          <w:color w:val="auto"/>
        </w:rPr>
      </w:pPr>
      <w:r>
        <w:rPr>
          <w:rFonts w:ascii="Arial" w:cs="Arial" w:eastAsia="Arial" w:hAnsi="Arial"/>
          <w:sz w:val="16"/>
          <w:szCs w:val="16"/>
          <w:color w:val="auto"/>
        </w:rPr>
        <w:t>The Company will cause each Paying Agent with respect to any series of Debt Securities other than the Trustee to execute and deliver to the Trustee an instrument in which such Paying Agent shall agree with the Trustee, subject to the provisions of this Section 12.04, that such Paying Agent will:</w:t>
      </w:r>
    </w:p>
    <w:p>
      <w:pPr>
        <w:spacing w:after="0" w:line="16" w:lineRule="exact"/>
        <w:rPr>
          <w:sz w:val="20"/>
          <w:szCs w:val="20"/>
          <w:color w:val="auto"/>
        </w:rPr>
      </w:pPr>
    </w:p>
    <w:p>
      <w:pPr>
        <w:ind w:left="240" w:firstLine="221"/>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premium, if any) or interest on Debt Securities of such series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Debt Securities of such series) in the making of any payment of principal (and premium, if any) or interest on the Debt Securities of such series; and</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79" w:lineRule="exact"/>
        <w:rPr>
          <w:sz w:val="20"/>
          <w:szCs w:val="20"/>
          <w:color w:val="auto"/>
        </w:rPr>
      </w:pPr>
    </w:p>
    <w:p>
      <w:pPr>
        <w:ind w:right="20" w:firstLine="215"/>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(and premium, if any) or interest on any Debt Security of any series and remaining unclaimed for two years after such principal (and premium, if any) or interest has become due and payable shall be paid to the Company upon Company Request, or (if then held by the Company) shall be discharged from such trust; and the Holder of such Debt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transmitted in the manner and to the extent provided by Section 1.05, notice that such money remains unclaimed and that, after a date specified therein, which shall not be less than 30 days from the date of such notification, any unclaimed balance of such money then remaining will be repaid to the Company.</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 xml:space="preserve">Subject to Article Ten, the Company will do or cause to be done all things necessary to preserve and keep in full force and effect its corporate existence, rights (charter and statutory) and franchises;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preserve any such right or franchise if the Company shall determine that the preservation thereof is no longer desirable in the conduct of the business of the Company.</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may omit in any particular instance to comply with any term, provision or condition set forth in Section 12.05 (and, if so specified pursuant to Section 3.01, any other covenant not set forth herein and specified pursuant to Section 3.01 to be applicable to the Securities of any series, except as otherwise provided pursuant to Section 3.01) with respect to the Debt Securities of any series if before the time for such compliance the Holders of at least a majority in principal amount of the Outstanding Debt Securities of such series shall, by Act of such Holders, either waive such compliance in such</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17" w:name="page118"/>
    <w:bookmarkEnd w:id="117"/>
    <w:p>
      <w:pPr>
        <w:ind w:right="80"/>
        <w:spacing w:after="0" w:line="264" w:lineRule="auto"/>
        <w:rPr>
          <w:sz w:val="20"/>
          <w:szCs w:val="20"/>
          <w:color w:val="auto"/>
        </w:rPr>
      </w:pPr>
      <w:r>
        <w:rPr>
          <w:rFonts w:ascii="Arial" w:cs="Arial" w:eastAsia="Arial" w:hAnsi="Arial"/>
          <w:sz w:val="18"/>
          <w:szCs w:val="18"/>
          <w:color w:val="auto"/>
        </w:rPr>
        <w:t>instance or generally waive compliance with such term, provision or condition, but no such waiver shall extend to or affect such term, provision or condition except to the extent expressly so waived, and, until such waiver shall become effective, the obligations of the Company and the duties of the Trustee in respect of any such term, provision or condition shall remain in full force and effect.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THIRTEEN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REDEMPTION OF DEBT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Debt Securities of any series which are redeemable before their Maturity shall be redeemable in accordance with their terms and (except as otherwise specified pursuant to Section 3.01 for Debt Securities of any series) in accordance with this Article.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117" w:lineRule="exact"/>
        <w:rPr>
          <w:sz w:val="20"/>
          <w:szCs w:val="20"/>
          <w:color w:val="auto"/>
        </w:rPr>
      </w:pPr>
    </w:p>
    <w:p>
      <w:pPr>
        <w:ind w:right="160" w:firstLine="222"/>
        <w:spacing w:after="0" w:line="293" w:lineRule="auto"/>
        <w:rPr>
          <w:sz w:val="20"/>
          <w:szCs w:val="20"/>
          <w:color w:val="auto"/>
        </w:rPr>
      </w:pPr>
      <w:r>
        <w:rPr>
          <w:rFonts w:ascii="Arial" w:cs="Arial" w:eastAsia="Arial" w:hAnsi="Arial"/>
          <w:sz w:val="16"/>
          <w:szCs w:val="16"/>
          <w:color w:val="auto"/>
        </w:rPr>
        <w:t>The election of the Company to redeem (or, in the case of Discount Securities, to permit the Holders to elect to surrender for redemption) any Debt Securities shall be evidenced by a Board Resolution. In case of any redemption at the election of the Company of less than all of the Debt Securities of any series pursuant to Section 13.03, the Company shall, at least 30 days before the Redemption Date fixed by the Company (unless a shorter notice shall be satisfactory to the Trustee), notify the Trustee of such Redemption Date and of the principal amount of Debt Securities of such series to be redeemed. In the case of any redemption of Debt Securities prior to the expiration of any restriction on such redemption provided in the terms of such Debt Securities or elsewhere in this Indenture, the Company shall furnish the Trustee with an Officers’ Certificate evidencing compliance with such restrictions.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Selection by Trustee of Debt Securities to Be Redeemed</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Except in the case of a redemption in whole of the Registered Securities of such series, if less than all the Debt Securities of any series are to be redeemed at the election of the Company, the particular Debt Securities to be redeemed shall be selected not more than 60 days prior to the Redemption Date by the Trustee, from the Outstanding Debt Securities of such series not previously called for redemption, as follows (i) if the Debt Securities are listed, in compliance with the requirements of the principal national securities exchange on which the Debt Securities are listed or (ii) if the Debt Securities are not so listed, on a pro rata basis subject to adjustment for minimum denominations. The portions of the principal amount of Debt Securities so selected for partial redemption shall be equal to the minimum authorized denominations for Debt Securities of such series pursuant to Section 3.02 in the Currency in which the Debt Securities of such series are denominated or any integral multiple thereof, except as otherwise set forth in the applicable form of Debt Securities. In any case when more than one Registered Security of such series is registered in the same name, the Trustee in its discretion may treat the aggregate principal amount so registered as if it were represented by one Registered Security of such series.</w:t>
      </w:r>
    </w:p>
    <w:p>
      <w:pPr>
        <w:spacing w:after="0" w:line="74"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Trustee shall promptly notify the Company in writing of the Debt Securities selected for redemption and, in the case of any Debt Securities selected for partial redemption, the principal amount thereof to be redeemed.</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Debt Securities shall relate, in the case of any Debt Security redeemed or to be redeemed only in part, to the portion of the principal amount of such Debt security which has been or is to be redeemed.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8" w:name="page119"/>
    <w:bookmarkEnd w:id="118"/>
    <w:p>
      <w:pPr>
        <w:ind w:left="92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Notice of redemption shall be given by the Company, or at the Company’s request, by the Trustee in the name and at the expense of the Company, not less than 30 days and not more than 60 days prior to the Redemption Date to the Holders of Debt Securities of any series to be redeemed in whole or in part pursuant to this Article Thirteen, in the manner provided in Section 1.05. Any notice so given shall be conclusively presumed to have been duly given, whether or not the Holder receives such notice. Failure to give such notice, or any defect in such notice to the Holder of any Debt Security of a series designated for redemption, in whole or in part, shall not affect the sufficiency of any notice of redemption with respect to the Holder of any other Debt Security of such series.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720" w:hanging="259"/>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240" w:right="200" w:firstLine="221"/>
        <w:spacing w:after="0" w:line="264" w:lineRule="auto"/>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that Debt Securities of such series are being redeemed by the Company pursuant to provisions contained in this Indenture or the terms of the Debt Securities of such series or a supplemental indenture establishing such series, if such be the case, together with a brief statement of the facts permitting such redemption,</w:t>
      </w:r>
    </w:p>
    <w:p>
      <w:pPr>
        <w:spacing w:after="0" w:line="73" w:lineRule="exact"/>
        <w:rPr>
          <w:rFonts w:ascii="Arial" w:cs="Arial" w:eastAsia="Arial" w:hAnsi="Arial"/>
          <w:sz w:val="18"/>
          <w:szCs w:val="18"/>
          <w:color w:val="auto"/>
        </w:rPr>
      </w:pPr>
    </w:p>
    <w:p>
      <w:pPr>
        <w:ind w:left="240" w:right="180" w:firstLine="221"/>
        <w:spacing w:after="0" w:line="277" w:lineRule="auto"/>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less than all Outstanding Debt Securities of any series are to be redeemed, the identification (and, in the case of partial redemption, the principal amounts) of the particular Debt Securities to be redeemed,</w:t>
      </w:r>
    </w:p>
    <w:p>
      <w:pPr>
        <w:spacing w:after="0" w:line="62" w:lineRule="exact"/>
        <w:rPr>
          <w:rFonts w:ascii="Arial" w:cs="Arial" w:eastAsia="Arial" w:hAnsi="Arial"/>
          <w:sz w:val="18"/>
          <w:szCs w:val="18"/>
          <w:color w:val="auto"/>
        </w:rPr>
      </w:pPr>
    </w:p>
    <w:p>
      <w:pPr>
        <w:ind w:left="240" w:right="300" w:firstLine="221"/>
        <w:spacing w:after="0" w:line="277" w:lineRule="auto"/>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Debt Security to be redeemed, and that interest thereon, if any, shall cease to accrue on and after said date,</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Place or Places of Payment where such Debt Securities are to be surrendered for payment of the Redemption Price, and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or prior to the Redemption Date for any Debt Securities, the Company shall deposit with the Trustee or with a Paying Agent (or, if the Company is acting as its own Paying Agent, segregate and hold in trust as provided in Section 12.04) an amount of money in the Currency or Currencies in which such Debt Securities are denominated (except as provided pursuant to Section 3.01) sufficient to pay the Redemption Price of such Debt Securities or any portions thereof which are to be redeemed on that date.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Debt Securities Payable on Redemption Date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Notice of redemption having been given as aforesaid, any Debt Securities so to be redeemed shall, on the Redemption Date, become due and payable at the Redemption Price in the Currency in which the Debt Securities of such series are payable (except as otherwise specified pursuant to Section 3.01 or 3.10), and from and after such date (unless the Company shall default in the payment of the Redemption Price) such Debt Securities shall cease to bear interest. Upon surrender of any such Debt Security for redemption in accordance with said notice, such Debt Security shall be paid by the Company 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ind w:right="60"/>
        <w:spacing w:after="0" w:line="264" w:lineRule="auto"/>
        <w:rPr>
          <w:sz w:val="20"/>
          <w:szCs w:val="20"/>
          <w:color w:val="auto"/>
        </w:rPr>
      </w:pPr>
      <w:r>
        <w:rPr>
          <w:rFonts w:ascii="Arial" w:cs="Arial" w:eastAsia="Arial" w:hAnsi="Arial"/>
          <w:sz w:val="18"/>
          <w:szCs w:val="18"/>
          <w:color w:val="auto"/>
        </w:rPr>
        <w:t xml:space="preserve">the Redemption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3.01, installments of interest on Registered Securities which have a Stated Maturity on or prior to the Redemption Date for such Debt Securities shall be payable according to the terms of such Debt Securities and the provisions of Section 3.07.</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If any Debt Security called for redemption shall not be so paid upon surrender thereof for redemption, the principal (and premium, if any) shall, until paid, bear interest from the Redemption Date at the rate prescribed therefor in the Debt Security.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Debt Securities Redeemed in Part</w:t>
      </w:r>
      <w:r>
        <w:rPr>
          <w:rFonts w:ascii="Arial" w:cs="Arial" w:eastAsia="Arial" w:hAnsi="Arial"/>
          <w:sz w:val="18"/>
          <w:szCs w:val="18"/>
          <w:color w:val="auto"/>
        </w:rPr>
        <w:t>.</w:t>
      </w:r>
    </w:p>
    <w:p>
      <w:pPr>
        <w:spacing w:after="0" w:line="117" w:lineRule="exact"/>
        <w:rPr>
          <w:sz w:val="20"/>
          <w:szCs w:val="20"/>
          <w:color w:val="auto"/>
        </w:rPr>
      </w:pPr>
    </w:p>
    <w:p>
      <w:pPr>
        <w:ind w:right="40" w:firstLine="215"/>
        <w:spacing w:after="0" w:line="271" w:lineRule="auto"/>
        <w:rPr>
          <w:sz w:val="20"/>
          <w:szCs w:val="20"/>
          <w:color w:val="auto"/>
        </w:rPr>
      </w:pPr>
      <w:r>
        <w:rPr>
          <w:rFonts w:ascii="Arial" w:cs="Arial" w:eastAsia="Arial" w:hAnsi="Arial"/>
          <w:sz w:val="17"/>
          <w:szCs w:val="17"/>
          <w:color w:val="auto"/>
        </w:rPr>
        <w:t>Any Debt Security which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attorney duly authorized in writing, and the Company shall execute, and the Trustee shall authenticate and deliver to the Holder of such Debt Security without service charge, a new Debt Security or Debt Securities of the same series, of like tenor and form, of any authorized denomination as requested by such Holder in aggregate principal amount equal to and in exchange for the unredeemed portion of the principal of the Debt Security so surrendered. In the case of a Debt Security providing appropriate space for such notation, at the option of the Holder thereof, the Trustee, in lieu of delivering a new Debt Security or Debt Securities as aforesaid, may make a notation on such Debt Security of the payment of the redeemed portion thereof.</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FOURTEEN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Debt Securities of a series except as otherwise specified pursuant to Section 3.01 for Debt Securities of such series.</w:t>
      </w:r>
    </w:p>
    <w:p>
      <w:pPr>
        <w:spacing w:after="0" w:line="62"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Debt Securities of any series is herein referred to as a “mandatory sinking fund payment,” and any payment in excess of such minimum amount provided for by the terms of Debt Securities of any series is herein referred to as an “optional sinking fund payment.” If provided for by the terms of Debt Securities of any series, the amount of any cash sinking fund payment may be subject to reduction as provided in Section 14.02. Each sinking fund payment shall be applied to the redemption of Debt Securities of any series as provided for by the terms of Debt Securities of such series.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Satisfaction of Mandatory Sinking Fund Payments with Debt Securities</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 lieu of making all or any part of a mandatory sinking fund payment with respect to any Debt Securities of a series in cash, the Company may at its option, at any time no more than sixteen months and no less than 45 days prior to the date on which such sinking fund payment is due, deliver to the Trustee Debt Securities of such series theretofore purchased or otherwise acquired by the Company, except Debt Securities of such series which have been redeemed through the application of mandatory sinking fund payments pursuant to the terms of the Debt Securities of such series, accompanied by a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0" w:name="page121"/>
    <w:bookmarkEnd w:id="120"/>
    <w:p>
      <w:pPr>
        <w:ind w:right="260"/>
        <w:spacing w:after="0" w:line="279" w:lineRule="auto"/>
        <w:rPr>
          <w:sz w:val="20"/>
          <w:szCs w:val="20"/>
          <w:color w:val="auto"/>
        </w:rPr>
      </w:pPr>
      <w:r>
        <w:rPr>
          <w:rFonts w:ascii="Arial" w:cs="Arial" w:eastAsia="Arial" w:hAnsi="Arial"/>
          <w:sz w:val="17"/>
          <w:szCs w:val="17"/>
          <w:color w:val="auto"/>
        </w:rPr>
        <w:t xml:space="preserve">Order instructing the Trustee to credit such obligations and stating that the Debt Securities of such series were originally issued by the Company by way of bona fide sale or other negotiation for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Debt Securities shall not have been previously so credited. Such Debt Securities shall be received and credited for such purpose by the Trustee at the Redemption Price specified in such Debt Securities for redemption through operation of the sinking fund and the amount of such mandatory sinking fund payment shall be reduced accordingly.</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Redemption of Debt Securities for Sinking Fund</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Not less than 60 days prior to each sinking fund payment date for any series of Debt Securities (unless a shorter period shall be satisfactory to the Trustee), the Company will deliver to the Trustee an Officers’ Certificate specifying the amount of the next ensuing sinking fund payment for that series pursuant to the terms of that series, the portion thereof, if any, which is to be satisfied by payment of cash in the Currency or Currencies in which the Debt Securities of such series are denominated (except as provided pursuant to Section 3.01) and the portion thereof, if any, which is to be satisfied by delivering and crediting Debt Securities of such series pursuant to Section 14.02 and whether the Company intends to exercise its rights to make a permitted optional sinking fund payment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such series shall be paid entirely in cash and shall be sufficient to redeem the principal amount of the Debt Securities of such series subject to a mandatory sinking fund payment without the right to deliver or credit Debt Securities as provided in Section 14.02 and without the right to make any optional sinking fund payment with respect to such series at such time.</w:t>
      </w:r>
    </w:p>
    <w:p>
      <w:pPr>
        <w:spacing w:after="0" w:line="61" w:lineRule="exact"/>
        <w:rPr>
          <w:sz w:val="20"/>
          <w:szCs w:val="20"/>
          <w:color w:val="auto"/>
        </w:rPr>
      </w:pPr>
    </w:p>
    <w:p>
      <w:pPr>
        <w:ind w:right="60" w:firstLine="215"/>
        <w:spacing w:after="0" w:line="268" w:lineRule="auto"/>
        <w:rPr>
          <w:sz w:val="20"/>
          <w:szCs w:val="20"/>
          <w:color w:val="auto"/>
        </w:rPr>
      </w:pPr>
      <w:r>
        <w:rPr>
          <w:rFonts w:ascii="Arial" w:cs="Arial" w:eastAsia="Arial" w:hAnsi="Arial"/>
          <w:sz w:val="17"/>
          <w:szCs w:val="17"/>
          <w:color w:val="auto"/>
        </w:rPr>
        <w:t>Any sinking fund payment or payments (mandatory or optional) made in cash plus any unused balance of any preceding sinking fund payments made with respect to the Debt Securities of any particular series shall be applied by the Trustee (or by the Company if the Company is acting as its own Paying Agent) on the sinking fund payment date on which such payment is made (or, if such payment is made before a sinking fund payment date, on the sinking fund payment date immediately following the date of such payment) to the redemption of Debt Securities of such series at the Redemption Price specified in such Debt Securities with respect to the sinking fund. Any sinking fund moneys not so applied or allocated by the Trustee (or by the Company if the Company is acting as its own Paying Agent) to the redemption of Debt Securities shall be added to the next sinking fund payment received by the Trustee (or if the Company is acting as its own Paying Agent, segregated and held in trust as provided in Section 12.04) for such series and, together with such payment (or such amount so segregated) shall be applied in accordance with the provisions of this Section 14.03. Any and all sinking fund moneys with respect to the Debt Securities of any particular series held by the Trustee (or if the Company is acting as its own Paying Agent, segregated and held in trust as provided in Section 12.04) on the last sinking fund payment date with respect to Debt Securities of such series and not held for the payment or redemption of particular Debt Securities of such series shall be applied by the Trustee (or by the Company if the Company is acting as its own Paying Agent), together with other moneys, if necessary, to be deposited (or segregated) sufficient for the purpose, to the payment of the principal of the Debt Securities of such series at Maturity.</w:t>
      </w:r>
    </w:p>
    <w:p>
      <w:pPr>
        <w:spacing w:after="0" w:line="80" w:lineRule="exact"/>
        <w:rPr>
          <w:sz w:val="20"/>
          <w:szCs w:val="20"/>
          <w:color w:val="auto"/>
        </w:rPr>
      </w:pPr>
    </w:p>
    <w:p>
      <w:pPr>
        <w:ind w:right="280" w:firstLine="222"/>
        <w:spacing w:after="0" w:line="286" w:lineRule="auto"/>
        <w:rPr>
          <w:sz w:val="20"/>
          <w:szCs w:val="20"/>
          <w:color w:val="auto"/>
        </w:rPr>
      </w:pPr>
      <w:r>
        <w:rPr>
          <w:rFonts w:ascii="Arial" w:cs="Arial" w:eastAsia="Arial" w:hAnsi="Arial"/>
          <w:sz w:val="17"/>
          <w:szCs w:val="17"/>
          <w:color w:val="auto"/>
        </w:rPr>
        <w:t>The Trustee shall select or cause to be selected the Debt Securities to be redeemed upon such sinking fund payment date in the manner specified in Section 13.03 and the Company shall cause notice of the redemption thereof to be given in the manner provided in Section 13.04. Such notice having been duly given, the redemption of such Debt Securities shall be made upon the terms and in the manner stated in Section 13.06.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ind w:right="180" w:firstLine="225"/>
        <w:spacing w:after="0" w:line="279" w:lineRule="auto"/>
        <w:rPr>
          <w:sz w:val="20"/>
          <w:szCs w:val="20"/>
          <w:color w:val="auto"/>
        </w:rPr>
      </w:pPr>
      <w:r>
        <w:rPr>
          <w:rFonts w:ascii="Arial" w:cs="Arial" w:eastAsia="Arial" w:hAnsi="Arial"/>
          <w:sz w:val="17"/>
          <w:szCs w:val="17"/>
          <w:color w:val="auto"/>
        </w:rPr>
        <w:t>On or before each sinking fund payment date, the Company shall pay to the Trustee (or, if the Company is acting as its own Paying Agent, the Company shall segregate and hold in trust as provided in Section 12.04) in cash a sum, in the Currency or Currencies in which Debt Securities of such series are denominated (except as provided pursuant to Sections 3.01 or 3.10), equal to the principal and any interest accrued to the Redemption Date for Debt Securities or portions thereof to be redeemed on such sinking fund payment date pursuant to this Section 14.03.</w:t>
      </w:r>
    </w:p>
    <w:p>
      <w:pPr>
        <w:spacing w:after="0" w:line="63"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Neither the Trustee nor the Company shall redeem any Debt Securities of a series with sinking fund moneys or mail any notice of redemption of Debt Securities of such series by operation of the sinking fund for such series during the continuance of a default in payment of interest, if any, on any Debt Securities of such series or of any Event of Default (other than an Event of Default occurring as a consequence of this paragraph) with respect to the Debt Securities of such series, except that if the notice of redemption shall have been provided in accordance with the provisions hereof, the Trustee (or the Company, if the Company is then acting as its own Paying Agent) shall redeem such Debt Securities if cash sufficient for that purpose shall be deposited with the Trustee (or segregated by the Company) for that purpose in accordance with the terms of this Article. 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the Debt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case such default or Event of Default shall have been cured or waived as provided herein, such moneys shall thereafter be applied on or prior to the next sinking fund payment date for the Debt Securities of such series on which such moneys may be applied pursuant to the provisions of this Section 14.03.</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FIFTEEN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DEFEASANCE</w:t>
      </w:r>
    </w:p>
    <w:p>
      <w:pPr>
        <w:spacing w:after="0" w:line="117" w:lineRule="exact"/>
        <w:rPr>
          <w:sz w:val="20"/>
          <w:szCs w:val="20"/>
          <w:color w:val="auto"/>
        </w:rPr>
      </w:pPr>
    </w:p>
    <w:p>
      <w:pPr>
        <w:jc w:val="center"/>
        <w:ind w:right="4140"/>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w:t>
      </w:r>
    </w:p>
    <w:p>
      <w:pPr>
        <w:spacing w:after="0" w:line="117"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The Company may, at the option of its Board of Directors evidenced by a resolution set forth in an Officers’ Certificate, at any time, elect to have either Section 15.02 or 15.03 applied to all Outstanding Debt Securities of a particular series upon compliance with the conditions set forth below in this Article 15.</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Legal Defeasance and Discharge</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Upon the Company’s exercise under Section 15.01 of the option applicable to this Section 15.02 with respect to a series of Debt Securities, the Company shall, subject to the satisfaction of the conditions set forth in Section 15.04, be deemed to have been discharged from its obligations with respect to all Outstanding Debt Securities of such series (and all obligations of any Guarantors with respect to any Guarantees shall be discharged) on the date the conditions set forth below are satisfied (hereinafter, “Legal Defeasance”). For this purpose, Legal Defeasance means that the Company shall be deemed to have paid and discharged the entire indebtedness represented by the Outstanding Debt Securities of such series, which shall thereafter be deemed to be Outstanding only for the purposes of Section 15.05 and to have satisfied all its other obligations under such Outstanding Debt Securities of such series and any supplemental indenture relating thereto (and the Trustee, on demand of and at the expense of the Company, shall execute proper instruments acknowledging the same), except for the following provisions which shall survive until otherwise terminated or discharged hereunder: (a) the rights of Holders of Outstanding Debt Securities to receive payments in respect of the principal of, premium, if any, and interest on such Debt Securities when such payments are due from the trust referred to in Section 15.04, (b) the Company’s obligations with respect to the Debt Securities concerning issuing temporary Debt Securities, registration of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jc w:val="both"/>
        <w:spacing w:after="0" w:line="259" w:lineRule="auto"/>
        <w:rPr>
          <w:sz w:val="20"/>
          <w:szCs w:val="20"/>
          <w:color w:val="auto"/>
        </w:rPr>
      </w:pPr>
      <w:r>
        <w:rPr>
          <w:rFonts w:ascii="Arial" w:cs="Arial" w:eastAsia="Arial" w:hAnsi="Arial"/>
          <w:sz w:val="18"/>
          <w:szCs w:val="18"/>
          <w:color w:val="auto"/>
        </w:rPr>
        <w:t>Debt Securities, mutilated, destroyed, lost or stolen Debt Securities and the maintenance of an office or agency for payment and money for security payments held in trust; (c) the rights, powers, trusts, duties and immunities of the Trustee, and the Company’s obligations in connection therewith and (d) the provisions of this Article 15 with respect to Legal Defeasance. Subject to compliance with this Article 15, the Company may exercise its option under this Section 15.02 notwithstanding the prior exercise of its option under Section 15.03.</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color w:val="auto"/>
        </w:rPr>
        <w:t>Upon the Company’s exercise under Section 15.01 of the option applicable to this Section 15.03, the Company shall, subject to the satisfaction of the conditions set forth in Section 15.04, be released from its obligations under the covenants contained in Sections 10.01 (and if so specified pursuant to Section 3.01, any other obligation of the Company or restrictive covenant added for the benefit of such series pursuant to Section 3.01) with respect to the Outstanding Debt Securities of such series on and after the date the conditions set forth in Section 15.04 are satisfied (hereinafter, “Covenant Defeasance”), and such Debt Securities shall thereafter be deemed not Outstanding for the purposes of any direction, waiver, consent or declaration or act of Holders (and the consequences thereof) in connection with such covenants, but shall continue to be deemed “outstanding” for all other purposes hereunder (it being understood that such Debt Securities shall not be deemed outstanding for accounting purposes). For this purpose, Covenant Defeasance means that, with respect to the Outstanding Debt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(other than Sections 5.01(1), 5.01(2), 5.01(3), 5.01(5) and 5.01(6)) under Section 5.01 or the terms of any supplemental indenture, but, except as specified above, the remainder of this Indenture and such Debt Securities shall be unaffected thereby.</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shall be the conditions to the application of either Section 15.02 or 15.03 to the Outstanding Debt Securities of such series: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left="240" w:right="200" w:firstLine="221"/>
        <w:spacing w:after="0" w:line="259" w:lineRule="auto"/>
        <w:tabs>
          <w:tab w:leader="none" w:pos="7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cash in United States dollars, non-callable U.S. Government Obligations, or a combination thereof, in such amounts as will be sufficient, in the opinion of a nationally recognized firm of independent public accountants, to pay the principal amount at maturity of, premium and interest on the Outstanding Debt Securities of such series on the stated date for payment thereof or on the applicable redemption date, as the case may be;</w:t>
      </w:r>
    </w:p>
    <w:p>
      <w:pPr>
        <w:spacing w:after="0" w:line="78" w:lineRule="exact"/>
        <w:rPr>
          <w:rFonts w:ascii="Arial" w:cs="Arial" w:eastAsia="Arial" w:hAnsi="Arial"/>
          <w:sz w:val="18"/>
          <w:szCs w:val="18"/>
          <w:color w:val="auto"/>
        </w:rPr>
      </w:pPr>
    </w:p>
    <w:p>
      <w:pPr>
        <w:ind w:left="240" w:right="60" w:firstLine="221"/>
        <w:spacing w:after="0" w:line="255" w:lineRule="auto"/>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an election under Section 15.02, the Company shall have delivered to the Trustee an Opinion of Counsel in the United States of America reasonably acceptable to the Trustee confirming that (A) the Company has received from, or there has been published by, the Internal Revenue Service a ruling or (B) since the applicable issue date with respect to such Debt Securities, there has been a change in the applicable Federal income tax law, in either case to the effect that, and based thereon such Opinion of Counsel shall confirm that, the Holders of the Outstanding Debt Securities of such series will not recognize income, gain or loss for Federal income tax purposes as a result of such Legal Defeasance and will be subject to Federal income tax on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3" w:name="page124"/>
    <w:bookmarkEnd w:id="123"/>
    <w:p>
      <w:pPr>
        <w:ind w:left="240"/>
        <w:spacing w:after="0"/>
        <w:rPr>
          <w:sz w:val="20"/>
          <w:szCs w:val="20"/>
          <w:color w:val="auto"/>
        </w:rPr>
      </w:pPr>
      <w:r>
        <w:rPr>
          <w:rFonts w:ascii="Arial" w:cs="Arial" w:eastAsia="Arial" w:hAnsi="Arial"/>
          <w:sz w:val="18"/>
          <w:szCs w:val="18"/>
          <w:color w:val="auto"/>
        </w:rPr>
        <w:t>same amounts, in the same manner and at the same times as would have been the case if such Legal Defeasance had not occurred;</w:t>
      </w:r>
    </w:p>
    <w:p>
      <w:pPr>
        <w:spacing w:after="0" w:line="117" w:lineRule="exact"/>
        <w:rPr>
          <w:sz w:val="20"/>
          <w:szCs w:val="20"/>
          <w:color w:val="auto"/>
        </w:rPr>
      </w:pPr>
    </w:p>
    <w:p>
      <w:pPr>
        <w:ind w:left="240" w:firstLine="221"/>
        <w:spacing w:after="0" w:line="279" w:lineRule="auto"/>
        <w:tabs>
          <w:tab w:leader="none" w:pos="71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the case of an election under Section 15.03, the Company shall have delivered to the Trustee an Opinion of Counsel in the United States of America reasonably acceptable to the Trustee confirming that the Holders of the outstanding Debt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left="240" w:right="40" w:firstLine="221"/>
        <w:spacing w:after="0" w:line="259"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incurrence of Indebtedness all or a portion of the proceeds of which will be used to defease such Debt Securities pursuant to this Article 15 concurrently with such incurrence and the grant of a Lien to secure such Indebtedness) or insofar as Section 5.01(5) or 5.01(6) is concerned, at any time in the period ending on the 91st day after the date of deposit;</w:t>
      </w:r>
    </w:p>
    <w:p>
      <w:pPr>
        <w:spacing w:after="0" w:line="78" w:lineRule="exact"/>
        <w:rPr>
          <w:rFonts w:ascii="Arial" w:cs="Arial" w:eastAsia="Arial" w:hAnsi="Arial"/>
          <w:sz w:val="18"/>
          <w:szCs w:val="18"/>
          <w:color w:val="auto"/>
        </w:rPr>
      </w:pPr>
    </w:p>
    <w:p>
      <w:pPr>
        <w:ind w:left="240" w:right="60" w:firstLine="221"/>
        <w:spacing w:after="0" w:line="259" w:lineRule="auto"/>
        <w:tabs>
          <w:tab w:leader="none" w:pos="7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this Indenture or any supplemental indenture relating to such Debt Securities (other than a Default or an Event of Default resulting from the borrowing of funds to be applied to such deposit and the grant of any Lien securing such borrowing) or any other material agreement or instrument to which the Company or any of its Subsidiaries is a party or by which the Company or any of its Subsidiaries is bound;</w:t>
      </w:r>
    </w:p>
    <w:p>
      <w:pPr>
        <w:spacing w:after="0" w:line="78" w:lineRule="exact"/>
        <w:rPr>
          <w:rFonts w:ascii="Arial" w:cs="Arial" w:eastAsia="Arial" w:hAnsi="Arial"/>
          <w:sz w:val="18"/>
          <w:szCs w:val="18"/>
          <w:color w:val="auto"/>
        </w:rPr>
      </w:pPr>
    </w:p>
    <w:p>
      <w:pPr>
        <w:ind w:left="240" w:right="180" w:firstLine="221"/>
        <w:spacing w:after="0" w:line="264" w:lineRule="auto"/>
        <w:tabs>
          <w:tab w:leader="none" w:pos="69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(which may be subject to customary exceptions) to the effect that after the 91st day following the deposit, the trust funds will not be subject to the effect of the preference provisions of Section 547 of the United States Federal Bankruptcy Code;</w:t>
      </w:r>
    </w:p>
    <w:p>
      <w:pPr>
        <w:spacing w:after="0" w:line="73" w:lineRule="exact"/>
        <w:rPr>
          <w:rFonts w:ascii="Arial" w:cs="Arial" w:eastAsia="Arial" w:hAnsi="Arial"/>
          <w:sz w:val="18"/>
          <w:szCs w:val="18"/>
          <w:color w:val="auto"/>
        </w:rPr>
      </w:pPr>
    </w:p>
    <w:p>
      <w:pPr>
        <w:ind w:left="240" w:right="40" w:firstLine="221"/>
        <w:spacing w:after="0" w:line="264"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or others;</w:t>
      </w:r>
    </w:p>
    <w:p>
      <w:pPr>
        <w:spacing w:after="0" w:line="73" w:lineRule="exact"/>
        <w:rPr>
          <w:rFonts w:ascii="Arial" w:cs="Arial" w:eastAsia="Arial" w:hAnsi="Arial"/>
          <w:sz w:val="18"/>
          <w:szCs w:val="18"/>
          <w:color w:val="auto"/>
        </w:rPr>
      </w:pPr>
    </w:p>
    <w:p>
      <w:pPr>
        <w:ind w:left="240" w:right="480" w:firstLine="221"/>
        <w:spacing w:after="0" w:line="277"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or relating to the Legal Defeasance or the Covenant Defeasance have been complied with; and</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shall have paid or duly provided for payment of all amounts then due to the Trustee pursuant to Section 6.07.</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Notwithstanding the foregoing, the Opinion of Counsel required by clause (b) above with respect to a Legal Defeasance need not be delivered if all Debt Securities of such series not therefor delivered to the Trustee for cancellation (A) have become due and payable, or (B) will become due and payable on the maturity date within one year under arrangements satisfactory to the Trustee for giving of notice of redemption by the Trustee in the name, and at the expense, of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ind w:left="92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w:t>
      </w:r>
    </w:p>
    <w:p>
      <w:pPr>
        <w:spacing w:after="0" w:line="117"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All cash and non-callable U.S. Government Obligations (including the proceeds thereof) deposited with the Trustee (or other qualifying trustee, collectively for purposes of this Section 15.05, the “Trustee”) pursuant to Section 15.04 in respect of the Outstanding Debt Securities of such series shall be held in trust and applied by the Trustee, in accordance with the provisions of such Debt Securities and this Indenture, to the payment, either directly or through any Paying Agent (including the Company acting as Paying Agent) as the Trustee may determine, to the Holders of such Debt Securities of all sums due and to become due thereon in respect of principal, premium, if any, and interest, but such cash and securities need not be segregated from other funds except to the extent required by law.</w:t>
      </w:r>
    </w:p>
    <w:p>
      <w:pPr>
        <w:spacing w:after="0" w:line="85" w:lineRule="exact"/>
        <w:rPr>
          <w:sz w:val="20"/>
          <w:szCs w:val="20"/>
          <w:color w:val="auto"/>
        </w:rPr>
      </w:pPr>
    </w:p>
    <w:p>
      <w:pPr>
        <w:ind w:right="340" w:firstLine="222"/>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cash or non-callable U.S. Government Obligations deposited pursuant to Section 15.04 or the principal and interest received in respect thereof other than any such tax, fee or other charge which by law is for the account of the Holders of the Outstanding Debt Securities of such series.</w:t>
      </w:r>
    </w:p>
    <w:p>
      <w:pPr>
        <w:spacing w:after="0" w:line="57" w:lineRule="exact"/>
        <w:rPr>
          <w:sz w:val="20"/>
          <w:szCs w:val="20"/>
          <w:color w:val="auto"/>
        </w:rPr>
      </w:pPr>
    </w:p>
    <w:p>
      <w:pPr>
        <w:ind w:right="160" w:firstLine="215"/>
        <w:spacing w:after="0" w:line="257" w:lineRule="auto"/>
        <w:rPr>
          <w:sz w:val="20"/>
          <w:szCs w:val="20"/>
          <w:color w:val="auto"/>
        </w:rPr>
      </w:pPr>
      <w:r>
        <w:rPr>
          <w:rFonts w:ascii="Arial" w:cs="Arial" w:eastAsia="Arial" w:hAnsi="Arial"/>
          <w:sz w:val="18"/>
          <w:szCs w:val="18"/>
          <w:color w:val="auto"/>
        </w:rPr>
        <w:t>Anything in this Article 15 to the contrary notwithstanding, the Trustee shall deliver or pay to the Company from time to time upon the request of the Company any money or non-callable U.S. Government Obligations held by it as provided in Section 15.04 which, in the opinion of a nationally recognized firm of independent public accountants expressed in a written certification thereof delivered to the Trustee (which may be the opinion delivered under Section 15.04(a)), are in excess of the amount thereof that would then be required to be deposited to effect an equivalent Legal Defeasance or Covenant Defeasance.</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 xml:space="preserve">Any cash or non-callable U.S. Government Obligations deposited with the Trustee or any Paying Agent, or then held by the Company, in trust for the payment of the principal of, premium, if any, or interest on, any Debt Security and remaining unclaimed for two years after such principal, and premium, if any, or interest has become due and payable shall be paid to the Company on its request or (if then held by the Company) shall be discharged from such trust; and the Holder shall thereafter, as an unsecured creditor, look only to the Company for payment thereof, and all liability of the Trustee or such Paying Agent with respect to such cash and securities, and all liability of the Company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The New York Times and The Wall Street Journal (national edition), notice that such cash and securities remains unclaimed and that, after a date specified therein, which shall not be less than 30 days from the date of such notification or publication, any unclaimed balance of such cash and securities then remaining will be repaid to the Company.</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Reinstatement</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If the Trustee or Paying Agent is unable to apply any cash or non-callable U.S. Government Obligations in accordance with Section 15.02 or 15.03, as the case may be, by reason of any order or judgment of any court or governmental authority enjoining, restraining or otherwise prohibiting such application, then the Company’s obligations under this Indenture and the applicable series of Debt Securities shall be revived and reinstated as though no deposit had occurred pursuant to Section 15.02 or 15.03 until such time as the Trustee or Paying Agent is permitted to apply all such cash and securities in accordance with Section 15.02 or 15.03,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Company makes any payment of principal of, premium, if any, or interest on any Debt Security following the reinstatement of</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5" w:name="page126"/>
    <w:bookmarkEnd w:id="125"/>
    <w:p>
      <w:pPr>
        <w:ind w:right="440"/>
        <w:spacing w:after="0" w:line="277" w:lineRule="auto"/>
        <w:rPr>
          <w:sz w:val="20"/>
          <w:szCs w:val="20"/>
          <w:color w:val="auto"/>
        </w:rPr>
      </w:pPr>
      <w:r>
        <w:rPr>
          <w:rFonts w:ascii="Arial" w:cs="Arial" w:eastAsia="Arial" w:hAnsi="Arial"/>
          <w:sz w:val="18"/>
          <w:szCs w:val="18"/>
          <w:color w:val="auto"/>
        </w:rPr>
        <w:t>its obligations, the Company shall be subrogated to the rights of the Holders to receive such payment from the cash and securities held by the Trustee or Paying Agent.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Trustee’s rights under this Article 15 shall survive termination of this Indenture or the resignation of the Trustee.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SIXTEEN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Applicability; Conversion Privilege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otherwise specified pursuant to Section 3.01 for Debt Securities of any series, the provisions of this Article Sixteen shall be applicable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Securities that are convertible into Common Shares. If so provided pursuant to Section 3.01 with respect to the Debt Securities of any series, the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Debt Security of such series shall have the right, at such Holder’s option, to convert, in accordance with the terms of such series of Debt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Article Sixteen, all or any part (in a denomination of, unless otherwise specified pursuant to Section 3.01 with respect to Debt Securities of such series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$1,000 in principal amount or any integral multiple thereof or (2) in the case of Debt Securities denominated in a Foreign Currency, in a denomination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in principal amount or any integral multiple thereof based on the Market Exchange Rate) of such Debt Security into shares of Common Shares or,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any Debt Securities called for redemption, at any time prior to the time and date fixed for such redemption (unless the Company shall default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of the Redemption Price, in which case such right shall not terminate at such time and date).</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Conversion Procedure; Conversion Price; Fractional Shares</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286" w:lineRule="auto"/>
        <w:tabs>
          <w:tab w:leader="none" w:pos="47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Debt Security to which this Article is applicable shall be convertible at the office of the Conversion Agent, and at such other place or places, if any, specified in pursuant to Section 3.01 with respect to the Debt Securities of such series, into fully paid and nonassessable shares (calculated to the nearest 1/100th of a share) of Common Shares. The Debt Securities will be converted into shares of Common Shares at the Conversion Price therefor. No payment or adjustment shall be made in respect of dividends on the Common Shares or accrued interest on a converted Debt Security except as described in</w:t>
      </w:r>
    </w:p>
    <w:p>
      <w:pPr>
        <w:spacing w:after="0" w:line="1" w:lineRule="exact"/>
        <w:rPr>
          <w:rFonts w:ascii="Arial" w:cs="Arial" w:eastAsia="Arial" w:hAnsi="Arial"/>
          <w:sz w:val="16"/>
          <w:szCs w:val="16"/>
          <w:color w:val="auto"/>
        </w:rPr>
      </w:pPr>
    </w:p>
    <w:p>
      <w:pPr>
        <w:jc w:val="both"/>
        <w:ind w:right="160"/>
        <w:spacing w:after="0" w:line="302" w:lineRule="auto"/>
        <w:rPr>
          <w:rFonts w:ascii="Arial" w:cs="Arial" w:eastAsia="Arial" w:hAnsi="Arial"/>
          <w:sz w:val="16"/>
          <w:szCs w:val="16"/>
          <w:color w:val="auto"/>
        </w:rPr>
      </w:pPr>
      <w:r>
        <w:rPr>
          <w:rFonts w:ascii="Arial" w:cs="Arial" w:eastAsia="Arial" w:hAnsi="Arial"/>
          <w:sz w:val="16"/>
          <w:szCs w:val="16"/>
          <w:color w:val="auto"/>
        </w:rPr>
        <w:t>Section 16.09. The Company may, but shall not be required, in connection with any conversion of Debt Securities, to issue a fraction of a share of Common Shares and, if the Company shall determine not to issue any such fraction, the Company shall, subject to Section 16.03(4), make a cash payment (calculated to the nearest cent) equal to such fraction multiplied by the Closing Price of the Common Shares on the last Trading Day prior to the date of conversion.</w:t>
      </w:r>
    </w:p>
    <w:p>
      <w:pPr>
        <w:spacing w:after="0" w:line="47" w:lineRule="exact"/>
        <w:rPr>
          <w:rFonts w:ascii="Arial" w:cs="Arial" w:eastAsia="Arial" w:hAnsi="Arial"/>
          <w:sz w:val="16"/>
          <w:szCs w:val="16"/>
          <w:color w:val="auto"/>
        </w:rPr>
      </w:pPr>
    </w:p>
    <w:p>
      <w:pPr>
        <w:ind w:right="160" w:firstLine="233"/>
        <w:spacing w:after="0" w:line="291" w:lineRule="auto"/>
        <w:tabs>
          <w:tab w:leader="none" w:pos="4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Before any Holder of a Debt Security shall be entitled to convert the same into Common Shares, such Holder shall surrender such Debt Security duly endorsed to the Company or in blank, at the office of the Conversion Agent or at such other place or places, if any, specified pursuant to Section 3.01, and shall give written notice to the Company at said office or place that he elects to convert the same and shall state in writing therein the principal amount of Debt Securities to be converted and the name or names (with addresses) in which he wishes the certificate or certificates for Common Shares to be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Debt Security or portion thereof shall be accepted for conversion unless the principal amount of such Debt Security or such portion, when added to the principal amount of all other Debt Securities or portions thereof then being surrendered by the Holder thereof for conversion, exceeds the then effective Conversion Price with respect thereto. If more than one Debt Security shall be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ind w:right="20"/>
        <w:spacing w:after="0" w:line="286" w:lineRule="auto"/>
        <w:rPr>
          <w:sz w:val="20"/>
          <w:szCs w:val="20"/>
          <w:color w:val="auto"/>
        </w:rPr>
      </w:pPr>
      <w:r>
        <w:rPr>
          <w:rFonts w:ascii="Arial" w:cs="Arial" w:eastAsia="Arial" w:hAnsi="Arial"/>
          <w:sz w:val="16"/>
          <w:szCs w:val="16"/>
          <w:color w:val="auto"/>
        </w:rPr>
        <w:t>surrendered for conversion at one time by the same Holder, the number of full shares of Common Shares which shall be deliverable upon conversion shall be computed on the basis of the aggregate principal amount of the Debt Securities (or specified portions thereof to the extent permitted thereby) so surrendered. Subject to the next succeeding sentence, the Company will, as soon as practicable thereafter, issue and deliver at said office or place to such Holder of a Debt Security, or to his nominee or nominees, certificates for the number of full shares of Common Shares to which he shall be entitled as aforesaid, together, subject to the last sentence of paragraph (a) above, with cash in lieu of any fraction of a share to which he would otherwise be entitled. The Company shall not be required to deliver certificates for shares of Common Shares while the share transfer books for such shares or the Register are duly closed for any purpose, but certificates for shares of Common Shares shall be issued and delivered as soon as practicable after the opening of such books or Register. A Debt Security shall be deemed to have been converted as of the close of business on the date of the surrender of such Debt Security for conversion as provided above, and the Person or Persons entitled to receive the Common Shares issuable upon such conversion shall be treated for all purposes as the record Holder or Holders of such Common Shares as of the close of business on such date. In case any Debt Security shall be surrendered for partial conversion, the Company shall execute and the Trustee shall authenticate and deliver to or upon the written order of the Holder of the Debt Securities so surrendered, without charge to such Holder (subject to the provisions of Section 16.08), a new Debt Security or Securities in authorized denominations in an aggregate principal amount equal to the unconverted portion of the surrendered Debt Security.</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Adjustment of Conversion Price for Common Shares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Conversion Price with respect to any Debt Security which is convertible into Common Shares shall be adjusted from time to time as follows:</w:t>
      </w:r>
    </w:p>
    <w:p>
      <w:pPr>
        <w:spacing w:after="0" w:line="129" w:lineRule="exact"/>
        <w:rPr>
          <w:sz w:val="20"/>
          <w:szCs w:val="20"/>
          <w:color w:val="auto"/>
        </w:rPr>
      </w:pPr>
    </w:p>
    <w:p>
      <w:pPr>
        <w:ind w:left="240" w:firstLine="221"/>
        <w:spacing w:after="0" w:line="291" w:lineRule="auto"/>
        <w:tabs>
          <w:tab w:leader="none" w:pos="7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such Debt Securities are outstanding, (i) pay a dividend in shares of its Common Shares to holders of Common Shares, (ii) combine its outstanding shares of Common Shares into a smaller number of shares of Common Shares,</w:t>
      </w:r>
    </w:p>
    <w:p>
      <w:pPr>
        <w:ind w:left="240" w:right="60" w:hanging="4"/>
        <w:spacing w:after="0" w:line="267" w:lineRule="auto"/>
        <w:tabs>
          <w:tab w:leader="none" w:pos="5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subdivide its outstanding shares of Common Shares into a greater number of shares of Common Shares or (iv) make a distribution in shares of Common Shares to holders of Common Shares, then the Conversion Price in effect immediately before such action shall be adjusted so that the Holders of such Debt Securities, upon conversion thereof into Common Shares immediately following such event, shall be entitled to receive the kind and amount of shares of capital stock of the Company which they would have owned or been entitled to receive upon or by reason of such event if such Debt Securities had been converted immediately before the record dated (or, if no record date, the effective date) for such event. An adjustment made pursuant to this Section 16.03(1) shall become effective retroactively immediately after the record date in the case of a dividend or distribution and shall become effective retroactively immediately after the effective date in the case of a subdivision or combination. For the purposes of this Section 16.03(1), each Holder of Debt Securities shall be deemed to have failed to exercise any right to elect the kind or amount of securities receivable upon the payment of any such dividend, subdivision, combination or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kind or amount of securities receivable upon such dividend, subdivision, combination or distribution is not the same for each nonelecting share, then the kind and amount of securities or other property receivable upon such dividend, subdivision, combination or distribution for each nonelecting share shall be deemed to be the kind and amount so receivable per share by a plurality of the nonelecting shares).</w:t>
      </w:r>
    </w:p>
    <w:p>
      <w:pPr>
        <w:spacing w:after="0" w:line="77" w:lineRule="exact"/>
        <w:rPr>
          <w:rFonts w:ascii="Arial" w:cs="Arial" w:eastAsia="Arial" w:hAnsi="Arial"/>
          <w:sz w:val="17"/>
          <w:szCs w:val="17"/>
          <w:color w:val="auto"/>
        </w:rPr>
      </w:pPr>
    </w:p>
    <w:p>
      <w:pPr>
        <w:ind w:left="240" w:right="40" w:firstLine="221"/>
        <w:spacing w:after="0" w:line="277" w:lineRule="auto"/>
        <w:tabs>
          <w:tab w:leader="none" w:pos="7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case the Company shall, at any time or from time to time while any of such Debt Securities are outstanding, issue rights or warrants to all holders of shares of its Common Shares entitling them (for a period expiring within 45 days after the record date for such issuance)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spacing w:after="0" w:line="286" w:lineRule="auto"/>
        <w:rPr>
          <w:sz w:val="20"/>
          <w:szCs w:val="20"/>
          <w:color w:val="auto"/>
        </w:rPr>
      </w:pPr>
      <w:r>
        <w:rPr>
          <w:rFonts w:ascii="Arial" w:cs="Arial" w:eastAsia="Arial" w:hAnsi="Arial"/>
          <w:sz w:val="16"/>
          <w:szCs w:val="16"/>
          <w:color w:val="auto"/>
        </w:rPr>
        <w:t>to subscribe for or purchase shares of Common Shares (or securities convertible into shares of Common Shares) at a price per share less than the Current Market Price of the Common Shares at such record date (treating the price per share of the securities convertible into Common Shares as equal to (x) the sum of (i) the price for a unit of the security convertible into Common Shares and (ii) any additional consideration initially payable upon the conversion of such security into Common Shares divided by (y) the number of shares of Common Shares initially underlying such convertible security), the Conversion Price with respect to such Debt Securities shall be adjusted so that it shall equal the price determined by dividing the Conversion Price in effect immediately prior to the date of issuance of such rights or warrants by a fraction, the numerator of which shall be the number of shares of Common Shares outstanding on the date of issuance of such rights or warrants plus the number of additional shares of Common Shares offered for subscription or purchase (or into which the convertible securities so offered are initially convertible), and the denominator of which shall be the number of shares of Common Shares outstanding on the date of issuance of such rights or warrants plus the number of shares of additional shares of Common Shares which the aggregate offering price of the total number of shares of securities so offered for subscription or purchase (or the aggregate purchase price of the convertible securities so offered plus the aggregate amount of any additional consideration initially payable upon conversion of such securities into Common Shares) would purchase at such Current Market Price of the Common Shares. Such adjustment shall become effective retroactively immediately after the record date for the determination of shareholders entitled to receive such rights or warrants.</w:t>
      </w:r>
    </w:p>
    <w:p>
      <w:pPr>
        <w:spacing w:after="0" w:line="67" w:lineRule="exact"/>
        <w:rPr>
          <w:sz w:val="20"/>
          <w:szCs w:val="20"/>
          <w:color w:val="auto"/>
        </w:rPr>
      </w:pPr>
    </w:p>
    <w:p>
      <w:pPr>
        <w:ind w:right="40" w:firstLine="221"/>
        <w:spacing w:after="0" w:line="285" w:lineRule="auto"/>
        <w:tabs>
          <w:tab w:leader="none" w:pos="4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the case the Company shall, at any time or from time to time while any of such Debt Securities are outstanding, distribute to all holders of shares of its Common Shares (including any such distribution made in connection with a consolidation or merger in which the Company is the continuing corporation and the Common Shares are not changed or exchanged) cash, evidences of its indebtedness, securities or assets (excluding (i) regular periodic cash dividends in amounts, if any, determined from time to time by the Board of Directors, (ii) dividends payable in shares of Common Shares for which adjustment is made under Section 16.03(1) or (iii) rights or warrants to subscribe for or purchase securities of the Company (excluding those referred to in Section 16.03(2))), then in each such case the Conversion Price with respect to such Debt Securities determined by dividing the Conversion Price in effect immediately prior to the date of such distribution by a fraction, the numerator of which shall be the Current Market Price of the Common Shares on the record date referred to below, and the denominator of which shall be such Current Market Price of the Common Shares less the then fair market value (as determined by the Board of Directors of the Company, whose determination shall be conclusive) of the portion of the cash or assets or evidences of indebtedness or securities so distributed or of such subscription rights or warrants applicable to one share of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denominator shall never be less than 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adjustment shall be made with respect to any distribution of rights to purchase securities of the Company if a Holder of Debt Securities would otherwise be entitled to receive such rights upon conversion at any time of such Debt Securities into Common Shares unless such rights are subsequently redeemed by the Company, in which case such redemption shall be treated for purposes of this Section 16.03 as a dividend on the Common Shares. Such adjustment shall become effective retroactively immediately after the record date for the determination of shareholders entitled to receive such distribution; and in the event that such distribution is not so made, the Conversion Price shall again be adjusted to the Conversion Price which would then be in effect if such record date had not been fixed.</w:t>
      </w:r>
    </w:p>
    <w:p>
      <w:pPr>
        <w:spacing w:after="0" w:line="69" w:lineRule="exact"/>
        <w:rPr>
          <w:rFonts w:ascii="Arial" w:cs="Arial" w:eastAsia="Arial" w:hAnsi="Arial"/>
          <w:sz w:val="16"/>
          <w:szCs w:val="16"/>
          <w:color w:val="auto"/>
        </w:rPr>
      </w:pPr>
    </w:p>
    <w:p>
      <w:pPr>
        <w:ind w:right="120" w:firstLine="221"/>
        <w:spacing w:after="0" w:line="308" w:lineRule="auto"/>
        <w:tabs>
          <w:tab w:leader="none" w:pos="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Company shall be entitled to make such additional adjustments in the Conversion Price, in addition to those required by subsections 16.03(1), 16.03(2), and 16.03(3), as shall be necessary in order that any dividend or distribution of Common Shares, any subdivision,</w:t>
      </w:r>
    </w:p>
    <w:p>
      <w:pPr>
        <w:spacing w:after="0" w:line="1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28" w:name="page129"/>
    <w:bookmarkEnd w:id="128"/>
    <w:p>
      <w:pPr>
        <w:ind w:left="240" w:right="180"/>
        <w:spacing w:after="0" w:line="277" w:lineRule="auto"/>
        <w:rPr>
          <w:sz w:val="20"/>
          <w:szCs w:val="20"/>
          <w:color w:val="auto"/>
        </w:rPr>
      </w:pPr>
      <w:r>
        <w:rPr>
          <w:rFonts w:ascii="Arial" w:cs="Arial" w:eastAsia="Arial" w:hAnsi="Arial"/>
          <w:sz w:val="18"/>
          <w:szCs w:val="18"/>
          <w:color w:val="auto"/>
        </w:rPr>
        <w:t>reclassification or combination of shares of Common Shares or any issuance of rights or warrants referred to above shall not be taxable to the holders of Common Shares for United States Federal income tax purposes.</w:t>
      </w:r>
    </w:p>
    <w:p>
      <w:pPr>
        <w:spacing w:after="0" w:line="62" w:lineRule="exact"/>
        <w:rPr>
          <w:sz w:val="20"/>
          <w:szCs w:val="20"/>
          <w:color w:val="auto"/>
        </w:rPr>
      </w:pPr>
    </w:p>
    <w:p>
      <w:pPr>
        <w:ind w:left="240" w:right="140" w:firstLine="221"/>
        <w:spacing w:after="0" w:line="293" w:lineRule="auto"/>
        <w:tabs>
          <w:tab w:leader="none" w:pos="7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In any case in which this Section 16.03 shall require that any adjustment be made effective as of or retroactively immediately following a record date, the Company may elect to defer (but only for five (5) Trading Days following the filing of the statement referred to in Section 16.05) issuing to the Holder of any Debt Securities converted after such record date the shares of Common Shares and other capital stock of the Company issuable upon such conversion over and above the shares of Common Shares and other capital stock of the Company issuable upon such conversion on the basis of the Conversion Price prior to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deliver to such Holder a due bill or other appropriate instrument evidencing such Holder’s right to receive such additional shares upon the occurrence of the event requiring such adjustment.</w:t>
      </w:r>
    </w:p>
    <w:p>
      <w:pPr>
        <w:spacing w:after="0" w:line="56" w:lineRule="exact"/>
        <w:rPr>
          <w:rFonts w:ascii="Arial" w:cs="Arial" w:eastAsia="Arial" w:hAnsi="Arial"/>
          <w:sz w:val="16"/>
          <w:szCs w:val="16"/>
          <w:color w:val="auto"/>
        </w:rPr>
      </w:pPr>
    </w:p>
    <w:p>
      <w:pPr>
        <w:ind w:left="240" w:right="20" w:firstLine="221"/>
        <w:spacing w:after="0" w:line="273" w:lineRule="auto"/>
        <w:tabs>
          <w:tab w:leader="none" w:pos="7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calculations under this Section 16.03 shall be made to the nearest cent or one-hundredth of a share of security, with one-half cent and 0.005 of a share, respectively, being rounded upward. Notwithstanding any other provision of this Section 16.03, the Company shall not be required to make any adjustment of the Conversion Price unless such adjustment would require an increase or decrease of at least 1% of such price. Any lesser adjustment shall be carried forward and shall be made at the time of and together with the next subsequent adjustment which, together with any adjustment or adjustments so carried forward, shall amount to an increase or decrease of at least 1% in such price. Any adjustments under this Section 16.03 shall be made successively whenever an event requiring such an adjustment occurs.</w:t>
      </w:r>
    </w:p>
    <w:p>
      <w:pPr>
        <w:spacing w:after="0" w:line="70" w:lineRule="exact"/>
        <w:rPr>
          <w:rFonts w:ascii="Arial" w:cs="Arial" w:eastAsia="Arial" w:hAnsi="Arial"/>
          <w:sz w:val="17"/>
          <w:szCs w:val="17"/>
          <w:color w:val="auto"/>
        </w:rPr>
      </w:pPr>
    </w:p>
    <w:p>
      <w:pPr>
        <w:ind w:left="240" w:firstLine="221"/>
        <w:spacing w:after="0" w:line="255" w:lineRule="auto"/>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that at any time, as a result of an adjustment made pursuant to this Section 16.03, the Holder of any Debt Security thereafter surrendered for conversion shall become entitled to receive any shares of shares of the Company other than shares of Common Shares into which the Debt Securities originally were convertible, the Conversion Price of such other shares so receivable upon conversion of any such Debt Security shall be subject to adjustment from time to time in a manner and on terms as nearly equivalent as practicable to the provisions with respect to Common Shares contained in subparagraphs (1) through (6) of this Section 16.03, and the provisions of Sections 16.01, 16.02 and 16.04 through 16.09 with respect to the Common Shares shall apply on like or similar terms to any such other shares and the determination of the Board of Directors as to any such adjustment shall be conclusive.</w:t>
      </w:r>
    </w:p>
    <w:p>
      <w:pPr>
        <w:spacing w:after="0" w:line="81" w:lineRule="exact"/>
        <w:rPr>
          <w:rFonts w:ascii="Arial" w:cs="Arial" w:eastAsia="Arial" w:hAnsi="Arial"/>
          <w:sz w:val="18"/>
          <w:szCs w:val="18"/>
          <w:color w:val="auto"/>
        </w:rPr>
      </w:pPr>
    </w:p>
    <w:p>
      <w:pPr>
        <w:ind w:left="240" w:right="20" w:firstLine="221"/>
        <w:spacing w:after="0" w:line="264" w:lineRule="auto"/>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adjustment shall be made pursuant to this Section 16.03: (i) if the effect thereof would be to reduce the Conversion Price below the par value (if any) of the Common Shares or (ii) subject to 16.03(5) hereof, with respect to any Debt Security that is converted prior to the time such adjustment otherwise would be made.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Consolidation or Merger of the Company</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case of either (a) any consolidation or merger to which the Company is a party, other than a merger or consolidation in which the Company is the surviving or continuing corporation and which does not result in a reclassification of, or change (other than a change in par value or from par value to no par value or from no par value to par value, as a result of a subdivision or combination) in, outstanding shares of Common Shares or (b) any sale or conveyance of all or substantially all of the property and assets of the Company to another Person, then each Debt Security then outstanding shall be convertible from and after such merger, consolidation, sale or conveyance of property and assets into the kind and amount of shares of stock or other securities and property (including cash) receivable upon such consolidation,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9" w:name="page130"/>
    <w:bookmarkEnd w:id="129"/>
    <w:p>
      <w:pPr>
        <w:spacing w:after="0" w:line="270" w:lineRule="auto"/>
        <w:rPr>
          <w:sz w:val="20"/>
          <w:szCs w:val="20"/>
          <w:color w:val="auto"/>
        </w:rPr>
      </w:pPr>
      <w:r>
        <w:rPr>
          <w:rFonts w:ascii="Arial" w:cs="Arial" w:eastAsia="Arial" w:hAnsi="Arial"/>
          <w:sz w:val="17"/>
          <w:szCs w:val="17"/>
          <w:color w:val="auto"/>
        </w:rPr>
        <w:t>merger, sale or conveyance by a holder of the number of shares of Common Shares into which such Debt Securities would have been converted immediately prior to such consolidation, merger, sale or conveyance, subject to adjustments which shall be as nearly equivalent as may be practicable to the adjustments provided for in this Article Sixteen (and assuming such holder of Common Shares failed to exercise his rights of election, if any, as to the kind or amount of securities, cash or other property (including cash) receivable upon such consolidation, merger, sale or conveyance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kind or amount of securities, cash or other property (including cash) receivable upon such consolidation, merger, sale or conveyance is not the same for each nonelecting share, then the kind and amount of securities, cash or other property (including cash) receivable upon such consolidation, merger, sale or conveyance for each nonelecting share shall be deemed to be the kind and amount so receivable per share by a plurality of the nonelecting shares or securities)). The Company shall not enter into any of the transactions referred to in clause (a) or (b) of the preceding sentence unless effective provision shall be made so as to give effect to the provisions set forth in this Section 16.04. The provisions of this Section 16.04 shall apply similarly to successive consolidations, mergers, sales or conveyances.</w:t>
      </w:r>
    </w:p>
    <w:p>
      <w:pPr>
        <w:spacing w:after="0" w:line="7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Notice of Adjustment</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Whenever an adjustment in the Conversion Price with respect to a series of Debt Securities is required:</w:t>
      </w:r>
    </w:p>
    <w:p>
      <w:pPr>
        <w:spacing w:after="0" w:line="117" w:lineRule="exact"/>
        <w:rPr>
          <w:sz w:val="20"/>
          <w:szCs w:val="20"/>
          <w:color w:val="auto"/>
        </w:rPr>
      </w:pPr>
    </w:p>
    <w:p>
      <w:pPr>
        <w:ind w:left="240" w:right="320" w:firstLine="221"/>
        <w:spacing w:after="0" w:line="312" w:lineRule="auto"/>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Company shall forthwith place on file with the Trustee and any Conversion Agent for such Securities a certificate of the Treasurer of the Company, stating the adjusted Conversion Price determined as provided herein and setting forth in reasonable detail such facts as shall be necessary to show the reason for and the manner of computing such adjustment, such certificate to be conclusive evidence that the adjustment is correct; and</w:t>
      </w:r>
    </w:p>
    <w:p>
      <w:pPr>
        <w:spacing w:after="0" w:line="38" w:lineRule="exact"/>
        <w:rPr>
          <w:rFonts w:ascii="Arial" w:cs="Arial" w:eastAsia="Arial" w:hAnsi="Arial"/>
          <w:sz w:val="16"/>
          <w:szCs w:val="16"/>
          <w:color w:val="auto"/>
        </w:rPr>
      </w:pPr>
    </w:p>
    <w:p>
      <w:pPr>
        <w:ind w:left="240" w:right="20" w:firstLine="221"/>
        <w:spacing w:after="0" w:line="264" w:lineRule="auto"/>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given by the Company, or at the Company’s request, by the Trustee in the name and at the expense of the Company, in the manner provided in Section 1.05. Any notice so given shall be conclusively presumed to have been duly given, whether or not the Holder receives such notice.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 in Certain Events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case:</w:t>
      </w:r>
    </w:p>
    <w:p>
      <w:pPr>
        <w:spacing w:after="0" w:line="117" w:lineRule="exact"/>
        <w:rPr>
          <w:sz w:val="20"/>
          <w:szCs w:val="20"/>
          <w:color w:val="auto"/>
        </w:rPr>
      </w:pPr>
    </w:p>
    <w:p>
      <w:pPr>
        <w:ind w:left="240" w:right="60" w:firstLine="221"/>
        <w:spacing w:after="0" w:line="259" w:lineRule="auto"/>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 a consolidation or merger to which the Company is a party and for which approval of any shareholders of the Company is required, or of the sale or conveyance to another Person or entity or group of Persons or entities acting in concert as a partnership, limited partnership, syndicate or other group (within the meaning of Rule 13d-3 under the Securities Exchange Act of 1934, as amended) of all or substantially all of the property and assets of the Company; or</w:t>
      </w:r>
    </w:p>
    <w:p>
      <w:pPr>
        <w:spacing w:after="0" w:line="78" w:lineRule="exact"/>
        <w:rPr>
          <w:rFonts w:ascii="Arial" w:cs="Arial" w:eastAsia="Arial" w:hAnsi="Arial"/>
          <w:sz w:val="18"/>
          <w:szCs w:val="18"/>
          <w:color w:val="auto"/>
        </w:rPr>
      </w:pPr>
    </w:p>
    <w:p>
      <w:pPr>
        <w:ind w:left="720" w:hanging="259"/>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 any action triggering an adjustment of the Conversion Price pursuant to this Article Sixteen;</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then, in each case, the Company shall cause to be filed with the Trustee and the Conversion Agent for the applicable Debt Securities, and shall cause to be given, to the Holders of record of applicable Debt Securities in the manner provided in Section 1.05, at least fifteen (15) days prior to the applicable date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0" w:name="page131"/>
    <w:bookmarkEnd w:id="130"/>
    <w:p>
      <w:pPr>
        <w:ind w:right="20"/>
        <w:spacing w:after="0" w:line="293" w:lineRule="auto"/>
        <w:rPr>
          <w:sz w:val="20"/>
          <w:szCs w:val="20"/>
          <w:color w:val="auto"/>
        </w:rPr>
      </w:pPr>
      <w:r>
        <w:rPr>
          <w:rFonts w:ascii="Arial" w:cs="Arial" w:eastAsia="Arial" w:hAnsi="Arial"/>
          <w:sz w:val="16"/>
          <w:szCs w:val="16"/>
          <w:color w:val="auto"/>
        </w:rPr>
        <w:t>hereinafter specified, a notice stating (x) the date on which a record is to be taken for the purpose of any distribution or grant of rights or warrants triggering an adjustment to the Conversion Price pursuant to this Article Sixteen, or, if a record is not to be taken, the date as of which the holders of record or Common Shares entitled to such distribution, rights or warrants are to be determined, or (y) the date on which any reclassification, consolidation, merger, sale, conveyance, dissolution, liquidation or winding up triggering an adjustment to the Conversion Price pursuant to this Article Sixteen is expected to become effective, and the date as of which it is expected that holders of Common Shares of record shall be entitled to exchange their Common Shares for securities or other property deliverable upon such reclassification, consolidation, merger, sale, conveyance, dissolution, liquidation or winding up.</w:t>
      </w:r>
    </w:p>
    <w:p>
      <w:pPr>
        <w:spacing w:after="0" w:line="5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Failure to give such notice or any defect therein shall not affect the legality or validity of the proceedings described in clause (1), (2), or (3) of this Section 16.06.</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Company to Reserve Shares; Registration; Listing</w:t>
      </w:r>
      <w:r>
        <w:rPr>
          <w:rFonts w:ascii="Arial" w:cs="Arial" w:eastAsia="Arial" w:hAnsi="Arial"/>
          <w:sz w:val="18"/>
          <w:szCs w:val="18"/>
          <w:color w:val="auto"/>
        </w:rPr>
        <w:t>.</w:t>
      </w:r>
    </w:p>
    <w:p>
      <w:pPr>
        <w:spacing w:after="0" w:line="117" w:lineRule="exact"/>
        <w:rPr>
          <w:sz w:val="20"/>
          <w:szCs w:val="20"/>
          <w:color w:val="auto"/>
        </w:rPr>
      </w:pPr>
    </w:p>
    <w:p>
      <w:pPr>
        <w:ind w:right="80" w:firstLine="233"/>
        <w:spacing w:after="0" w:line="270" w:lineRule="auto"/>
        <w:tabs>
          <w:tab w:leader="none" w:pos="46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The Company shall at all times reserve and keep available, free from preemptive rights, out of its authorized but unissued shares of Common Shares, for the purpose of effecting the conversion of the Debt Securities, such number of its duly authorized shares of Common Shares as shall from time to time be sufficient to effect the conversion of all applicable outstanding Debt Securities into such Common Shares at any time (assuming that, at the time of the computation of such number of shares or securities, all such Debt Securities would be held by a single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herein shall preclude the Company from satisfying its obligations in respect of the conversion of the Debt Securities by delivery of purchased shares of Common Shares which are held in the treasury of the Company. The Company shall from time to time, in accordance with the laws of the State of Ohio, use its best efforts to cause the authorized amount of the Common Shares to be increased if the aggregate of the authorized amount of the Common Shares remaining unissued and the issued shares of such Common Shares in its treasury (other than any such shares reserved for issuance in any other connection) shall not be sufficient to permit the conversion of all Debt Securities.</w:t>
      </w:r>
    </w:p>
    <w:p>
      <w:pPr>
        <w:spacing w:after="0" w:line="73" w:lineRule="exact"/>
        <w:rPr>
          <w:rFonts w:ascii="Arial" w:cs="Arial" w:eastAsia="Arial" w:hAnsi="Arial"/>
          <w:sz w:val="17"/>
          <w:szCs w:val="17"/>
          <w:color w:val="auto"/>
        </w:rPr>
      </w:pPr>
    </w:p>
    <w:p>
      <w:pPr>
        <w:ind w:right="40" w:firstLine="233"/>
        <w:spacing w:after="0" w:line="257" w:lineRule="auto"/>
        <w:tabs>
          <w:tab w:leader="none" w:pos="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any shares of Common Shares which would be issuable upon conversion of Debt Securities hereunder require registration with or approval of any governmental authority before such shares or securities may be issued upon such conversion, the Company will in good faith and as expeditiously as possible endeavor to cause such shares or securities to be duly registered or approved, as the case may be. The Company will endeavor to list the shares of Common Shares required to be delivered upon conversion of the Debt Securities prior to such delivery upon the principal national securities exchange upon which the outstanding Common Shares are listed at the time of such delivery.</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shall pay any and all documentary, stamp or similar issue or transfer taxes that may be payable in respect of the issue or delivery of shares of Common Shares on conversion of Debt Securities pursuant hereto. The Company shall not, however, be required to pay any such tax which may be payable in respect of any transfer involved in the issue or delivery of shares of Common Shares or the portion, if any, of the Debt Securities which are not so converted in a name other than that in which the Debt Securities so converted were registered, and no such issue or delivery shall be made unless and until the Person requesting such issue has paid to the Company the amount of such tax or has established to the satisfaction of the Company that such tax has been paid.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1" w:name="page132"/>
    <w:bookmarkEnd w:id="131"/>
    <w:p>
      <w:pPr>
        <w:ind w:left="920"/>
        <w:spacing w:after="0"/>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Conversion After Record Date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If any Debt Securities are surrendered for conversion subsequent to the record date preceding an Interest Payment Date but on or prior to such Interest Payment Date (except Debt Securities called for redemption on a Redemption Date between such record date and Interest Payment Date), the Holder of such Debt Securities at the close of business on such record date shall be entitled to receive the interest payable on such Debt Securities on such Interest Payment Date notwithstanding the conversion thereof. Debt Securities surrendered for conversion during the period from the close of business on any record date next preceding any Interest Payment Date to the opening of business on such Interest Payment Date to the opening of business on such Interest Payment Date shall (except in the case of Debt Securities which have been called for redemption on a Redemption Date within such period) be accompanied by payment to the Company and in the Currency acceptable to the Company of an amount equal to the interest payable on such Interest Payment Date on the Debt Securities being surrendered for conversion. Except as provided in this Section 16.09, no adjustments in respect of payments of interest on Debt Securities surrendered for conversion or any dividends or distributions of interest on the Common Shares issued upon conversion shall be made upon the conversion of any Debt Securities.</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Company Determination Final</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determination that the Company or the Board of Directors must make pursuant to this Article is conclusive.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Trustee has no duty to determine when an adjustment under this Article should be made, how it should be made or what it should be. The Trustee makes no representation as to the validity or value of any securities or assets issued upon conversion of Debt Securities. The Trustee shall not be responsible for the Company’s failure to comply with this Article. Each Conversion Agent other than the Company shall have the same protection under this Section 16.11 as the Trustee.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SEVENTEEN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17.01. </w:t>
      </w:r>
      <w:r>
        <w:rPr>
          <w:rFonts w:ascii="Arial" w:cs="Arial" w:eastAsia="Arial" w:hAnsi="Arial"/>
          <w:sz w:val="18"/>
          <w:szCs w:val="18"/>
          <w:u w:val="single" w:color="auto"/>
          <w:color w:val="auto"/>
        </w:rPr>
        <w:t>Unconditional Guarantee</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308" w:lineRule="auto"/>
        <w:tabs>
          <w:tab w:leader="none" w:pos="47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Notwithstanding any provision of this Article to the contrary, the provisions of this Article shall be applicable only to, and inure solely to the benefit of, the Debt Securities of any series designated, pursuant to Section 3.01, as entitled to the benefits of the Guarantee of each of the Guarantors.</w:t>
      </w:r>
    </w:p>
    <w:p>
      <w:pPr>
        <w:spacing w:after="0" w:line="38" w:lineRule="exact"/>
        <w:rPr>
          <w:rFonts w:ascii="Arial" w:cs="Arial" w:eastAsia="Arial" w:hAnsi="Arial"/>
          <w:sz w:val="17"/>
          <w:szCs w:val="17"/>
          <w:color w:val="auto"/>
        </w:rPr>
      </w:pPr>
    </w:p>
    <w:p>
      <w:pPr>
        <w:ind w:right="60" w:firstLine="233"/>
        <w:spacing w:after="0" w:line="257" w:lineRule="auto"/>
        <w:tabs>
          <w:tab w:leader="none" w:pos="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value received, each of the Guarantors hereby fully, unconditionally and absolutely guarantees (the “Guarantee”) to the Holders of such series of Debt Securities and to the Trustee the due and punctual payment of the principal of, and premium, if any, and interest on the Debt Securities and all other amounts due and payable under this Indenture and the Debt Securities by the Company, when and as such principal, premium, if any, and interest shall become due and payable, whether at the stated maturity or by declaration of acceleration, call for redemption or otherwise, according to the terms of the Debt Securities and this Indenture, subject to the limitations set forth in Section 17.03.</w:t>
      </w:r>
    </w:p>
    <w:p>
      <w:pPr>
        <w:spacing w:after="0" w:line="80" w:lineRule="exact"/>
        <w:rPr>
          <w:rFonts w:ascii="Arial" w:cs="Arial" w:eastAsia="Arial" w:hAnsi="Arial"/>
          <w:sz w:val="18"/>
          <w:szCs w:val="18"/>
          <w:color w:val="auto"/>
        </w:rPr>
      </w:pPr>
    </w:p>
    <w:p>
      <w:pPr>
        <w:ind w:right="580" w:firstLine="233"/>
        <w:spacing w:after="0" w:line="342" w:lineRule="auto"/>
        <w:tabs>
          <w:tab w:leader="none" w:pos="47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Failing payment when due of any amount guaranteed pursuant to the Guarantee, for whatever reason, each of the Guarantors will be jointly and severally obligated to pay the same immediately. The Guarantee hereunder is intended to be a general, unsecured, senior obligation of each of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2" w:name="page133"/>
    <w:bookmarkEnd w:id="132"/>
    <w:p>
      <w:pPr>
        <w:ind w:right="20"/>
        <w:spacing w:after="0" w:line="289" w:lineRule="auto"/>
        <w:rPr>
          <w:sz w:val="20"/>
          <w:szCs w:val="20"/>
          <w:color w:val="auto"/>
        </w:rPr>
      </w:pPr>
      <w:r>
        <w:rPr>
          <w:rFonts w:ascii="Arial" w:cs="Arial" w:eastAsia="Arial" w:hAnsi="Arial"/>
          <w:sz w:val="16"/>
          <w:szCs w:val="16"/>
          <w:color w:val="auto"/>
        </w:rPr>
        <w:t xml:space="preserve">Guarantors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unsecured debt of such Guarantor that is not, by its terms, expressly subordinated in right of payment to the Guarantee. Each of the Guarantors hereby agrees that its obligations hereunder shall be full, unconditional and absolute, irrespective of the validity, regularity or enforceability of the Debt Securities, the Guarantee (including the Guarantee of any other Guarantor) or this Indenture, the absence of any action to enforce the same, any waiver or consent by any Holder of the Debt Securities with respect to any provisions hereof or thereof, the recovery of any judgment against the Company or any other Guarantor, or any action to enforce the same or any other circumstances which might otherwise constitute a legal or equitable discharge or defense of the Guarantors. Each of the Guarantors hereby agrees that in the event of a default in payment of the principal of, or premium, if any, or interest on the Debt Securities, whether at the Stated Maturity or by declaration of acceleration, call for redemption or otherwise, legal proceedings may be instituted by the Trustee on behalf of the Holders or, subject to Section 5.07, by the Holders, on the terms and conditions set forth in this Indenture, directly against such Guarantor to enforce the Guarantee without first proceeding against the Company or any other Guarantor.</w:t>
      </w:r>
    </w:p>
    <w:p>
      <w:pPr>
        <w:spacing w:after="0" w:line="59" w:lineRule="exact"/>
        <w:rPr>
          <w:sz w:val="20"/>
          <w:szCs w:val="20"/>
          <w:color w:val="auto"/>
        </w:rPr>
      </w:pPr>
    </w:p>
    <w:p>
      <w:pPr>
        <w:ind w:firstLine="233"/>
        <w:spacing w:after="0" w:line="283" w:lineRule="auto"/>
        <w:tabs>
          <w:tab w:leader="none" w:pos="47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obligations of each of the Guarantors under this Article shall be as aforesaid full,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Company or any of the Guarantors contained in the Debt Securities or this Indenture, (B) any impairment, modification, release or limitation of the liability of the Company, any of the Guarantors or either of their estates in bankruptcy, or any remedy for the enforcement thereof, resulting from the operation of any present or future provision of any applicable bankruptcy law, or other statute or from the decision of any court, (C) the assertion or exercise by the Company, any of the Guarantors or the Trustee of any rights or remedies under the Debt Securities or this Indenture or their delay in or failure to assert or exercise any such rights or remedies, (D) the assignment or the purported assignment of any property as security for the Debt Securities, including all or any part of the rights of the Company or any of the Guarantors under this Indenture, (E) the extension of the time for payment by the Company or any of the Guarantors of any payments or other sums or any part thereof owing or payable under any of the terms and provisions of the Debt Securities or this Indenture or of the time for performance by the Company or any of the Guarantors of any other obligations under or arising out of any such terms and provisions or the extension or the renewal of any thereof, (F) the modification or amendment (whether material or otherwise) of any duty, agreement or obligation of the Company or any of the Guarantors set forth in this Indenture,</w:t>
      </w:r>
    </w:p>
    <w:p>
      <w:pPr>
        <w:spacing w:after="0" w:line="3" w:lineRule="exact"/>
        <w:rPr>
          <w:rFonts w:ascii="Arial" w:cs="Arial" w:eastAsia="Arial" w:hAnsi="Arial"/>
          <w:sz w:val="16"/>
          <w:szCs w:val="16"/>
          <w:color w:val="auto"/>
        </w:rPr>
      </w:pPr>
    </w:p>
    <w:p>
      <w:pPr>
        <w:ind w:firstLine="8"/>
        <w:spacing w:after="0" w:line="269" w:lineRule="auto"/>
        <w:tabs>
          <w:tab w:leader="none" w:pos="2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Company or any of the Guarantors or any of their respective assets, or the disaffirmance of the Debt Securities, the Guarantee or this Indenture in any such proceeding, (H) the release or discharge of the Company or any of the Guarantors from the performance or observance of any agreement, covenant, term or condition contained in any of such instruments by operation of law, (I) the unenforceability of the Debt Securities, the Guarantee or this Indenture or (J) any other circumstances (other than payment in full or discharge of all amounts guaranteed pursuant to the Guarantee) which might otherwise constitute a legal or equitable discharge of a surety or guarantor.</w:t>
      </w:r>
    </w:p>
    <w:p>
      <w:pPr>
        <w:spacing w:after="0" w:line="72" w:lineRule="exact"/>
        <w:rPr>
          <w:rFonts w:ascii="Arial" w:cs="Arial" w:eastAsia="Arial" w:hAnsi="Arial"/>
          <w:sz w:val="17"/>
          <w:szCs w:val="17"/>
          <w:color w:val="auto"/>
        </w:rPr>
      </w:pPr>
    </w:p>
    <w:p>
      <w:pPr>
        <w:ind w:right="580" w:firstLine="233"/>
        <w:spacing w:after="0" w:line="257" w:lineRule="auto"/>
        <w:tabs>
          <w:tab w:leader="none" w:pos="47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Each of the Guarantors hereby (A) waives diligence, presentment, demand of payment, filing of claims with a court in the event of the merger, insolvency or bankruptcy of the Company or any of the Guarantors, and all demands whatsoever, (B) acknowledges that any agreement, instrument or document evidencing the Guarantee may be transferred and that the benefit of its obligations hereunder shall extend to each holder of any agreement, instrument or document evidencing the Guarantee without notice to it and (C) covenants that the Guarantee will not be discharged except by complete performance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ind w:right="180"/>
        <w:spacing w:after="0" w:line="257" w:lineRule="auto"/>
        <w:rPr>
          <w:sz w:val="20"/>
          <w:szCs w:val="20"/>
          <w:color w:val="auto"/>
        </w:rPr>
      </w:pPr>
      <w:r>
        <w:rPr>
          <w:rFonts w:ascii="Arial" w:cs="Arial" w:eastAsia="Arial" w:hAnsi="Arial"/>
          <w:sz w:val="18"/>
          <w:szCs w:val="18"/>
          <w:color w:val="auto"/>
        </w:rPr>
        <w:t>Guarantee. Each of the Guarantors further agrees that if at any time all or any part of any payment theretofore applied by any Person to the Guarantee is, or must be, rescinded or returned for any reason whatsoever, including without limitation, the insolvency, bankruptcy or reorganization of the Company or any of the Guarantors, the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80" w:lineRule="exact"/>
        <w:rPr>
          <w:sz w:val="20"/>
          <w:szCs w:val="20"/>
          <w:color w:val="auto"/>
        </w:rPr>
      </w:pPr>
    </w:p>
    <w:p>
      <w:pPr>
        <w:jc w:val="both"/>
        <w:ind w:right="360" w:firstLine="233"/>
        <w:spacing w:after="0" w:line="312" w:lineRule="auto"/>
        <w:tabs>
          <w:tab w:leader="none" w:pos="45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Each of the Guarantors shall be subrogated to all rights of the Holders and the Trustee against the Company in respect of any amounts paid by such Guarantor pursuant to the provisions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Guarantor shall not be entitled to enforce or to receive any payments arising out of, or based upon, such right of subrogation until all of the Debt Securities and the Guarantee shall have been paid in full or discharged.</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17.02. </w:t>
      </w:r>
      <w:r>
        <w:rPr>
          <w:rFonts w:ascii="Arial" w:cs="Arial" w:eastAsia="Arial" w:hAnsi="Arial"/>
          <w:sz w:val="18"/>
          <w:szCs w:val="18"/>
          <w:u w:val="single" w:color="auto"/>
          <w:color w:val="auto"/>
        </w:rPr>
        <w:t>Execution and Delivery of Guarantee</w:t>
      </w:r>
      <w:r>
        <w:rPr>
          <w:rFonts w:ascii="Arial" w:cs="Arial" w:eastAsia="Arial" w:hAnsi="Arial"/>
          <w:sz w:val="18"/>
          <w:szCs w:val="18"/>
          <w:color w:val="auto"/>
        </w:rPr>
        <w:t>.</w:t>
      </w:r>
    </w:p>
    <w:p>
      <w:pPr>
        <w:spacing w:after="0" w:line="117" w:lineRule="exact"/>
        <w:rPr>
          <w:sz w:val="20"/>
          <w:szCs w:val="20"/>
          <w:color w:val="auto"/>
        </w:rPr>
      </w:pPr>
    </w:p>
    <w:p>
      <w:pPr>
        <w:ind w:right="140" w:firstLine="233"/>
        <w:spacing w:after="0" w:line="289" w:lineRule="auto"/>
        <w:tabs>
          <w:tab w:leader="none" w:pos="46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further evidence the Guarantee set forth in Section 17.01, each of the Guarantors hereby agrees that a notation relating to such Guarantee, substantially in the form attached to the supplemental indenture for the applicable Debt Securities, shall be endorsed on each Debt Security entitled to the benefits of the Guarantee authenticated and delivered by the Trustee and executed by either manual or facsimile signature of an officer of such Guarantor, or in the case of a Guarantor that is a limited partnership, an officer of the general partner of each Guarantor. Each of the Guarantors hereby agrees that the Guarantee set forth in Section 17.01 shall remain in full force and effect notwithstanding any failure to endorse on each Debt Security a notation relating to the Guarantee. If any officer of the Guarantor, or in the case of a Guarantor that is a limited partnership, any officer of the general partner of the Guarantor, whose signature is on this Indenture or a Debt Security no longer holds that office at the time the Trustee authenticates such Debt Security or at any time thereafter, the Guarantee of such Debt Security shall be valid nevertheless. The delivery of any Debt Security by the Trustee, after the authentication thereof hereunder, shall constitute due delivery of the Guarantee set forth in this Indenture on behalf of the Guarantors.</w:t>
      </w:r>
    </w:p>
    <w:p>
      <w:pPr>
        <w:spacing w:after="0" w:line="59" w:lineRule="exact"/>
        <w:rPr>
          <w:sz w:val="20"/>
          <w:szCs w:val="20"/>
          <w:color w:val="auto"/>
        </w:rPr>
      </w:pPr>
    </w:p>
    <w:p>
      <w:pPr>
        <w:ind w:left="920" w:right="3420" w:hanging="462"/>
        <w:spacing w:after="0" w:line="375" w:lineRule="auto"/>
        <w:tabs>
          <w:tab w:leader="none" w:pos="70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Trustee hereby accepts the trusts in this Indenture upon the terms and conditions herein set forth. Section 17.03. </w:t>
      </w:r>
      <w:r>
        <w:rPr>
          <w:rFonts w:ascii="Arial" w:cs="Arial" w:eastAsia="Arial" w:hAnsi="Arial"/>
          <w:sz w:val="18"/>
          <w:szCs w:val="18"/>
          <w:u w:val="single" w:color="auto"/>
          <w:color w:val="auto"/>
        </w:rPr>
        <w:t>Limitation on Guarantors’ Liability</w:t>
      </w:r>
      <w:r>
        <w:rPr>
          <w:rFonts w:ascii="Arial" w:cs="Arial" w:eastAsia="Arial" w:hAnsi="Arial"/>
          <w:sz w:val="18"/>
          <w:szCs w:val="18"/>
          <w:color w:val="auto"/>
        </w:rPr>
        <w:t>.</w:t>
      </w:r>
    </w:p>
    <w:p>
      <w:pPr>
        <w:spacing w:after="0" w:line="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Each Guarantor and by its acceptance hereof each Holder of a Debt Security entitled to the benefits of the Guarantee hereby confirms that it is the intention of all such parties that the guarantee by such Guarantor pursuant to its Guarantee not constitute a fraudulent transfer or conveyance for purposes of any Federal or state law. To effectuate the foregoing intention, the Holders of a Debt Security entitled to the benefits of the Guarantee and the Guarantors hereby irrevocably agree that the obligations of each Guarantor under its Guarantee shall be limited to the maximum amount as will, after giving effect to all other contingent and fixed liabilities of such Guarantor and to any collections from or payments made by or on behalf of any other Guarantor in respect of the obligations of such other Guarantor under its Guarantee, result in the obligations of such Guarantor under the Guarantee not constituting a fraudulent conveyance or fraudulent transfer under Federal or state law.</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Release of Guarantors from Guarantee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Guarantee of a Guarantor will be released: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ind w:left="240" w:right="580" w:firstLine="221"/>
        <w:spacing w:after="0" w:line="277" w:lineRule="auto"/>
        <w:tabs>
          <w:tab w:leader="none" w:pos="7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that Guarantor (including by way of merger or consolidation), in accordance with this Indenture, to any Person other than the Company;</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 or</w:t>
      </w:r>
    </w:p>
    <w:p>
      <w:pPr>
        <w:spacing w:after="0" w:line="117" w:lineRule="exact"/>
        <w:rPr>
          <w:rFonts w:ascii="Arial" w:cs="Arial" w:eastAsia="Arial" w:hAnsi="Arial"/>
          <w:sz w:val="18"/>
          <w:szCs w:val="18"/>
          <w:color w:val="auto"/>
        </w:rPr>
      </w:pPr>
    </w:p>
    <w:p>
      <w:pPr>
        <w:ind w:left="240" w:right="40" w:firstLine="221"/>
        <w:spacing w:after="0" w:line="277" w:lineRule="auto"/>
        <w:tabs>
          <w:tab w:leader="none" w:pos="7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the Company exercises its Legal Defeasance option or Covenant Defeasance option pursuant to Section 15.01 with respect to such series of Debt Securities or if the obligations under this Indenture are discharged in accordance with Section 4.01.</w:t>
      </w:r>
    </w:p>
    <w:p>
      <w:pPr>
        <w:spacing w:after="0" w:line="62" w:lineRule="exact"/>
        <w:rPr>
          <w:rFonts w:ascii="Arial" w:cs="Arial" w:eastAsia="Arial" w:hAnsi="Arial"/>
          <w:sz w:val="18"/>
          <w:szCs w:val="18"/>
          <w:color w:val="auto"/>
        </w:rPr>
      </w:pPr>
    </w:p>
    <w:p>
      <w:pPr>
        <w:ind w:right="160" w:firstLine="458"/>
        <w:spacing w:after="0" w:line="302" w:lineRule="auto"/>
        <w:tabs>
          <w:tab w:leader="none" w:pos="70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Trustee shall deliver an appropriate instrument evidencing any release of a Guarantor from the Guarantee upon receipt of a written request of the Company accompanied by an Officers’ Certificate and an Opinion of Counsel that the Guarantor is entitled to such release in accordance with the provisions of this Indenture. Any Guarantor not so released remains liable for the full amount of principal of (and premium, if any, on) and interest on the Debt Securities entitled to the benefits of such Guarantee as provided in this Indenture, subject to the limitations of Section 17.03.</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Guarantor Contribution</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In order to provide for just and equitable contribution among the Guarantors, the Guarantors hereby agree, </w:t>
      </w:r>
      <w:r>
        <w:rPr>
          <w:rFonts w:ascii="Arial" w:cs="Arial" w:eastAsia="Arial" w:hAnsi="Arial"/>
          <w:sz w:val="17"/>
          <w:szCs w:val="17"/>
          <w:i w:val="1"/>
          <w:iCs w:val="1"/>
          <w:color w:val="auto"/>
        </w:rPr>
        <w:t>inter se</w:t>
      </w:r>
      <w:r>
        <w:rPr>
          <w:rFonts w:ascii="Arial" w:cs="Arial" w:eastAsia="Arial" w:hAnsi="Arial"/>
          <w:sz w:val="17"/>
          <w:szCs w:val="17"/>
          <w:color w:val="auto"/>
        </w:rPr>
        <w:t>, that in the event any payment or distribution is made by any Guarantor (a “Funding Guarantor”) under its Guarantee, such Guarantor shall be entitled to a contribution from each other Guarantor (if any) in a pro rata amount based on the net assets of each Guarantor (including the Funding Guarantor) as of the most recently completed fiscal quarter of such Guarantor, for all payments, damages and expenses incurred by that Funding Guarantor in discharging the Company’ obligations with respect to the Debt Securities or any other Guarantor’s obligations with respect to its Guarantee.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-130810</wp:posOffset>
            </wp:positionV>
            <wp:extent cx="28301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U.S.BANK NATIONAL ASSOCIATION, as Trustee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-130810</wp:posOffset>
            </wp:positionV>
            <wp:extent cx="28301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9979"/>
          </w:cols>
          <w:pgMar w:left="480" w:top="935"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Subordinated Debt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 as Issuer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GUARANTORS FROM TIME TO TIME PARTY HERETO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194945</wp:posOffset>
            </wp:positionV>
            <wp:extent cx="18783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-10160</wp:posOffset>
            </wp:positionV>
            <wp:extent cx="11430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194945</wp:posOffset>
            </wp:positionV>
            <wp:extent cx="18783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ind w:left="4580"/>
              <w:spacing w:after="0"/>
              <w:rPr>
                <w:sz w:val="20"/>
                <w:szCs w:val="20"/>
                <w:color w:val="auto"/>
              </w:rPr>
            </w:pPr>
            <w:r>
              <w:rPr>
                <w:rFonts w:ascii="Arial" w:cs="Arial" w:eastAsia="Arial" w:hAnsi="Arial"/>
                <w:sz w:val="18"/>
                <w:szCs w:val="18"/>
                <w:color w:val="auto"/>
                <w:w w:val="91"/>
              </w:rPr>
              <w:t>Dated as of</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 20</w:t>
            </w:r>
          </w:p>
        </w:tc>
        <w:tc>
          <w:tcPr>
            <w:tcW w:w="4580" w:type="dxa"/>
            <w:vAlign w:val="bottom"/>
          </w:tcPr>
          <w:p>
            <w:pPr>
              <w:spacing w:after="0"/>
              <w:rPr>
                <w:sz w:val="17"/>
                <w:szCs w:val="17"/>
                <w:color w:val="auto"/>
              </w:rPr>
            </w:pPr>
          </w:p>
        </w:tc>
      </w:tr>
      <w:tr>
        <w:trPr>
          <w:trHeight w:val="223"/>
        </w:trPr>
        <w:tc>
          <w:tcPr>
            <w:tcW w:w="544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r>
      <w:tr>
        <w:trPr>
          <w:trHeight w:val="612"/>
        </w:trPr>
        <w:tc>
          <w:tcPr>
            <w:tcW w:w="54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7" w:name="page138"/>
    <w:bookmarkEnd w:id="137"/>
    <w:p>
      <w:pPr>
        <w:jc w:val="center"/>
        <w:ind w:right="-99"/>
        <w:spacing w:after="0"/>
        <w:rPr>
          <w:sz w:val="20"/>
          <w:szCs w:val="20"/>
          <w:color w:val="auto"/>
        </w:rPr>
      </w:pPr>
      <w:r>
        <w:rPr>
          <w:rFonts w:ascii="Arial" w:cs="Arial" w:eastAsia="Arial" w:hAnsi="Arial"/>
          <w:sz w:val="18"/>
          <w:szCs w:val="18"/>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980" w:type="dxa"/>
            <w:vAlign w:val="bottom"/>
            <w:vMerge w:val="restart"/>
          </w:tcPr>
          <w:p>
            <w:pPr>
              <w:spacing w:after="0"/>
              <w:rPr>
                <w:sz w:val="20"/>
                <w:szCs w:val="20"/>
                <w:color w:val="auto"/>
              </w:rPr>
            </w:pPr>
            <w:r>
              <w:rPr>
                <w:rFonts w:ascii="Arial" w:cs="Arial" w:eastAsia="Arial" w:hAnsi="Arial"/>
                <w:sz w:val="18"/>
                <w:szCs w:val="18"/>
                <w:color w:val="auto"/>
              </w:rPr>
              <w:t>ARTICLE ONE DEFINITIONS AND OTHER PROVISIONS OF GENERAL APPLICATION</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224"/>
        </w:trPr>
        <w:tc>
          <w:tcPr>
            <w:tcW w:w="10980" w:type="dxa"/>
            <w:vAlign w:val="bottom"/>
            <w:vMerge w:val="continue"/>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980" w:type="dxa"/>
            <w:vAlign w:val="bottom"/>
          </w:tcPr>
          <w:p>
            <w:pPr>
              <w:ind w:left="220"/>
              <w:spacing w:after="0"/>
              <w:rPr>
                <w:sz w:val="20"/>
                <w:szCs w:val="20"/>
                <w:color w:val="auto"/>
              </w:rPr>
            </w:pPr>
            <w:r>
              <w:rPr>
                <w:rFonts w:ascii="Arial" w:cs="Arial" w:eastAsia="Arial" w:hAnsi="Arial"/>
                <w:sz w:val="18"/>
                <w:szCs w:val="18"/>
                <w:color w:val="auto"/>
              </w:rPr>
              <w:t>Section 1.01. Definitions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1.02. Compliance Certificates and Opinions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1.03. Form of Documents Delivered to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1.04. Notices, etc., to Trustee and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1.05. Notice to Holders; Waiver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1.06. Conflict with Trust Indenture Act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1.07. Effect of Headings and Table of Contents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1.08. Successors and Assigns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1.09. Separability Clause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 Benefits of Indenture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1.11. Governing Law</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1.12. Legal Holidays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1.13. No Security Interest Created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1.14. Liability Solely Corporate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TWO DEBT SECURITY FORMS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2.01. Forms Generally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2.02. Form of Trustee’s Certificate of Authentication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2.03. Securities in Global Form</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THREE THE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3.01. Amount Unlimited; Issuable in Series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3.02. Denominations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3.03. Execution, Authentication, Delivery and Dating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3.04. Temporary Debt Securities; Global Notes Representing Registered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3.05. Registration, Transfer and Exchange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3.06. Mutilated, Destroyed, Lost and Stolen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3.07. Payment of Interest; Interest Rights Preserved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3.08. Cancellation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3.09. Computation of Interest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3.10. Currency of Payments in Respect of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3.11. Judgments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3.12. Exchange Upon Default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3.13. CUSIP and ISIN Numbers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FOUR SATISFACTION AND DISCHARGE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4.01. Satisfaction and Discharge of Indenture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4.02. Application of Trust Money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7"/>
        </w:trPr>
        <w:tc>
          <w:tcPr>
            <w:tcW w:w="10980" w:type="dxa"/>
            <w:vAlign w:val="bottom"/>
            <w:vMerge w:val="restart"/>
          </w:tcPr>
          <w:p>
            <w:pPr>
              <w:spacing w:after="0"/>
              <w:rPr>
                <w:sz w:val="20"/>
                <w:szCs w:val="20"/>
                <w:color w:val="auto"/>
              </w:rPr>
            </w:pPr>
            <w:r>
              <w:rPr>
                <w:rFonts w:ascii="Arial" w:cs="Arial" w:eastAsia="Arial" w:hAnsi="Arial"/>
                <w:sz w:val="18"/>
                <w:szCs w:val="18"/>
                <w:color w:val="auto"/>
              </w:rPr>
              <w:t>ARTICLE FIVE REMEDIES</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224"/>
        </w:trPr>
        <w:tc>
          <w:tcPr>
            <w:tcW w:w="10980" w:type="dxa"/>
            <w:vAlign w:val="bottom"/>
            <w:vMerge w:val="continue"/>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980" w:type="dxa"/>
            <w:vAlign w:val="bottom"/>
          </w:tcPr>
          <w:p>
            <w:pPr>
              <w:ind w:left="220"/>
              <w:spacing w:after="0"/>
              <w:rPr>
                <w:sz w:val="20"/>
                <w:szCs w:val="20"/>
                <w:color w:val="auto"/>
              </w:rPr>
            </w:pPr>
            <w:r>
              <w:rPr>
                <w:rFonts w:ascii="Arial" w:cs="Arial" w:eastAsia="Arial" w:hAnsi="Arial"/>
                <w:sz w:val="18"/>
                <w:szCs w:val="18"/>
                <w:color w:val="auto"/>
              </w:rPr>
              <w:t>Section 5.01. Events of Default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5.02. Acceleration of Maturity; Rescission and Annulment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5.04. Trustee May File Proofs of Claim</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5.05. Trustee May Enforce Claims Without Possession of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5.06. Application of Money Collected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5.07. Limitation on Suits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5.08. Unconditional Right of Holders to Receive Principal, Premium and Interest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5.09. Restoration of Rights and Remedies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5.10. Rights and Remedies Cumulative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5.11. Delay or Omission Not Waiver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5.12. Control by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5.13. Waiver of Past Defaults or Events of Default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5.14. Undertaking for Costs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5.15. Waiver of Stay or Extension Laws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SIX THE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6.01. Certain Duties and Responsibilities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6.02. Notice of Defaults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6.03. Certain Rights of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6.04. Not Responsible for Recitals or Issuance of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6.05. May Hold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6.06. Money Held in Trust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6.07. Compensation and Reimbursement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6.08. Disqualification; Conflicting Interests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6.09. Corporate Trustee Required; Eligibility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6.10. Resignation and Removal; Appointment of Successor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6.11. Acceptance of Appointment by Successor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6.12. Merger, Conversion, Consolidation or Succession to Business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6.13. Preferential Collection of Claims Against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6.14. Appointment of Authenticating Agent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SEVEN HOLDERS’ LISTS AND REPORTS BY TRUSTEE AND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7.01. Company to Furnish Trustee Names and Addresses of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7.02. Preservation of Information; Communication to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7.03. Reports by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7.04. Reports by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EIGHT CONCERNING THE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8.01. Acts of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8.02. Proof of Ownership; Proof of Execution of Instruments by Holder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8.03. Persons Deemed Owners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8.04. Revocation of Consents; Future Holders Bound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7"/>
        </w:trPr>
        <w:tc>
          <w:tcPr>
            <w:tcW w:w="10980" w:type="dxa"/>
            <w:vAlign w:val="bottom"/>
            <w:vMerge w:val="restart"/>
          </w:tcPr>
          <w:p>
            <w:pPr>
              <w:spacing w:after="0"/>
              <w:rPr>
                <w:sz w:val="20"/>
                <w:szCs w:val="20"/>
                <w:color w:val="auto"/>
              </w:rPr>
            </w:pPr>
            <w:r>
              <w:rPr>
                <w:rFonts w:ascii="Arial" w:cs="Arial" w:eastAsia="Arial" w:hAnsi="Arial"/>
                <w:sz w:val="18"/>
                <w:szCs w:val="18"/>
                <w:color w:val="auto"/>
              </w:rPr>
              <w:t>ARTICLE NINE HOLDERS’ MEETINGS</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224"/>
        </w:trPr>
        <w:tc>
          <w:tcPr>
            <w:tcW w:w="10980" w:type="dxa"/>
            <w:vAlign w:val="bottom"/>
            <w:vMerge w:val="continue"/>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980" w:type="dxa"/>
            <w:vAlign w:val="bottom"/>
          </w:tcPr>
          <w:p>
            <w:pPr>
              <w:ind w:left="220"/>
              <w:spacing w:after="0"/>
              <w:rPr>
                <w:sz w:val="20"/>
                <w:szCs w:val="20"/>
                <w:color w:val="auto"/>
              </w:rPr>
            </w:pPr>
            <w:r>
              <w:rPr>
                <w:rFonts w:ascii="Arial" w:cs="Arial" w:eastAsia="Arial" w:hAnsi="Arial"/>
                <w:sz w:val="18"/>
                <w:szCs w:val="18"/>
                <w:color w:val="auto"/>
              </w:rPr>
              <w:t>Section 9.01. Purposes of Meetings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9.02. Call of Meetings by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9.03. Call of Meetings by Company or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9.04. Qualifications for Voting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9.05. Regulations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9.06. Voting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9.07. No Delay of Rights by Meeting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TEN CONSOLIDATION, MERGER, CONVEYANCE, TRANSFER OR LEASE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10.01. Company May Consolidate, etc., Only on Certain Terms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10.02. Successor Corporation Substituted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ELEVEN SUPPLEMENTAL INDENTURES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11.01. Supplemental Indentures Without Consent of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11.02. Supplemental Indentures With Consent of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11.03. Execution of Supplemental Indentures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11.04. Effect of Supplemental Indentures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11.05. Conformity with Trust Indenture Act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11.06. Reference in Debt Securities to Supplemental Indentures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11.07. Notice of Supplemental Indenture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TWELVE COVENANTS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12.01. Payment of Principal, Premium and Interest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12.02. Officer’s Certificate as to Default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12.03. Maintenance of Office or Agency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12.04. Money for Debt Securities; Payments To Be Held in Trust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12.05. Corporate Existence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12.06. Waiver of Certain Covenants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THIRTEEN REDEMPTION OF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13.01. Applicability of Article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13.02. Election to Redeem; Notice to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13.03. Selection by Trustee of Debt Securities to Be Redeemed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13.04. Notice of Redemption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13.05. Deposit of Redemption Price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13.06. Debt Securities Payable on Redemption Date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13.07. Debt Securities Redeemed in Part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FOURTEEN SINKING FUNDS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14.01. Applicability of Article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14.02. Satisfaction of Mandatory Sinking Fund Payments with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14.03. Redemption of Debt Securities for Sinking Fund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7"/>
        </w:trPr>
        <w:tc>
          <w:tcPr>
            <w:tcW w:w="10980" w:type="dxa"/>
            <w:vAlign w:val="bottom"/>
            <w:vMerge w:val="restart"/>
          </w:tcPr>
          <w:p>
            <w:pPr>
              <w:spacing w:after="0"/>
              <w:rPr>
                <w:sz w:val="20"/>
                <w:szCs w:val="20"/>
                <w:color w:val="auto"/>
              </w:rPr>
            </w:pPr>
            <w:r>
              <w:rPr>
                <w:rFonts w:ascii="Arial" w:cs="Arial" w:eastAsia="Arial" w:hAnsi="Arial"/>
                <w:sz w:val="18"/>
                <w:szCs w:val="18"/>
                <w:color w:val="auto"/>
              </w:rPr>
              <w:t>ARTICLE FIFTEEN DEFEASANCE</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224"/>
        </w:trPr>
        <w:tc>
          <w:tcPr>
            <w:tcW w:w="10980" w:type="dxa"/>
            <w:vAlign w:val="bottom"/>
            <w:vMerge w:val="continue"/>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15.01. Option to Effect Legal Defeasance or Covenant Defeasance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15.02. Legal Defeasance and Discharge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15.03. Covenant Defeasance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15.04. Conditions to Legal or Covenant Defeasance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15.05. Deposited Money and U.S. Government Obligations to Be Held in Trust; Other Miscellaneous Provisions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15.06. Repayment to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15.07. Reinstatement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15.08. Survival</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SIXTEEN SUBORDINATION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16.01. Agreement to Subordinate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16.02. Distribution on Dissolution, Liquidation and Reorganization; Subrogation of Debt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16.03. No Payment on Debt Securities in Event of Default on Senior Indebtedness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16.04. Payments on Debt Securities Permitted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16.05. Trustee to Effectuate Subordination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16.06. Notices to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16.07. Trustee as Holder of Senior Indebtedness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16.08. Modification of Terms of Senior Indebtedness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16.09. Reliance on Judicial Order or Certificate of Liquidation Agent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SEVENTEEN CONVERSION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17.01. Applicability; Conversion Privilege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17.02. Conversion Procedure; Conversion Price; Fractional Shares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17.03. Adjustment of Conversion Price for Common Shares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17.04. Consolidation or Merger of the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17.05. Notice of Adjustment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17.06. Notice in Certain Events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17.07. Company to Reserve Shares; Registration; Listing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17.08. Taxes on Conversion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17.09. Conversion After Record Date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17.10. Company Determination Final</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17.11. Trustee’s Disclaimer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32"/>
        </w:trPr>
        <w:tc>
          <w:tcPr>
            <w:tcW w:w="10980" w:type="dxa"/>
            <w:vAlign w:val="bottom"/>
          </w:tcPr>
          <w:p>
            <w:pPr>
              <w:spacing w:after="0"/>
              <w:rPr>
                <w:sz w:val="20"/>
                <w:szCs w:val="20"/>
                <w:color w:val="auto"/>
              </w:rPr>
            </w:pPr>
            <w:r>
              <w:rPr>
                <w:rFonts w:ascii="Arial" w:cs="Arial" w:eastAsia="Arial" w:hAnsi="Arial"/>
                <w:sz w:val="18"/>
                <w:szCs w:val="18"/>
                <w:color w:val="auto"/>
              </w:rPr>
              <w:t>ARTICLE EIGHTEEN GUARANTEE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18"/>
        </w:trPr>
        <w:tc>
          <w:tcPr>
            <w:tcW w:w="10980" w:type="dxa"/>
            <w:vAlign w:val="bottom"/>
          </w:tcPr>
          <w:p>
            <w:pPr>
              <w:ind w:left="220"/>
              <w:spacing w:after="0"/>
              <w:rPr>
                <w:sz w:val="20"/>
                <w:szCs w:val="20"/>
                <w:color w:val="auto"/>
              </w:rPr>
            </w:pPr>
            <w:r>
              <w:rPr>
                <w:rFonts w:ascii="Arial" w:cs="Arial" w:eastAsia="Arial" w:hAnsi="Arial"/>
                <w:sz w:val="18"/>
                <w:szCs w:val="18"/>
                <w:color w:val="auto"/>
              </w:rPr>
              <w:t>Section 18.01. Unconditional Guarantee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18.02. Execution and Delivery of Guarantee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18.03. Limitation on Guarantors’ Liability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980" w:type="dxa"/>
            <w:vAlign w:val="bottom"/>
          </w:tcPr>
          <w:p>
            <w:pPr>
              <w:ind w:left="220"/>
              <w:spacing w:after="0"/>
              <w:rPr>
                <w:sz w:val="20"/>
                <w:szCs w:val="20"/>
                <w:color w:val="auto"/>
              </w:rPr>
            </w:pPr>
            <w:r>
              <w:rPr>
                <w:rFonts w:ascii="Arial" w:cs="Arial" w:eastAsia="Arial" w:hAnsi="Arial"/>
                <w:sz w:val="18"/>
                <w:szCs w:val="18"/>
                <w:color w:val="auto"/>
              </w:rPr>
              <w:t>Section 18.04. Release of Guarantors from Guarantee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10980" w:type="dxa"/>
            <w:vAlign w:val="bottom"/>
          </w:tcPr>
          <w:p>
            <w:pPr>
              <w:ind w:left="220"/>
              <w:spacing w:after="0"/>
              <w:rPr>
                <w:sz w:val="20"/>
                <w:szCs w:val="20"/>
                <w:color w:val="auto"/>
              </w:rPr>
            </w:pPr>
            <w:r>
              <w:rPr>
                <w:rFonts w:ascii="Arial" w:cs="Arial" w:eastAsia="Arial" w:hAnsi="Arial"/>
                <w:sz w:val="18"/>
                <w:szCs w:val="18"/>
                <w:color w:val="auto"/>
              </w:rPr>
              <w:t>Section 18.05. Guarantor Contribution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sectPr>
      </w:pPr>
    </w:p>
    <w:bookmarkStart w:id="141" w:name="page142"/>
    <w:bookmarkEnd w:id="141"/>
    <w:p>
      <w:pPr>
        <w:ind w:left="3580"/>
        <w:spacing w:after="0"/>
        <w:rPr>
          <w:sz w:val="20"/>
          <w:szCs w:val="20"/>
          <w:color w:val="auto"/>
        </w:rPr>
      </w:pPr>
      <w:r>
        <w:rPr>
          <w:rFonts w:ascii="Arial" w:cs="Arial" w:eastAsia="Arial" w:hAnsi="Arial"/>
          <w:sz w:val="18"/>
          <w:szCs w:val="18"/>
          <w:color w:val="auto"/>
        </w:rPr>
        <w:t>Reconciliation and tie between Trust Indenture Act of 1939</w:t>
      </w:r>
    </w:p>
    <w:tbl>
      <w:tblPr>
        <w:tblLayout w:type="fixed"/>
        <w:tblInd w:w="0" w:type="dxa"/>
        <w:tblCellMar>
          <w:top w:w="0" w:type="dxa"/>
          <w:left w:w="0" w:type="dxa"/>
          <w:bottom w:w="0" w:type="dxa"/>
          <w:right w:w="0" w:type="dxa"/>
        </w:tblCellMar>
      </w:tblPr>
      <w:tr>
        <w:trPr>
          <w:trHeight w:val="199"/>
        </w:trPr>
        <w:tc>
          <w:tcPr>
            <w:tcW w:w="5980" w:type="dxa"/>
            <w:vAlign w:val="bottom"/>
          </w:tcPr>
          <w:p>
            <w:pPr>
              <w:ind w:left="4060"/>
              <w:spacing w:after="0" w:line="199" w:lineRule="exact"/>
              <w:rPr>
                <w:sz w:val="20"/>
                <w:szCs w:val="20"/>
                <w:color w:val="auto"/>
              </w:rPr>
            </w:pPr>
            <w:r>
              <w:rPr>
                <w:rFonts w:ascii="Arial" w:cs="Arial" w:eastAsia="Arial" w:hAnsi="Arial"/>
                <w:sz w:val="18"/>
                <w:szCs w:val="18"/>
                <w:color w:val="auto"/>
                <w:w w:val="90"/>
              </w:rPr>
              <w:t>and Indenture, dated as of</w:t>
            </w:r>
          </w:p>
        </w:tc>
        <w:tc>
          <w:tcPr>
            <w:tcW w:w="13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 20</w:t>
            </w:r>
          </w:p>
        </w:tc>
        <w:tc>
          <w:tcPr>
            <w:tcW w:w="2660" w:type="dxa"/>
            <w:vAlign w:val="bottom"/>
          </w:tcPr>
          <w:p>
            <w:pPr>
              <w:spacing w:after="0"/>
              <w:rPr>
                <w:sz w:val="17"/>
                <w:szCs w:val="17"/>
                <w:color w:val="auto"/>
              </w:rPr>
            </w:pPr>
          </w:p>
        </w:tc>
      </w:tr>
      <w:tr>
        <w:trPr>
          <w:trHeight w:val="371"/>
        </w:trPr>
        <w:tc>
          <w:tcPr>
            <w:tcW w:w="5980" w:type="dxa"/>
            <w:vAlign w:val="bottom"/>
          </w:tcPr>
          <w:p>
            <w:pPr>
              <w:spacing w:after="0"/>
              <w:rPr>
                <w:sz w:val="20"/>
                <w:szCs w:val="20"/>
                <w:color w:val="auto"/>
              </w:rPr>
            </w:pPr>
            <w:r>
              <w:rPr>
                <w:rFonts w:ascii="Arial" w:cs="Arial" w:eastAsia="Arial" w:hAnsi="Arial"/>
                <w:sz w:val="14"/>
                <w:szCs w:val="14"/>
                <w:color w:val="auto"/>
              </w:rPr>
              <w:t>Trust Indenture Act Section</w:t>
            </w: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60" w:type="dxa"/>
            <w:vAlign w:val="bottom"/>
          </w:tcPr>
          <w:p>
            <w:pPr>
              <w:ind w:left="1220"/>
              <w:spacing w:after="0"/>
              <w:rPr>
                <w:sz w:val="20"/>
                <w:szCs w:val="20"/>
                <w:color w:val="auto"/>
              </w:rPr>
            </w:pPr>
            <w:r>
              <w:rPr>
                <w:rFonts w:ascii="Arial" w:cs="Arial" w:eastAsia="Arial" w:hAnsi="Arial"/>
                <w:sz w:val="14"/>
                <w:szCs w:val="14"/>
                <w:color w:val="auto"/>
              </w:rPr>
              <w:t>Indenture Section</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310 (a)(1)</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6.09</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(a)(2)</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6.09</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(a)(3)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(a)(4)</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(a)(5)</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6.09</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6.08, 6.10</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311 (a)</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6.13(a)</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6.13(b)</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312 (a)</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7.01, 7.02(a)</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7.02(b)</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7.02(c)</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313 (a)</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7.03(a)</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7.03(b)</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7.03(a)</w:t>
            </w: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7.03(c)</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314 (a)</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7.04, 12.02</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(c)(1)</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1.02</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(c)(2)</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1.02</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88"/>
              </w:rPr>
              <w:t>15.04(a), 15.05</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(e)</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1.02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315 (a)</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6.01(a),</w:t>
            </w: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6.01(c)</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6.02,</w:t>
            </w: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7.03(a)(7)</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6.01(b)</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(d)(1)</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6.01(a)</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(d)(2)</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6.01(c)(2)</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(d)(3)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6.01(c)(3)</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(e)</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5.14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316 (a)(1)(A)</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5.02, 5.12</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(a)(1)(B)</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5.13</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(a)(2)</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5.08</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 )</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Not Applicable</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 317 (a)(1)</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5.03</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(a)(2)</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5.04</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12.04</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Sec. 318</w:t>
            </w:r>
          </w:p>
        </w:tc>
        <w:tc>
          <w:tcPr>
            <w:tcW w:w="4040" w:type="dxa"/>
            <w:vAlign w:val="bottom"/>
            <w:gridSpan w:val="4"/>
          </w:tcPr>
          <w:p>
            <w:pPr>
              <w:ind w:left="2940"/>
              <w:spacing w:after="0"/>
              <w:rPr>
                <w:sz w:val="20"/>
                <w:szCs w:val="20"/>
                <w:color w:val="auto"/>
              </w:rPr>
            </w:pPr>
            <w:r>
              <w:rPr>
                <w:rFonts w:ascii="Arial" w:cs="Arial" w:eastAsia="Arial" w:hAnsi="Arial"/>
                <w:sz w:val="18"/>
                <w:szCs w:val="18"/>
                <w:color w:val="auto"/>
              </w:rPr>
              <w:t>1.06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142" w:name="page143"/>
    <w:bookmarkEnd w:id="142"/>
    <w:p>
      <w:pPr>
        <w:ind w:left="460"/>
        <w:spacing w:after="0"/>
        <w:tabs>
          <w:tab w:leader="none" w:pos="3240" w:val="left"/>
          <w:tab w:leader="none" w:pos="3740" w:val="left"/>
        </w:tabs>
        <w:rPr>
          <w:sz w:val="20"/>
          <w:szCs w:val="20"/>
          <w:color w:val="auto"/>
        </w:rPr>
      </w:pPr>
      <w:r>
        <w:rPr>
          <w:rFonts w:ascii="Arial" w:cs="Arial" w:eastAsia="Arial" w:hAnsi="Arial"/>
          <w:sz w:val="18"/>
          <w:szCs w:val="18"/>
          <w:color w:val="auto"/>
        </w:rPr>
        <w:t>INDENTURE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between THE SCOTTS MIRACLE-GRO COMPANY, an Ohio corporation (hereinafter called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-10160</wp:posOffset>
            </wp:positionV>
            <wp:extent cx="8858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“Company”), having its principal executive office at 14111 Scottslawn Road, Marysville, Ohio 43041, each of the Guarantors from time to time party hereto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Arial" w:cs="Arial" w:eastAsia="Arial" w:hAnsi="Arial"/>
                <w:sz w:val="18"/>
                <w:szCs w:val="18"/>
                <w:color w:val="auto"/>
                <w:w w:val="91"/>
              </w:rPr>
              <w:t>in respect of a particular series of Debt Securities (as defined below) and</w:t>
            </w:r>
          </w:p>
        </w:tc>
        <w:tc>
          <w:tcPr>
            <w:tcW w:w="1800" w:type="dxa"/>
            <w:vAlign w:val="bottom"/>
            <w:tcBorders>
              <w:bottom w:val="single" w:sz="8" w:color="auto"/>
            </w:tcBorders>
          </w:tcPr>
          <w:p>
            <w:pPr>
              <w:spacing w:after="0"/>
              <w:rPr>
                <w:sz w:val="17"/>
                <w:szCs w:val="17"/>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w w:val="91"/>
              </w:rPr>
              <w:t>(hereinafter called the “Trustee”), having its Corporate</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w w:val="95"/>
              </w:rPr>
              <w:t>Trust Office at</w:t>
            </w:r>
          </w:p>
        </w:tc>
        <w:tc>
          <w:tcPr>
            <w:tcW w:w="1800" w:type="dxa"/>
            <w:vAlign w:val="bottom"/>
            <w:tcBorders>
              <w:bottom w:val="single" w:sz="8" w:color="auto"/>
            </w:tcBorders>
          </w:tcPr>
          <w:p>
            <w:pPr>
              <w:spacing w:after="0"/>
              <w:rPr>
                <w:sz w:val="17"/>
                <w:szCs w:val="17"/>
                <w:color w:val="auto"/>
              </w:rPr>
            </w:pPr>
          </w:p>
        </w:tc>
        <w:tc>
          <w:tcPr>
            <w:tcW w:w="2400" w:type="dxa"/>
            <w:vAlign w:val="bottom"/>
          </w:tcPr>
          <w:p>
            <w:pPr>
              <w:jc w:val="right"/>
              <w:ind w:right="2310"/>
              <w:spacing w:after="0"/>
              <w:rPr>
                <w:sz w:val="20"/>
                <w:szCs w:val="20"/>
                <w:color w:val="auto"/>
              </w:rPr>
            </w:pPr>
            <w:r>
              <w:rPr>
                <w:rFonts w:ascii="Arial" w:cs="Arial" w:eastAsia="Arial" w:hAnsi="Arial"/>
                <w:sz w:val="10"/>
                <w:szCs w:val="10"/>
                <w:color w:val="auto"/>
                <w:w w:val="70"/>
              </w:rPr>
              <w:t>.</w:t>
            </w:r>
          </w:p>
        </w:tc>
        <w:tc>
          <w:tcPr>
            <w:tcW w:w="1800" w:type="dxa"/>
            <w:vAlign w:val="bottom"/>
          </w:tcPr>
          <w:p>
            <w:pPr>
              <w:spacing w:after="0"/>
              <w:rPr>
                <w:sz w:val="17"/>
                <w:szCs w:val="17"/>
                <w:color w:val="auto"/>
              </w:rPr>
            </w:pPr>
          </w:p>
        </w:tc>
        <w:tc>
          <w:tcPr>
            <w:tcW w:w="3980" w:type="dxa"/>
            <w:vAlign w:val="bottom"/>
          </w:tcPr>
          <w:p>
            <w:pPr>
              <w:spacing w:after="0"/>
              <w:rPr>
                <w:sz w:val="17"/>
                <w:szCs w:val="17"/>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 OF THE COMPANY</w:t>
      </w:r>
    </w:p>
    <w:p>
      <w:pPr>
        <w:spacing w:after="0" w:line="117"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and subordinated debentures, notes, bonds or other evidences of indebtedness (herein generally called the “Debt Securities”), to be issued in one or more series, as in this Indenture provided.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things necessary have been done to make this Indenture a valid agreement of the Company, in accordance with its terms.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For and in consideration of the premises and the purchase of Debt Securities by the Holders thereof, it is mutually covenanted and agreed, for the equal and proportionate benefit of all Holders of Debt Securities or of Debt Securities of any series, as follows:</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ONE</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DEFINITIONS AND OTHER PROVISIONS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GENERAL APPLICATION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940" w:hanging="257"/>
        <w:spacing w:after="0"/>
        <w:tabs>
          <w:tab w:leader="none" w:pos="9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right="260" w:firstLine="683"/>
        <w:spacing w:after="0" w:line="277" w:lineRule="auto"/>
        <w:tabs>
          <w:tab w:leader="none" w:pos="9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ind w:right="60" w:firstLine="683"/>
        <w:spacing w:after="0" w:line="272" w:lineRule="auto"/>
        <w:tabs>
          <w:tab w:leader="none" w:pos="93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all accounting terms not otherwise defined herein have the meanings assigned to them in accordance with generally accepted accounting principles or as provided with respect to any series of Debt Securities, and, except as otherwise herein provided or as provided with respect to any series of Debt Securities, the term “generally accepted accounting principles” or “GAAP” with respect to any computation required or permitted hereunder with respect to any series of Debt Securities, shall mean such as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of the United States which are in effect as of the issuance date of such series of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ind w:right="480" w:firstLine="683"/>
        <w:spacing w:after="0" w:line="277" w:lineRule="auto"/>
        <w:tabs>
          <w:tab w:leader="none" w:pos="9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Certain terms, used principally in Article Three or Article Six, are defined in those respective Articles.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Holder, has the meaning specified in Section 8.01.</w:t>
      </w:r>
    </w:p>
    <w:p>
      <w:pPr>
        <w:spacing w:after="0" w:line="117" w:lineRule="exact"/>
        <w:rPr>
          <w:sz w:val="20"/>
          <w:szCs w:val="20"/>
          <w:color w:val="auto"/>
        </w:rPr>
      </w:pPr>
    </w:p>
    <w:p>
      <w:pPr>
        <w:ind w:left="240" w:firstLine="225"/>
        <w:spacing w:after="0" w:line="25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the purposes of this definition, the terms “controlling,” “controlled by,” and “under common control with” shall have correlative meanings.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“Authenticating Agent” has the meaning specified in Section 6.14.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 as to any Person, the board of directors of such Person or any duly authorized committee thereof.</w:t>
      </w:r>
    </w:p>
    <w:p>
      <w:pPr>
        <w:spacing w:after="0" w:line="117" w:lineRule="exact"/>
        <w:rPr>
          <w:sz w:val="20"/>
          <w:szCs w:val="20"/>
          <w:color w:val="auto"/>
        </w:rPr>
      </w:pPr>
    </w:p>
    <w:p>
      <w:pPr>
        <w:jc w:val="both"/>
        <w:ind w:left="240" w:firstLine="225"/>
        <w:spacing w:after="0" w:line="342" w:lineRule="auto"/>
        <w:rPr>
          <w:sz w:val="20"/>
          <w:szCs w:val="20"/>
          <w:color w:val="auto"/>
        </w:rPr>
      </w:pPr>
      <w:r>
        <w:rPr>
          <w:rFonts w:ascii="Arial" w:cs="Arial" w:eastAsia="Arial" w:hAnsi="Arial"/>
          <w:sz w:val="16"/>
          <w:szCs w:val="16"/>
          <w:color w:val="auto"/>
        </w:rPr>
        <w:t>“Board Resolution”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spacing w:after="0" w:line="16" w:lineRule="exact"/>
        <w:rPr>
          <w:sz w:val="20"/>
          <w:szCs w:val="20"/>
          <w:color w:val="auto"/>
        </w:rPr>
      </w:pPr>
    </w:p>
    <w:p>
      <w:pPr>
        <w:ind w:left="240" w:right="160" w:firstLine="225"/>
        <w:spacing w:after="0" w:line="277" w:lineRule="auto"/>
        <w:rPr>
          <w:sz w:val="20"/>
          <w:szCs w:val="20"/>
          <w:color w:val="auto"/>
        </w:rPr>
      </w:pPr>
      <w:r>
        <w:rPr>
          <w:rFonts w:ascii="Arial" w:cs="Arial" w:eastAsia="Arial" w:hAnsi="Arial"/>
          <w:sz w:val="18"/>
          <w:szCs w:val="18"/>
          <w:color w:val="auto"/>
        </w:rPr>
        <w:t>“Business Day” means a day other than a Saturday, Sunday or other day on which banking institutions in New York are authorized or required by law to close.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117" w:lineRule="exact"/>
        <w:rPr>
          <w:sz w:val="20"/>
          <w:szCs w:val="20"/>
          <w:color w:val="auto"/>
        </w:rPr>
      </w:pPr>
    </w:p>
    <w:p>
      <w:pPr>
        <w:ind w:left="940" w:hanging="254"/>
        <w:spacing w:after="0"/>
        <w:tabs>
          <w:tab w:leader="none" w:pos="9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240" w:right="240" w:firstLine="446"/>
        <w:spacing w:after="0" w:line="277" w:lineRule="auto"/>
        <w:tabs>
          <w:tab w:leader="none" w:pos="94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940" w:hanging="254"/>
        <w:spacing w:after="0"/>
        <w:tabs>
          <w:tab w:leader="none" w:pos="9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17" w:lineRule="exact"/>
        <w:rPr>
          <w:rFonts w:ascii="Arial" w:cs="Arial" w:eastAsia="Arial" w:hAnsi="Arial"/>
          <w:sz w:val="18"/>
          <w:szCs w:val="18"/>
          <w:color w:val="auto"/>
        </w:rPr>
      </w:pPr>
    </w:p>
    <w:p>
      <w:pPr>
        <w:ind w:left="240" w:right="400" w:firstLine="446"/>
        <w:spacing w:after="0" w:line="277" w:lineRule="auto"/>
        <w:tabs>
          <w:tab w:leader="none" w:pos="94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62" w:lineRule="exact"/>
        <w:rPr>
          <w:sz w:val="20"/>
          <w:szCs w:val="20"/>
          <w:color w:val="auto"/>
        </w:rPr>
      </w:pPr>
    </w:p>
    <w:p>
      <w:pPr>
        <w:ind w:left="240" w:firstLine="225"/>
        <w:spacing w:after="0" w:line="255" w:lineRule="auto"/>
        <w:rPr>
          <w:sz w:val="20"/>
          <w:szCs w:val="20"/>
          <w:color w:val="auto"/>
        </w:rPr>
      </w:pPr>
      <w:r>
        <w:rPr>
          <w:rFonts w:ascii="Arial" w:cs="Arial" w:eastAsia="Arial" w:hAnsi="Arial"/>
          <w:sz w:val="18"/>
          <w:szCs w:val="18"/>
          <w:color w:val="auto"/>
        </w:rPr>
        <w:t>“Closing Price” of the Common Shares shall mean the last reported sale price of such shares (regular way) as shown on the Composite Tape of the New York Stock Exchange (or, if such shares are not listed or admitted to trading on the New York Stock Exchange, on the principal national securities exchange on which such shares are listed or admitted to trading), or, in case no such sale takes place on such day, the average of the closing bid and asked prices on the New York Stock Exchange (or, if such shares are not listed or admitted to trading on the New York Stock Exchange, on the principal national securities exchange on which such shares are listed or admitted to trading), or, if it is not listed or admitted to trading on any national securities exchange, the average of the closing bid and asked prices as reported by The NASDAQ Stock Market, or if such shares are not so reported, the average of the closing bid and asked prices as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4" w:name="page145"/>
    <w:bookmarkEnd w:id="144"/>
    <w:p>
      <w:pPr>
        <w:ind w:left="240"/>
        <w:spacing w:after="0"/>
        <w:rPr>
          <w:sz w:val="20"/>
          <w:szCs w:val="20"/>
          <w:color w:val="auto"/>
        </w:rPr>
      </w:pPr>
      <w:r>
        <w:rPr>
          <w:rFonts w:ascii="Arial" w:cs="Arial" w:eastAsia="Arial" w:hAnsi="Arial"/>
          <w:sz w:val="18"/>
          <w:szCs w:val="18"/>
          <w:color w:val="auto"/>
        </w:rPr>
        <w:t>furnished by any member of the Financial Industry Regulatory Authority, Inc., selected from time to time by the Company for that purpose.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117" w:lineRule="exact"/>
        <w:rPr>
          <w:sz w:val="20"/>
          <w:szCs w:val="20"/>
          <w:color w:val="auto"/>
        </w:rPr>
      </w:pPr>
    </w:p>
    <w:p>
      <w:pPr>
        <w:ind w:left="240" w:right="60" w:firstLine="225"/>
        <w:spacing w:after="0" w:line="264"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on such date.</w:t>
      </w:r>
    </w:p>
    <w:p>
      <w:pPr>
        <w:spacing w:after="0" w:line="73" w:lineRule="exact"/>
        <w:rPr>
          <w:sz w:val="20"/>
          <w:szCs w:val="20"/>
          <w:color w:val="auto"/>
        </w:rPr>
      </w:pPr>
    </w:p>
    <w:p>
      <w:pPr>
        <w:jc w:val="both"/>
        <w:ind w:left="240" w:right="140" w:firstLine="225"/>
        <w:spacing w:after="0" w:line="264" w:lineRule="auto"/>
        <w:rPr>
          <w:sz w:val="20"/>
          <w:szCs w:val="20"/>
          <w:color w:val="auto"/>
        </w:rPr>
      </w:pPr>
      <w:r>
        <w:rPr>
          <w:rFonts w:ascii="Arial" w:cs="Arial" w:eastAsia="Arial" w:hAnsi="Arial"/>
          <w:sz w:val="18"/>
          <w:szCs w:val="18"/>
          <w:color w:val="auto"/>
        </w:rPr>
        <w:t>“Common Shares” shall mean the Common Shares, without par value, of the Company authorized at the date of this Indenture as originally signed, or any other class of stock resulting from successive changes or reclassifications of such Common Shares, and in any such case including any shares thereof authorized after the date of this Indenture.</w:t>
      </w:r>
    </w:p>
    <w:p>
      <w:pPr>
        <w:spacing w:after="0" w:line="73" w:lineRule="exact"/>
        <w:rPr>
          <w:sz w:val="20"/>
          <w:szCs w:val="20"/>
          <w:color w:val="auto"/>
        </w:rPr>
      </w:pPr>
    </w:p>
    <w:p>
      <w:pPr>
        <w:ind w:left="240" w:right="520" w:firstLine="225"/>
        <w:spacing w:after="0" w:line="308" w:lineRule="auto"/>
        <w:rPr>
          <w:sz w:val="20"/>
          <w:szCs w:val="20"/>
          <w:color w:val="auto"/>
        </w:rPr>
      </w:pPr>
      <w:r>
        <w:rPr>
          <w:rFonts w:ascii="Arial" w:cs="Arial" w:eastAsia="Arial" w:hAnsi="Arial"/>
          <w:sz w:val="17"/>
          <w:szCs w:val="17"/>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38" w:lineRule="exact"/>
        <w:rPr>
          <w:sz w:val="20"/>
          <w:szCs w:val="20"/>
          <w:color w:val="auto"/>
        </w:rPr>
      </w:pPr>
    </w:p>
    <w:p>
      <w:pPr>
        <w:ind w:left="240" w:right="60" w:firstLine="225"/>
        <w:spacing w:after="0" w:line="286" w:lineRule="auto"/>
        <w:rPr>
          <w:sz w:val="20"/>
          <w:szCs w:val="20"/>
          <w:color w:val="auto"/>
        </w:rPr>
      </w:pPr>
      <w:r>
        <w:rPr>
          <w:rFonts w:ascii="Arial" w:cs="Arial" w:eastAsia="Arial" w:hAnsi="Arial"/>
          <w:sz w:val="17"/>
          <w:szCs w:val="17"/>
          <w:color w:val="auto"/>
        </w:rPr>
        <w:t>“Company Request” and “Company Order” mean, respectively, a written request or order signed in the name of the Company by the Chairman of the Board of Directors, the Chief Executive Officer, the President, the Chief Financial Officer or a Vice President and by the Treasurer, an Assistant Treasurer, the Controller, an Assistant Controller, the Secretary or an Assistant Secretary of the Company, and delivered to the Trustee.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 Currency” has the meaning specified in Section 3.10(h).</w:t>
      </w:r>
    </w:p>
    <w:p>
      <w:pPr>
        <w:spacing w:after="0" w:line="117" w:lineRule="exact"/>
        <w:rPr>
          <w:sz w:val="20"/>
          <w:szCs w:val="20"/>
          <w:color w:val="auto"/>
        </w:rPr>
      </w:pPr>
    </w:p>
    <w:p>
      <w:pPr>
        <w:ind w:left="240" w:right="240" w:firstLine="225"/>
        <w:spacing w:after="0" w:line="259" w:lineRule="auto"/>
        <w:rPr>
          <w:sz w:val="20"/>
          <w:szCs w:val="20"/>
          <w:color w:val="auto"/>
        </w:rPr>
      </w:pPr>
      <w:r>
        <w:rPr>
          <w:rFonts w:ascii="Arial" w:cs="Arial" w:eastAsia="Arial" w:hAnsi="Arial"/>
          <w:sz w:val="18"/>
          <w:szCs w:val="18"/>
          <w:color w:val="auto"/>
        </w:rPr>
        <w:t>“Conversion Agent” means any Person authorized by the Company to receive Debt Securities to be converted into Common Shares on behalf of the Company. The Company initially authorizes the Trustee to act as Conversion Agent for the Debt Securities on its behalf. The Company may at any time from time to time authorize one or more Persons to act as Conversion Agent in addition to or in place of the Trustee with respect to any series of Debt Securities issued under this Indenture.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Date” has the meaning specified in Section 3.10(d).</w:t>
      </w:r>
    </w:p>
    <w:p>
      <w:pPr>
        <w:spacing w:after="0" w:line="117" w:lineRule="exact"/>
        <w:rPr>
          <w:sz w:val="20"/>
          <w:szCs w:val="20"/>
          <w:color w:val="auto"/>
        </w:rPr>
      </w:pPr>
    </w:p>
    <w:p>
      <w:pPr>
        <w:ind w:left="240" w:right="220" w:firstLine="225"/>
        <w:spacing w:after="0" w:line="264" w:lineRule="auto"/>
        <w:rPr>
          <w:sz w:val="20"/>
          <w:szCs w:val="20"/>
          <w:color w:val="auto"/>
        </w:rPr>
      </w:pPr>
      <w:r>
        <w:rPr>
          <w:rFonts w:ascii="Arial" w:cs="Arial" w:eastAsia="Arial" w:hAnsi="Arial"/>
          <w:sz w:val="18"/>
          <w:szCs w:val="18"/>
          <w:color w:val="auto"/>
        </w:rPr>
        <w:t>“Conversion Event” means the cessation of (i) a Foreign Currency to be used both by the government of the country which issued such Currency and for the settlement of transactions by public institutions of or within the international banking community or (ii) any Currency unit to be used for the purposes for which it was established.</w:t>
      </w:r>
    </w:p>
    <w:p>
      <w:pPr>
        <w:spacing w:after="0" w:line="73" w:lineRule="exact"/>
        <w:rPr>
          <w:sz w:val="20"/>
          <w:szCs w:val="20"/>
          <w:color w:val="auto"/>
        </w:rPr>
      </w:pPr>
    </w:p>
    <w:p>
      <w:pPr>
        <w:ind w:left="240" w:right="20" w:firstLine="225"/>
        <w:spacing w:after="0" w:line="264" w:lineRule="auto"/>
        <w:rPr>
          <w:sz w:val="20"/>
          <w:szCs w:val="20"/>
          <w:color w:val="auto"/>
        </w:rPr>
      </w:pPr>
      <w:r>
        <w:rPr>
          <w:rFonts w:ascii="Arial" w:cs="Arial" w:eastAsia="Arial" w:hAnsi="Arial"/>
          <w:sz w:val="18"/>
          <w:szCs w:val="18"/>
          <w:color w:val="auto"/>
        </w:rPr>
        <w:t>“Conversion Price” means, with respect to any series of Debt Securities which are convertible into Common Shares, the price per share of Common Shares at which the Debt Securities of such series are so convertible pursuant to Section 3.01 with respect to such series, as the same may be adjusted from time to time in accordance with Section 17.03.</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“Corporate Trust Office” means the principal corporate trust office of the Trustee at which at any particular time its corporate trust business shall be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jc w:val="right"/>
              <w:spacing w:after="0"/>
              <w:rPr>
                <w:sz w:val="20"/>
                <w:szCs w:val="20"/>
                <w:color w:val="auto"/>
              </w:rPr>
            </w:pPr>
            <w:r>
              <w:rPr>
                <w:rFonts w:ascii="Arial" w:cs="Arial" w:eastAsia="Arial" w:hAnsi="Arial"/>
                <w:sz w:val="18"/>
                <w:szCs w:val="18"/>
                <w:color w:val="auto"/>
                <w:w w:val="94"/>
              </w:rPr>
              <w:t>administered, which office at the date of execution of this instrument is located at</w:t>
            </w:r>
          </w:p>
        </w:tc>
        <w:tc>
          <w:tcPr>
            <w:tcW w:w="5280" w:type="dxa"/>
            <w:vAlign w:val="bottom"/>
            <w:gridSpan w:val="2"/>
          </w:tcPr>
          <w:p>
            <w:pPr>
              <w:jc w:val="right"/>
              <w:ind w:right="4320"/>
              <w:spacing w:after="0"/>
              <w:rPr>
                <w:sz w:val="20"/>
                <w:szCs w:val="20"/>
                <w:color w:val="auto"/>
              </w:rPr>
            </w:pPr>
            <w:r>
              <w:rPr>
                <w:rFonts w:ascii="Arial" w:cs="Arial" w:eastAsia="Arial" w:hAnsi="Arial"/>
                <w:sz w:val="18"/>
                <w:szCs w:val="18"/>
                <w:color w:val="auto"/>
              </w:rPr>
              <w:t>.</w:t>
            </w:r>
          </w:p>
        </w:tc>
      </w:tr>
      <w:tr>
        <w:trPr>
          <w:trHeight w:val="345"/>
        </w:trPr>
        <w:tc>
          <w:tcPr>
            <w:tcW w:w="6140" w:type="dxa"/>
            <w:vAlign w:val="bottom"/>
          </w:tcPr>
          <w:p>
            <w:pPr>
              <w:jc w:val="right"/>
              <w:ind w:right="2130"/>
              <w:spacing w:after="0"/>
              <w:rPr>
                <w:sz w:val="20"/>
                <w:szCs w:val="20"/>
                <w:color w:val="auto"/>
              </w:rPr>
            </w:pPr>
            <w:r>
              <w:rPr>
                <w:rFonts w:ascii="Arial" w:cs="Arial" w:eastAsia="Arial" w:hAnsi="Arial"/>
                <w:sz w:val="18"/>
                <w:szCs w:val="18"/>
                <w:color w:val="auto"/>
              </w:rPr>
              <w:t>“Currency” means Dollars or Foreign Currency.</w:t>
            </w:r>
          </w:p>
        </w:tc>
        <w:tc>
          <w:tcPr>
            <w:tcW w:w="90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05"/>
        </w:trPr>
        <w:tc>
          <w:tcPr>
            <w:tcW w:w="614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26"/>
        </w:trPr>
        <w:tc>
          <w:tcPr>
            <w:tcW w:w="6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5" w:name="page146"/>
    <w:bookmarkEnd w:id="145"/>
    <w:p>
      <w:pPr>
        <w:ind w:right="240" w:firstLine="225"/>
        <w:spacing w:after="0" w:line="279" w:lineRule="auto"/>
        <w:rPr>
          <w:sz w:val="20"/>
          <w:szCs w:val="20"/>
          <w:color w:val="auto"/>
        </w:rPr>
      </w:pPr>
      <w:r>
        <w:rPr>
          <w:rFonts w:ascii="Arial" w:cs="Arial" w:eastAsia="Arial" w:hAnsi="Arial"/>
          <w:sz w:val="17"/>
          <w:szCs w:val="17"/>
          <w:color w:val="auto"/>
        </w:rPr>
        <w:t>“Currency Determination Agent” means the agent, if any, from time to time selected by the Trustee for purposes of Section 3.10; provided that such agent shall accept such appointment in writing and the terms of such appointment shall be acceptable to the Company and shall, in the opinion of the Company and the Trustee at the time of such appointment, require such agent to make the determinations required by this Indenture by a method consistent with the method provided in this Indenture for the making of such decision or determination.</w:t>
      </w:r>
    </w:p>
    <w:p>
      <w:pPr>
        <w:spacing w:after="0" w:line="6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“Current Market Price” on any date shall mean the average of the daily Closing Prices per share of Common Shares for any thirty (30) consecutive Trading Days selected by the Company prior to the date in question, which thirty (30) consecutive Trading Day period shall not commence more than forty-five (45) Trading Days prior to the day in question; provided that with respect to Section 17.03(3), the “Current Market Price” of the Common Shares shall mean the average of the daily Closing Prices per share of Common Shares for the five (5) consecutive Trading Days ending on the date of the distribution referred to in Section 17.03(3) (or if such date shall not be a Trading Day, on the Trading Day immediately preceding such date).</w:t>
      </w:r>
    </w:p>
    <w:p>
      <w:pPr>
        <w:spacing w:after="0" w:line="50"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“Debt Securities” has the meaning stated in the first recital of this Indenture and more particularly means any Debt Securities (including any Global Notes) authenticated and delivered under this Indenture.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“Depositary” means, with respect to the Debt Securities of any series issuable or issued in the form of one or more Global Notes,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Debt Securities of any such series shall mean the Depositary with respect to the Global Notes of that series.</w:t>
      </w:r>
    </w:p>
    <w:p>
      <w:pPr>
        <w:spacing w:after="0" w:line="8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“Discount Security” means any Debt Security which is issued with “original issue discount” within the meaning of Section 1273(a) of the Code (or any successor provision) and the regulations thereunder.</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“Dollar” or “$” means a dollar or other equivalent unit in such coin or currency of the United States as at the time of payment is legal tender for the payment of public and private debts.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“Dollar Equivalent of the Currency Unit” has the meaning specified in Section 3.10(g).</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“Dollar Equivalent of the Foreign Currency” has the meaning specified in Section 3.10(f).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“Election Date” has the meaning specified in Section 3.10(h).</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“Event of Default” has the meaning specified in Section 5.01.</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46" w:name="page147"/>
    <w:bookmarkEnd w:id="146"/>
    <w:p>
      <w:pPr>
        <w:ind w:right="160" w:firstLine="225"/>
        <w:spacing w:after="0" w:line="257" w:lineRule="auto"/>
        <w:rPr>
          <w:sz w:val="20"/>
          <w:szCs w:val="20"/>
          <w:color w:val="auto"/>
        </w:rPr>
      </w:pPr>
      <w:r>
        <w:rPr>
          <w:rFonts w:ascii="Arial" w:cs="Arial" w:eastAsia="Arial" w:hAnsi="Arial"/>
          <w:sz w:val="18"/>
          <w:szCs w:val="18"/>
          <w:color w:val="auto"/>
        </w:rPr>
        <w:t>“Exchange Rate Officer’s Certificate” means a telex or a certificate setting forth (i) the applicable Market Exchange Rate and (ii) the Dollar, Foreign Currency or Currency unit amounts of principal, premium, if any, and any interest respectively (on an aggregate basis and on the basis of a Debt Security having the lowest denomination principal amount determined in accordance with Section 3.02 in the relevant Currency or Currency unit), payable on the basis of such Market Exchange Rate sent (in the case of a telex) or signed (in the case of a certificate) by the Treasurer or any Assistant Treasurer of the Company.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“Fixed Rate Security” means a Debt Security which provides for the payment of interest at a fixed rate.</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“Floating Rate Security” means a Debt Security which provides for the payment of interest at a variable rate determined periodically by reference to an interest rate index or any other index specified pursuant to Section 3.01.</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“Foreign Currency” means any coin, currency, currency unit or composite currency, including, without limitation, the euro, issued by the government of one or more countries other than the United States, or by any internationally recognized union, confederation or association of such governments.</w:t>
      </w:r>
    </w:p>
    <w:p>
      <w:pPr>
        <w:spacing w:after="0" w:line="16"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“Global Note” means with respect to any series of Debt Securities issued hereunder, a Debt Security (in either temporary or permanent form) which is executed by the Company and authenticated and delivered by the Trustee to the Depositary or pursuant to the Depositary’s instruction, all in accordance with this Indenture and any indentures supplemental hereto, or resolution of the Board of Directors and set forth in an Officer’s Certificate, which shall be registered in the name of the Depositary or its nominee and which shall represent, and shall be denominated in an amount equal to the aggregate principal amount of, all the Outstanding Debt Securities of such series or any portion thereof, in either case having the same terms, including, without limitation, the same original issue date, date or dates on which principal is due and interest rate or method of determining interest.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“Guarantee” means the guarantee of Debt Securities of any applicable series by each Guarantor thereof under this Indenture.</w:t>
      </w:r>
    </w:p>
    <w:p>
      <w:pPr>
        <w:spacing w:after="0" w:line="117"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“Guarantors” means with respect to any series of Debt Securities, (i) the Company’s Subsidiaries signatory to the supplemental indenture with respect thereto or specified in the Officers’ Certificate with respect to such series as the initial Guarantors of such series, and (ii) each of the Company’s Subsidiaries that becomes a Guarantor of such series of Debt Securities pursuant to the provisions of this Indenture, in each case, until released from its Guarantee pursuant to the provisions of this Indenture and the terms of such series of Debt Securities.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“Holder,” “Holder of Debt Securities” or other similar terms means, with respect to a Debt Security, the Registered Holder.</w:t>
      </w:r>
    </w:p>
    <w:p>
      <w:pPr>
        <w:spacing w:after="0" w:line="117" w:lineRule="exact"/>
        <w:rPr>
          <w:sz w:val="20"/>
          <w:szCs w:val="20"/>
          <w:color w:val="auto"/>
        </w:rPr>
      </w:pPr>
    </w:p>
    <w:p>
      <w:pPr>
        <w:jc w:val="both"/>
        <w:ind w:right="540" w:firstLine="225"/>
        <w:spacing w:after="0" w:line="264"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pursuant to the applicable provisions hereof and, unless the context otherwise requires, shall include the terms of a particular series of Debt Securities as established pursuant to Section 3.01.</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47" w:name="page148"/>
    <w:bookmarkEnd w:id="147"/>
    <w:p>
      <w:pPr>
        <w:ind w:right="40" w:firstLine="222"/>
        <w:spacing w:after="0" w:line="277" w:lineRule="auto"/>
        <w:rPr>
          <w:sz w:val="20"/>
          <w:szCs w:val="20"/>
          <w:color w:val="auto"/>
        </w:rPr>
      </w:pPr>
      <w:r>
        <w:rPr>
          <w:rFonts w:ascii="Arial" w:cs="Arial" w:eastAsia="Arial" w:hAnsi="Arial"/>
          <w:sz w:val="18"/>
          <w:szCs w:val="18"/>
          <w:color w:val="auto"/>
        </w:rPr>
        <w:t>The term “interest,” when used with respect to a Discount Security which by its terms bears interest only on a certain date, means interest payable after such date.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Payment Date” with respect to any Debt Security means the Stated Maturity of an installment of interest on such Debt Security.</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“Market Exchange Rate” means the noon Dollar buying rate in The City of New York for cable transfers of such currency or currencies as published by the Federal Reserve Bank of New York as of the most recent available date. If such Market Exchange Rate is not available for any reason with respect to such currency, the Trustee shall use, in its sole discretion and without liability on its part, such quotation of the Federal Reserve Bank of New York or quotations from one or more major banks in The City of New York or in the country of issue of the currency in question, which for purposes of the euro shall be any member state of the European Union that has adopted the euro, as the Trustee shall deem appropriate.</w:t>
      </w:r>
    </w:p>
    <w:p>
      <w:pPr>
        <w:spacing w:after="0" w:line="5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“Maturity” when used with respect to any Debt Security means the date on which the principal of such Debt Security or an installment of principal becomes due and payable as therein or herein provided, whether at the Stated Maturity or by declaration of acceleration, call for redemption, repayment or repurchase at the option of the Holder thereof or otherwise.</w:t>
      </w:r>
    </w:p>
    <w:p>
      <w:pPr>
        <w:spacing w:after="0" w:line="7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“Officers’ Certificate” means a certificate signed by the Chairman of the Board of Directors, the Chief Executive Officer, the President, the Chief Financial Officer or a Vice President, and by the Treasurer, an Assistant Treasurer, the Controller, an Assistant Controller, the Secretary or an Assistant Secretary of the Company, and delivered to the Trustee.</w:t>
      </w:r>
    </w:p>
    <w:p>
      <w:pPr>
        <w:spacing w:after="0" w:line="7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“Opinion of Counsel” means a written opinion from legal counsel, who may be internal counsel for the Company, or who is otherwise reasonably acceptable to the Trustee, complying with the terms of this Indenture to the Trustee.</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“Outstanding” when used with respect to Debt Securities, means, as of the date of determination, all Debt Securities theretofore authenticated and delivered under this Indenture, except:</w:t>
      </w:r>
    </w:p>
    <w:p>
      <w:pPr>
        <w:spacing w:after="0" w:line="62" w:lineRule="exact"/>
        <w:rPr>
          <w:sz w:val="20"/>
          <w:szCs w:val="20"/>
          <w:color w:val="auto"/>
        </w:rPr>
      </w:pPr>
    </w:p>
    <w:p>
      <w:pPr>
        <w:ind w:left="660" w:hanging="214"/>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Debt Securities theretofore cancelled by the Trustee or delivered to the Trustee for cancellation;</w:t>
      </w:r>
    </w:p>
    <w:p>
      <w:pPr>
        <w:spacing w:after="0" w:line="117" w:lineRule="exact"/>
        <w:rPr>
          <w:rFonts w:ascii="Arial" w:cs="Arial" w:eastAsia="Arial" w:hAnsi="Arial"/>
          <w:sz w:val="18"/>
          <w:szCs w:val="18"/>
          <w:color w:val="auto"/>
        </w:rPr>
      </w:pPr>
    </w:p>
    <w:p>
      <w:pPr>
        <w:ind w:right="20" w:firstLine="446"/>
        <w:spacing w:after="0" w:line="279" w:lineRule="auto"/>
        <w:tabs>
          <w:tab w:leader="none" w:pos="71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Debt Securities for whose redemption money in the necessary amount has been theretofore deposited with the Trustee or any Paying Agent (other than the Company) in trust or set aside and segregated in trust by the Company (if the Company shall act as its own Paying Agent) for the Holders of such Debt Securities; provided, however, that if such Debt Securities are to be redeemed notice of such redemption has been duly given pursuant to this Indenture or provision therefor satisfactory to the Trustee has been made and the date for such redemption has passed; and</w:t>
      </w:r>
    </w:p>
    <w:p>
      <w:pPr>
        <w:spacing w:after="0" w:line="63" w:lineRule="exact"/>
        <w:rPr>
          <w:rFonts w:ascii="Arial" w:cs="Arial" w:eastAsia="Arial" w:hAnsi="Arial"/>
          <w:sz w:val="17"/>
          <w:szCs w:val="17"/>
          <w:color w:val="auto"/>
        </w:rPr>
      </w:pPr>
    </w:p>
    <w:p>
      <w:pPr>
        <w:ind w:right="40" w:firstLine="446"/>
        <w:spacing w:after="0" w:line="259" w:lineRule="auto"/>
        <w:tabs>
          <w:tab w:leader="none" w:pos="76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Debt Securities which have been paid pursuant to Section 3.06 or in exchange for or in lieu of which other Debt Securities have been authenticated and delivered pursuant to this Indenture, other than any such Debt Securities in respect of which there shall have been presented to the Trustee proof satisfactory to it that such Debt Securities are held by a bona fide purchaser in whose hands such Debt Securities are valid obligations of the Company;</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48" w:name="page149"/>
    <w:bookmarkEnd w:id="148"/>
    <w:p>
      <w:pPr>
        <w:spacing w:after="0" w:line="283" w:lineRule="auto"/>
        <w:rPr>
          <w:sz w:val="20"/>
          <w:szCs w:val="20"/>
          <w:color w:val="auto"/>
        </w:rPr>
      </w:pPr>
      <w:r>
        <w:rPr>
          <w:rFonts w:ascii="Arial" w:cs="Arial" w:eastAsia="Arial" w:hAnsi="Arial"/>
          <w:sz w:val="16"/>
          <w:szCs w:val="16"/>
          <w:color w:val="auto"/>
        </w:rPr>
        <w:t>provided, however, that in determining whether the Holders of the requisite principal amount of Debt Securities Outstanding have performed any Act hereunder, Debt Securities owned by the Company or any other obligor upon the Debt Securities or any Affiliate of the Company or of such other obligor shall be disregarded and deemed not to be Outstanding (provided, that in connection with any offer by the Company or any obligor to purchase Debt Securities, Debt Securities rendered by a Holder shall be Outstanding until the date of purchase), except that, in determining whether the Trustee shall be protected in relying upon any such Act, only Debt Securities which the Trustee knows to be so owned shall be so disregarded. Debt Securities so owned which have been pledged in good faith may be regarded as Outstanding if the pledgee establishes to the satisfaction of the Trustee the pledgee’s right to act with respect to such Debt Securities and that the pledgee is not the Company or any other obligor upon the Debt Securities or any Affiliate of the Company or of such other obligor. In determining whether the Holders of the requisite principal amount of Outstanding Debt Securities have performed any Act hereunder, the principal amount of a Discount Security that shall be deemed to be Outstanding for such purpose shall be the amount of the principal thereof that would be due and payable as of the date of such determination upon a declaration of acceleration of the Maturity thereof pursuant to</w:t>
      </w:r>
    </w:p>
    <w:p>
      <w:pPr>
        <w:spacing w:after="0" w:line="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5.02 and the principal amount of a Debt Security denominated in a Foreign Currency that shall be deemed to be Outstanding for such purpose shall be the amount calculated pursuant to Section 3.10(j).</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“Overdue Rate” when used with respect to any series of the Debt Securities, means the rate designated as such in or pursuant to the Board Resolution or the supplemental indenture, as the case may be, relating to such series as contemplated by Section 3.01.</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(and premium, if any) or interest on any Debt Securities on behalf of the Company.</w:t>
      </w:r>
    </w:p>
    <w:p>
      <w:pPr>
        <w:spacing w:after="0" w:line="62" w:lineRule="exact"/>
        <w:rPr>
          <w:sz w:val="20"/>
          <w:szCs w:val="20"/>
          <w:color w:val="auto"/>
        </w:rPr>
      </w:pPr>
    </w:p>
    <w:p>
      <w:pPr>
        <w:jc w:val="both"/>
        <w:ind w:right="580" w:firstLine="225"/>
        <w:spacing w:after="0" w:line="264"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joint-stock company, trust, estate,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“Place of Payment” when used with respect to the Debt Securities of any series means the place or places where the principal of (and premium, if any) and interest on the Debt Securities of that series are payable as specified pursuant to Section 3.01.</w:t>
      </w:r>
    </w:p>
    <w:p>
      <w:pPr>
        <w:spacing w:after="0" w:line="62"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“Predecessor Security” of any particular Debt Security means every previous Debt Security evidencing all or a portion of the same debt as that evidenced by such particular Debt Security; and, for the purposes of this definition, any Debt Security authenticated and delivered under Section 3.06 in lieu of a mutilated, lost, destroyed or stolen Debt Security shall be deemed to evidence the same debt as the mutilated, lost, destroyed or stolen Debt Security.</w:t>
      </w:r>
    </w:p>
    <w:p>
      <w:pPr>
        <w:spacing w:after="0" w:line="79"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“Redemption Date” when used with respect to any Debt Security to be redeemed, means the date fixed for redemption by or pursuant to this Indenture, including pursuant to the Board Resolution or supplemental indenture relating to such Debt Security as contemplated by Section 3.01.</w:t>
      </w:r>
    </w:p>
    <w:p>
      <w:pPr>
        <w:spacing w:after="0" w:line="3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“Redemption Price” means, in the case of a Discount Security, the amount of the principal thereof that would be due and payable as of the Redemption Date upon a declaration of acceleration of the Maturity thereof pursuant to Section 5.02, and in the case of any other Debt</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Security, the principal amount thereof, plus, in each case, premium, if any, and accrued and unpaid interest, if any, to the Redemption Date.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“Register” and “Registrar” have the respective meanings specified in Section 3.05(a).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“Registered Holder” means the Person in whose name a Registered Security is registered in the Register.</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“Registered Security” means any Debt Security in the form established pursuant to Section 2.01 which is registered as to principal and interest in the Register.</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“Regular Record Date” for the interest payable on the Registered Securities of any series on any Interest Payment Date means the date specified for the purpose pursuant to Section 3.01 for such Interest Payment Date.</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“Responsible Officer” when used with respect to the Trustee means any vice president, the secretary, any assistant secretary or any assistant vice president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79" w:lineRule="exact"/>
        <w:rPr>
          <w:sz w:val="20"/>
          <w:szCs w:val="20"/>
          <w:color w:val="auto"/>
        </w:rPr>
      </w:pPr>
    </w:p>
    <w:p>
      <w:pPr>
        <w:ind w:right="280" w:firstLine="225"/>
        <w:spacing w:after="0" w:line="257" w:lineRule="auto"/>
        <w:rPr>
          <w:sz w:val="20"/>
          <w:szCs w:val="20"/>
          <w:color w:val="auto"/>
        </w:rPr>
      </w:pPr>
      <w:r>
        <w:rPr>
          <w:rFonts w:ascii="Arial" w:cs="Arial" w:eastAsia="Arial" w:hAnsi="Arial"/>
          <w:sz w:val="18"/>
          <w:szCs w:val="18"/>
          <w:color w:val="auto"/>
        </w:rPr>
        <w:t>“Senior Indebtedness” means, with respect to the Company, the principal of (and premium, if any) and unpaid interest on (i) indebtedness of the Company, whether outstanding on the date of this Indenture or thereafter created, incurred, assumed or guaranteed, for money borrowed (other than the indebtedness evidenced by the Debt Securities of any series), unless in the instrument creating or evidencing the same or pursuant to which the same is outstanding it is provided that such indebtedness is not senior or prior in right of payment to the Debt Securities, and (ii) renewals, extensions, modifications and refundings of any such indebtedness.</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“Senior Guarantor Indebtedness” means, with respect to any Guarantor, the principal of (and premium, if any) and unpaid interest on (i) indebtedness of such Guarantor, whether outstanding on the date of this Indenture or thereafter created, incurred, assumed or guaranteed, for money borrowed, unless in the instrument creating or evidencing the same or pursuant to which the same is outstanding it is provided that such indebtedness is not senior or prior in right of payment to such Guarantor’s Guarantee of the Debt Securities, and (ii) renewals, extensions, modifications and refunding of any such indebtedness. Notwithstanding the foregoing, “Senior Guarantor Indebtedness” shall not include: (i) any liability for federal, state, local or other taxes owed or owing by such Guarantor; (ii) any Indebtedness of such Guarantor to any of its Subsidiaries or Affiliates; (iii) any trade payables; or (iv) any Indebtedness that is incurred in violation of this Indenture.</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“Specified Amount” has the meaning specified in Section 3.10(h).</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“Stated Maturity” when used with respect to any Debt Security or any installment of principal thereof or premium thereon or interest thereon means the date specified in such Debt Security as the date on which the principal of such Debt Security or such installment of principal, premium or interest is due and payable.</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50" w:name="page151"/>
    <w:bookmarkEnd w:id="150"/>
    <w:p>
      <w:pPr>
        <w:ind w:left="220"/>
        <w:spacing w:after="0"/>
        <w:rPr>
          <w:sz w:val="20"/>
          <w:szCs w:val="20"/>
          <w:color w:val="auto"/>
        </w:rPr>
      </w:pPr>
      <w:r>
        <w:rPr>
          <w:rFonts w:ascii="Arial" w:cs="Arial" w:eastAsia="Arial" w:hAnsi="Arial"/>
          <w:sz w:val="18"/>
          <w:szCs w:val="18"/>
          <w:color w:val="auto"/>
        </w:rPr>
        <w:t>“Subsidiary” means, with respect to any Person:</w:t>
      </w:r>
    </w:p>
    <w:p>
      <w:pPr>
        <w:spacing w:after="0" w:line="117" w:lineRule="exact"/>
        <w:rPr>
          <w:sz w:val="20"/>
          <w:szCs w:val="20"/>
          <w:color w:val="auto"/>
        </w:rPr>
      </w:pPr>
    </w:p>
    <w:p>
      <w:pPr>
        <w:ind w:right="120" w:firstLine="446"/>
        <w:spacing w:after="0" w:line="312" w:lineRule="auto"/>
        <w:tabs>
          <w:tab w:leader="none" w:pos="70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38" w:lineRule="exact"/>
        <w:rPr>
          <w:rFonts w:ascii="Arial" w:cs="Arial" w:eastAsia="Arial" w:hAnsi="Arial"/>
          <w:sz w:val="16"/>
          <w:szCs w:val="16"/>
          <w:color w:val="auto"/>
        </w:rPr>
      </w:pPr>
    </w:p>
    <w:p>
      <w:pPr>
        <w:ind w:right="340" w:firstLine="446"/>
        <w:spacing w:after="0" w:line="308" w:lineRule="auto"/>
        <w:tabs>
          <w:tab w:leader="none" w:pos="70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38"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“Trading Day” shall mean, with respect to the Common Shares, so long as the Common Shares are listed or admitted to trading on the New York Stock Exchange, a day on which the New York Stock Exchange is open for the transaction of business, or, if the Common Shares are not listed or admitted to trading on the New York Stock Exchange, a day on which the principal national securities exchange on which the Common Shares are listed is open for the transaction of business, or, if the Common Shares are not so listed or admitted for trading on any national securities exchange, a day on which NASDAQ is open for the transaction of business.</w:t>
      </w:r>
    </w:p>
    <w:p>
      <w:pPr>
        <w:spacing w:after="0" w:line="8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Debt Securities of any series shall mean the Trustee with respect to Debt Securities of such series.</w:t>
      </w:r>
    </w:p>
    <w:p>
      <w:pPr>
        <w:spacing w:after="0" w:line="7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“Trust Indenture Act” means the Trust Indenture Act of 1939 as amended and as in force at the date as of which this instrument was executed, and, to the extent required by law, as amended.</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“United States” means the United States of America (including the States and the District of Columbia), and its possessions, which include Puerto Rico, the U.S. Virgin Islands, Guam, American Samoa, Wake Island and the Northern Mariana Islands.</w:t>
      </w:r>
    </w:p>
    <w:p>
      <w:pPr>
        <w:spacing w:after="0" w:line="6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 xml:space="preserve">“U.S.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which, in either case under clauses (i) or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“Valuation Date” has the meaning specified in Section 3.10(c).</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51" w:name="page152"/>
    <w:bookmarkEnd w:id="151"/>
    <w:p>
      <w:pPr>
        <w:ind w:left="240" w:right="60" w:firstLine="225"/>
        <w:spacing w:after="0" w:line="277" w:lineRule="auto"/>
        <w:rPr>
          <w:sz w:val="20"/>
          <w:szCs w:val="20"/>
          <w:color w:val="auto"/>
        </w:rPr>
      </w:pPr>
      <w:r>
        <w:rPr>
          <w:rFonts w:ascii="Arial" w:cs="Arial" w:eastAsia="Arial" w:hAnsi="Arial"/>
          <w:sz w:val="18"/>
          <w:szCs w:val="18"/>
          <w:color w:val="auto"/>
        </w:rPr>
        <w:t>“Vice President” includes with respect to the Company and the Trustee, any Vice President of the Company or the Trustee, as the case may be, whether or not designated by a number or word or words added before or after the title “Vice President.”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76" w:lineRule="auto"/>
        <w:rPr>
          <w:sz w:val="20"/>
          <w:szCs w:val="20"/>
          <w:color w:val="auto"/>
        </w:rPr>
      </w:pPr>
      <w:r>
        <w:rPr>
          <w:rFonts w:ascii="Arial" w:cs="Arial" w:eastAsia="Arial" w:hAnsi="Arial"/>
          <w:sz w:val="17"/>
          <w:szCs w:val="17"/>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64"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certificates provided pursuant to Section 12.02) shall include:</w:t>
      </w:r>
    </w:p>
    <w:p>
      <w:pPr>
        <w:spacing w:after="0" w:line="62" w:lineRule="exact"/>
        <w:rPr>
          <w:sz w:val="20"/>
          <w:szCs w:val="20"/>
          <w:color w:val="auto"/>
        </w:rPr>
      </w:pPr>
    </w:p>
    <w:p>
      <w:pPr>
        <w:ind w:left="940" w:hanging="257"/>
        <w:spacing w:after="0"/>
        <w:tabs>
          <w:tab w:leader="none" w:pos="9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 thereto;</w:t>
      </w:r>
    </w:p>
    <w:p>
      <w:pPr>
        <w:spacing w:after="0" w:line="140" w:lineRule="exact"/>
        <w:rPr>
          <w:rFonts w:ascii="Arial" w:cs="Arial" w:eastAsia="Arial" w:hAnsi="Arial"/>
          <w:sz w:val="16"/>
          <w:szCs w:val="16"/>
          <w:color w:val="auto"/>
        </w:rPr>
      </w:pPr>
    </w:p>
    <w:p>
      <w:pPr>
        <w:ind w:right="700" w:firstLine="683"/>
        <w:spacing w:after="0" w:line="277" w:lineRule="auto"/>
        <w:tabs>
          <w:tab w:leader="none" w:pos="93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180" w:firstLine="683"/>
        <w:spacing w:after="0" w:line="277" w:lineRule="auto"/>
        <w:tabs>
          <w:tab w:leader="none" w:pos="93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7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2" w:name="page153"/>
    <w:bookmarkEnd w:id="152"/>
    <w:p>
      <w:pPr>
        <w:ind w:right="700" w:firstLine="447"/>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Act of Holders or other document provided or permitted by this Indenture to be made upon, given or furnished to, or filed with,</w:t>
      </w:r>
    </w:p>
    <w:p>
      <w:pPr>
        <w:spacing w:after="0" w:line="117" w:lineRule="exact"/>
        <w:rPr>
          <w:sz w:val="20"/>
          <w:szCs w:val="20"/>
          <w:color w:val="auto"/>
        </w:rPr>
      </w:pPr>
    </w:p>
    <w:p>
      <w:pPr>
        <w:ind w:right="320" w:firstLine="683"/>
        <w:spacing w:after="0" w:line="308" w:lineRule="auto"/>
        <w:tabs>
          <w:tab w:leader="none" w:pos="93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Trustee by any Holder or by the Company shall be sufficient for every purpose hereunder (unless otherwise herein expressly provided) if made, given, furnished or filed in writing to or with the Trustee at its Corporate Trust Office, Attention: Corporate Trust Department, or</w:t>
      </w:r>
    </w:p>
    <w:p>
      <w:pPr>
        <w:spacing w:after="0" w:line="38" w:lineRule="exact"/>
        <w:rPr>
          <w:rFonts w:ascii="Arial" w:cs="Arial" w:eastAsia="Arial" w:hAnsi="Arial"/>
          <w:sz w:val="17"/>
          <w:szCs w:val="17"/>
          <w:color w:val="auto"/>
        </w:rPr>
      </w:pPr>
    </w:p>
    <w:p>
      <w:pPr>
        <w:ind w:firstLine="683"/>
        <w:spacing w:after="0" w:line="259" w:lineRule="auto"/>
        <w:tabs>
          <w:tab w:leader="none" w:pos="93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or airmail postage prepaid if sent from outside the United States, to the Company addressed to it at the address of its principal office specified in the first paragraph of this instrument, to the attention of its Treasurer, or at any other address previously furnished in writing to the Trustee by the Company.</w:t>
      </w:r>
    </w:p>
    <w:p>
      <w:pPr>
        <w:spacing w:after="0" w:line="7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Any such Act or other document shall be in the English language, except that any published notice may be in an official language of the country of publication.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117" w:lineRule="exact"/>
        <w:rPr>
          <w:sz w:val="20"/>
          <w:szCs w:val="20"/>
          <w:color w:val="auto"/>
        </w:rPr>
      </w:pPr>
    </w:p>
    <w:p>
      <w:pPr>
        <w:ind w:right="100" w:firstLine="447"/>
        <w:spacing w:after="0" w:line="302" w:lineRule="auto"/>
        <w:rPr>
          <w:sz w:val="20"/>
          <w:szCs w:val="20"/>
          <w:color w:val="auto"/>
        </w:rPr>
      </w:pPr>
      <w:r>
        <w:rPr>
          <w:rFonts w:ascii="Arial" w:cs="Arial" w:eastAsia="Arial" w:hAnsi="Arial"/>
          <w:sz w:val="16"/>
          <w:szCs w:val="16"/>
          <w:color w:val="auto"/>
        </w:rPr>
        <w:t xml:space="preserve">When this Indenture provides for notice to Holders of any event, such notice shall be sufficiently given to Registered Holders (unless otherwise herein expressly provided) if in writing and mailed, first-class postage prepaid, to such Registered Holders as their names and addresses appear in the Register, within the time prescribed;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case, any notice to Holders of Floating Rate Securities regarding the determination of a periodic rate of interest, if such notice is required pursuant to Section 3.01, shall be sufficiently given if given in the manner specified pursuant to Section 3.01.</w:t>
      </w:r>
    </w:p>
    <w:p>
      <w:pPr>
        <w:spacing w:after="0" w:line="46"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In the event of suspension of regular mail service or by reason of any other cause it shall be impracticable to give notice by mail, such notification as shall be given with the approval of the Trustee shall constitute sufficient notice for every purpose hereunder.</w:t>
      </w:r>
    </w:p>
    <w:p>
      <w:pPr>
        <w:spacing w:after="0" w:line="62" w:lineRule="exact"/>
        <w:rPr>
          <w:sz w:val="20"/>
          <w:szCs w:val="20"/>
          <w:color w:val="auto"/>
        </w:rPr>
      </w:pPr>
    </w:p>
    <w:p>
      <w:pPr>
        <w:ind w:right="20" w:firstLine="447"/>
        <w:spacing w:after="0" w:line="291" w:lineRule="auto"/>
        <w:rPr>
          <w:sz w:val="20"/>
          <w:szCs w:val="20"/>
          <w:color w:val="auto"/>
        </w:rPr>
      </w:pPr>
      <w:r>
        <w:rPr>
          <w:rFonts w:ascii="Arial" w:cs="Arial" w:eastAsia="Arial" w:hAnsi="Arial"/>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which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which is published in the manner herein provided shall be conclusively presumed to have been duly given.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If any provision hereof limits, qualifies or conflicts with the duties imposed on any Person by the provisions of Sections 310 to 317, inclusive, of the Trust Indenture Act, such imposed duties shall control.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Article and Section headings herein and in the Table of Contents are for convenience only and shall not affect the construction hereof.</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All covenants and agreements in this Indenture by the parties hereto shall bind their respective successors and assigns and inure to the benefit of their permitted successors and assigns, whether so expressed or not.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In case any provision in this Indenture or in the Debt Securities shall be invalid, illegal or unenforceable, the validity, legality and enforceability of the remaining provisions shall not in any way be affected or impaired thereby.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308" w:lineRule="auto"/>
        <w:rPr>
          <w:sz w:val="20"/>
          <w:szCs w:val="20"/>
          <w:color w:val="auto"/>
        </w:rPr>
      </w:pPr>
      <w:r>
        <w:rPr>
          <w:rFonts w:ascii="Arial" w:cs="Arial" w:eastAsia="Arial" w:hAnsi="Arial"/>
          <w:sz w:val="17"/>
          <w:szCs w:val="17"/>
          <w:color w:val="auto"/>
        </w:rPr>
        <w:t>Nothing in this Indenture or in the Debt Securities, express or implied, shall give to any Person, other than the parties hereto, any Registrar, any Paying Agent and their successors hereunder, and the Holders, any benefit or any legal or equitable right, remedy or claim under this Indenture.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Indenture and the Debt Securities shall be governed by and construed in accordance with the laws of the State of New York.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Unless otherwise specified pursuant to Section 3.01 or in any Debt Security, in any case where any Interest Payment Date, Redemption Date or Stated Maturity of any Debt Security of any series shall not be a Business Day at any Place of Payment for the Debt Securities of that series, then (notwithstanding any other provision of this Indenture or of the Debt Securities) payment of principal (and premium, if any) or interest need not be made at such Place of Payment on such date, but may be made on the next succeeding Business Day at such Place of Payment with the same force and effect as if made on the Interest Payment Date, Redemption Date or at the Stated Maturity, and no interest shall accrue on the amount so payable for the period from and after such Interest Payment Date, Redemption Date or Stated Maturity, as the case may be, to such Business Day if such payment is made or duly provided for on such Business Day.</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Security Interest Created</w:t>
      </w:r>
      <w:r>
        <w:rPr>
          <w:rFonts w:ascii="Arial" w:cs="Arial" w:eastAsia="Arial" w:hAnsi="Arial"/>
          <w:sz w:val="18"/>
          <w:szCs w:val="18"/>
          <w:color w:val="auto"/>
        </w:rPr>
        <w:t>.</w:t>
      </w:r>
    </w:p>
    <w:p>
      <w:pPr>
        <w:spacing w:after="0" w:line="117" w:lineRule="exact"/>
        <w:rPr>
          <w:sz w:val="20"/>
          <w:szCs w:val="20"/>
          <w:color w:val="auto"/>
        </w:rPr>
      </w:pPr>
    </w:p>
    <w:p>
      <w:pPr>
        <w:ind w:right="840" w:firstLine="450"/>
        <w:spacing w:after="0" w:line="277" w:lineRule="auto"/>
        <w:rPr>
          <w:sz w:val="20"/>
          <w:szCs w:val="20"/>
          <w:color w:val="auto"/>
        </w:rPr>
      </w:pPr>
      <w:r>
        <w:rPr>
          <w:rFonts w:ascii="Arial" w:cs="Arial" w:eastAsia="Arial" w:hAnsi="Arial"/>
          <w:sz w:val="18"/>
          <w:szCs w:val="18"/>
          <w:color w:val="auto"/>
        </w:rPr>
        <w:t>Nothing in this Indenture or in the Debt Securities, express or implied, shall be construed to constitute a security interest under the Uniform Commercial Code or similar legislation, as now or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hereafter enacted and in effect in any jurisdiction where property of the Company or its Subsidiaries is or may be located.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Liability Solely Corporate</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No recourse shall be had for the payment of the principal of (or premium, if any) or the interest on any Debt Securities, or any part thereof, or of the indebtedness represented thereby, or upon any obligation, covenant or agreement of this Indenture, against any incorporator, or against any shareholder, officer or director, as such, past, present or future, of the Company (or any incorporator, shareholder, officer or director of any predecessor or successor corporation), either directly or through the Company (or any such predecessor or successor corporation), whether by virtue of any constitution, statute or rule of law, or by the enforcement of any assessment or penalty or otherwise; it being expressly agreed and understood that this Indenture and all the Debt Securities are solely corporate obligations, and that no personal liability whatsoever shall attach to, or be incurred by, any such incorporator, shareholder, officer or director, past, present or future, of the Company (or any incorporator, shareholder, officer or director of any such predecessor or successor corporation), either directly or indirectly through the Company or any such predecessor or successor corporation, because of the indebtedness hereby authorized or under or by reason of any of the obligations, covenants, promises or agreements contained in this Indenture or in any of the Debt Securities or to be implied herefrom or therefrom; and that any such personal liability is hereby expressly waived and released as a condition of, and as part of the consideration for, the execution of this Indenture and the issue of Debt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or in the Debt Securities contained shall be taken to prevent recourse to and the enforcement of the liability, if any, of any shareholder or subscriber to capital stock upon or in respect of the shares of capital stock not fully paid.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DEBT SECURITY FORMS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89" w:lineRule="auto"/>
        <w:rPr>
          <w:sz w:val="20"/>
          <w:szCs w:val="20"/>
          <w:color w:val="auto"/>
        </w:rPr>
      </w:pPr>
      <w:r>
        <w:rPr>
          <w:rFonts w:ascii="Arial" w:cs="Arial" w:eastAsia="Arial" w:hAnsi="Arial"/>
          <w:sz w:val="16"/>
          <w:szCs w:val="16"/>
          <w:color w:val="auto"/>
        </w:rPr>
        <w:t>The Debt Securities (and any related Guarantees) of each series shall be substantially in one of the forms (including global form) established in or pursuant to a Board Resolution or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Debt Securities may be listed, or to conform to usage, all as determined by the officers executing such Debt Securities as conclusively evidenced by their execution of such Debt Securities. If the form of a series of Debt Securities (or any Global Note) is established in or pursuant to a Board Resolution, a copy of such Board Resolution shall be delivered to the Trustee, together with an Officers’ Certificate setting forth the form of such series, at or prior to the delivery of the Company Order contemplated by Section 3.03 for the authentication and delivery of such Debt Securities (or any such Global Note).</w:t>
      </w:r>
    </w:p>
    <w:p>
      <w:pPr>
        <w:spacing w:after="0" w:line="59"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The definitive Debt Securities (and any related Guarantees) of each series shall be printed, lithographed or engraved or produced by any combination of these methods on steel engraved borders or may be produced in any other manner, all as determined by the officers executing such Debt Securities, as conclusively evidenced by their execution of such Debt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form of the Trustee’s certificate of authentication to be borne by the Debt Securities shall be substantially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TRUSTEE’S CERTIFICATE OF 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series of Debt Securities issued under the within 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246380</wp:posOffset>
            </wp:positionV>
            <wp:extent cx="29502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50210"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495300</wp:posOffset>
            </wp:positionV>
            <wp:extent cx="29502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2744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Authorized Signatory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Securities in Global Form</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color w:val="auto"/>
        </w:rPr>
        <w:t>If any Debt Security of a series is issuable in the form of a Global Note, such Global Note may provide that it shall represent the aggregate amount of Outstanding Debt Securities from time to time endorsed thereon and may also provide that the aggregate amount of Outstanding Debt Securities represented thereby may from time to time be reduced to reflect exchanges. Any endorsement of a Global Note to reflect the amount, or any increase or decrease in the amount, of Outstanding Debt Securities represented thereby shall be made by the Trustee and in such manner as shall be specified in such Global Note. Any instructions by the Company with respect to a Global Note, after its initial issuance, shall be in writing but need not comply with Section 1.02.</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Notes may be issued in either temporary or permanent form. Permanent Global Notes will be issued in definitive form.</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THREE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DEBT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Debt Securities which may be authenticated and delivered under this Indenture is unlimited.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Debt Securities may be issued in one or more series. There shall be established in or pursuant to a Board Resolution and (subject to Section 3.03)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set forth in an Officers’ Certificate, or established in one or more indentures supplemental hereto, prior to the issuance of Debt Securities of any series:</w:t>
      </w:r>
    </w:p>
    <w:p>
      <w:pPr>
        <w:spacing w:after="0" w:line="126" w:lineRule="exact"/>
        <w:rPr>
          <w:sz w:val="20"/>
          <w:szCs w:val="20"/>
          <w:color w:val="auto"/>
        </w:rPr>
      </w:pPr>
    </w:p>
    <w:p>
      <w:pPr>
        <w:ind w:left="940" w:hanging="257"/>
        <w:spacing w:after="0"/>
        <w:tabs>
          <w:tab w:leader="none" w:pos="9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title of the Debt Securities of the series (which shall distinguish the Debt Securities of such series from all other series of Debt Securities);</w:t>
      </w:r>
    </w:p>
    <w:p>
      <w:pPr>
        <w:spacing w:after="0" w:line="140" w:lineRule="exact"/>
        <w:rPr>
          <w:rFonts w:ascii="Arial" w:cs="Arial" w:eastAsia="Arial" w:hAnsi="Arial"/>
          <w:sz w:val="16"/>
          <w:szCs w:val="16"/>
          <w:color w:val="auto"/>
        </w:rPr>
      </w:pPr>
    </w:p>
    <w:p>
      <w:pPr>
        <w:ind w:right="100" w:firstLine="683"/>
        <w:spacing w:after="0" w:line="277" w:lineRule="auto"/>
        <w:tabs>
          <w:tab w:leader="none" w:pos="93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aggregate principal amount of such series of Debt Securities and any limit, on the aggregate principal amount of the Debt Securities of the series which may be authenticated</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56" w:name="page157"/>
    <w:bookmarkEnd w:id="156"/>
    <w:p>
      <w:pPr>
        <w:ind w:right="560"/>
        <w:spacing w:after="0" w:line="277" w:lineRule="auto"/>
        <w:rPr>
          <w:sz w:val="20"/>
          <w:szCs w:val="20"/>
          <w:color w:val="auto"/>
        </w:rPr>
      </w:pPr>
      <w:r>
        <w:rPr>
          <w:rFonts w:ascii="Arial" w:cs="Arial" w:eastAsia="Arial" w:hAnsi="Arial"/>
          <w:sz w:val="18"/>
          <w:szCs w:val="18"/>
          <w:color w:val="auto"/>
        </w:rPr>
        <w:t>and delivered under this Indenture (except for Debt Securities authenticated and delivered upon transfer of, or in exchange for, or in lieu of, other Debt Securities of such series pursuant to Sections 3.04, 3.05, 3.06, 11.06 or 13.07);</w:t>
      </w:r>
    </w:p>
    <w:p>
      <w:pPr>
        <w:spacing w:after="0" w:line="62" w:lineRule="exact"/>
        <w:rPr>
          <w:sz w:val="20"/>
          <w:szCs w:val="20"/>
          <w:color w:val="auto"/>
        </w:rPr>
      </w:pPr>
    </w:p>
    <w:p>
      <w:pPr>
        <w:jc w:val="both"/>
        <w:ind w:right="120" w:firstLine="683"/>
        <w:spacing w:after="0" w:line="264" w:lineRule="auto"/>
        <w:tabs>
          <w:tab w:leader="none" w:pos="9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Debt Securities of such series will be issued and, if other than the principal amount thereof, the portion of the principal amount thereof payable upon declaration of acceleration of the maturity or upon redemption thereof or the method by which such portion shall be determined;</w:t>
      </w:r>
    </w:p>
    <w:p>
      <w:pPr>
        <w:spacing w:after="0" w:line="73" w:lineRule="exact"/>
        <w:rPr>
          <w:rFonts w:ascii="Arial" w:cs="Arial" w:eastAsia="Arial" w:hAnsi="Arial"/>
          <w:sz w:val="18"/>
          <w:szCs w:val="18"/>
          <w:color w:val="auto"/>
        </w:rPr>
      </w:pPr>
    </w:p>
    <w:p>
      <w:pPr>
        <w:jc w:val="both"/>
        <w:ind w:right="100" w:firstLine="683"/>
        <w:spacing w:after="0" w:line="259" w:lineRule="auto"/>
        <w:tabs>
          <w:tab w:leader="none" w:pos="9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date or dates on which or periods during which the Debt Securities of the series may be issued, and the date or dates or the method by which such date or dates will be determined, on which the principal of (and premium, if any, on) the Debt Securities of such series are or may be payable (which, if so provided in such Board Resolution or supplemental indenture, may be determined by the Company from time to time as set forth in the Debt Securities of the series issued from time to time);</w:t>
      </w:r>
    </w:p>
    <w:p>
      <w:pPr>
        <w:spacing w:after="0" w:line="78" w:lineRule="exact"/>
        <w:rPr>
          <w:rFonts w:ascii="Arial" w:cs="Arial" w:eastAsia="Arial" w:hAnsi="Arial"/>
          <w:sz w:val="18"/>
          <w:szCs w:val="18"/>
          <w:color w:val="auto"/>
        </w:rPr>
      </w:pPr>
    </w:p>
    <w:p>
      <w:pPr>
        <w:ind w:right="80" w:firstLine="683"/>
        <w:spacing w:after="0" w:line="291" w:lineRule="auto"/>
        <w:tabs>
          <w:tab w:leader="none" w:pos="93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rate or rates (which may be variable or fixed) at which the Debt Securities of the series shall bear interest, if any, or the method by which such rate or rates shall be determined, the date or dates from which such interest, if any, shall accrue or the method by which such date or dates shall be determined (which, in either case or both, if so provided in such Board Resolution or supplemental indenture, may be determined by the Company from time to time and set forth in the Debt Securities of the series issued from time to time); and the Interest Payment Dates on which such interest shall be payable (or the method of determination thereof), and the Regular Record Dates, if any, for the interest payable on such Interest Payment Dates and the notice, if any, to Holders regarding the determination of interest, the manner of giving such notice, the basis upon which interest shall be calculated if other than that of a 360-day year of twelve 30-day months and any conditions or contingencies as to the payment of interest in cash or otherwise, if any;</w:t>
      </w:r>
    </w:p>
    <w:p>
      <w:pPr>
        <w:spacing w:after="0" w:line="59" w:lineRule="exact"/>
        <w:rPr>
          <w:rFonts w:ascii="Arial" w:cs="Arial" w:eastAsia="Arial" w:hAnsi="Arial"/>
          <w:sz w:val="16"/>
          <w:szCs w:val="16"/>
          <w:color w:val="auto"/>
        </w:rPr>
      </w:pPr>
    </w:p>
    <w:p>
      <w:pPr>
        <w:ind w:right="40" w:firstLine="683"/>
        <w:spacing w:after="0" w:line="257" w:lineRule="auto"/>
        <w:tabs>
          <w:tab w:leader="none" w:pos="9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place or places, if any, in addition to or instead of the Corporate Trust Office of the Trustee, where the principal of (and premium, if any) and interest on Debt Securities of the series shall be payable; the extent to which, or the manner in which, any interest payable on any Global Note on an Interest Payment Date will be paid, if other than in the manner provided in Section 3.07; and the manner in which any principal of, or premium, if any, on, any Global Note will be paid, if other than as set forth elsewhere herein and whether any Global Note will require any notation to evidence payment of principal or interest;</w:t>
      </w:r>
    </w:p>
    <w:p>
      <w:pPr>
        <w:spacing w:after="0" w:line="80" w:lineRule="exact"/>
        <w:rPr>
          <w:rFonts w:ascii="Arial" w:cs="Arial" w:eastAsia="Arial" w:hAnsi="Arial"/>
          <w:sz w:val="18"/>
          <w:szCs w:val="18"/>
          <w:color w:val="auto"/>
        </w:rPr>
      </w:pPr>
    </w:p>
    <w:p>
      <w:pPr>
        <w:ind w:right="20" w:firstLine="683"/>
        <w:spacing w:after="0" w:line="259" w:lineRule="auto"/>
        <w:tabs>
          <w:tab w:leader="none" w:pos="9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purchase or offer to purchase Debt Securities of the series pursuant to any mandatory redemption, sinking fund or analogous provisions or upon other conditions or at the option of the Holder thereof and the period or periods within which or the dates on which, the prices at which and the terms and conditions upon which the Debt Securities of the series shall be redeemed, repaid, purchased or offered to be purchased, in whole or in part, pursuant to such obligation;</w:t>
      </w:r>
    </w:p>
    <w:p>
      <w:pPr>
        <w:spacing w:after="0" w:line="78" w:lineRule="exact"/>
        <w:rPr>
          <w:rFonts w:ascii="Arial" w:cs="Arial" w:eastAsia="Arial" w:hAnsi="Arial"/>
          <w:sz w:val="18"/>
          <w:szCs w:val="18"/>
          <w:color w:val="auto"/>
        </w:rPr>
      </w:pPr>
    </w:p>
    <w:p>
      <w:pPr>
        <w:ind w:firstLine="683"/>
        <w:spacing w:after="0" w:line="264" w:lineRule="auto"/>
        <w:tabs>
          <w:tab w:leader="none" w:pos="9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 if any, of the Company to redeem the Debt Securities of such series at its option and the period or periods within which, or the date or dates on which, the price or prices at which, and the terms and conditions upon which such Debt Securities may be redeemed, if any, in whole or in part, at the option of the Company or otherwise;</w:t>
      </w:r>
    </w:p>
    <w:p>
      <w:pPr>
        <w:spacing w:after="0" w:line="73" w:lineRule="exact"/>
        <w:rPr>
          <w:rFonts w:ascii="Arial" w:cs="Arial" w:eastAsia="Arial" w:hAnsi="Arial"/>
          <w:sz w:val="18"/>
          <w:szCs w:val="18"/>
          <w:color w:val="auto"/>
        </w:rPr>
      </w:pPr>
    </w:p>
    <w:p>
      <w:pPr>
        <w:ind w:right="1100" w:firstLine="683"/>
        <w:spacing w:after="0" w:line="277" w:lineRule="auto"/>
        <w:tabs>
          <w:tab w:leader="none" w:pos="9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Currency in which the Debt Securities shall be issuable is in Dollars, the denominations of such Debt Securities if other than denominations of $2,000 and any integral multiples of $1,000 in excess thereof (except as provided in Section 3.04);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7" w:name="page158"/>
    <w:bookmarkEnd w:id="157"/>
    <w:p>
      <w:pPr>
        <w:ind w:right="80" w:firstLine="683"/>
        <w:spacing w:after="0" w:line="264"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whether the Debt Securities of the series are to be issued as Discount Securities and the amount of discount with which such Debt Securities may be issued and, if other than the principal amount thereof, the portion of the principal amount of Debt Securities of the series which shall be payable upon declaration of acceleration of the Maturity thereof pursuant to Section 5.02;</w:t>
      </w:r>
    </w:p>
    <w:p>
      <w:pPr>
        <w:spacing w:after="0" w:line="73" w:lineRule="exact"/>
        <w:rPr>
          <w:rFonts w:ascii="Arial" w:cs="Arial" w:eastAsia="Arial" w:hAnsi="Arial"/>
          <w:sz w:val="18"/>
          <w:szCs w:val="18"/>
          <w:color w:val="auto"/>
        </w:rPr>
      </w:pPr>
    </w:p>
    <w:p>
      <w:pPr>
        <w:ind w:left="1020" w:hanging="337"/>
        <w:spacing w:after="0"/>
        <w:tabs>
          <w:tab w:leader="none" w:pos="10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provisions, if any, for the defeasance or discharge of certain of the Company’s obligations with respect to Debt Securities of the series;</w:t>
      </w:r>
    </w:p>
    <w:p>
      <w:pPr>
        <w:spacing w:after="0" w:line="128" w:lineRule="exact"/>
        <w:rPr>
          <w:rFonts w:ascii="Arial" w:cs="Arial" w:eastAsia="Arial" w:hAnsi="Arial"/>
          <w:sz w:val="17"/>
          <w:szCs w:val="17"/>
          <w:color w:val="auto"/>
        </w:rPr>
      </w:pPr>
    </w:p>
    <w:p>
      <w:pPr>
        <w:ind w:left="1020" w:hanging="337"/>
        <w:spacing w:after="0"/>
        <w:tabs>
          <w:tab w:leader="none" w:pos="10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whether provisions for payment of additional amounts or tax redemptions shall apply and, if such provisions shall apply, such provisions;</w:t>
      </w:r>
    </w:p>
    <w:p>
      <w:pPr>
        <w:spacing w:after="0" w:line="128" w:lineRule="exact"/>
        <w:rPr>
          <w:rFonts w:ascii="Arial" w:cs="Arial" w:eastAsia="Arial" w:hAnsi="Arial"/>
          <w:sz w:val="17"/>
          <w:szCs w:val="17"/>
          <w:color w:val="auto"/>
        </w:rPr>
      </w:pPr>
    </w:p>
    <w:p>
      <w:pPr>
        <w:jc w:val="both"/>
        <w:ind w:right="260" w:firstLine="683"/>
        <w:spacing w:after="0" w:line="259"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other than Dollars, the Foreign Currency or Currencies in which Debt Securities of the series shall be denominated or in which payment of the principal of (and premium, if any) and interest on the Debt Securities of the series may be made, and the particular provisions applicable thereto and, if applicable, the amount of Debt Securities of the series which entitles the Holder of a Debt Security of the series or its proxy to one vote for purposes of Section 9.05;</w:t>
      </w:r>
    </w:p>
    <w:p>
      <w:pPr>
        <w:spacing w:after="0" w:line="78" w:lineRule="exact"/>
        <w:rPr>
          <w:rFonts w:ascii="Arial" w:cs="Arial" w:eastAsia="Arial" w:hAnsi="Arial"/>
          <w:sz w:val="18"/>
          <w:szCs w:val="18"/>
          <w:color w:val="auto"/>
        </w:rPr>
      </w:pPr>
    </w:p>
    <w:p>
      <w:pPr>
        <w:ind w:firstLine="683"/>
        <w:spacing w:after="0" w:line="276" w:lineRule="auto"/>
        <w:tabs>
          <w:tab w:leader="none" w:pos="10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if the principal of (and premium, if any) or interest on Debt Securities of the series are to be payable, at the election of the Company or a Holder thereof, in a Currency other than that in which the Debt Securities are denominated or payable without such election, in addition to or in lieu of the provisions of Section 3.10, the period or periods within which and the terms and conditions upon which, such election may be made and the time and the manner of determining the exchange rate or rates between the Currency or Currencies in which the Debt Securities are denominated or payable without such election and the Currency or Currencies in which the Debt Securities are to be paid if such election is made;</w:t>
      </w:r>
    </w:p>
    <w:p>
      <w:pPr>
        <w:spacing w:after="0" w:line="64" w:lineRule="exact"/>
        <w:rPr>
          <w:rFonts w:ascii="Arial" w:cs="Arial" w:eastAsia="Arial" w:hAnsi="Arial"/>
          <w:sz w:val="17"/>
          <w:szCs w:val="17"/>
          <w:color w:val="auto"/>
        </w:rPr>
      </w:pPr>
    </w:p>
    <w:p>
      <w:pPr>
        <w:ind w:left="1020" w:hanging="337"/>
        <w:spacing w:after="0"/>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date as of which any Debt Securities of the series shall be dated, if other than as set forth in Section 3.03;</w:t>
      </w:r>
    </w:p>
    <w:p>
      <w:pPr>
        <w:spacing w:after="0" w:line="117" w:lineRule="exact"/>
        <w:rPr>
          <w:rFonts w:ascii="Arial" w:cs="Arial" w:eastAsia="Arial" w:hAnsi="Arial"/>
          <w:sz w:val="18"/>
          <w:szCs w:val="18"/>
          <w:color w:val="auto"/>
        </w:rPr>
      </w:pPr>
    </w:p>
    <w:p>
      <w:pPr>
        <w:ind w:right="140" w:firstLine="683"/>
        <w:spacing w:after="0" w:line="264"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on the Debt Securities of the series may be determined with reference to an index, including, but not limited to, an index based on a Currency or Currencies other than that in which the Debt Securities are denominated or payable, or any other type of index, the manner in which such amounts shall be determined;</w:t>
      </w:r>
    </w:p>
    <w:p>
      <w:pPr>
        <w:spacing w:after="0" w:line="73" w:lineRule="exact"/>
        <w:rPr>
          <w:rFonts w:ascii="Arial" w:cs="Arial" w:eastAsia="Arial" w:hAnsi="Arial"/>
          <w:sz w:val="18"/>
          <w:szCs w:val="18"/>
          <w:color w:val="auto"/>
        </w:rPr>
      </w:pPr>
    </w:p>
    <w:p>
      <w:pPr>
        <w:ind w:right="240" w:firstLine="683"/>
        <w:spacing w:after="0" w:line="277"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Debt Securities of the series are denominated or payable in a Foreign Currency, any other terms concerning the payment of principal of (and premium, if any) or any interest on such Debt Securities (including the Currency or Currencies of payment thereof);</w:t>
      </w:r>
    </w:p>
    <w:p>
      <w:pPr>
        <w:spacing w:after="0" w:line="62" w:lineRule="exact"/>
        <w:rPr>
          <w:rFonts w:ascii="Arial" w:cs="Arial" w:eastAsia="Arial" w:hAnsi="Arial"/>
          <w:sz w:val="18"/>
          <w:szCs w:val="18"/>
          <w:color w:val="auto"/>
        </w:rPr>
      </w:pPr>
    </w:p>
    <w:p>
      <w:pPr>
        <w:ind w:left="1020" w:hanging="337"/>
        <w:spacing w:after="0"/>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designation of the original Currency Determination Agent, if any;</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applicable Overdue Rate, if any;</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Debt Securities of the series do not bear interest, the applicable dates for purposes of Section 7.01;</w:t>
      </w:r>
    </w:p>
    <w:p>
      <w:pPr>
        <w:spacing w:after="0" w:line="117" w:lineRule="exact"/>
        <w:rPr>
          <w:rFonts w:ascii="Arial" w:cs="Arial" w:eastAsia="Arial" w:hAnsi="Arial"/>
          <w:sz w:val="18"/>
          <w:szCs w:val="18"/>
          <w:color w:val="auto"/>
        </w:rPr>
      </w:pPr>
    </w:p>
    <w:p>
      <w:pPr>
        <w:ind w:right="120" w:firstLine="683"/>
        <w:spacing w:after="0" w:line="277"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addition to, or modification or deletion of, any Events of Default, covenants or term of the subordination provided for with respect to Debt Securities of the series;</w:t>
      </w:r>
    </w:p>
    <w:p>
      <w:pPr>
        <w:spacing w:after="0" w:line="62" w:lineRule="exact"/>
        <w:rPr>
          <w:rFonts w:ascii="Arial" w:cs="Arial" w:eastAsia="Arial" w:hAnsi="Arial"/>
          <w:sz w:val="18"/>
          <w:szCs w:val="18"/>
          <w:color w:val="auto"/>
        </w:rPr>
      </w:pPr>
    </w:p>
    <w:p>
      <w:pPr>
        <w:ind w:right="480" w:firstLine="683"/>
        <w:spacing w:after="0" w:line="277"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one or more Global Notes and, in such case, the Depositary for such Global Note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ind w:right="40"/>
        <w:spacing w:after="0" w:line="264" w:lineRule="auto"/>
        <w:rPr>
          <w:sz w:val="20"/>
          <w:szCs w:val="20"/>
          <w:color w:val="auto"/>
        </w:rPr>
      </w:pPr>
      <w:r>
        <w:rPr>
          <w:rFonts w:ascii="Arial" w:cs="Arial" w:eastAsia="Arial" w:hAnsi="Arial"/>
          <w:sz w:val="18"/>
          <w:szCs w:val="18"/>
          <w:color w:val="auto"/>
        </w:rPr>
        <w:t>Notes; and if the Debt Securities of the series are issuable only as Registered Securities, the manner in which and the circumstances under which Global Notes representing Debt Securities of the series may be exchanged for Registered Securities in definitive form, if other than, or in addition to, the manner and circumstances specified in Section 3.04(b);</w:t>
      </w:r>
    </w:p>
    <w:p>
      <w:pPr>
        <w:spacing w:after="0" w:line="73" w:lineRule="exact"/>
        <w:rPr>
          <w:sz w:val="20"/>
          <w:szCs w:val="20"/>
          <w:color w:val="auto"/>
        </w:rPr>
      </w:pPr>
    </w:p>
    <w:p>
      <w:pPr>
        <w:ind w:right="20" w:firstLine="683"/>
        <w:spacing w:after="0" w:line="277" w:lineRule="auto"/>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designation, if any, of any depositaries, trustees (other than the applicable Trustee), Paying Agents, Authenticating Agents, Registrars (other than the Trustee) or other agents with respect to the Debt Securities of such series;</w:t>
      </w:r>
    </w:p>
    <w:p>
      <w:pPr>
        <w:spacing w:after="0" w:line="62" w:lineRule="exact"/>
        <w:rPr>
          <w:rFonts w:ascii="Arial" w:cs="Arial" w:eastAsia="Arial" w:hAnsi="Arial"/>
          <w:sz w:val="18"/>
          <w:szCs w:val="18"/>
          <w:color w:val="auto"/>
        </w:rPr>
      </w:pPr>
    </w:p>
    <w:p>
      <w:pPr>
        <w:ind w:right="440" w:firstLine="683"/>
        <w:spacing w:after="0" w:line="277" w:lineRule="auto"/>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the Debt Securities of such series will be issuable in definitive form only upon receipt of certain certificates or other documents or upon satisfaction of certain conditions, the form and terms of such certificates, documents or conditions;</w:t>
      </w:r>
    </w:p>
    <w:p>
      <w:pPr>
        <w:spacing w:after="0" w:line="62" w:lineRule="exact"/>
        <w:rPr>
          <w:rFonts w:ascii="Arial" w:cs="Arial" w:eastAsia="Arial" w:hAnsi="Arial"/>
          <w:sz w:val="18"/>
          <w:szCs w:val="18"/>
          <w:color w:val="auto"/>
        </w:rPr>
      </w:pPr>
    </w:p>
    <w:p>
      <w:pPr>
        <w:ind w:right="40" w:firstLine="683"/>
        <w:spacing w:after="0" w:line="264" w:lineRule="auto"/>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whether the Debt Securities of such series will be convertible into shares of Common Shares and, if so, the terms and conditions, which may be in addition to or in lieu of the provisions contained in this Indenture, upon which such Debt Securities will be so convertible, including the conversion price and the conversion period;</w:t>
      </w:r>
    </w:p>
    <w:p>
      <w:pPr>
        <w:spacing w:after="0" w:line="73" w:lineRule="exact"/>
        <w:rPr>
          <w:rFonts w:ascii="Arial" w:cs="Arial" w:eastAsia="Arial" w:hAnsi="Arial"/>
          <w:sz w:val="18"/>
          <w:szCs w:val="18"/>
          <w:color w:val="auto"/>
        </w:rPr>
      </w:pPr>
    </w:p>
    <w:p>
      <w:pPr>
        <w:ind w:right="400" w:firstLine="683"/>
        <w:spacing w:after="0" w:line="277" w:lineRule="auto"/>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portion of the principal amount of the Debt Securities which will be payable upon declaration of acceleration of the maturity thereof, if other than the principal amount thereof;</w:t>
      </w:r>
    </w:p>
    <w:p>
      <w:pPr>
        <w:spacing w:after="0" w:line="62" w:lineRule="exact"/>
        <w:rPr>
          <w:rFonts w:ascii="Arial" w:cs="Arial" w:eastAsia="Arial" w:hAnsi="Arial"/>
          <w:sz w:val="18"/>
          <w:szCs w:val="18"/>
          <w:color w:val="auto"/>
        </w:rPr>
      </w:pPr>
    </w:p>
    <w:p>
      <w:pPr>
        <w:ind w:left="1020" w:hanging="337"/>
        <w:spacing w:after="0"/>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nature, content and date for reports by the Company to the holders of the Offered Debt Securities;</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change in the right of the Trustee or the Holders to declare the principal of, and premium and interest on, such Debt Securities due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02" w:lineRule="exact"/>
        <w:rPr>
          <w:rFonts w:ascii="Arial" w:cs="Arial" w:eastAsia="Arial" w:hAnsi="Arial"/>
          <w:sz w:val="16"/>
          <w:szCs w:val="16"/>
          <w:color w:val="auto"/>
        </w:rPr>
      </w:pPr>
    </w:p>
    <w:p>
      <w:pPr>
        <w:ind w:right="460" w:firstLine="683"/>
        <w:spacing w:after="0" w:line="277" w:lineRule="auto"/>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whether or not the Debt Securities shall have the benefit of Article Eighteen and, if so, which entities shall be the initial Guarantors of the Company’s obligations with respect to such Debt Securities; and</w:t>
      </w:r>
    </w:p>
    <w:p>
      <w:pPr>
        <w:spacing w:after="0" w:line="62" w:lineRule="exact"/>
        <w:rPr>
          <w:rFonts w:ascii="Arial" w:cs="Arial" w:eastAsia="Arial" w:hAnsi="Arial"/>
          <w:sz w:val="18"/>
          <w:szCs w:val="18"/>
          <w:color w:val="auto"/>
        </w:rPr>
      </w:pPr>
    </w:p>
    <w:p>
      <w:pPr>
        <w:ind w:left="1020" w:hanging="337"/>
        <w:spacing w:after="0"/>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117"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All Debt Securities of any one series shall be substantially identical except as to denomination, rate of interest, Stated Maturity and the date from which interest, if any, shall accrue, which, as set forth above, may be determined by the Company from time to time as to Debt Securities of a series if so provided in or established pursuant to the authority granted in a Board Resolution or in any such indenture supplemental hereto, and except as may otherwise be provided in or pursuant to such Board Resolution and (subject to Section 3.03) set forth in such Officers’ Certificate, or in any such indenture supplemental hereto. All Debt Securities of any one series need not be issued at the same time, and unless otherwise provided, a series may be reopened for issuance of additional Debt Securities of such series.</w:t>
      </w:r>
    </w:p>
    <w:p>
      <w:pPr>
        <w:spacing w:after="0" w:line="85" w:lineRule="exact"/>
        <w:rPr>
          <w:sz w:val="20"/>
          <w:szCs w:val="20"/>
          <w:color w:val="auto"/>
        </w:rPr>
      </w:pPr>
    </w:p>
    <w:p>
      <w:pPr>
        <w:jc w:val="both"/>
        <w:ind w:right="120" w:firstLine="450"/>
        <w:spacing w:after="0" w:line="264" w:lineRule="auto"/>
        <w:rPr>
          <w:sz w:val="20"/>
          <w:szCs w:val="20"/>
          <w:color w:val="auto"/>
        </w:rPr>
      </w:pPr>
      <w:r>
        <w:rPr>
          <w:rFonts w:ascii="Arial" w:cs="Arial" w:eastAsia="Arial" w:hAnsi="Arial"/>
          <w:sz w:val="18"/>
          <w:szCs w:val="18"/>
          <w:color w:val="auto"/>
        </w:rPr>
        <w:t>If any of the terms of a series of Debt Securities is established in or pursuant to a Board Resolution, a copy of such Board Resolution shall be certified by the Secretary or an Assistant Secretary of the Company and delivered to the Trustee at or prior to the delivery of the Officers’ Certificate setting forth the terms of the series.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50"/>
        <w:spacing w:after="0" w:line="342" w:lineRule="auto"/>
        <w:rPr>
          <w:sz w:val="20"/>
          <w:szCs w:val="20"/>
          <w:color w:val="auto"/>
        </w:rPr>
      </w:pPr>
      <w:r>
        <w:rPr>
          <w:rFonts w:ascii="Arial" w:cs="Arial" w:eastAsia="Arial" w:hAnsi="Arial"/>
          <w:sz w:val="16"/>
          <w:szCs w:val="16"/>
          <w:color w:val="auto"/>
        </w:rPr>
        <w:t>In the absence of any specification pursuant to Section 3.01 with respect to the Debt Securities of any series, the Debt Securities of such series shall be issuable only as Registered Securities in denominations of $2,000 and any integral multiples of $1,000 in excess thereof and shall be payable only in Dollars.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117" w:lineRule="exact"/>
        <w:rPr>
          <w:sz w:val="20"/>
          <w:szCs w:val="20"/>
          <w:color w:val="auto"/>
        </w:rPr>
      </w:pPr>
    </w:p>
    <w:p>
      <w:pPr>
        <w:ind w:right="180" w:firstLine="447"/>
        <w:spacing w:after="0" w:line="259" w:lineRule="auto"/>
        <w:rPr>
          <w:sz w:val="20"/>
          <w:szCs w:val="20"/>
          <w:color w:val="auto"/>
        </w:rPr>
      </w:pPr>
      <w:r>
        <w:rPr>
          <w:rFonts w:ascii="Arial" w:cs="Arial" w:eastAsia="Arial" w:hAnsi="Arial"/>
          <w:sz w:val="18"/>
          <w:szCs w:val="18"/>
          <w:color w:val="auto"/>
        </w:rPr>
        <w:t>The Debt Securities of any series shall be executed on behalf of the Company by its Chairman of the Board, Chief Executive Officer, President, Chief Financial Officer, one of its Vice Presidents or its Treasurer, under its corporate seal reproduced thereon and attested by its Secretary or one of its Assistant Secretaries. The signature of any of these officers may be manual or facsimile. Each Guarantor shall execute the Guarantee in the manner set forth in Section 18.02.</w:t>
      </w:r>
    </w:p>
    <w:p>
      <w:pPr>
        <w:spacing w:after="0" w:line="79"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Debt Securities and Guarantees bearing the manual or facsimile signatures of individuals who were at any time the proper officers of the Company shall bind the Company and the applicable Guarantors, notwithstanding that such individuals or any of them have ceased to hold such offices prior to the authentication and delivery of such Debt Securities or Guarantees, as applicable, or did not hold such offices at the date of such Debt Securities or Guarantees.</w:t>
      </w:r>
    </w:p>
    <w:p>
      <w:pPr>
        <w:spacing w:after="0" w:line="79"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Debt Securities of any series, executed by the Company, to the Trustee for authentication, together with a Company Order for the authentication and delivery of such Debt Securities and the Trustee in accordance with the Company Order shall authenticate and deliver such Debt Securities. If all the Debt Securities of any one series are not to be issued at one time and if a Board Resolution or supplemental indenture relating to such series shall so permit, such Company Order may set forth procedures acceptable to the Trustee for the issuance of such Debt Securities such as interest rate, Stated Maturity, date of issuance and date from which interest, if any, shall accrue. If any Debt Security shall be represented by a permanent Global Note, then, for purposes of this Section 3.03 and Section 3.04, the notation of a beneficial owner’s interest therein upon original issuance of such Debt Security or upon exchange of a portion of a temporary Global Note shall be deemed to be delivery in connection with the original issuance of such beneficial owner’s interest in such permanent Global Note.</w:t>
      </w:r>
    </w:p>
    <w:p>
      <w:pPr>
        <w:spacing w:after="0" w:line="58" w:lineRule="exact"/>
        <w:rPr>
          <w:sz w:val="20"/>
          <w:szCs w:val="20"/>
          <w:color w:val="auto"/>
        </w:rPr>
      </w:pPr>
    </w:p>
    <w:p>
      <w:pPr>
        <w:jc w:val="both"/>
        <w:ind w:right="80" w:firstLine="447"/>
        <w:spacing w:after="0" w:line="264" w:lineRule="auto"/>
        <w:rPr>
          <w:sz w:val="20"/>
          <w:szCs w:val="20"/>
          <w:color w:val="auto"/>
        </w:rPr>
      </w:pPr>
      <w:r>
        <w:rPr>
          <w:rFonts w:ascii="Arial" w:cs="Arial" w:eastAsia="Arial" w:hAnsi="Arial"/>
          <w:sz w:val="18"/>
          <w:szCs w:val="18"/>
          <w:color w:val="auto"/>
        </w:rPr>
        <w:t>The Trustee shall be entitled to receive, and (subject to Section 6.01) shall be fully protected in relying upon, prior to the authentication and delivery of the Debt Securities of such series, (i) the supplemental indenture or the Board Resolution by or pursuant to which the form and terms of such Debt Securities have been approved and (ii) an Opinion of Counsel substantially to the effect that:</w:t>
      </w:r>
    </w:p>
    <w:p>
      <w:pPr>
        <w:spacing w:after="0" w:line="73" w:lineRule="exact"/>
        <w:rPr>
          <w:sz w:val="20"/>
          <w:szCs w:val="20"/>
          <w:color w:val="auto"/>
        </w:rPr>
      </w:pPr>
    </w:p>
    <w:p>
      <w:pPr>
        <w:ind w:right="360" w:firstLine="683"/>
        <w:spacing w:after="0" w:line="277" w:lineRule="auto"/>
        <w:tabs>
          <w:tab w:leader="none" w:pos="9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form of the Debt Securities has been established by or pursuant to a Board Resolution as permitted by Section 3.01, that such form has been established in conformity with the provisions of the Indenture;</w:t>
      </w:r>
    </w:p>
    <w:p>
      <w:pPr>
        <w:spacing w:after="0" w:line="62" w:lineRule="exact"/>
        <w:rPr>
          <w:rFonts w:ascii="Arial" w:cs="Arial" w:eastAsia="Arial" w:hAnsi="Arial"/>
          <w:sz w:val="18"/>
          <w:szCs w:val="18"/>
          <w:color w:val="auto"/>
        </w:rPr>
      </w:pPr>
    </w:p>
    <w:p>
      <w:pPr>
        <w:ind w:right="340" w:firstLine="683"/>
        <w:spacing w:after="0" w:line="277" w:lineRule="auto"/>
        <w:tabs>
          <w:tab w:leader="none" w:pos="9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terms of such Debt Securities have been established by or pursuant to a Board Resolution as permitted by Section 3.01, that such terms have been established in conformity with the provisions of this Indenture; and</w:t>
      </w:r>
    </w:p>
    <w:p>
      <w:pPr>
        <w:spacing w:after="0" w:line="62" w:lineRule="exact"/>
        <w:rPr>
          <w:rFonts w:ascii="Arial" w:cs="Arial" w:eastAsia="Arial" w:hAnsi="Arial"/>
          <w:sz w:val="18"/>
          <w:szCs w:val="18"/>
          <w:color w:val="auto"/>
        </w:rPr>
      </w:pPr>
    </w:p>
    <w:p>
      <w:pPr>
        <w:ind w:right="20" w:firstLine="683"/>
        <w:spacing w:after="0" w:line="264" w:lineRule="auto"/>
        <w:tabs>
          <w:tab w:leader="none" w:pos="9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Debt Securities, when authenticated and delivered by the Trustee and issued by the Company in the manner and subject to any conditions specified in such Opinion of Counsel, will constitute valid and binding obligations enforceable against the Company in accordance with their terms, subject to applicable bankruptcy, insolvency and similar laws affecting creditors’ rights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spacing w:after="0" w:line="277" w:lineRule="auto"/>
        <w:rPr>
          <w:sz w:val="20"/>
          <w:szCs w:val="20"/>
          <w:color w:val="auto"/>
        </w:rPr>
      </w:pPr>
      <w:r>
        <w:rPr>
          <w:rFonts w:ascii="Arial" w:cs="Arial" w:eastAsia="Arial" w:hAnsi="Arial"/>
          <w:sz w:val="18"/>
          <w:szCs w:val="18"/>
          <w:color w:val="auto"/>
        </w:rPr>
        <w:t>generally and subject, as to enforceability, to general principles of equity (regardless of whether enforcement is sought in a proceeding in equity or at law) and subject to such other exceptions as counsel shall request and as to which the Trustee shall not reasonably object.</w:t>
      </w:r>
    </w:p>
    <w:p>
      <w:pPr>
        <w:spacing w:after="0" w:line="62" w:lineRule="exact"/>
        <w:rPr>
          <w:sz w:val="20"/>
          <w:szCs w:val="20"/>
          <w:color w:val="auto"/>
        </w:rPr>
      </w:pPr>
    </w:p>
    <w:p>
      <w:pPr>
        <w:ind w:right="220" w:firstLine="447"/>
        <w:spacing w:after="0" w:line="342" w:lineRule="auto"/>
        <w:rPr>
          <w:sz w:val="20"/>
          <w:szCs w:val="20"/>
          <w:color w:val="auto"/>
        </w:rPr>
      </w:pPr>
      <w:r>
        <w:rPr>
          <w:rFonts w:ascii="Arial" w:cs="Arial" w:eastAsia="Arial" w:hAnsi="Arial"/>
          <w:sz w:val="16"/>
          <w:szCs w:val="16"/>
          <w:color w:val="auto"/>
        </w:rPr>
        <w:t>The Trustee shall not be required to authenticate such Debt Securities if the issuance of such Debt Securities pursuant to this Indenture will affect the Trustee’s own rights, duties or immunities under the Debt Securities and this Indenture in a manner which is not reasonably acceptable to the Trustee.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Registered Security shall be dated the date of its authentication.</w:t>
      </w:r>
    </w:p>
    <w:p>
      <w:pPr>
        <w:spacing w:after="0" w:line="11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No Debt Security shall be entitled to any benefit under this Indenture or be valid or obligatory for any purpose unless there appears on such Debt Security a certificate of authentication substantially in one of the forms provided for herein duly executed by the Trustee or by an Authenticating Agent, and such certificate upon any Debt Security shall be conclusive evidence, and the only evidence, that such Debt Security has been duly authenticated and delivered hereunder and is entitled to the benefits of this Indenture. Notwithstanding the foregoing, if any Debt Security shall have been duly authenticated and delivered hereunder but never issued and sold by the Company, and the Company shall deliver such Debt Security to the Trustee for cancellation as provided in Section 3.08 together with a written statement (which need not comply with Section 1.02) stating that such Debt Security has never been issued and sold by the Company, for all purposes of this Indenture such Debt Security shall be deemed never to have been authenticated and delivered hereunder and shall never be entitled to the benefits of this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Debt Securities; Global Notes Representing Registered Securities</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72" w:lineRule="auto"/>
        <w:tabs>
          <w:tab w:leader="none" w:pos="69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Pending the preparation of definitive Registered Securities of any series, the Company may execute, and upon Company Order the Trustee shall authenticate and deliver, temporary Registered Securities which are printed, lithographed, typewritten, mimeographed or otherwise produced, in any authorized denomination for Registered Securities of such series, substantially of the tenor of the definitive Registered Securities in lieu of which they are issued and with such appropriate insertions, omissions, substitutions and other variations as the officers executing such Registered Securities may determine, as conclusively evidenced by their execution of such Registered Securities. Every such temporary Registered Security shall be executed by the Company and shall be authenticated and delivered by the Trustee upon the same conditions and in substantially the same manner, and with the same effect, as the definitive Registered Securities in lieu of which they are issued.</w:t>
      </w:r>
    </w:p>
    <w:p>
      <w:pPr>
        <w:spacing w:after="0" w:line="70"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If temporary Debt Securities of any series are issued, the Company will cause definitive Debt Securities of such series to be prepared without unreasonable delay. After the preparation of definitive Debt Securities of such series, the temporary Debt Securities of such series shall be exchangeable for definitive Debt Securities of such series, of a like Stated Maturity and with like terms and provisions, upon surrender of the temporary Debt Securities of such series at the office or agency of the Company in a Place of Payment for such series, without charge to the Holder, except as provided in Section 3.05 in connection with a transfer. Upon surrender for cancellation of any one or more temporary Debt Securities of any series, the Company shall execute and the Trustee shall authenticate and deliver in exchange therefor a like principal amount of definitive Debt Securities of the same series of authorized denominations and of a like Stated Maturity and like terms and provisions. Until so exchanged, the temporary Registered Securities of any series shall in all respects be entitled to the same benefits under this Indenture as definitive Registered Securities of such series.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1" w:name="page162"/>
    <w:bookmarkEnd w:id="161"/>
    <w:p>
      <w:pPr>
        <w:ind w:right="40" w:firstLine="458"/>
        <w:spacing w:after="0" w:line="293" w:lineRule="auto"/>
        <w:tabs>
          <w:tab w:leader="none" w:pos="70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3.01 that the Registered Securities of a series are to be issued in whole or in part in the form of one or more Global Notes, then the Company shall execute and the Trustee shall, in accordance with Section 3.03 and the Company Order with respect to such series, authenticate and deliver one or more Global Notes in temporary or permanent form that (i) shall represent and shall be denominated in an amount equal to the aggregate principal amount of the Outstanding Debt Securities of such series to be represented by one or more Global Notes, (ii) shall be registered in the name of the Depositary for such Global Note or Notes or the nominee of such Depositary, (iii) shall be delivered by the Trustee to such Depositary or delivered or held pursuant to such Depositary’s instructions, and (iv) shall bear a legend substantially to the following effect:</w:t>
      </w:r>
    </w:p>
    <w:p>
      <w:pPr>
        <w:spacing w:after="0" w:line="57"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color w:val="auto"/>
        </w:rPr>
        <w:t>“THIS DEBT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AND UNTIL THIS DEBT SECURITY IS EXCHANGED IN WHOLE OR IN PART FOR DEBT SECURITIES IN DEFINITIVE FORM.”</w:t>
      </w:r>
    </w:p>
    <w:p>
      <w:pPr>
        <w:spacing w:after="0" w:line="63" w:lineRule="exact"/>
        <w:rPr>
          <w:sz w:val="20"/>
          <w:szCs w:val="20"/>
          <w:color w:val="auto"/>
        </w:rPr>
      </w:pPr>
    </w:p>
    <w:p>
      <w:pPr>
        <w:ind w:right="360" w:firstLine="450"/>
        <w:spacing w:after="0" w:line="277" w:lineRule="auto"/>
        <w:rPr>
          <w:sz w:val="20"/>
          <w:szCs w:val="20"/>
          <w:color w:val="auto"/>
        </w:rPr>
      </w:pPr>
      <w:r>
        <w:rPr>
          <w:rFonts w:ascii="Arial" w:cs="Arial" w:eastAsia="Arial" w:hAnsi="Arial"/>
          <w:sz w:val="18"/>
          <w:szCs w:val="18"/>
          <w:color w:val="auto"/>
        </w:rPr>
        <w:t>Each Depositary designated pursuant to Section 3.01 must, at the time of its designation and at all times while it serves as Depositary, be a clearing agency registered under the Exchange Act and any other applicable statute or regulation.</w:t>
      </w:r>
    </w:p>
    <w:p>
      <w:pPr>
        <w:spacing w:after="0" w:line="62"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color w:val="auto"/>
        </w:rPr>
        <w:t>Notwithstanding any other provision of this Section 3.04 or Section 3.05, unless and until a Global Note is exchanged in whole or in part for Registered Securities in definitive form, a Global Note representing all or a portion of the Registered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46"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If at any time the Depositary for the Debt Securities of a series notifies the Company that it is unwilling or unable to continue as Depositary for the Debt Securities of such series or if at any time the Depositary for Debt Securities of a series shall no longer be a clearing agency registered and in good standing under the Exchange Act or other applicable statute or regulation (as required by this Section 3.04), the Company shall appoint a successor Depositary eligible under this Section 3.04 with respect to the Debt Securities of such series. If a successor Depositary for the Debt Securities of such series is not appointed by the Company within 90 days after the Company receives such notice or becomes aware of such condition, the Company will execute, and the Trustee, upon receipt of a Company Order for the authentication and delivery of definitive Debt Securities of such series, will authenticate and deliver, Registered Securities of such series in definitive form in an aggregate principal amount equal to the principal amount of the Global Note or Notes representing such series in exchange for such Global Note or Notes.</w:t>
      </w:r>
    </w:p>
    <w:p>
      <w:pPr>
        <w:spacing w:after="0" w:line="71" w:lineRule="exact"/>
        <w:rPr>
          <w:sz w:val="20"/>
          <w:szCs w:val="20"/>
          <w:color w:val="auto"/>
        </w:rPr>
      </w:pPr>
    </w:p>
    <w:p>
      <w:pPr>
        <w:ind w:right="80" w:firstLine="447"/>
        <w:spacing w:after="0" w:line="257" w:lineRule="auto"/>
        <w:rPr>
          <w:sz w:val="20"/>
          <w:szCs w:val="20"/>
          <w:color w:val="auto"/>
        </w:rPr>
      </w:pPr>
      <w:r>
        <w:rPr>
          <w:rFonts w:ascii="Arial" w:cs="Arial" w:eastAsia="Arial" w:hAnsi="Arial"/>
          <w:sz w:val="18"/>
          <w:szCs w:val="18"/>
          <w:color w:val="auto"/>
        </w:rPr>
        <w:t>The Company may at any time and in its sole discretion determine that the Registered Securities of any series issued in the form of one or more Global Notes shall no longer be represented by such Global Note or Notes. In such event, the Company will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2" w:name="page163"/>
    <w:bookmarkEnd w:id="162"/>
    <w:p>
      <w:pPr>
        <w:ind w:right="100" w:firstLine="450"/>
        <w:spacing w:after="0" w:line="257" w:lineRule="auto"/>
        <w:rPr>
          <w:sz w:val="20"/>
          <w:szCs w:val="20"/>
          <w:color w:val="auto"/>
        </w:rPr>
      </w:pPr>
      <w:r>
        <w:rPr>
          <w:rFonts w:ascii="Arial" w:cs="Arial" w:eastAsia="Arial" w:hAnsi="Arial"/>
          <w:sz w:val="18"/>
          <w:szCs w:val="18"/>
          <w:color w:val="auto"/>
        </w:rPr>
        <w:t>If the Registered Securities of any series shall have been issued in the form of one or more Global Notes and if an Event of Default with respect to the Debt Securities of such series shall have occurred and be continuing, the Company will promptly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80"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If specified by the Company pursuant to Section 3.01 with respect to Registered Securities of a series, the Depositary for such series of Registered Securities may surrender a Global Note for such series of Debt Securities in exchange in whole or in part for Registered Securities of such series in definitive form on such terms as are acceptable to the Company and such depositary. Thereupon, the Company shall execute and the Trustee shall authenticate and deliver, without charge:</w:t>
      </w:r>
    </w:p>
    <w:p>
      <w:pPr>
        <w:spacing w:after="0" w:line="79" w:lineRule="exact"/>
        <w:rPr>
          <w:sz w:val="20"/>
          <w:szCs w:val="20"/>
          <w:color w:val="auto"/>
        </w:rPr>
      </w:pPr>
    </w:p>
    <w:p>
      <w:pPr>
        <w:ind w:left="460" w:right="520" w:firstLine="229"/>
        <w:spacing w:after="0" w:line="34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to each Person specified by the Depositary a new Registered Security or Securities of the same series, of any authorized denomination as requested by such Person in an aggregate principal amount equal to and in exchange for such Person’s beneficial interest in the Global Note; and</w:t>
      </w:r>
    </w:p>
    <w:p>
      <w:pPr>
        <w:spacing w:after="0" w:line="15" w:lineRule="exact"/>
        <w:rPr>
          <w:rFonts w:ascii="Arial" w:cs="Arial" w:eastAsia="Arial" w:hAnsi="Arial"/>
          <w:sz w:val="16"/>
          <w:szCs w:val="16"/>
          <w:color w:val="auto"/>
        </w:rPr>
      </w:pPr>
    </w:p>
    <w:p>
      <w:pPr>
        <w:ind w:left="460" w:right="200" w:firstLine="229"/>
        <w:spacing w:after="0" w:line="277" w:lineRule="auto"/>
        <w:tabs>
          <w:tab w:leader="none" w:pos="95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the Depositary a new Global Note in a denomination equal to the difference, if any, between the principal amount of the surrendered Global Note and the aggregate principal amount of Registered Securities delivered to Holders thereof.</w:t>
      </w:r>
    </w:p>
    <w:p>
      <w:pPr>
        <w:spacing w:after="0" w:line="62"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Upon the exchange of a Global Note for Registered Securities in definitive form, such Global Note shall be cancelled by the Trustee. Debt Securities issued in exchange for a Global Note pursuant to this subsection (b) shall be registered in such names and in such authorized denominations as the Depositary for such Global Note, pursuant to instructions from its direct or indirect participants or otherwise, shall instruct the Trustee. The Trustee shall deliver such Debt Securities to the Persons in whose names such Debt Securities are so registered.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Transfer and Exchange</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6" w:lineRule="auto"/>
        <w:tabs>
          <w:tab w:leader="none" w:pos="69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The Company shall cause to be kept at the Corporate Trust Office of the Trustee a register (the registers maintained in such office and in any other office or agency of the Company in a Place of Payment being herein sometimes collectively referred to as the “Register”) in which, subject to such reasonable regulations as it may prescribe, the Company shall provide for the registration of Registered Securities and of transfers and exchanges of Registered Securities. The Trustee is hereby appointed “Registrar” for the purpose of registering Registered Securities and registering transfers and exchanges of Registered Securities as herein provided;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at its option appoint co-Registrars.</w:t>
      </w:r>
    </w:p>
    <w:p>
      <w:pPr>
        <w:spacing w:after="0" w:line="64"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Upon surrender for registration of transfer of any Registered Security of any series at the office or agency of the Company maintained for such purpose, the Company shall execute, and the Trustee shall authenticate and deliver, in the name of the designated transferee, one or more new Registered Securities of the same series of like aggregate principal amount of such denominations as are authorized for Registered Securities of such series and of a like Stated Maturity and with like terms and conditions.</w:t>
      </w:r>
    </w:p>
    <w:p>
      <w:pPr>
        <w:spacing w:after="0" w:line="79" w:lineRule="exact"/>
        <w:rPr>
          <w:sz w:val="20"/>
          <w:szCs w:val="20"/>
          <w:color w:val="auto"/>
        </w:rPr>
      </w:pPr>
    </w:p>
    <w:p>
      <w:pPr>
        <w:ind w:right="200" w:firstLine="450"/>
        <w:spacing w:after="0" w:line="342" w:lineRule="auto"/>
        <w:rPr>
          <w:sz w:val="20"/>
          <w:szCs w:val="20"/>
          <w:color w:val="auto"/>
        </w:rPr>
      </w:pPr>
      <w:r>
        <w:rPr>
          <w:rFonts w:ascii="Arial" w:cs="Arial" w:eastAsia="Arial" w:hAnsi="Arial"/>
          <w:sz w:val="16"/>
          <w:szCs w:val="16"/>
          <w:color w:val="auto"/>
        </w:rPr>
        <w:t>Except as otherwise provided in Section 3.04 and this Section 3.05, at the option of the Holder, Registered Securities of any series may be exchanged for other Registered Securities of the same series of like aggregate principal amount and of a like Stated Maturity and with like terms and conditions,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3" w:name="page164"/>
    <w:bookmarkEnd w:id="163"/>
    <w:p>
      <w:pPr>
        <w:ind w:right="100"/>
        <w:spacing w:after="0" w:line="342" w:lineRule="auto"/>
        <w:rPr>
          <w:sz w:val="20"/>
          <w:szCs w:val="20"/>
          <w:color w:val="auto"/>
        </w:rPr>
      </w:pPr>
      <w:r>
        <w:rPr>
          <w:rFonts w:ascii="Arial" w:cs="Arial" w:eastAsia="Arial" w:hAnsi="Arial"/>
          <w:sz w:val="16"/>
          <w:szCs w:val="16"/>
          <w:color w:val="auto"/>
        </w:rPr>
        <w:t>upon surrender of the Registered Securities to be exchanged at such office or agency. Whenever any Registered Securities are surrendered for exchange, the Company shall execute, and the Trustee shall authenticate and deliver, the Registered Securities which the Holder making the exchange is entitled to receive.</w:t>
      </w:r>
    </w:p>
    <w:p>
      <w:pPr>
        <w:spacing w:after="0" w:line="16" w:lineRule="exact"/>
        <w:rPr>
          <w:sz w:val="20"/>
          <w:szCs w:val="20"/>
          <w:color w:val="auto"/>
        </w:rPr>
      </w:pPr>
    </w:p>
    <w:p>
      <w:pPr>
        <w:ind w:right="280" w:firstLine="458"/>
        <w:spacing w:after="0" w:line="277"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Debt Securities issued upon any transfer or exchange of Debt Securities shall be valid obligations of the Company, evidencing the same debt, and entitled to the same benefits under this Indenture, as the Debt Securities surrendered for such transfer or exchange.</w:t>
      </w:r>
    </w:p>
    <w:p>
      <w:pPr>
        <w:spacing w:after="0" w:line="6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Every Registered Security presented or surrendered for transfer or exchange shall (if so required by the Company or the Trustee) be duly endorsed, or be accompanied by a written instrument of transfer in form satisfactory to the Company and the Registrar, duly executed, by the Holder thereof or his attorney duly authorized in writing.</w:t>
      </w:r>
    </w:p>
    <w:p>
      <w:pPr>
        <w:spacing w:after="0" w:line="73"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No service charge will be made for any transfer or exchange of Debt Securities except as provided in Section 3.06. The Company may require payment of a sum sufficient to cover any tax or other governmental charge that may be imposed in connection with any registration, transfer or exchange of Debt Securities, other than those expressly provided in this Indenture to be made at the Company’s own expense or without expense or without charge to the Holders.</w:t>
      </w:r>
    </w:p>
    <w:p>
      <w:pPr>
        <w:spacing w:after="0" w:line="79" w:lineRule="exact"/>
        <w:rPr>
          <w:sz w:val="20"/>
          <w:szCs w:val="20"/>
          <w:color w:val="auto"/>
        </w:rPr>
      </w:pPr>
    </w:p>
    <w:p>
      <w:pPr>
        <w:ind w:right="240" w:firstLine="447"/>
        <w:spacing w:after="0" w:line="279" w:lineRule="auto"/>
        <w:rPr>
          <w:sz w:val="20"/>
          <w:szCs w:val="20"/>
          <w:color w:val="auto"/>
        </w:rPr>
      </w:pPr>
      <w:r>
        <w:rPr>
          <w:rFonts w:ascii="Arial" w:cs="Arial" w:eastAsia="Arial" w:hAnsi="Arial"/>
          <w:sz w:val="17"/>
          <w:szCs w:val="17"/>
          <w:color w:val="auto"/>
        </w:rPr>
        <w:t>The Company shall not be required (i) to register, transfer or exchange Debt Securities of any series during a period beginning at the opening of business 15 days before the day of the transmission of a notice of redemption of Debt Securities of such series selected for redemption under Section 13.03 and ending at the close of business on the day of such transmission, or (ii) to register, transfer or exchange any Debt Security so selected for redemption in whole or in part, except the unredeemed portion of any Debt Security being redeemed in part.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Debt Securities</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93" w:lineRule="auto"/>
        <w:rPr>
          <w:sz w:val="20"/>
          <w:szCs w:val="20"/>
          <w:color w:val="auto"/>
        </w:rPr>
      </w:pPr>
      <w:r>
        <w:rPr>
          <w:rFonts w:ascii="Arial" w:cs="Arial" w:eastAsia="Arial" w:hAnsi="Arial"/>
          <w:sz w:val="16"/>
          <w:szCs w:val="16"/>
          <w:color w:val="auto"/>
        </w:rPr>
        <w:t>If (i) any mutilated Debt Security is surrendered to the Trustee at its Corporate Trust Office, or (ii) the Company and the Trustee receive evidence to their satisfaction of the destruction, loss or theft of any Debt Security, and there is delivered to the Company and the Trustee such security or indemnity as may be required by them to save each of them and any Paying Agent harmless, and neither the Company nor the Trustee receives notice that such Debt Security has been acquired by a bona fide purchaser, then the Company shall execute and upon Company Request the Trustee shall authenticate and deliver, in exchange for or in lieu of any such mutilated, destroyed, lost or stolen Debt Security, a new Debt Security of the same series of like Stated Maturity and with like terms and conditions and like principal amount, bearing a number not contemporaneously used with respect to any Debt Securities Outstanding.</w:t>
      </w:r>
    </w:p>
    <w:p>
      <w:pPr>
        <w:spacing w:after="0" w:line="57"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In case any such mutilated, destroyed, lost or stolen Debt Security has become or is about to become due and payable, the Company in its discretion may, instead of issuing a new Debt Security, pay the amount due on such Debt Security in accordance with its terms.</w:t>
      </w:r>
    </w:p>
    <w:p>
      <w:pPr>
        <w:spacing w:after="0" w:line="62" w:lineRule="exact"/>
        <w:rPr>
          <w:sz w:val="20"/>
          <w:szCs w:val="20"/>
          <w:color w:val="auto"/>
        </w:rPr>
      </w:pPr>
    </w:p>
    <w:p>
      <w:pPr>
        <w:ind w:right="380" w:firstLine="450"/>
        <w:spacing w:after="0" w:line="264" w:lineRule="auto"/>
        <w:rPr>
          <w:sz w:val="20"/>
          <w:szCs w:val="20"/>
          <w:color w:val="auto"/>
        </w:rPr>
      </w:pPr>
      <w:r>
        <w:rPr>
          <w:rFonts w:ascii="Arial" w:cs="Arial" w:eastAsia="Arial" w:hAnsi="Arial"/>
          <w:sz w:val="18"/>
          <w:szCs w:val="18"/>
          <w:color w:val="auto"/>
        </w:rPr>
        <w:t>Upon the issuance of any new Debt Security under this Section 3.06, the Company may require the payment of a sum sufficient to cover any tax or other governmental charge that may be imposed in respect thereto and any other expenses (including the fees and expenses of the Trustee) connected therewith.</w:t>
      </w:r>
    </w:p>
    <w:p>
      <w:pPr>
        <w:spacing w:after="0" w:line="73"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Every new Debt Security of any series issued pursuant to this Section 3.06 shall constitute an original additional contractual obligation of the Company, whether or not the destroyed, lost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4" w:name="page165"/>
    <w:bookmarkEnd w:id="164"/>
    <w:p>
      <w:pPr>
        <w:ind w:right="160"/>
        <w:spacing w:after="0" w:line="277" w:lineRule="auto"/>
        <w:rPr>
          <w:sz w:val="20"/>
          <w:szCs w:val="20"/>
          <w:color w:val="auto"/>
        </w:rPr>
      </w:pPr>
      <w:r>
        <w:rPr>
          <w:rFonts w:ascii="Arial" w:cs="Arial" w:eastAsia="Arial" w:hAnsi="Arial"/>
          <w:sz w:val="18"/>
          <w:szCs w:val="18"/>
          <w:color w:val="auto"/>
        </w:rPr>
        <w:t>or stolen Debt Security shall be at any time enforceable by anyone, and shall be entitled to all the benefits of this Indenture equally and proportionately with any and all other Debt Securities of that series duly issued hereunder.</w:t>
      </w:r>
    </w:p>
    <w:p>
      <w:pPr>
        <w:spacing w:after="0" w:line="62"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The provisions of this Section 3.06 are exclusive and shall preclude (to the extent lawful) all other rights and remedies with respect to the replacement or payment of mutilated, destroyed, lost or stolen Debt Securities.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93" w:lineRule="auto"/>
        <w:tabs>
          <w:tab w:leader="none" w:pos="6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Interest on any Registered Security which is payable and is punctually paid or duly provided for on any Interest Payment Date shall be paid to the Person in whose name such Registered Security (or one or more Predecessor Securities) is registered at the close of business on the Regular Record Date for such interest notwithstanding the cancellation of such Registered Security upon any transfer or exchange subsequent to the Regular Record Date. Unless otherwise specified as contemplated by Section 3.01 with respect to the Debt Securities of any series, payment of interest on Registered Securities shall be made at the place or places specified pursuant to Section 3.01 or, at the option of the Company, by check mailed to the address of the Person entitled thereto as such address appears in the Register or, if provided pursuant to Section 3.01, by wire transfer to an account designated by the Registered Holder.</w:t>
      </w:r>
    </w:p>
    <w:p>
      <w:pPr>
        <w:spacing w:after="0" w:line="56" w:lineRule="exact"/>
        <w:rPr>
          <w:rFonts w:ascii="Arial" w:cs="Arial" w:eastAsia="Arial" w:hAnsi="Arial"/>
          <w:sz w:val="16"/>
          <w:szCs w:val="16"/>
          <w:color w:val="auto"/>
        </w:rPr>
      </w:pPr>
    </w:p>
    <w:p>
      <w:pPr>
        <w:jc w:val="both"/>
        <w:ind w:right="280" w:firstLine="458"/>
        <w:spacing w:after="0" w:line="259"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interest on any Debt Security which is payable but is not punctually paid or duly provided for on any Interest Payment Date (herein called “Defaulted Interest”) shall, if such Debt Security is a Registered Security, forthwith cease to be payable to the Registered Holder on the relevant Regular Record Date by virtue of his having been such Registered Holder, and such Defaulted Interest may be paid by the Company, at its election in each case, as provided in clause (1) or (2) below:</w:t>
      </w:r>
    </w:p>
    <w:p>
      <w:pPr>
        <w:spacing w:after="0" w:line="78" w:lineRule="exact"/>
        <w:rPr>
          <w:rFonts w:ascii="Arial" w:cs="Arial" w:eastAsia="Arial" w:hAnsi="Arial"/>
          <w:sz w:val="18"/>
          <w:szCs w:val="18"/>
          <w:color w:val="auto"/>
        </w:rPr>
      </w:pPr>
    </w:p>
    <w:p>
      <w:pPr>
        <w:ind w:firstLine="683"/>
        <w:spacing w:after="0" w:line="268" w:lineRule="auto"/>
        <w:tabs>
          <w:tab w:leader="none" w:pos="927"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such Registered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Registered Security and the date of the proposed payment, and at the same time the Company shall deposit with the Trustee an amount of money in the Currency or Currency unit in which the Debt Securities of such series are payable (except as otherwise specified pursuant to Sections 3.01 or 3.10)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date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Registered Securities at their addresses as they appear in the Register, not less than 10 days prior to such Special Record Date. Notice of the proposed payment of such Defaulted Interest and the Special Record Date therefor having been mailed as aforesaid, such Defaulted Interest shall be paid to the Persons in whose names such Registered Securities (or their respective Predecessor Securities) are registered at the close of business on such Special Record Date and shall no longer be payable pursuant to the following clause (2).</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5" w:name="page166"/>
    <w:bookmarkEnd w:id="165"/>
    <w:p>
      <w:pPr>
        <w:ind w:right="20" w:firstLine="683"/>
        <w:spacing w:after="0" w:line="259" w:lineRule="auto"/>
        <w:tabs>
          <w:tab w:leader="none" w:pos="92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Registered Securities in any other lawful manner not inconsistent with the requirements of any securities exchange on which such Registered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8" w:lineRule="exact"/>
        <w:rPr>
          <w:rFonts w:ascii="Arial" w:cs="Arial" w:eastAsia="Arial" w:hAnsi="Arial"/>
          <w:sz w:val="18"/>
          <w:szCs w:val="18"/>
          <w:color w:val="auto"/>
        </w:rPr>
      </w:pPr>
    </w:p>
    <w:p>
      <w:pPr>
        <w:ind w:right="140" w:firstLine="458"/>
        <w:spacing w:after="0" w:line="342" w:lineRule="auto"/>
        <w:tabs>
          <w:tab w:leader="none" w:pos="69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3.07, each Debt Security delivered under this Indenture upon transfer of or in exchange for or in lieu of any other Debt Security shall carry the rights to interest accrued and unpaid, and to accrue, which were carried by such other Debt Security.</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Unless otherwise specified pursuant to Section 3.01 for Debt Securities of any series, all Debt Securities surrendered for payment, redemption, transfer, exchange or credit against any sinking fund shall, if surrendered to any Person other than the Trustee, be delivered to the Trustee. All Registered Securities so delivered shall be promptly cancelled by the Trustee. The Company may at any time deliver to the Trustee for cancellation any Debt Securities previously authenticated and delivered hereunder which the Company may have acquired in any manner whatsoever, and may deliver to the Trustee (or to any other Person for delivery to the Trustee) for cancellation any Debt Securities previously authenticated hereunder which the Company has not issued, and all Debt Securities so delivered shall be promptly cancelled by the Trustee. No Debt Securities shall be authenticated in lieu of or in exchange for any Debt Securities cancelled as provided in this Section 3.08, except as expressly permitted by this Indenture. All cancelled Debt Securities held by the Trustee shall be delivered to the Company upon Company Request. The acquisition of any Debt Securities by the Company shall not operate as a redemption or satisfaction of the indebtedness represented thereby unless and until such Debt Securities are surrendered to the Trustee for cancellation. Permanent Global Notes shall not be destroyed until exchanged in full for definitive Debt Securities or until payment thereon is made in full.</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Except as otherwise specified pursuant to Section 3.01 for Debt Securities of any series, interest on the Debt Securities of each series shall be computed on the basis of a 360-day year of twelve 30-day months.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Currency of Payments in Respect of Debt Securities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458"/>
        <w:spacing w:after="0" w:line="286" w:lineRule="auto"/>
        <w:tabs>
          <w:tab w:leader="none" w:pos="69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With respect to Registered Securities of any series not permitting the election provided for in paragraph (b) below or the Holders of which have not made the election provided for in paragraph (b) below, except as provided in paragraph (d) below, payment of the principal of (and premium, if any) and any interest on any Registered Security of such series will be made in the Currency in which such Registered Security is payable.</w:t>
      </w:r>
    </w:p>
    <w:p>
      <w:pPr>
        <w:spacing w:after="0" w:line="57" w:lineRule="exact"/>
        <w:rPr>
          <w:rFonts w:ascii="Arial" w:cs="Arial" w:eastAsia="Arial" w:hAnsi="Arial"/>
          <w:sz w:val="17"/>
          <w:szCs w:val="17"/>
          <w:color w:val="auto"/>
        </w:rPr>
      </w:pPr>
    </w:p>
    <w:p>
      <w:pPr>
        <w:ind w:right="80" w:firstLine="458"/>
        <w:spacing w:after="0" w:line="255"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It may be provided pursuant to Section 3.01 with respect to the Registered Securities of any series that Holders shall have the option, subject to paragraphs (d) and (e) below, to receive payments of principal of (and premium, if any) and any interest on such Registered Securities in any of the Currencies which may be designated for such election by delivering to the Trustee a written election, to be in form and substance satisfactory to the Trustee,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6" w:name="page167"/>
    <w:bookmarkEnd w:id="166"/>
    <w:p>
      <w:pPr>
        <w:spacing w:after="0" w:line="297" w:lineRule="auto"/>
        <w:rPr>
          <w:sz w:val="20"/>
          <w:szCs w:val="20"/>
          <w:color w:val="auto"/>
        </w:rPr>
      </w:pPr>
      <w:r>
        <w:rPr>
          <w:rFonts w:ascii="Arial" w:cs="Arial" w:eastAsia="Arial" w:hAnsi="Arial"/>
          <w:sz w:val="16"/>
          <w:szCs w:val="16"/>
          <w:color w:val="auto"/>
        </w:rPr>
        <w:t>such change must be made not later than the close of business on the Election Date immediately preceding the next payment date to be effective for the payment to be made on such payment date and no such change or election may be made with respect to payments to be made on any Registered Security of such series with respect to which an Event of Default has occurred or notice of redemption has been given by the Company pursuant to Article Thirteen). Any Holder of any such Registered Security who shall not have delivered any such election to the Trustee by the close of business on the applicable Election Date will be paid the amount due on the applicable payment date in the relevant Currency as provided in paragraph (a) of this Section 3.10.</w:t>
      </w:r>
    </w:p>
    <w:p>
      <w:pPr>
        <w:spacing w:after="0" w:line="50" w:lineRule="exact"/>
        <w:rPr>
          <w:sz w:val="20"/>
          <w:szCs w:val="20"/>
          <w:color w:val="auto"/>
        </w:rPr>
      </w:pPr>
    </w:p>
    <w:p>
      <w:pPr>
        <w:ind w:firstLine="458"/>
        <w:spacing w:after="0" w:line="270" w:lineRule="auto"/>
        <w:tabs>
          <w:tab w:leader="none" w:pos="69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If the election referred to in paragraph (b) above has been provided for pursuant to Section 3.01, then not later than the fourth Business Day after the Election Date for each payment date, the Trustee will deliver to the Company a written notice, specifying the Currency in which such series of the Registered Securities is payable, the respective aggregate amounts of principal of (and premium, if any) and any interest on the Registered Securities to be paid on such payment date, specifying the amounts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on the second Business Day preceding each payment date, the Company will deliver to the Trustee an Exchange Rate Officer’s Certificate in respect of the Currency payments to be made on such payment date. The Currency amount receivable by Holders of Registered Securities who have elected payment in a Currency as provided in paragraph (b) above shall be determined by the Company on the basis of the applicable Market Exchange Rate in effect on the third Business Day (the “Valuation Date”) immediately preceding each payment date.</w:t>
      </w:r>
    </w:p>
    <w:p>
      <w:pPr>
        <w:spacing w:after="0" w:line="69" w:lineRule="exact"/>
        <w:rPr>
          <w:rFonts w:ascii="Arial" w:cs="Arial" w:eastAsia="Arial" w:hAnsi="Arial"/>
          <w:sz w:val="17"/>
          <w:szCs w:val="17"/>
          <w:color w:val="auto"/>
        </w:rPr>
      </w:pPr>
    </w:p>
    <w:p>
      <w:pPr>
        <w:ind w:right="40" w:firstLine="458"/>
        <w:spacing w:after="0" w:line="271" w:lineRule="auto"/>
        <w:tabs>
          <w:tab w:leader="none" w:pos="70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If a Conversion Event occurs with respect to a Foreign Currency, or any other Currency unit in which any of the Debt Securities are denominated or payable other than pursuant to an election provided for pursuant to paragraph (b) above, then with respect to each date for the payment of principal of (and premium, if any) and any interest on the applicable Debt Securities denominated or payable in such Foreign Currency, or such other Currency unit occurring after the last date on which such Foreign Currency, or such other Currency unit was used (the “Conversion Date”), the Dollar shall be the Currency of payment for use on each such payment date. The Dollar amount to be paid by the Company to the Trustee and by the Trustee or any Paying Agent to the Holders of such Debt Securities with respect to such payment date shall be the Dollar Equivalent of the Foreign Currency or, in the case of a Currency unit, the Dollar Equivalent of the Currency Unit, in each case as determined by the Currency Determination Agent, if any, or, if there shall not be a Currency Determination Agent, then by the Trustee, in the manner provided in paragraph (f) or (g) below.</w:t>
      </w:r>
    </w:p>
    <w:p>
      <w:pPr>
        <w:spacing w:after="0" w:line="70" w:lineRule="exact"/>
        <w:rPr>
          <w:rFonts w:ascii="Arial" w:cs="Arial" w:eastAsia="Arial" w:hAnsi="Arial"/>
          <w:sz w:val="17"/>
          <w:szCs w:val="17"/>
          <w:color w:val="auto"/>
        </w:rPr>
      </w:pPr>
    </w:p>
    <w:p>
      <w:pPr>
        <w:ind w:left="700" w:hanging="242"/>
        <w:spacing w:after="0"/>
        <w:tabs>
          <w:tab w:leader="none" w:pos="7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If the Holder of a Registered Security denominated in any Currency shall have elected to be paid in another Currency as provided in paragraph</w:t>
      </w:r>
    </w:p>
    <w:p>
      <w:pPr>
        <w:spacing w:after="0" w:line="46" w:lineRule="exact"/>
        <w:rPr>
          <w:rFonts w:ascii="Arial" w:cs="Arial" w:eastAsia="Arial" w:hAnsi="Arial"/>
          <w:sz w:val="16"/>
          <w:szCs w:val="16"/>
          <w:color w:val="auto"/>
        </w:rPr>
      </w:pPr>
    </w:p>
    <w:p>
      <w:pPr>
        <w:ind w:right="60" w:firstLine="8"/>
        <w:spacing w:after="0" w:line="277" w:lineRule="auto"/>
        <w:tabs>
          <w:tab w:leader="none" w:pos="2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above, and a Conversion Event occurs with respect to such elected Currency, such Holder shall receive payment in the Currency in which payment would have been made in the absence of such election. If a Conversion Event occurs with respect to the Currency in which payment would have been made in the absence of such election, such Holder shall receive payment in Dollars as provided in paragraph (d) of this Section 3.10.</w:t>
      </w:r>
    </w:p>
    <w:p>
      <w:pPr>
        <w:spacing w:after="0" w:line="65" w:lineRule="exact"/>
        <w:rPr>
          <w:rFonts w:ascii="Arial" w:cs="Arial" w:eastAsia="Arial" w:hAnsi="Arial"/>
          <w:sz w:val="17"/>
          <w:szCs w:val="17"/>
          <w:color w:val="auto"/>
        </w:rPr>
      </w:pPr>
    </w:p>
    <w:p>
      <w:pPr>
        <w:ind w:right="280" w:firstLine="458"/>
        <w:spacing w:after="0" w:line="264" w:lineRule="auto"/>
        <w:tabs>
          <w:tab w:leader="none" w:pos="67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“Dollar Equivalent of the Foreign Currency” shall be determined by the Currency Determination Agent, if any, or, if there shall not be a Currency Determination Agent, then by the Trustee, and shall be obtained for each subsequent payment date by converting the specified Foreign Currency into Dollars at the Market Exchange Rate on the Conversion Date.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7" w:name="page168"/>
    <w:bookmarkEnd w:id="167"/>
    <w:p>
      <w:pPr>
        <w:ind w:left="-60" w:right="60" w:firstLine="458"/>
        <w:spacing w:after="0" w:line="259" w:lineRule="auto"/>
        <w:tabs>
          <w:tab w:leader="none" w:pos="64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“Dollar Equivalent of the Currency Unit” shall be determined by the Currency Determination Agent, if any, or, if there shall not be a Currency Determination Agent, then by the Trustee,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78" w:lineRule="exact"/>
        <w:rPr>
          <w:rFonts w:ascii="Arial" w:cs="Arial" w:eastAsia="Arial" w:hAnsi="Arial"/>
          <w:sz w:val="18"/>
          <w:szCs w:val="18"/>
          <w:color w:val="auto"/>
        </w:rPr>
      </w:pPr>
    </w:p>
    <w:p>
      <w:pPr>
        <w:ind w:left="660" w:hanging="26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purposes of this Section 3.10 the following terms shall have the following meanings: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“Component Currency” shall mean any Currency which, on the Conversion Date, was a component Currency of the relevant Currency unit.</w:t>
      </w:r>
    </w:p>
    <w:p>
      <w:pPr>
        <w:spacing w:after="0" w:line="129" w:lineRule="exact"/>
        <w:rPr>
          <w:sz w:val="20"/>
          <w:szCs w:val="20"/>
          <w:color w:val="auto"/>
        </w:rPr>
      </w:pPr>
    </w:p>
    <w:p>
      <w:pPr>
        <w:ind w:left="180" w:firstLine="215"/>
        <w:spacing w:after="0" w:line="268" w:lineRule="auto"/>
        <w:rPr>
          <w:sz w:val="20"/>
          <w:szCs w:val="20"/>
          <w:color w:val="auto"/>
        </w:rPr>
      </w:pPr>
      <w:r>
        <w:rPr>
          <w:rFonts w:ascii="Arial" w:cs="Arial" w:eastAsia="Arial" w:hAnsi="Arial"/>
          <w:sz w:val="17"/>
          <w:szCs w:val="17"/>
          <w:color w:val="auto"/>
        </w:rPr>
        <w:t>A “Specified Amount” 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with appropriate Dollar equivalents at the Market Exchange Rate on the date of such replacement equal to the Dollar equivalent of the Specified Amount of such former Component Currency at the Market Exchange Rate on such date,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the Specified Amount of such Component Currency shall, for purposes of calculating the Dollar Equivalent of the Currency Unit, be converted into Dollars at the Market Exchange Rate in effect on the Conversion Date of such Component Currency.</w:t>
      </w:r>
    </w:p>
    <w:p>
      <w:pPr>
        <w:spacing w:after="0" w:line="77" w:lineRule="exact"/>
        <w:rPr>
          <w:sz w:val="20"/>
          <w:szCs w:val="20"/>
          <w:color w:val="auto"/>
        </w:rPr>
      </w:pPr>
    </w:p>
    <w:p>
      <w:pPr>
        <w:ind w:left="180" w:right="80" w:firstLine="225"/>
        <w:spacing w:after="0" w:line="259" w:lineRule="auto"/>
        <w:rPr>
          <w:sz w:val="20"/>
          <w:szCs w:val="20"/>
          <w:color w:val="auto"/>
        </w:rPr>
      </w:pPr>
      <w:r>
        <w:rPr>
          <w:rFonts w:ascii="Arial" w:cs="Arial" w:eastAsia="Arial" w:hAnsi="Arial"/>
          <w:sz w:val="18"/>
          <w:szCs w:val="18"/>
          <w:color w:val="auto"/>
        </w:rPr>
        <w:t>“Election Date” shall mean the record date with respect to any payment date, and with respect to the Maturity shall mean the record date (if within 16 or fewer days prior to the Maturity) immediately preceding the Maturity, and with respect to any series of Debt Securities whose record date immediately preceding the Maturity is more than 16 days prior to the Maturity or any series of Debt Securities for which no record dates are provided with respect to interest payments, shall mean the date which is 16 days prior to the Maturity.</w:t>
      </w:r>
    </w:p>
    <w:p>
      <w:pPr>
        <w:spacing w:after="0" w:line="79" w:lineRule="exact"/>
        <w:rPr>
          <w:sz w:val="20"/>
          <w:szCs w:val="20"/>
          <w:color w:val="auto"/>
        </w:rPr>
      </w:pPr>
    </w:p>
    <w:p>
      <w:pPr>
        <w:ind w:left="-60" w:right="60" w:firstLine="458"/>
        <w:spacing w:after="0" w:line="293" w:lineRule="auto"/>
        <w:tabs>
          <w:tab w:leader="none" w:pos="5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All decisions and determinations of the Trustee or the Currency Determination Agent, if any, regarding the Dollar Equivalent of the Foreign Currency, the Dollar Equivalent of the Currency Unit and the Market Exchange Rate shall be in its sole discretion and shall, in the absence of manifest error, be conclusive for all purposes and irrevocably binding upon the Company and all Holders of the Debt Securities denominated or payable in the relevant Currency. In the event of a Conversion Event with respect to a Foreign Currency, the Company, after learning thereof, will immediately give written notice thereof to the Trustee (and the Trustee will promptly thereafter give notice in the manner provided in Section 1.05 to the Holders) specifying the Conversion Date. In the event of a Conversion Event with respect to any Currency unit in which Debt Securities are denominated or payable,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6" w:right="299" w:bottom="1440" w:gutter="0" w:footer="0" w:header="0"/>
        </w:sectPr>
      </w:pPr>
    </w:p>
    <w:bookmarkStart w:id="168" w:name="page169"/>
    <w:bookmarkEnd w:id="168"/>
    <w:p>
      <w:pPr>
        <w:ind w:right="120"/>
        <w:spacing w:after="0" w:line="255" w:lineRule="auto"/>
        <w:rPr>
          <w:sz w:val="20"/>
          <w:szCs w:val="20"/>
          <w:color w:val="auto"/>
        </w:rPr>
      </w:pPr>
      <w:r>
        <w:rPr>
          <w:rFonts w:ascii="Arial" w:cs="Arial" w:eastAsia="Arial" w:hAnsi="Arial"/>
          <w:sz w:val="18"/>
          <w:szCs w:val="18"/>
          <w:color w:val="auto"/>
        </w:rPr>
        <w:t>Company, after learning thereof, will immediately give notice thereof to the Trustee (and the Trustee will promptly thereafter give written notice in the manner provided in Section 1.05 to the Holders) specifying the Conversion Date and the Specified Amount of each Component Currency on the Conversion Date. In the event of any subsequent change in any Component Currency as set forth in the definition of Specified Amount above, the Company, after learning thereof, will similarly give written notice to the Trustee. The Trustee shall be fully justified and protected in relying and acting upon information received by it from the Company and the Currency Determination Agent, if any, and shall not otherwise have any duty or obligation to determine such information independently.</w:t>
      </w:r>
    </w:p>
    <w:p>
      <w:pPr>
        <w:spacing w:after="0" w:line="85" w:lineRule="exact"/>
        <w:rPr>
          <w:sz w:val="20"/>
          <w:szCs w:val="20"/>
          <w:color w:val="auto"/>
        </w:rPr>
      </w:pPr>
    </w:p>
    <w:p>
      <w:pPr>
        <w:ind w:firstLine="458"/>
        <w:spacing w:after="0" w:line="273" w:lineRule="auto"/>
        <w:tabs>
          <w:tab w:leader="none" w:pos="66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For purposes of any provision of this Indenture where the Holders of Outstanding Debt Securities may perform an Act which requires that a specified percentage of the Outstanding Debt Securities of all series perform such Act and for purposes of any decision or determination by the Trustee of amounts due and unpaid for the principal (and premium, if any) and interest on the Debt Securities of all series in respect of which moneys are to be disbursed ratably, the principal of (and premium, if any) and interest on the Outstanding Debt Securities denominated in a Foreign Currency will be the amount in Dollars based upon the Market Exchange Rate for Debt Securities of such series, as of the date for determining whether the Holders entitled to perform such Act have performed it, or as of the date of such decision or determination by the Trustee, as the case may be.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Judgments</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86" w:lineRule="auto"/>
        <w:rPr>
          <w:sz w:val="20"/>
          <w:szCs w:val="20"/>
          <w:color w:val="auto"/>
        </w:rPr>
      </w:pPr>
      <w:r>
        <w:rPr>
          <w:rFonts w:ascii="Arial" w:cs="Arial" w:eastAsia="Arial" w:hAnsi="Arial"/>
          <w:sz w:val="16"/>
          <w:szCs w:val="16"/>
          <w:color w:val="auto"/>
        </w:rPr>
        <w:t>If for the purpose of obtaining a judgment in any court with respect to any obligation of the Company hereunder or under any Debt Security, it shall become necessary to convert into any other Currency any amount in the Currency due hereunder or under such Debt Security, then such conversion shall be made at the Market Exchange Rate as in effect on the date the Company shall make payment to any Person in satisfaction of such judgment. If pursuant to any such judgment, conversion shall be made on a date other than the date payment is made and there shall occur a change between such Market Exchange Rate and the Market Exchange Rate as in effect on the date of payment, the Company agrees to pay such additional amounts (if any) as may be necessary to ensure that the amount paid is equal to the amount in such other Currency which, when converted at the Market Exchange Rate as in effect on the date of payment or distribution, is the amount then due hereunder or under such Debt Security. Any amount due from the Company under this Section 3.11 shall be due as a separate debt and is not to be affected by or merged into any judgment being obtained for any other sums due hereunder or in respect of any Debt Security. In no event, however, shall the Company be required to pay more in the Currency or Currency unit due hereunder or under such Debt Security at the Market Exchange Rate as in effect when payment is made than the amount of Currency stated to be due hereunder or under such Debt Security so that in any event the Company’s obligations hereunder or under such Debt Security will be effectively maintained as obligations in such Currency, and the Company shall be entitled to withhold (or be reimbursed for, as the case may be) any excess of the amount actually realized upon any such conversion over the amount due and payable on the date of payment or distribution.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Exchange Upon Default</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79" w:lineRule="auto"/>
        <w:rPr>
          <w:sz w:val="20"/>
          <w:szCs w:val="20"/>
          <w:color w:val="auto"/>
        </w:rPr>
      </w:pPr>
      <w:r>
        <w:rPr>
          <w:rFonts w:ascii="Arial" w:cs="Arial" w:eastAsia="Arial" w:hAnsi="Arial"/>
          <w:sz w:val="17"/>
          <w:szCs w:val="17"/>
          <w:color w:val="auto"/>
        </w:rPr>
        <w:t>If default is made in the payments referred to in Section 12.01, the Company hereby undertakes that upon presentation and surrender of a permanent Global Note to the Trustee (or to any other Person or at any other address as the Company may designate in writing), on any Business Day on or after the due date thereof the Company will issue and the Trustee will authenticate and deliver to the Holder of such permanent Global Note duly executed and authenticated definitive Debt Securities with the same issue date and maturity date as set out in such permanent Global Note.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CUSIP and ISIN Numbers</w:t>
      </w:r>
      <w:r>
        <w:rPr>
          <w:rFonts w:ascii="Arial" w:cs="Arial" w:eastAsia="Arial" w:hAnsi="Arial"/>
          <w:sz w:val="18"/>
          <w:szCs w:val="18"/>
          <w:color w:val="auto"/>
        </w:rPr>
        <w:t>.</w:t>
      </w:r>
    </w:p>
    <w:p>
      <w:pPr>
        <w:spacing w:after="0" w:line="117" w:lineRule="exact"/>
        <w:rPr>
          <w:sz w:val="20"/>
          <w:szCs w:val="20"/>
          <w:color w:val="auto"/>
        </w:rPr>
      </w:pPr>
    </w:p>
    <w:p>
      <w:pPr>
        <w:ind w:right="20" w:firstLine="447"/>
        <w:spacing w:after="0" w:line="276" w:lineRule="auto"/>
        <w:rPr>
          <w:sz w:val="20"/>
          <w:szCs w:val="20"/>
          <w:color w:val="auto"/>
        </w:rPr>
      </w:pPr>
      <w:r>
        <w:rPr>
          <w:rFonts w:ascii="Arial" w:cs="Arial" w:eastAsia="Arial" w:hAnsi="Arial"/>
          <w:sz w:val="17"/>
          <w:szCs w:val="17"/>
          <w:color w:val="auto"/>
        </w:rPr>
        <w:t>The Company in issuing the Debt Securities may use “CUSIP” and “ISIN” numbers (if then generally in use), and, if so, the Trustee shall use “CUSIP” and “ISIN” numbers in notices of redemption as a convenience to Holders; provided that any such notice may state that no representation is made as to the accuracy of such numbers either as printed on the Debt Securities or as contained in any notice of a redemption and that reliance may be placed only on the other identification numbers printed on the Debt Securities, and any such redemption shall not be affected by any defect in or omission of such numbers. The Company will promptly notify the Trustee in writing of any change in the “CUSIP” or “ISIN” numbers.</w:t>
      </w:r>
    </w:p>
    <w:p>
      <w:pPr>
        <w:spacing w:after="0" w:line="28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FOUR</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SATISFACTION AND DISCHARGE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right="40" w:firstLine="447"/>
        <w:spacing w:after="0" w:line="264" w:lineRule="auto"/>
        <w:rPr>
          <w:sz w:val="20"/>
          <w:szCs w:val="20"/>
          <w:color w:val="auto"/>
        </w:rPr>
      </w:pPr>
      <w:r>
        <w:rPr>
          <w:rFonts w:ascii="Arial" w:cs="Arial" w:eastAsia="Arial" w:hAnsi="Arial"/>
          <w:sz w:val="18"/>
          <w:szCs w:val="18"/>
          <w:color w:val="auto"/>
        </w:rPr>
        <w:t>This Indenture, with respect to the Debt Securities of any series, shall be discharged and shall cease to be of further effect (except as to surviving rights of registration of transfer or exchange of such Debt Securities, as expressly provided for herein) as to all outstanding Debt Securities of such series, when either:</w:t>
      </w:r>
    </w:p>
    <w:p>
      <w:pPr>
        <w:spacing w:after="0" w:line="73" w:lineRule="exact"/>
        <w:rPr>
          <w:sz w:val="20"/>
          <w:szCs w:val="20"/>
          <w:color w:val="auto"/>
        </w:rPr>
      </w:pPr>
    </w:p>
    <w:p>
      <w:pPr>
        <w:ind w:firstLine="458"/>
        <w:spacing w:after="0" w:line="312"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 the Debt Securities of such series theretofore authenticated and delivered (except lost, stolen or destroyed Debt Securities of such series which have been replaced or paid and Debt Securities of such series for whose payment money has theretofore been deposited in trust or segregated and held in trust by the Company and thereafter repaid to the Company as provided in this Indenture) have been delivered to the Registrar for cancellation, and</w:t>
      </w:r>
    </w:p>
    <w:p>
      <w:pPr>
        <w:spacing w:after="0" w:line="38" w:lineRule="exact"/>
        <w:rPr>
          <w:rFonts w:ascii="Arial" w:cs="Arial" w:eastAsia="Arial" w:hAnsi="Arial"/>
          <w:sz w:val="16"/>
          <w:szCs w:val="16"/>
          <w:color w:val="auto"/>
        </w:rPr>
      </w:pPr>
    </w:p>
    <w:p>
      <w:pPr>
        <w:ind w:left="900" w:hanging="214"/>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Company has paid all sums payable under this Indenture by the Company with respect to all Debt Securities of such series, and</w:t>
      </w:r>
    </w:p>
    <w:p>
      <w:pPr>
        <w:spacing w:after="0" w:line="117" w:lineRule="exact"/>
        <w:rPr>
          <w:rFonts w:ascii="Arial" w:cs="Arial" w:eastAsia="Arial" w:hAnsi="Arial"/>
          <w:sz w:val="18"/>
          <w:szCs w:val="18"/>
          <w:color w:val="auto"/>
        </w:rPr>
      </w:pPr>
    </w:p>
    <w:p>
      <w:pPr>
        <w:ind w:left="460" w:right="380" w:firstLine="229"/>
        <w:spacing w:after="0" w:line="342" w:lineRule="auto"/>
        <w:tabs>
          <w:tab w:leader="none" w:pos="95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this Indenture relating to the satisfaction and discharge of this Indenture with respect to all Debt Securities of such series have been complied with; or</w:t>
      </w:r>
    </w:p>
    <w:p>
      <w:pPr>
        <w:spacing w:after="0" w:line="15" w:lineRule="exact"/>
        <w:rPr>
          <w:rFonts w:ascii="Arial" w:cs="Arial" w:eastAsia="Arial" w:hAnsi="Arial"/>
          <w:sz w:val="16"/>
          <w:szCs w:val="16"/>
          <w:color w:val="auto"/>
        </w:rPr>
      </w:pPr>
    </w:p>
    <w:p>
      <w:pPr>
        <w:ind w:firstLine="458"/>
        <w:spacing w:after="0" w:line="264"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Debt Securities of such series, all of the Debt Securities of such series shall have otherwise become due and payable or all of the Debt Securities of such series will become due and payable, or may be called for redemption, within one year, and</w:t>
      </w:r>
    </w:p>
    <w:p>
      <w:pPr>
        <w:spacing w:after="0" w:line="73" w:lineRule="exact"/>
        <w:rPr>
          <w:rFonts w:ascii="Arial" w:cs="Arial" w:eastAsia="Arial" w:hAnsi="Arial"/>
          <w:sz w:val="18"/>
          <w:szCs w:val="18"/>
          <w:color w:val="auto"/>
        </w:rPr>
      </w:pPr>
    </w:p>
    <w:p>
      <w:pPr>
        <w:ind w:left="460" w:right="200" w:firstLine="229"/>
        <w:spacing w:after="0" w:line="276" w:lineRule="auto"/>
        <w:tabs>
          <w:tab w:leader="none" w:pos="9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Company has irrevocably deposited or caused to be deposited with the Trustee or another trustee funds, in trust solely for the benefit of the Holders of Debt Securities of such series, U.S. legal tender, U.S. Government Obligations or a combination thereof, in such amounts as will be sufficient (without consideration of any reinvestment of interest) to pay and discharge the entire indebtedness (including all principal and accrued interest) on the Debt Securities of such series not theretofore delivered to the Trustee for cancellation, together with irrevocable instructions from the Company directing the Trustee to apply such funds to the payment thereof at maturity or redemption, as the case may be;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0" w:name="page171"/>
    <w:bookmarkEnd w:id="170"/>
    <w:p>
      <w:pPr>
        <w:ind w:left="460" w:right="60" w:firstLine="229"/>
        <w:spacing w:after="0" w:line="264" w:lineRule="auto"/>
        <w:tabs>
          <w:tab w:leader="none" w:pos="95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material instrument to which the Company is a party or by which it is bound;</w:t>
      </w:r>
    </w:p>
    <w:p>
      <w:pPr>
        <w:spacing w:after="0" w:line="73" w:lineRule="exact"/>
        <w:rPr>
          <w:rFonts w:ascii="Arial" w:cs="Arial" w:eastAsia="Arial" w:hAnsi="Arial"/>
          <w:sz w:val="18"/>
          <w:szCs w:val="18"/>
          <w:color w:val="auto"/>
        </w:rPr>
      </w:pPr>
    </w:p>
    <w:p>
      <w:pPr>
        <w:ind w:left="1000" w:hanging="311"/>
        <w:spacing w:after="0"/>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this Indenture with respect to all Debt Securities of such series; and</w:t>
      </w:r>
    </w:p>
    <w:p>
      <w:pPr>
        <w:spacing w:after="0" w:line="117" w:lineRule="exact"/>
        <w:rPr>
          <w:rFonts w:ascii="Arial" w:cs="Arial" w:eastAsia="Arial" w:hAnsi="Arial"/>
          <w:sz w:val="18"/>
          <w:szCs w:val="18"/>
          <w:color w:val="auto"/>
        </w:rPr>
      </w:pPr>
    </w:p>
    <w:p>
      <w:pPr>
        <w:ind w:left="460" w:right="300" w:firstLine="229"/>
        <w:spacing w:after="0" w:line="342" w:lineRule="auto"/>
        <w:tabs>
          <w:tab w:leader="none" w:pos="99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this Indenture with respect to all Debt Securities of such series relating to the satisfaction and discharge of this Indenture have been complied with.</w:t>
      </w:r>
    </w:p>
    <w:p>
      <w:pPr>
        <w:spacing w:after="0" w:line="16" w:lineRule="exact"/>
        <w:rPr>
          <w:sz w:val="20"/>
          <w:szCs w:val="20"/>
          <w:color w:val="auto"/>
        </w:rPr>
      </w:pPr>
    </w:p>
    <w:p>
      <w:pPr>
        <w:ind w:right="100" w:firstLine="450"/>
        <w:spacing w:after="0" w:line="286" w:lineRule="auto"/>
        <w:rPr>
          <w:sz w:val="20"/>
          <w:szCs w:val="20"/>
          <w:color w:val="auto"/>
        </w:rPr>
      </w:pPr>
      <w:r>
        <w:rPr>
          <w:rFonts w:ascii="Arial" w:cs="Arial" w:eastAsia="Arial" w:hAnsi="Arial"/>
          <w:sz w:val="16"/>
          <w:szCs w:val="16"/>
          <w:color w:val="auto"/>
        </w:rPr>
        <w:t>Notwithstanding the satisfaction and discharge of this Indenture with respect to Debt Securities of any series, the obligations of the Company to the Trustee under Section 6.07, the obligations of the Trustee to any Authenticating Agent under Section 6.14, the obligations of the Company under Section 12.01, and, if money shall have been deposited with the Trustee pursuant to clause (b) of this Section 4.01, the obligations of the Trustee under Section 4.02 and the last paragraph of Section 12.04, shall survive with respect to such series. If, after the deposit referred to in Section 4.01 has been made,</w:t>
      </w:r>
    </w:p>
    <w:p>
      <w:pPr>
        <w:spacing w:after="0" w:line="2" w:lineRule="exact"/>
        <w:rPr>
          <w:sz w:val="20"/>
          <w:szCs w:val="20"/>
          <w:color w:val="auto"/>
        </w:rPr>
      </w:pPr>
    </w:p>
    <w:p>
      <w:pPr>
        <w:ind w:right="140" w:firstLine="8"/>
        <w:spacing w:after="0" w:line="273" w:lineRule="auto"/>
        <w:tabs>
          <w:tab w:leader="none" w:pos="25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Holder of a Debt Security is entitled to, and does, elect pursuant to Section 3.10(b), to receive payment in a Currency other than that in which the deposit pursuant to Section 4.01 was made, or (y) if a Conversion Event occurs with respect to the Currency in which the deposit was made or elected to be received by the Holder pursuant to Section 3.10(b), then the indebtedness represented by such Debt Security shall be fully discharged to the extent that the deposit made with respect to such Debt Security shall be converted into the Currency in which such payment is made.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Subject to the provisions of the last paragraph of Section 12.04, all money deposited with the Trustee pursuant to Section 4.01 shall be held in trust and applied by it, in accordance with the provisions of the Debt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FIVE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REMEDIES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Wherever used herein with respect to Debt Securities of any series, each of the following is an “Event of Default”:</w:t>
      </w:r>
    </w:p>
    <w:p>
      <w:pPr>
        <w:spacing w:after="0" w:line="117" w:lineRule="exact"/>
        <w:rPr>
          <w:sz w:val="20"/>
          <w:szCs w:val="20"/>
          <w:color w:val="auto"/>
        </w:rPr>
      </w:pPr>
    </w:p>
    <w:p>
      <w:pPr>
        <w:ind w:left="940" w:hanging="257"/>
        <w:spacing w:after="0"/>
        <w:tabs>
          <w:tab w:leader="none" w:pos="9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upon any Debt Security of such series; or</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any Debt Security of such series at its Maturity; or</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71" w:name="page172"/>
    <w:bookmarkEnd w:id="171"/>
    <w:p>
      <w:pPr>
        <w:ind w:left="940" w:hanging="257"/>
        <w:spacing w:after="0"/>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such series; or</w:t>
      </w:r>
    </w:p>
    <w:p>
      <w:pPr>
        <w:spacing w:after="0" w:line="117" w:lineRule="exact"/>
        <w:rPr>
          <w:rFonts w:ascii="Arial" w:cs="Arial" w:eastAsia="Arial" w:hAnsi="Arial"/>
          <w:sz w:val="18"/>
          <w:szCs w:val="18"/>
          <w:color w:val="auto"/>
        </w:rPr>
      </w:pPr>
    </w:p>
    <w:p>
      <w:pPr>
        <w:ind w:right="20" w:firstLine="683"/>
        <w:spacing w:after="0" w:line="259" w:lineRule="auto"/>
        <w:tabs>
          <w:tab w:leader="none" w:pos="9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default in the observance or performance of any other covenant or agreement contained in this Indenture with respect to Debt Securities of such series which default continues for a period of 60 days after the Company receives written notice specifying the default (and demanding that such default be remedied) from the Trustee or the Holders (with a copy to the Trustee) of at least 25% of the outstanding principal amount of the Debt Securities of such series;</w:t>
      </w:r>
    </w:p>
    <w:p>
      <w:pPr>
        <w:spacing w:after="0" w:line="78" w:lineRule="exact"/>
        <w:rPr>
          <w:rFonts w:ascii="Arial" w:cs="Arial" w:eastAsia="Arial" w:hAnsi="Arial"/>
          <w:sz w:val="18"/>
          <w:szCs w:val="18"/>
          <w:color w:val="auto"/>
        </w:rPr>
      </w:pPr>
    </w:p>
    <w:p>
      <w:pPr>
        <w:ind w:right="20" w:firstLine="683"/>
        <w:spacing w:after="0" w:line="273" w:lineRule="auto"/>
        <w:tabs>
          <w:tab w:leader="none" w:pos="93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 court having jurisdiction in the premises enters (x) a decree or order for relief in respect of the Company in an involuntary case or proceeding under any applicable federal or state bankruptcy, insolvency, reorganization or other similar law or (y)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70" w:lineRule="exact"/>
        <w:rPr>
          <w:rFonts w:ascii="Arial" w:cs="Arial" w:eastAsia="Arial" w:hAnsi="Arial"/>
          <w:sz w:val="17"/>
          <w:szCs w:val="17"/>
          <w:color w:val="auto"/>
        </w:rPr>
      </w:pPr>
    </w:p>
    <w:p>
      <w:pPr>
        <w:ind w:left="940" w:hanging="257"/>
        <w:spacing w:after="0"/>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17" w:lineRule="exact"/>
        <w:rPr>
          <w:rFonts w:ascii="Arial" w:cs="Arial" w:eastAsia="Arial" w:hAnsi="Arial"/>
          <w:sz w:val="18"/>
          <w:szCs w:val="18"/>
          <w:color w:val="auto"/>
        </w:rPr>
      </w:pPr>
    </w:p>
    <w:p>
      <w:pPr>
        <w:ind w:left="460" w:right="40" w:firstLine="454"/>
        <w:spacing w:after="0" w:line="277" w:lineRule="auto"/>
        <w:tabs>
          <w:tab w:leader="none" w:pos="112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applicable federal or state bankruptcy, insolvency, reorganization or other similar law or any other case or proceeding to be adjudicated a bankrupt or insolvent; or</w:t>
      </w:r>
    </w:p>
    <w:p>
      <w:pPr>
        <w:spacing w:after="0" w:line="62" w:lineRule="exact"/>
        <w:rPr>
          <w:rFonts w:ascii="Arial" w:cs="Arial" w:eastAsia="Arial" w:hAnsi="Arial"/>
          <w:sz w:val="18"/>
          <w:szCs w:val="18"/>
          <w:color w:val="auto"/>
        </w:rPr>
      </w:pPr>
    </w:p>
    <w:p>
      <w:pPr>
        <w:ind w:left="460" w:firstLine="454"/>
        <w:spacing w:after="0" w:line="264" w:lineRule="auto"/>
        <w:tabs>
          <w:tab w:leader="none" w:pos="117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the Company; or</w:t>
      </w:r>
    </w:p>
    <w:p>
      <w:pPr>
        <w:spacing w:after="0" w:line="73" w:lineRule="exact"/>
        <w:rPr>
          <w:rFonts w:ascii="Arial" w:cs="Arial" w:eastAsia="Arial" w:hAnsi="Arial"/>
          <w:sz w:val="18"/>
          <w:szCs w:val="18"/>
          <w:color w:val="auto"/>
        </w:rPr>
      </w:pPr>
    </w:p>
    <w:p>
      <w:pPr>
        <w:ind w:left="1220" w:hanging="306"/>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files a petition or answer or consent seeking reorganization or relief under any applicable federal or state law; or</w:t>
      </w:r>
    </w:p>
    <w:p>
      <w:pPr>
        <w:spacing w:after="0" w:line="117" w:lineRule="exact"/>
        <w:rPr>
          <w:rFonts w:ascii="Arial" w:cs="Arial" w:eastAsia="Arial" w:hAnsi="Arial"/>
          <w:sz w:val="18"/>
          <w:szCs w:val="18"/>
          <w:color w:val="auto"/>
        </w:rPr>
      </w:pPr>
    </w:p>
    <w:p>
      <w:pPr>
        <w:ind w:left="460" w:right="400" w:firstLine="454"/>
        <w:spacing w:after="0" w:line="277" w:lineRule="auto"/>
        <w:tabs>
          <w:tab w:leader="none" w:pos="121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consents to the filing of such petition or to the appointment of or taking possession by a custodian, receiver, liquidator, assignee, trustee, sequestrator or similar official of the Company or of any substantial part of its property; or</w:t>
      </w:r>
    </w:p>
    <w:p>
      <w:pPr>
        <w:spacing w:after="0" w:line="62" w:lineRule="exact"/>
        <w:rPr>
          <w:rFonts w:ascii="Arial" w:cs="Arial" w:eastAsia="Arial" w:hAnsi="Arial"/>
          <w:sz w:val="18"/>
          <w:szCs w:val="18"/>
          <w:color w:val="auto"/>
        </w:rPr>
      </w:pPr>
    </w:p>
    <w:p>
      <w:pPr>
        <w:ind w:left="1160" w:hanging="246"/>
        <w:spacing w:after="0"/>
        <w:tabs>
          <w:tab w:leader="none" w:pos="11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makes an assignment for the benefit of creditors; or</w:t>
      </w:r>
    </w:p>
    <w:p>
      <w:pPr>
        <w:spacing w:after="0" w:line="117" w:lineRule="exact"/>
        <w:rPr>
          <w:rFonts w:ascii="Arial" w:cs="Arial" w:eastAsia="Arial" w:hAnsi="Arial"/>
          <w:sz w:val="18"/>
          <w:szCs w:val="18"/>
          <w:color w:val="auto"/>
        </w:rPr>
      </w:pPr>
    </w:p>
    <w:p>
      <w:pPr>
        <w:ind w:left="1220" w:hanging="306"/>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admits in writing its inability to pay its debts generally as they become due; or</w:t>
      </w:r>
    </w:p>
    <w:p>
      <w:pPr>
        <w:spacing w:after="0" w:line="117" w:lineRule="exact"/>
        <w:rPr>
          <w:rFonts w:ascii="Arial" w:cs="Arial" w:eastAsia="Arial" w:hAnsi="Arial"/>
          <w:sz w:val="18"/>
          <w:szCs w:val="18"/>
          <w:color w:val="auto"/>
        </w:rPr>
      </w:pPr>
    </w:p>
    <w:p>
      <w:pPr>
        <w:ind w:left="1260" w:hanging="346"/>
        <w:spacing w:after="0"/>
        <w:tabs>
          <w:tab w:leader="none" w:pos="12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takes corporate action in furtherance of any such action; or</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Section 3.01.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If an Event of Default (other than an Event of Default specified in clause (5) or (6) of Section 5.01 with respect to the Company) with respect to Debt Securities of any series at the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2" w:name="page173"/>
    <w:bookmarkEnd w:id="172"/>
    <w:p>
      <w:pPr>
        <w:spacing w:after="0" w:line="272" w:lineRule="auto"/>
        <w:rPr>
          <w:sz w:val="20"/>
          <w:szCs w:val="20"/>
          <w:color w:val="auto"/>
        </w:rPr>
      </w:pPr>
      <w:r>
        <w:rPr>
          <w:rFonts w:ascii="Arial" w:cs="Arial" w:eastAsia="Arial" w:hAnsi="Arial"/>
          <w:sz w:val="17"/>
          <w:szCs w:val="17"/>
          <w:color w:val="auto"/>
        </w:rPr>
        <w:t>Outstanding occurs and is continuing, then in every such case the Trustee or the Holders of not less than 25% in principal amount of the Outstanding Debt Securities of such series may declare the principal amount (or, if any Debt Securities of such series are Discount Securities, such portion of the principal amount of such Discount Securities as may be specified in the terms of such Discount Securities) of all the Debt Securities of such series to be due and payable immediately, by a notice in writing to the Company (and to the Trustee if given by Holders), and upon any such declaration such principal amount (or specified amount) plus accrued and unpaid interest (and premium, if payable) shall become immediately due and payable. Upon payment of such amount in the Currency in which such Debt Securities are denominated (except as otherwise provided pursuant to Sections 3.01 or 3.10), all obligations of the Company in respect of the payment of principal of the Debt Securities of such series shall terminate.</w:t>
      </w:r>
    </w:p>
    <w:p>
      <w:pPr>
        <w:spacing w:after="0" w:line="70"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If an Event of Default specified in clause (5) or (6) of Section 5.01 occurs and is continuing with respect to the Company, then all unpaid principal of, and premium, if any, and accrued and unpaid interest on all of the Debt Securities under this Indenture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w:t>
      </w:r>
    </w:p>
    <w:p>
      <w:pPr>
        <w:spacing w:after="0" w:line="73" w:lineRule="exact"/>
        <w:rPr>
          <w:sz w:val="20"/>
          <w:szCs w:val="20"/>
          <w:color w:val="auto"/>
        </w:rPr>
      </w:pPr>
    </w:p>
    <w:p>
      <w:pPr>
        <w:ind w:right="140" w:firstLine="440"/>
        <w:spacing w:after="0" w:line="312" w:lineRule="auto"/>
        <w:rPr>
          <w:sz w:val="20"/>
          <w:szCs w:val="20"/>
          <w:color w:val="auto"/>
        </w:rPr>
      </w:pPr>
      <w:r>
        <w:rPr>
          <w:rFonts w:ascii="Arial" w:cs="Arial" w:eastAsia="Arial" w:hAnsi="Arial"/>
          <w:sz w:val="16"/>
          <w:szCs w:val="16"/>
          <w:color w:val="auto"/>
        </w:rPr>
        <w:t>At any time after such a declaration of acceleration with respect to Debt Securities of any series has been made and before a judgment or decree for payment of the money due has been obtained by the Trustee as hereinafter in this Article provided, the Holders of a majority in principal amount of the Outstanding Debt Securities of such series, by written notice to the Company and the Trustee, may rescind and annul such declaration and its consequences:</w:t>
      </w:r>
    </w:p>
    <w:p>
      <w:pPr>
        <w:spacing w:after="0" w:line="39" w:lineRule="exact"/>
        <w:rPr>
          <w:sz w:val="20"/>
          <w:szCs w:val="20"/>
          <w:color w:val="auto"/>
        </w:rPr>
      </w:pPr>
    </w:p>
    <w:p>
      <w:pPr>
        <w:ind w:left="940" w:hanging="257"/>
        <w:spacing w:after="0"/>
        <w:tabs>
          <w:tab w:leader="none" w:pos="9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117" w:lineRule="exact"/>
        <w:rPr>
          <w:rFonts w:ascii="Arial" w:cs="Arial" w:eastAsia="Arial" w:hAnsi="Arial"/>
          <w:sz w:val="18"/>
          <w:szCs w:val="18"/>
          <w:color w:val="auto"/>
        </w:rPr>
      </w:pPr>
    </w:p>
    <w:p>
      <w:pPr>
        <w:ind w:right="420" w:firstLine="683"/>
        <w:spacing w:after="0" w:line="277" w:lineRule="auto"/>
        <w:tabs>
          <w:tab w:leader="none" w:pos="93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all existing Events of Default with respect to Debt Securities of such series have been cured or waived except nonpayment of principal or interest that has become due solely because of the acceleration;</w:t>
      </w:r>
    </w:p>
    <w:p>
      <w:pPr>
        <w:spacing w:after="0" w:line="62" w:lineRule="exact"/>
        <w:rPr>
          <w:rFonts w:ascii="Arial" w:cs="Arial" w:eastAsia="Arial" w:hAnsi="Arial"/>
          <w:sz w:val="18"/>
          <w:szCs w:val="18"/>
          <w:color w:val="auto"/>
        </w:rPr>
      </w:pPr>
    </w:p>
    <w:p>
      <w:pPr>
        <w:ind w:right="560" w:firstLine="683"/>
        <w:spacing w:after="0" w:line="277" w:lineRule="auto"/>
        <w:tabs>
          <w:tab w:leader="none" w:pos="93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with respect to Debt Securities of such series, which has become due otherwise than by such declaration of acceleration, has been paid; and</w:t>
      </w:r>
    </w:p>
    <w:p>
      <w:pPr>
        <w:spacing w:after="0" w:line="62" w:lineRule="exact"/>
        <w:rPr>
          <w:rFonts w:ascii="Arial" w:cs="Arial" w:eastAsia="Arial" w:hAnsi="Arial"/>
          <w:sz w:val="18"/>
          <w:szCs w:val="18"/>
          <w:color w:val="auto"/>
        </w:rPr>
      </w:pPr>
    </w:p>
    <w:p>
      <w:pPr>
        <w:ind w:right="440" w:firstLine="683"/>
        <w:spacing w:after="0" w:line="375" w:lineRule="auto"/>
        <w:tabs>
          <w:tab w:leader="none" w:pos="93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Company has paid the Trustee its reasonable compensation and reimbursed the Trustee for its expenses, disbursements and advances. No such rescission and waiver shall affect any subsequent default or impair any right consequent thereto.</w:t>
      </w:r>
    </w:p>
    <w:p>
      <w:pPr>
        <w:spacing w:after="0" w:line="1" w:lineRule="exact"/>
        <w:rPr>
          <w:rFonts w:ascii="Arial" w:cs="Arial" w:eastAsia="Arial" w:hAnsi="Arial"/>
          <w:sz w:val="18"/>
          <w:szCs w:val="18"/>
          <w:color w:val="auto"/>
        </w:rPr>
      </w:pPr>
    </w:p>
    <w:p>
      <w:pPr>
        <w:ind w:left="460" w:right="5240" w:firstLine="3"/>
        <w:spacing w:after="0" w:line="375" w:lineRule="auto"/>
        <w:rPr>
          <w:rFonts w:ascii="Arial" w:cs="Arial" w:eastAsia="Arial" w:hAnsi="Arial"/>
          <w:sz w:val="18"/>
          <w:szCs w:val="18"/>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 w:lineRule="exact"/>
        <w:rPr>
          <w:sz w:val="20"/>
          <w:szCs w:val="20"/>
          <w:color w:val="auto"/>
        </w:rPr>
      </w:pPr>
    </w:p>
    <w:p>
      <w:pPr>
        <w:ind w:right="60" w:firstLine="683"/>
        <w:spacing w:after="0" w:line="277" w:lineRule="auto"/>
        <w:tabs>
          <w:tab w:leader="none" w:pos="93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Debt Security when such interest becomes due and payable and such default continues for a period of 30 days,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default is made in the payment of principal of (or premium, if any, on) any Debt Security at the Maturity thereof,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3" w:name="page174"/>
    <w:bookmarkEnd w:id="173"/>
    <w:p>
      <w:pPr>
        <w:ind w:right="200" w:firstLine="683"/>
        <w:spacing w:after="0" w:line="277" w:lineRule="auto"/>
        <w:tabs>
          <w:tab w:leader="none" w:pos="93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default is made in the making or satisfaction of any sinking fund payment or analogous obligation when the same becomes due pursuant to the terms of the Debt Securities of any series,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Debt Securities, the amount then due and payable on such Debt Securities, for the principal (and premium, if any) and interest, if any, and, to the extent that payment of such interest shall be legally enforceable, interest upon the overdue principal (and premium, if any) and upon overdue installments of interest, at the Overdue Rate; and, in addition thereto, such further amount as shall be sufficient to cover the costs and expenses of collection, including the reasonable compensation, expenses, disbursements and advances of the Trustee, its agents and counsel.</w:t>
      </w:r>
    </w:p>
    <w:p>
      <w:pPr>
        <w:spacing w:after="0" w:line="80" w:lineRule="exact"/>
        <w:rPr>
          <w:sz w:val="20"/>
          <w:szCs w:val="20"/>
          <w:color w:val="auto"/>
        </w:rPr>
      </w:pPr>
    </w:p>
    <w:p>
      <w:pPr>
        <w:ind w:right="80" w:firstLine="450"/>
        <w:spacing w:after="0" w:line="279" w:lineRule="auto"/>
        <w:rPr>
          <w:sz w:val="20"/>
          <w:szCs w:val="20"/>
          <w:color w:val="auto"/>
        </w:rPr>
      </w:pPr>
      <w:r>
        <w:rPr>
          <w:rFonts w:ascii="Arial" w:cs="Arial" w:eastAsia="Arial" w:hAnsi="Arial"/>
          <w:sz w:val="17"/>
          <w:szCs w:val="17"/>
          <w:color w:val="auto"/>
        </w:rPr>
        <w:t>If the Company fails to pay such amount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Debt Securities, and collect the moneys adjudged or decreed to be payable in the manner provided by law out of the property of the Company or any other obligor upon such Debt Securities wherever situated.</w:t>
      </w:r>
    </w:p>
    <w:p>
      <w:pPr>
        <w:spacing w:after="0" w:line="63"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If an Event of Default with respect to Debt Securities of any series occurs and is continuing, the Trustee may in its discretion proceed to protect and enforce its rights and the rights of the Holders of Debt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proceedings, or any voluntary or involuntary case under the Federal bankruptcy laws, as now or hereafter constituted, relative to the Company or any other obligor upon the Debt Securities of a particular series or the property of the Company or of such other obligor or their creditors, the Trustee (irrespective of whether the principal of such Debt Securities shall then be due and payable as therein expressed or by declaration of acceleration or otherwise and irrespective of whether the Trustee shall have made any demand on the Company for the payment of overdue principal or interest) shall be entitled and empowered, by intervention in such proceeding or otherwise,</w:t>
      </w:r>
    </w:p>
    <w:p>
      <w:pPr>
        <w:spacing w:after="0" w:line="85" w:lineRule="exact"/>
        <w:rPr>
          <w:sz w:val="20"/>
          <w:szCs w:val="20"/>
          <w:color w:val="auto"/>
        </w:rPr>
      </w:pPr>
    </w:p>
    <w:p>
      <w:pPr>
        <w:ind w:left="460" w:right="20" w:firstLine="229"/>
        <w:spacing w:after="0" w:line="297" w:lineRule="auto"/>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(or, if the Debt Securities of such series are Discount Securities, such portion of the principal amount as may be due and payable with respect to such series pursuant to a declaration in accordance with Section 5.02) (and premium, if any) and interest owing and unpaid in respect of the Debt Securities of such series and to file such other papers or documents as may be necessary or advisable in order to have the claims of the Trustee (including any claim for the reasonable compensation, expenses, disbursements and advances of the Trustee, its agents and counsel) and of the Holders of such Debt Securities allowed in such judicial proceeding, and</w:t>
      </w:r>
    </w:p>
    <w:p>
      <w:pPr>
        <w:spacing w:after="0" w:line="50" w:lineRule="exact"/>
        <w:rPr>
          <w:rFonts w:ascii="Arial" w:cs="Arial" w:eastAsia="Arial" w:hAnsi="Arial"/>
          <w:sz w:val="16"/>
          <w:szCs w:val="16"/>
          <w:color w:val="auto"/>
        </w:rPr>
      </w:pPr>
    </w:p>
    <w:p>
      <w:pPr>
        <w:ind w:left="960" w:hanging="271"/>
        <w:spacing w:after="0"/>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4" w:name="page175"/>
    <w:bookmarkEnd w:id="174"/>
    <w:p>
      <w:pPr>
        <w:ind w:right="40"/>
        <w:spacing w:after="0" w:line="259" w:lineRule="auto"/>
        <w:rPr>
          <w:sz w:val="20"/>
          <w:szCs w:val="20"/>
          <w:color w:val="auto"/>
        </w:rPr>
      </w:pPr>
      <w:r>
        <w:rPr>
          <w:rFonts w:ascii="Arial" w:cs="Arial" w:eastAsia="Arial" w:hAnsi="Arial"/>
          <w:sz w:val="18"/>
          <w:szCs w:val="18"/>
          <w:color w:val="auto"/>
        </w:rPr>
        <w:t>and any receiver, assignee, trustee, custodian, liquidator, sequestrator (or other similar official) in any such proceeding is hereby authorized by each such Holder to make such payments to the Trustee, and in the event that the Trustee shall consent to the making of such payments directly to such Holders, to pay to the Trustee any amount due it for the reasonable compensation, expenses, disbursements and advances of the Trustee, its agents and counsel, and any other amounts due the Trustee under Section 6.07.</w:t>
      </w:r>
    </w:p>
    <w:p>
      <w:pPr>
        <w:spacing w:after="0" w:line="79" w:lineRule="exact"/>
        <w:rPr>
          <w:sz w:val="20"/>
          <w:szCs w:val="20"/>
          <w:color w:val="auto"/>
        </w:rPr>
      </w:pPr>
    </w:p>
    <w:p>
      <w:pPr>
        <w:jc w:val="both"/>
        <w:ind w:right="320" w:firstLine="450"/>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Debt Securities of such series or the rights of any Holder thereof, or to authorize the Trustee to vote in respect of the claim of any Holder in any such proceeding.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Debt Securities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All rights of action and claims under this Indenture or the Debt Securities of any series may be prosecuted and enforced by the Trustee without the possession of any of such Debt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Debt Securities in respect of which such judgment has been recovered.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Any money collected by the Trustee pursuant to this Article shall be applied in the following order, at the date or dates fixed by the Trustee and, in case of the distribution of such money on account of principal (and premium, if any) or interest, upon presentation of the Debt Securities of any series in respect of which money has been collected and the notation thereon of the payment if only partially paid and upon surrender thereof if fully paid: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117" w:lineRule="exact"/>
        <w:rPr>
          <w:sz w:val="20"/>
          <w:szCs w:val="20"/>
          <w:color w:val="auto"/>
        </w:rPr>
      </w:pPr>
    </w:p>
    <w:p>
      <w:pPr>
        <w:jc w:val="both"/>
        <w:ind w:left="240" w:right="40" w:firstLine="225"/>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premium, if any) and interest on the Debt Securities of such series, in respect of which or for the benefit of which such money has been collected ratably, without preference or priority of any kind, according to the amounts due and payable on such Debt Securities for principal (and premium, if any) and interest, respectively; and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balance, if any, to the Person or Persons entitled 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No Holder of any Debt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940" w:hanging="257"/>
        <w:spacing w:after="0"/>
        <w:tabs>
          <w:tab w:leader="none" w:pos="9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such series;</w:t>
      </w:r>
    </w:p>
    <w:p>
      <w:pPr>
        <w:spacing w:after="0" w:line="117" w:lineRule="exact"/>
        <w:rPr>
          <w:rFonts w:ascii="Arial" w:cs="Arial" w:eastAsia="Arial" w:hAnsi="Arial"/>
          <w:sz w:val="18"/>
          <w:szCs w:val="18"/>
          <w:color w:val="auto"/>
        </w:rPr>
      </w:pPr>
    </w:p>
    <w:p>
      <w:pPr>
        <w:ind w:right="320" w:firstLine="683"/>
        <w:spacing w:after="0" w:line="277" w:lineRule="auto"/>
        <w:tabs>
          <w:tab w:leader="none" w:pos="93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such series shall have made written request to the Trustee to institute proceedings in respect of such Event of Default in its own name as Trustee hereunder;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5" w:name="page176"/>
    <w:bookmarkEnd w:id="175"/>
    <w:p>
      <w:pPr>
        <w:ind w:right="80" w:firstLine="683"/>
        <w:spacing w:after="0" w:line="277" w:lineRule="auto"/>
        <w:tabs>
          <w:tab w:leader="none" w:pos="93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128" w:lineRule="exact"/>
        <w:rPr>
          <w:rFonts w:ascii="Arial" w:cs="Arial" w:eastAsia="Arial" w:hAnsi="Arial"/>
          <w:sz w:val="17"/>
          <w:szCs w:val="17"/>
          <w:color w:val="auto"/>
        </w:rPr>
      </w:pPr>
    </w:p>
    <w:p>
      <w:pPr>
        <w:ind w:right="440" w:firstLine="683"/>
        <w:spacing w:after="0" w:line="277" w:lineRule="auto"/>
        <w:tabs>
          <w:tab w:leader="none" w:pos="93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Debt Securities of such series;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such Holders or of the Holders of Outstanding Debt Securities of any other series, or to obtain or to seek to obtain priority or preference over any other of such Holders or to enforce any right under this Indenture, except in the manner herein provided and for the equal and ratable benefit of all of such Holders. For the protection and enforcement of the provisions of this Section 5.07, each and every Holder of Debt Securities of any series and the Trustee for such series shall be entitled to such relief as can be given at law or in equity.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260" w:firstLine="450"/>
        <w:spacing w:after="0" w:line="279" w:lineRule="auto"/>
        <w:rPr>
          <w:sz w:val="20"/>
          <w:szCs w:val="20"/>
          <w:color w:val="auto"/>
        </w:rPr>
      </w:pPr>
      <w:r>
        <w:rPr>
          <w:rFonts w:ascii="Arial" w:cs="Arial" w:eastAsia="Arial" w:hAnsi="Arial"/>
          <w:sz w:val="17"/>
          <w:szCs w:val="17"/>
          <w:color w:val="auto"/>
        </w:rPr>
        <w:t>Notwithstanding any other provision in this Indenture, the Holder of any Debt Security shall have the right, which is absolute and unconditional, to receive payment of the principal of (and premium, if any) and (subject to Section 3.07) interest on such Debt Security on the respective Stated Maturity or Maturities expressed in such Debt Security (or, in the case of redemption, on the Redemption Date) and to institute suit for the enforcement of any such payment and interest thereon, and such right shall not be impaired without the consent of such Holder.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302" w:lineRule="auto"/>
        <w:rPr>
          <w:sz w:val="20"/>
          <w:szCs w:val="20"/>
          <w:color w:val="auto"/>
        </w:rPr>
      </w:pPr>
      <w:r>
        <w:rPr>
          <w:rFonts w:ascii="Arial" w:cs="Arial" w:eastAsia="Arial" w:hAnsi="Arial"/>
          <w:sz w:val="16"/>
          <w:szCs w:val="16"/>
          <w:color w:val="auto"/>
        </w:rPr>
        <w:t>Except as otherwise expressly provided elsewhere in this Indenture,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6" w:name="page177"/>
    <w:bookmarkEnd w:id="176"/>
    <w:p>
      <w:pPr>
        <w:ind w:right="640"/>
        <w:spacing w:after="0" w:line="308" w:lineRule="auto"/>
        <w:rPr>
          <w:sz w:val="20"/>
          <w:szCs w:val="20"/>
          <w:color w:val="auto"/>
        </w:rPr>
      </w:pPr>
      <w:r>
        <w:rPr>
          <w:rFonts w:ascii="Arial" w:cs="Arial" w:eastAsia="Arial" w:hAnsi="Arial"/>
          <w:sz w:val="17"/>
          <w:szCs w:val="17"/>
          <w:color w:val="auto"/>
        </w:rPr>
        <w:t>such Event of Default or any acquiescence therein. Every right and remedy given by this Indenture or by law to the Trustee or to the Holders may be exercised from time to time, and as often as may be deemed expedient, by the Trustee or by the Holders, as the case may be.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17"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shall have the right to direct the time, method and place of conducting any proceeding for any remedy available to the Trustee or exercising any trust or power conferred on the Trustee with respect to the Debt Securities of such series, provided, that</w:t>
      </w:r>
    </w:p>
    <w:p>
      <w:pPr>
        <w:spacing w:after="0" w:line="73" w:lineRule="exact"/>
        <w:rPr>
          <w:sz w:val="20"/>
          <w:szCs w:val="20"/>
          <w:color w:val="auto"/>
        </w:rPr>
      </w:pPr>
    </w:p>
    <w:p>
      <w:pPr>
        <w:ind w:left="940" w:hanging="257"/>
        <w:spacing w:after="0"/>
        <w:tabs>
          <w:tab w:leader="none" w:pos="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firstLine="683"/>
        <w:spacing w:after="0" w:line="264" w:lineRule="auto"/>
        <w:tabs>
          <w:tab w:leader="none" w:pos="9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the provisions of Section 6.01, the Trustee shall have the right to decline to follow any such direction if the Trustee in good faith shall, by a Responsible Officer or Responsible Officers of the Trustee, determine that the proceeding so directed would be unjustly prejudicial to the Holders of Debt Securities of such series not joining in any such direction; and</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 or Events of Default</w:t>
      </w:r>
      <w:r>
        <w:rPr>
          <w:rFonts w:ascii="Arial" w:cs="Arial" w:eastAsia="Arial" w:hAnsi="Arial"/>
          <w:sz w:val="18"/>
          <w:szCs w:val="18"/>
          <w:color w:val="auto"/>
        </w:rPr>
        <w:t>.</w:t>
      </w:r>
    </w:p>
    <w:p>
      <w:pPr>
        <w:spacing w:after="0" w:line="117" w:lineRule="exact"/>
        <w:rPr>
          <w:sz w:val="20"/>
          <w:szCs w:val="20"/>
          <w:color w:val="auto"/>
        </w:rPr>
      </w:pPr>
    </w:p>
    <w:p>
      <w:pPr>
        <w:ind w:right="40" w:firstLine="447"/>
        <w:spacing w:after="0" w:line="264" w:lineRule="auto"/>
        <w:rPr>
          <w:sz w:val="20"/>
          <w:szCs w:val="20"/>
          <w:color w:val="auto"/>
        </w:rPr>
      </w:pPr>
      <w:r>
        <w:rPr>
          <w:rFonts w:ascii="Arial" w:cs="Arial" w:eastAsia="Arial" w:hAnsi="Arial"/>
          <w:sz w:val="18"/>
          <w:szCs w:val="18"/>
          <w:color w:val="auto"/>
        </w:rPr>
        <w:t>The Holders of not less than a majority in aggregate principal amount of the Outstanding Debt Securities of any series may on behalf of the Holders of all the Debt Securities of any such series waive any past Default or Event of Default hereunder with respect to such series and its consequences, except a Default or Event of Default</w:t>
      </w:r>
    </w:p>
    <w:p>
      <w:pPr>
        <w:spacing w:after="0" w:line="73" w:lineRule="exact"/>
        <w:rPr>
          <w:sz w:val="20"/>
          <w:szCs w:val="20"/>
          <w:color w:val="auto"/>
        </w:rPr>
      </w:pPr>
    </w:p>
    <w:p>
      <w:pPr>
        <w:ind w:right="300" w:firstLine="683"/>
        <w:spacing w:after="0" w:line="277" w:lineRule="auto"/>
        <w:tabs>
          <w:tab w:leader="none" w:pos="93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any Debt Security of such series, or in the payment of any sinking fund installment or analogous obligation with respect to the Debt Securities of such series, or</w:t>
      </w:r>
    </w:p>
    <w:p>
      <w:pPr>
        <w:spacing w:after="0" w:line="62" w:lineRule="exact"/>
        <w:rPr>
          <w:rFonts w:ascii="Arial" w:cs="Arial" w:eastAsia="Arial" w:hAnsi="Arial"/>
          <w:sz w:val="18"/>
          <w:szCs w:val="18"/>
          <w:color w:val="auto"/>
        </w:rPr>
      </w:pPr>
    </w:p>
    <w:p>
      <w:pPr>
        <w:ind w:right="60" w:firstLine="683"/>
        <w:spacing w:after="0" w:line="277" w:lineRule="auto"/>
        <w:tabs>
          <w:tab w:leader="none" w:pos="93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pursuant to Article Eleven cannot be modified or amended without the consent of the Holder of each Outstanding Debt Security of such series affected.</w:t>
      </w:r>
    </w:p>
    <w:p>
      <w:pPr>
        <w:spacing w:after="0" w:line="62"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Upon any such waiver, such Default or Event of Default shall cease to exist, and such Default or Event of Default arising therefrom shall be deemed to have been cured, for every purpose of the Debt Securities of such series under this Indenture, but no such waiver shall extend to any subsequent or other Default or impair any right consequent thereon.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76" w:lineRule="auto"/>
        <w:rPr>
          <w:sz w:val="20"/>
          <w:szCs w:val="20"/>
          <w:color w:val="auto"/>
        </w:rPr>
      </w:pPr>
      <w:r>
        <w:rPr>
          <w:rFonts w:ascii="Arial" w:cs="Arial" w:eastAsia="Arial" w:hAnsi="Arial"/>
          <w:sz w:val="17"/>
          <w:szCs w:val="17"/>
          <w:color w:val="auto"/>
        </w:rPr>
        <w:t>All parties to this Indenture agree, and each Holder of any Debt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other than the Trustee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77" w:name="page178"/>
    <w:bookmarkEnd w:id="177"/>
    <w:p>
      <w:pPr>
        <w:ind w:right="180"/>
        <w:spacing w:after="0" w:line="279" w:lineRule="auto"/>
        <w:rPr>
          <w:sz w:val="20"/>
          <w:szCs w:val="20"/>
          <w:color w:val="auto"/>
        </w:rPr>
      </w:pPr>
      <w:r>
        <w:rPr>
          <w:rFonts w:ascii="Arial" w:cs="Arial" w:eastAsia="Arial" w:hAnsi="Arial"/>
          <w:sz w:val="17"/>
          <w:szCs w:val="17"/>
          <w:color w:val="auto"/>
        </w:rPr>
        <w:t>provisions of this Section 5.14 shall not apply to any suit instituted by the Trustee, to any suit instituted by any Holder or group of Holders holding in the aggregate more than 10% in principal amount of the Outstanding Debt Securities of any series, or to any suit instituted by any Holder of a Debt Security for the enforcement of the payment of the principal of (or premium, if any) or interest on such Debt Security on or after the respective Stated Maturity or Maturities expressed in such Debt Security (or, in the case of redemption, on or after the Redemption Date).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9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SIX</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Debt Securities of any series,</w:t>
      </w:r>
    </w:p>
    <w:p>
      <w:pPr>
        <w:spacing w:after="0" w:line="117" w:lineRule="exact"/>
        <w:rPr>
          <w:rFonts w:ascii="Arial" w:cs="Arial" w:eastAsia="Arial" w:hAnsi="Arial"/>
          <w:sz w:val="18"/>
          <w:szCs w:val="18"/>
          <w:color w:val="auto"/>
        </w:rPr>
      </w:pPr>
    </w:p>
    <w:p>
      <w:pPr>
        <w:ind w:right="360" w:firstLine="683"/>
        <w:spacing w:after="0" w:line="277" w:lineRule="auto"/>
        <w:tabs>
          <w:tab w:leader="none" w:pos="93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jc w:val="both"/>
        <w:ind w:right="240" w:firstLine="683"/>
        <w:spacing w:after="0" w:line="259" w:lineRule="auto"/>
        <w:tabs>
          <w:tab w:leader="none" w:pos="93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78" w:lineRule="exact"/>
        <w:rPr>
          <w:rFonts w:ascii="Arial" w:cs="Arial" w:eastAsia="Arial" w:hAnsi="Arial"/>
          <w:sz w:val="18"/>
          <w:szCs w:val="18"/>
          <w:color w:val="auto"/>
        </w:rPr>
      </w:pPr>
    </w:p>
    <w:p>
      <w:pPr>
        <w:ind w:right="140" w:firstLine="458"/>
        <w:spacing w:after="0" w:line="264" w:lineRule="auto"/>
        <w:tabs>
          <w:tab w:leader="none" w:pos="7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case an Event of Default with respect to Debt Securities of any series has occurred and is continuing, the Trustee shall, with respect to the Debt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73" w:lineRule="exact"/>
        <w:rPr>
          <w:rFonts w:ascii="Arial" w:cs="Arial" w:eastAsia="Arial" w:hAnsi="Arial"/>
          <w:sz w:val="18"/>
          <w:szCs w:val="18"/>
          <w:color w:val="auto"/>
        </w:rPr>
      </w:pPr>
    </w:p>
    <w:p>
      <w:pPr>
        <w:ind w:right="80" w:firstLine="458"/>
        <w:spacing w:after="0" w:line="277" w:lineRule="auto"/>
        <w:tabs>
          <w:tab w:leader="none" w:pos="69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 6.01;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ind w:right="880" w:firstLine="683"/>
        <w:spacing w:after="0" w:line="277" w:lineRule="auto"/>
        <w:tabs>
          <w:tab w:leader="none" w:pos="93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unless it shall be proved that the Trustee was negligent in ascertaining the pertinent facts;</w:t>
      </w:r>
    </w:p>
    <w:p>
      <w:pPr>
        <w:spacing w:after="0" w:line="62" w:lineRule="exact"/>
        <w:rPr>
          <w:rFonts w:ascii="Arial" w:cs="Arial" w:eastAsia="Arial" w:hAnsi="Arial"/>
          <w:sz w:val="18"/>
          <w:szCs w:val="18"/>
          <w:color w:val="auto"/>
        </w:rPr>
      </w:pPr>
    </w:p>
    <w:p>
      <w:pPr>
        <w:ind w:right="40" w:firstLine="683"/>
        <w:spacing w:after="0" w:line="259" w:lineRule="auto"/>
        <w:tabs>
          <w:tab w:leader="none" w:pos="93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Debt Securities of any series in good faith in accordance with the direction of the Holders of a majority in principal amount of the Outstanding Debt Securities of such series relating to the time, method and place of conducting any proceeding for any remedy available to the Trustee, or exercising any trust or power conferred upon the Trustee, under this Indenture; and</w:t>
      </w:r>
    </w:p>
    <w:p>
      <w:pPr>
        <w:spacing w:after="0" w:line="78" w:lineRule="exact"/>
        <w:rPr>
          <w:rFonts w:ascii="Arial" w:cs="Arial" w:eastAsia="Arial" w:hAnsi="Arial"/>
          <w:sz w:val="18"/>
          <w:szCs w:val="18"/>
          <w:color w:val="auto"/>
        </w:rPr>
      </w:pPr>
    </w:p>
    <w:p>
      <w:pPr>
        <w:ind w:right="160" w:firstLine="683"/>
        <w:spacing w:after="0" w:line="264" w:lineRule="auto"/>
        <w:tabs>
          <w:tab w:leader="none" w:pos="93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73" w:lineRule="exact"/>
        <w:rPr>
          <w:rFonts w:ascii="Arial" w:cs="Arial" w:eastAsia="Arial" w:hAnsi="Arial"/>
          <w:sz w:val="18"/>
          <w:szCs w:val="18"/>
          <w:color w:val="auto"/>
        </w:rPr>
      </w:pPr>
    </w:p>
    <w:p>
      <w:pPr>
        <w:ind w:right="500" w:firstLine="458"/>
        <w:spacing w:after="0" w:line="277" w:lineRule="auto"/>
        <w:tabs>
          <w:tab w:leader="none" w:pos="70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6.01.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 xml:space="preserve">Within 90 days after the occurrence of any Default hereunder with respect to Debt Securities of any series, the Trustee shall give notice to all Holders of Debt Securities of such series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in the payment of the principal of (or premium, if any) or interest on any Debt Security of such series or in the payment of any sinking fund installment with respect to Debt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Debt Securities of such series;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Default of the character specified in Section 5.01(4) with respect to Debt Securities of such series no such notice to Holders shall be given until at least 30 days after the occurrence thereof.</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given pursuant to this Section 6.02 shall be transmitted by mail:</w:t>
      </w:r>
    </w:p>
    <w:p>
      <w:pPr>
        <w:spacing w:after="0" w:line="117" w:lineRule="exact"/>
        <w:rPr>
          <w:sz w:val="20"/>
          <w:szCs w:val="20"/>
          <w:color w:val="auto"/>
        </w:rPr>
      </w:pPr>
    </w:p>
    <w:p>
      <w:pPr>
        <w:ind w:left="940" w:hanging="257"/>
        <w:spacing w:after="0"/>
        <w:tabs>
          <w:tab w:leader="none" w:pos="9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all Registered Holders, as the names and addresses of the Registered Holders appear in the Register; and</w:t>
      </w:r>
    </w:p>
    <w:p>
      <w:pPr>
        <w:spacing w:after="0" w:line="117" w:lineRule="exact"/>
        <w:rPr>
          <w:rFonts w:ascii="Arial" w:cs="Arial" w:eastAsia="Arial" w:hAnsi="Arial"/>
          <w:sz w:val="18"/>
          <w:szCs w:val="18"/>
          <w:color w:val="auto"/>
        </w:rPr>
      </w:pPr>
    </w:p>
    <w:p>
      <w:pPr>
        <w:ind w:right="600" w:firstLine="683"/>
        <w:spacing w:after="0" w:line="277" w:lineRule="auto"/>
        <w:tabs>
          <w:tab w:leader="none" w:pos="93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each Holder of a Debt Security of any series whose name and address appear in the information preserved at the time by the Trustee in accordance with Section 7.02(a) of this Indenture.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provided in Section 6.01:</w:t>
      </w:r>
    </w:p>
    <w:p>
      <w:pPr>
        <w:spacing w:after="0" w:line="117" w:lineRule="exact"/>
        <w:rPr>
          <w:sz w:val="20"/>
          <w:szCs w:val="20"/>
          <w:color w:val="auto"/>
        </w:rPr>
      </w:pPr>
    </w:p>
    <w:p>
      <w:pPr>
        <w:ind w:firstLine="458"/>
        <w:spacing w:after="0" w:line="264"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ind w:right="520" w:firstLine="458"/>
        <w:spacing w:after="0" w:line="277" w:lineRule="auto"/>
        <w:tabs>
          <w:tab w:leader="none" w:pos="7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62" w:lineRule="exact"/>
        <w:rPr>
          <w:rFonts w:ascii="Arial" w:cs="Arial" w:eastAsia="Arial" w:hAnsi="Arial"/>
          <w:sz w:val="18"/>
          <w:szCs w:val="18"/>
          <w:color w:val="auto"/>
        </w:rPr>
      </w:pPr>
    </w:p>
    <w:p>
      <w:pPr>
        <w:ind w:firstLine="458"/>
        <w:spacing w:after="0" w:line="264" w:lineRule="auto"/>
        <w:tabs>
          <w:tab w:leader="none" w:pos="69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right="620" w:firstLine="458"/>
        <w:spacing w:after="0" w:line="277" w:lineRule="auto"/>
        <w:tabs>
          <w:tab w:leader="none" w:pos="7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62" w:lineRule="exact"/>
        <w:rPr>
          <w:rFonts w:ascii="Arial" w:cs="Arial" w:eastAsia="Arial" w:hAnsi="Arial"/>
          <w:sz w:val="18"/>
          <w:szCs w:val="18"/>
          <w:color w:val="auto"/>
        </w:rPr>
      </w:pPr>
    </w:p>
    <w:p>
      <w:pPr>
        <w:ind w:right="120" w:firstLine="458"/>
        <w:spacing w:after="0" w:line="286" w:lineRule="auto"/>
        <w:tabs>
          <w:tab w:leader="none" w:pos="695"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of Debt Securities of any series pursuant to this Indenture, unless such Holders shall have offered to the Trustee reasonable security or indemnity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140" w:firstLine="458"/>
        <w:spacing w:after="0" w:line="264" w:lineRule="auto"/>
        <w:tabs>
          <w:tab w:leader="none" w:pos="67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except, (i) any Event of Default under Section 5.01(1) or (2) or</w:t>
      </w:r>
    </w:p>
    <w:p>
      <w:pPr>
        <w:spacing w:after="0" w:line="46" w:lineRule="exact"/>
        <w:rPr>
          <w:rFonts w:ascii="Arial" w:cs="Arial" w:eastAsia="Arial" w:hAnsi="Arial"/>
          <w:sz w:val="16"/>
          <w:szCs w:val="16"/>
          <w:color w:val="auto"/>
        </w:rPr>
      </w:pPr>
    </w:p>
    <w:p>
      <w:pPr>
        <w:ind w:right="500" w:firstLine="8"/>
        <w:spacing w:after="0" w:line="323" w:lineRule="auto"/>
        <w:tabs>
          <w:tab w:leader="none" w:pos="26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Default or Event of Default of which the Trustee shall have actually received written notice in accordance with Section 1.04 that references this Indenture and the applicable series of Debt Securities, or of which a Responsible Officer of the Trustee shall have obtained actual knowledge;</w:t>
      </w:r>
    </w:p>
    <w:p>
      <w:pPr>
        <w:spacing w:after="0" w:line="30" w:lineRule="exact"/>
        <w:rPr>
          <w:rFonts w:ascii="Arial" w:cs="Arial" w:eastAsia="Arial" w:hAnsi="Arial"/>
          <w:sz w:val="16"/>
          <w:szCs w:val="16"/>
          <w:color w:val="auto"/>
        </w:rPr>
      </w:pPr>
    </w:p>
    <w:p>
      <w:pPr>
        <w:ind w:left="720" w:hanging="262"/>
        <w:spacing w:after="0"/>
        <w:tabs>
          <w:tab w:leader="none" w:pos="72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Trustee shall not be liable for interest on any money received by it except as the Trustee may otherwise agree in writing with the Company;</w:t>
      </w:r>
    </w:p>
    <w:p>
      <w:pPr>
        <w:spacing w:after="0" w:line="140" w:lineRule="exact"/>
        <w:rPr>
          <w:rFonts w:ascii="Arial" w:cs="Arial" w:eastAsia="Arial" w:hAnsi="Arial"/>
          <w:sz w:val="16"/>
          <w:szCs w:val="16"/>
          <w:color w:val="auto"/>
        </w:rPr>
      </w:pPr>
    </w:p>
    <w:p>
      <w:pPr>
        <w:ind w:right="80" w:firstLine="458"/>
        <w:spacing w:after="0" w:line="302" w:lineRule="auto"/>
        <w:tabs>
          <w:tab w:leader="none" w:pos="665"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46" w:lineRule="exact"/>
        <w:rPr>
          <w:rFonts w:ascii="Arial" w:cs="Arial" w:eastAsia="Arial" w:hAnsi="Arial"/>
          <w:sz w:val="16"/>
          <w:szCs w:val="16"/>
          <w:color w:val="auto"/>
        </w:rPr>
      </w:pPr>
    </w:p>
    <w:p>
      <w:pPr>
        <w:ind w:right="60" w:firstLine="458"/>
        <w:spacing w:after="0" w:line="264" w:lineRule="auto"/>
        <w:tabs>
          <w:tab w:leader="none" w:pos="66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(including any agent appointed pursuant to Section 3.10(i)) or attorney appointed with due care by it hereunder.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Debt Securities</w:t>
      </w:r>
      <w:r>
        <w:rPr>
          <w:rFonts w:ascii="Arial" w:cs="Arial" w:eastAsia="Arial" w:hAnsi="Arial"/>
          <w:sz w:val="18"/>
          <w:szCs w:val="18"/>
          <w:color w:val="auto"/>
        </w:rPr>
        <w:t>.</w:t>
      </w:r>
    </w:p>
    <w:p>
      <w:pPr>
        <w:spacing w:after="0" w:line="117" w:lineRule="exact"/>
        <w:rPr>
          <w:sz w:val="20"/>
          <w:szCs w:val="20"/>
          <w:color w:val="auto"/>
        </w:rPr>
      </w:pPr>
    </w:p>
    <w:p>
      <w:pPr>
        <w:ind w:right="560" w:firstLine="447"/>
        <w:spacing w:after="0" w:line="342" w:lineRule="auto"/>
        <w:rPr>
          <w:sz w:val="20"/>
          <w:szCs w:val="20"/>
          <w:color w:val="auto"/>
        </w:rPr>
      </w:pPr>
      <w:r>
        <w:rPr>
          <w:rFonts w:ascii="Arial" w:cs="Arial" w:eastAsia="Arial" w:hAnsi="Arial"/>
          <w:sz w:val="16"/>
          <w:szCs w:val="16"/>
          <w:color w:val="auto"/>
        </w:rPr>
        <w:t>The recitals contained herein and in the Debt Securities, except the Trustee’s certificates of authentication, shall be taken as the statements of the Company, and the Trustee assumes no responsibility for their correctness. The Trustee makes no representations as to the validity or sufficiency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0" w:name="page181"/>
    <w:bookmarkEnd w:id="180"/>
    <w:p>
      <w:pPr>
        <w:spacing w:after="0" w:line="277" w:lineRule="auto"/>
        <w:rPr>
          <w:sz w:val="20"/>
          <w:szCs w:val="20"/>
          <w:color w:val="auto"/>
        </w:rPr>
      </w:pPr>
      <w:r>
        <w:rPr>
          <w:rFonts w:ascii="Arial" w:cs="Arial" w:eastAsia="Arial" w:hAnsi="Arial"/>
          <w:sz w:val="18"/>
          <w:szCs w:val="18"/>
          <w:color w:val="auto"/>
        </w:rPr>
        <w:t>of this Indenture or of the Debt Securities of any series. The Trustee shall not be accountable for the use or application by the Company of any Debt Securities or the proceeds thereof.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Debt Securities</w:t>
      </w:r>
      <w:r>
        <w:rPr>
          <w:rFonts w:ascii="Arial" w:cs="Arial" w:eastAsia="Arial" w:hAnsi="Arial"/>
          <w:sz w:val="18"/>
          <w:szCs w:val="18"/>
          <w:color w:val="auto"/>
        </w:rPr>
        <w:t>.</w:t>
      </w:r>
    </w:p>
    <w:p>
      <w:pPr>
        <w:spacing w:after="0" w:line="117" w:lineRule="exact"/>
        <w:rPr>
          <w:sz w:val="20"/>
          <w:szCs w:val="20"/>
          <w:color w:val="auto"/>
        </w:rPr>
      </w:pPr>
    </w:p>
    <w:p>
      <w:pPr>
        <w:ind w:right="340" w:firstLine="447"/>
        <w:spacing w:after="0" w:line="264" w:lineRule="auto"/>
        <w:rPr>
          <w:sz w:val="20"/>
          <w:szCs w:val="20"/>
          <w:color w:val="auto"/>
        </w:rPr>
      </w:pPr>
      <w:r>
        <w:rPr>
          <w:rFonts w:ascii="Arial" w:cs="Arial" w:eastAsia="Arial" w:hAnsi="Arial"/>
          <w:sz w:val="18"/>
          <w:szCs w:val="18"/>
          <w:color w:val="auto"/>
        </w:rPr>
        <w:t>The Trustee, any Paying Agent, the Registrar or any other agent of the Company, in its individual or any other capacity, may become the owner or pledgee of Debt Securities, and, subject to Sections 6.08 and 6.13, may otherwise deal with the Company with the same rights it would have if it were not Trustee, Paying Agent, Registrar or such other agent.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117"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Money in any Currency held by the Trustee or any Paying Agent in trust hereunder need not be segregated from other funds except to the extent required by law. Neither the Trustee nor any Paying Agent shall be under any liability for interest on any money received by it hereunder except as otherwise agreed with the Company.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right="200" w:firstLine="683"/>
        <w:spacing w:after="0" w:line="277" w:lineRule="auto"/>
        <w:tabs>
          <w:tab w:leader="none" w:pos="93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in Dollars for all services rendered by it hereunder (which compensation shall not be limited by any provision of law in regard to the compensation of a trustee of an express trust);</w:t>
      </w:r>
    </w:p>
    <w:p>
      <w:pPr>
        <w:spacing w:after="0" w:line="62" w:lineRule="exact"/>
        <w:rPr>
          <w:rFonts w:ascii="Arial" w:cs="Arial" w:eastAsia="Arial" w:hAnsi="Arial"/>
          <w:sz w:val="18"/>
          <w:szCs w:val="18"/>
          <w:color w:val="auto"/>
        </w:rPr>
      </w:pPr>
    </w:p>
    <w:p>
      <w:pPr>
        <w:ind w:right="20" w:firstLine="683"/>
        <w:spacing w:after="0" w:line="312" w:lineRule="auto"/>
        <w:tabs>
          <w:tab w:leader="none" w:pos="93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in Dollars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38" w:lineRule="exact"/>
        <w:rPr>
          <w:rFonts w:ascii="Arial" w:cs="Arial" w:eastAsia="Arial" w:hAnsi="Arial"/>
          <w:sz w:val="16"/>
          <w:szCs w:val="16"/>
          <w:color w:val="auto"/>
        </w:rPr>
      </w:pPr>
    </w:p>
    <w:p>
      <w:pPr>
        <w:ind w:right="420" w:firstLine="683"/>
        <w:spacing w:after="0" w:line="279" w:lineRule="auto"/>
        <w:tabs>
          <w:tab w:leader="none" w:pos="93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to indemnify in Dollars the Trustee, the Paying Agent, the Conversion Agent, the Authenticating Agent, the Registrar and their respective predecessors for, and to hold it harmless against, any loss, liability or expense incurred without negligence or bad faith on its part, arising out of or in connection with the acceptance or administration of this trust or performance of its duties hereunder, including the costs and expenses of defending itself against any claim or liability in connection with the exercise or performance of any of its powers or duties hereunder.</w:t>
      </w:r>
    </w:p>
    <w:p>
      <w:pPr>
        <w:spacing w:after="0" w:line="63"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As security for the performance of the obligations of the Company under this Section 6.07, the Trustee shall have a claim prior to the Debt Securities upon all property and funds held or collected by the Trustee as such, except funds held in trust for the payment of amounts due on the Debt Securities.</w:t>
      </w:r>
    </w:p>
    <w:p>
      <w:pPr>
        <w:spacing w:after="0" w:line="16" w:lineRule="exact"/>
        <w:rPr>
          <w:sz w:val="20"/>
          <w:szCs w:val="20"/>
          <w:color w:val="auto"/>
        </w:rPr>
      </w:pPr>
    </w:p>
    <w:p>
      <w:pPr>
        <w:ind w:right="300" w:firstLine="447"/>
        <w:spacing w:after="0" w:line="342" w:lineRule="auto"/>
        <w:rPr>
          <w:sz w:val="20"/>
          <w:szCs w:val="20"/>
          <w:color w:val="auto"/>
        </w:rPr>
      </w:pPr>
      <w:r>
        <w:rPr>
          <w:rFonts w:ascii="Arial" w:cs="Arial" w:eastAsia="Arial" w:hAnsi="Arial"/>
          <w:sz w:val="16"/>
          <w:szCs w:val="16"/>
          <w:color w:val="auto"/>
        </w:rPr>
        <w:t>The obligations of the Company under this Section 6.07 to compensate and indemnify the Trustee and the other indemnified parties for expenses, disbursements and advances shall constitute additional indebtedness under this Indenture and shall survive the satisfaction and discharge of this Indenture.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left="-20" w:right="240" w:firstLine="458"/>
        <w:spacing w:after="0" w:line="276" w:lineRule="auto"/>
        <w:tabs>
          <w:tab w:leader="none" w:pos="67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the Trustee has or shall acquire any conflicting interest, as defined in this Section 6.08 with respect to the Debt Securities of any series, then, within 90 days after ascertaining that it has such conflicting interest, and if the default (as hereinafter defined) to which such conflicting interest relates has not been cured or duly waived or otherwise eliminated before the end of such 90-day period, the Trustee shall either eliminate such conflicting interest or, except as otherwise provided below, resign as Trustee with respect to the Debt Securities of such series, and the Company shall take prompt steps to have a successor Trustee appointed, in the manner and with the effect hereinafter specified in this Article.</w:t>
      </w:r>
    </w:p>
    <w:p>
      <w:pPr>
        <w:spacing w:after="0" w:line="64" w:lineRule="exact"/>
        <w:rPr>
          <w:rFonts w:ascii="Arial" w:cs="Arial" w:eastAsia="Arial" w:hAnsi="Arial"/>
          <w:sz w:val="17"/>
          <w:szCs w:val="17"/>
          <w:color w:val="auto"/>
        </w:rPr>
      </w:pPr>
    </w:p>
    <w:p>
      <w:pPr>
        <w:ind w:left="-20" w:right="120" w:firstLine="458"/>
        <w:spacing w:after="0" w:line="264"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event that the Trustee shall fail to comply with the provisions of subsection (a) of this Section 6.08 with respect to the Debt Securities of any series, the Trustee shall, within 10 days after the expiration of such 90-day period, transmit to all Holders of Debt Securities of such series notice of such failure.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given pursuant to this Section 6.08(b) shall be transmitted by mail:</w:t>
      </w:r>
    </w:p>
    <w:p>
      <w:pPr>
        <w:spacing w:after="0" w:line="117" w:lineRule="exact"/>
        <w:rPr>
          <w:sz w:val="20"/>
          <w:szCs w:val="20"/>
          <w:color w:val="auto"/>
        </w:rPr>
      </w:pPr>
    </w:p>
    <w:p>
      <w:pPr>
        <w:ind w:left="920" w:hanging="257"/>
        <w:spacing w:after="0"/>
        <w:tabs>
          <w:tab w:leader="none" w:pos="9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all Registered Holders, as the names and addresses of the Registered Holders appear in the Register; and</w:t>
      </w:r>
    </w:p>
    <w:p>
      <w:pPr>
        <w:spacing w:after="0" w:line="117" w:lineRule="exact"/>
        <w:rPr>
          <w:rFonts w:ascii="Arial" w:cs="Arial" w:eastAsia="Arial" w:hAnsi="Arial"/>
          <w:sz w:val="18"/>
          <w:szCs w:val="18"/>
          <w:color w:val="auto"/>
        </w:rPr>
      </w:pPr>
    </w:p>
    <w:p>
      <w:pPr>
        <w:ind w:left="-20" w:right="600" w:firstLine="683"/>
        <w:spacing w:after="0" w:line="277" w:lineRule="auto"/>
        <w:tabs>
          <w:tab w:leader="none" w:pos="91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each Holder of a Debt Security of any series whose name and address appear in the information preserved at the time by the Trustee in accordance with Section 7.02(a) of this Indenture.</w:t>
      </w:r>
    </w:p>
    <w:p>
      <w:pPr>
        <w:spacing w:after="0" w:line="62" w:lineRule="exact"/>
        <w:rPr>
          <w:rFonts w:ascii="Arial" w:cs="Arial" w:eastAsia="Arial" w:hAnsi="Arial"/>
          <w:sz w:val="18"/>
          <w:szCs w:val="18"/>
          <w:color w:val="auto"/>
        </w:rPr>
      </w:pPr>
    </w:p>
    <w:p>
      <w:pPr>
        <w:jc w:val="both"/>
        <w:ind w:left="-20" w:right="180" w:firstLine="458"/>
        <w:spacing w:after="0" w:line="264" w:lineRule="auto"/>
        <w:tabs>
          <w:tab w:leader="none" w:pos="67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the purposes of this Section 6.08, the Trustee shall be deemed to have a conflicting interest with respect to the Debt Securities of any series, if there shall exist an Event of Default (as such term is defined herein, but exclusive of any period of grace or requirement of notice) with respect to such Debt Securities and</w:t>
      </w:r>
    </w:p>
    <w:p>
      <w:pPr>
        <w:spacing w:after="0" w:line="73" w:lineRule="exact"/>
        <w:rPr>
          <w:rFonts w:ascii="Arial" w:cs="Arial" w:eastAsia="Arial" w:hAnsi="Arial"/>
          <w:sz w:val="18"/>
          <w:szCs w:val="18"/>
          <w:color w:val="auto"/>
        </w:rPr>
      </w:pPr>
    </w:p>
    <w:p>
      <w:pPr>
        <w:ind w:left="-20" w:right="160" w:firstLine="683"/>
        <w:spacing w:after="0" w:line="297" w:lineRule="auto"/>
        <w:tabs>
          <w:tab w:leader="none" w:pos="91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Trustee is trustee under this Indenture with respect to the Outstanding Debt Securities of any series other than that series or is trustee under another indenture under which any other securities, or certificates of interest or participation in any other securities, of the Company are outstanding, unless such other indenture is a collateral trust indenture under which the only collateral consists of Debt Securities issued under this Indenture, provided that there shall be excluded from the operation of this paragraph of this Indenture with respect to the Debt Securities of any series other than that series and any other indenture or indentures under which other securities, or certificates of interest or participation in other securities, of the Company are outstanding, if</w:t>
      </w:r>
    </w:p>
    <w:p>
      <w:pPr>
        <w:spacing w:after="0" w:line="50" w:lineRule="exact"/>
        <w:rPr>
          <w:rFonts w:ascii="Arial" w:cs="Arial" w:eastAsia="Arial" w:hAnsi="Arial"/>
          <w:sz w:val="16"/>
          <w:szCs w:val="16"/>
          <w:color w:val="auto"/>
        </w:rPr>
      </w:pPr>
    </w:p>
    <w:p>
      <w:pPr>
        <w:ind w:left="440" w:firstLine="454"/>
        <w:spacing w:after="0" w:line="293" w:lineRule="auto"/>
        <w:tabs>
          <w:tab w:leader="none" w:pos="1105" w:val="left"/>
        </w:tabs>
        <w:numPr>
          <w:ilvl w:val="2"/>
          <w:numId w:val="194"/>
        </w:numPr>
        <w:rPr>
          <w:rFonts w:ascii="Arial" w:cs="Arial" w:eastAsia="Arial" w:hAnsi="Arial"/>
          <w:sz w:val="16"/>
          <w:szCs w:val="16"/>
          <w:color w:val="auto"/>
        </w:rPr>
      </w:pPr>
      <w:r>
        <w:rPr>
          <w:rFonts w:ascii="Arial" w:cs="Arial" w:eastAsia="Arial" w:hAnsi="Arial"/>
          <w:sz w:val="16"/>
          <w:szCs w:val="16"/>
          <w:color w:val="auto"/>
        </w:rPr>
        <w:t>this Indenture and such other indenture or indentures (and all series of securities issuable thereunder) are wholly unsecured and rank equally and such other indenture or indentures are hereafter qualified under the Trust Indenture Act, unless the Commission shall have found and declared by order pursuant to Section 305(b) or Section 307(c) of the Trust Indenture Act that differences exist between the provisions of this Indenture with respect to the Debt Securities of such series and one or more other series or the provisions of such other indenture or indentures which are so likely to involve a material conflict of interest as to make it necessary, in the public interest or for the protection of investors to disqualify the Trustee from acting as such under this Indenture with respect to the Debt Securities of such series and such other series or under such other indenture or indentures, 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182" w:name="page183"/>
    <w:bookmarkEnd w:id="182"/>
    <w:p>
      <w:pPr>
        <w:ind w:left="440" w:right="220" w:firstLine="454"/>
        <w:spacing w:after="0" w:line="257" w:lineRule="auto"/>
        <w:tabs>
          <w:tab w:leader="none" w:pos="115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Company shall have sustained the burden of proving, on application to the Commission and after opportunity for hearing thereon, that trusteeship under this Indenture with respect to the Debt Securities of such series and such other series or such other indenture or indentures is not so likely to involve a material conflict of interest as to make it necessary in the public interest or for the protection of investors to disqualify the Trustee from acting as such under this Indenture with respect to the Debt Securities of such series and such other series or under such other indenture or indentures;</w:t>
      </w:r>
    </w:p>
    <w:p>
      <w:pPr>
        <w:spacing w:after="0" w:line="80" w:lineRule="exact"/>
        <w:rPr>
          <w:rFonts w:ascii="Arial" w:cs="Arial" w:eastAsia="Arial" w:hAnsi="Arial"/>
          <w:sz w:val="18"/>
          <w:szCs w:val="18"/>
          <w:color w:val="auto"/>
        </w:rPr>
      </w:pPr>
    </w:p>
    <w:p>
      <w:pPr>
        <w:ind w:left="920" w:hanging="257"/>
        <w:spacing w:after="0"/>
        <w:tabs>
          <w:tab w:leader="none" w:pos="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or any of its directors or executive officers is an underwriter for the Company;</w:t>
      </w:r>
    </w:p>
    <w:p>
      <w:pPr>
        <w:spacing w:after="0" w:line="117" w:lineRule="exact"/>
        <w:rPr>
          <w:rFonts w:ascii="Arial" w:cs="Arial" w:eastAsia="Arial" w:hAnsi="Arial"/>
          <w:sz w:val="18"/>
          <w:szCs w:val="18"/>
          <w:color w:val="auto"/>
        </w:rPr>
      </w:pPr>
    </w:p>
    <w:p>
      <w:pPr>
        <w:ind w:left="-20" w:right="760" w:firstLine="683"/>
        <w:spacing w:after="0" w:line="277" w:lineRule="auto"/>
        <w:tabs>
          <w:tab w:leader="none" w:pos="9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directly or indirectly controls or is directly or indirectly controlled by or is under direct or indirect common control with an underwriter for the Company;</w:t>
      </w:r>
    </w:p>
    <w:p>
      <w:pPr>
        <w:spacing w:after="0" w:line="62" w:lineRule="exact"/>
        <w:rPr>
          <w:rFonts w:ascii="Arial" w:cs="Arial" w:eastAsia="Arial" w:hAnsi="Arial"/>
          <w:sz w:val="18"/>
          <w:szCs w:val="18"/>
          <w:color w:val="auto"/>
        </w:rPr>
      </w:pPr>
    </w:p>
    <w:p>
      <w:pPr>
        <w:ind w:left="-20" w:right="60" w:firstLine="683"/>
        <w:spacing w:after="0" w:line="254" w:lineRule="auto"/>
        <w:tabs>
          <w:tab w:leader="none" w:pos="9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or any of its directors or executive officers is a director, officer, partner, employee, appointee or representative of the Company, or of an underwriter (other than the Trustee itself) for the Company who is currently engaged in the business of underwriting, except that (i) one individual may be a director or an executive officer, or both, of the Trustee and a director or an executive officer, or both, of the Company but may not be at the same time an executive officer of both the Trustee and the Company; (ii) if and so long as the number of directors of the Trustee in office is more than nine, one additional individual may be a director or an executive officer, or both, of the Trustee and a director of the Company; and (iii) the Trustee may be designated by the Company or by any underwriter for the Company to act in the capacity of transfer agent, registrar, custodian, paying agent, fiscal agent, escrow agent, or depositary or in any other similar capacity, or, subject to the provisions of paragraph (l) of this subsection, to act as trustee, whether under an indenture or otherwise;</w:t>
      </w:r>
    </w:p>
    <w:p>
      <w:pPr>
        <w:spacing w:after="0" w:line="84" w:lineRule="exact"/>
        <w:rPr>
          <w:rFonts w:ascii="Arial" w:cs="Arial" w:eastAsia="Arial" w:hAnsi="Arial"/>
          <w:sz w:val="18"/>
          <w:szCs w:val="18"/>
          <w:color w:val="auto"/>
        </w:rPr>
      </w:pPr>
    </w:p>
    <w:p>
      <w:pPr>
        <w:ind w:left="-20" w:right="140" w:firstLine="683"/>
        <w:spacing w:after="0" w:line="259" w:lineRule="auto"/>
        <w:tabs>
          <w:tab w:leader="none" w:pos="9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10% or more of the voting securities of the Trustee is beneficially owned either by the Company or by any director, partner or executive officer thereof, or 20% or more of such voting securities is beneficially owned, collectively, by any two or more of such persons; or 10% or more of the voting securities of the Trustee is beneficially owned either by an underwriter for the Company or by any director, partner or executive officer thereof or is beneficially owned, collectively, by any two or more such persons;</w:t>
      </w:r>
    </w:p>
    <w:p>
      <w:pPr>
        <w:spacing w:after="0" w:line="78" w:lineRule="exact"/>
        <w:rPr>
          <w:rFonts w:ascii="Arial" w:cs="Arial" w:eastAsia="Arial" w:hAnsi="Arial"/>
          <w:sz w:val="18"/>
          <w:szCs w:val="18"/>
          <w:color w:val="auto"/>
        </w:rPr>
      </w:pPr>
    </w:p>
    <w:p>
      <w:pPr>
        <w:ind w:left="-20" w:firstLine="683"/>
        <w:spacing w:after="0" w:line="259" w:lineRule="auto"/>
        <w:tabs>
          <w:tab w:leader="none" w:pos="9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is the beneficial owner of, or holds as collateral security for an obligation which is in default (as hereinafter in this subsection defined), (i) 5% or more of the voting securities, or 10% or more of any other class of security, of the Company not including the Debt Securities issued under this Indenture and securities issued under any other indenture under which the Trustee is also trustee, or (ii) 10% or more of any class of security of an underwriter for the Company;</w:t>
      </w:r>
    </w:p>
    <w:p>
      <w:pPr>
        <w:spacing w:after="0" w:line="78" w:lineRule="exact"/>
        <w:rPr>
          <w:rFonts w:ascii="Arial" w:cs="Arial" w:eastAsia="Arial" w:hAnsi="Arial"/>
          <w:sz w:val="18"/>
          <w:szCs w:val="18"/>
          <w:color w:val="auto"/>
        </w:rPr>
      </w:pPr>
    </w:p>
    <w:p>
      <w:pPr>
        <w:ind w:left="-20" w:right="100" w:firstLine="683"/>
        <w:spacing w:after="0" w:line="264" w:lineRule="auto"/>
        <w:tabs>
          <w:tab w:leader="none" w:pos="9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is the beneficial owner of or holds as collateral security for an obligation which is in default, 5% or more of the voting securities of any person who, to the knowledge of the Trustee, owns 10% or more of the voting securities of, or controls directly or indirectly or is under direct or indirect common control with, the Company;</w:t>
      </w:r>
    </w:p>
    <w:p>
      <w:pPr>
        <w:spacing w:after="0" w:line="73" w:lineRule="exact"/>
        <w:rPr>
          <w:rFonts w:ascii="Arial" w:cs="Arial" w:eastAsia="Arial" w:hAnsi="Arial"/>
          <w:sz w:val="18"/>
          <w:szCs w:val="18"/>
          <w:color w:val="auto"/>
        </w:rPr>
      </w:pPr>
    </w:p>
    <w:p>
      <w:pPr>
        <w:ind w:left="-20" w:right="80" w:firstLine="683"/>
        <w:spacing w:after="0" w:line="277" w:lineRule="auto"/>
        <w:tabs>
          <w:tab w:leader="none" w:pos="9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is the beneficial owner of or holds as collateral security for an obligation which is in default, 10% or more of any class of security of any person who, to the knowledge of the Trustee, owns 50% or more of the voting securities of the Company;</w:t>
      </w:r>
    </w:p>
    <w:p>
      <w:pPr>
        <w:spacing w:after="0" w:line="62" w:lineRule="exact"/>
        <w:rPr>
          <w:rFonts w:ascii="Arial" w:cs="Arial" w:eastAsia="Arial" w:hAnsi="Arial"/>
          <w:sz w:val="18"/>
          <w:szCs w:val="18"/>
          <w:color w:val="auto"/>
        </w:rPr>
      </w:pPr>
    </w:p>
    <w:p>
      <w:pPr>
        <w:ind w:left="-20" w:right="660" w:firstLine="683"/>
        <w:spacing w:after="0" w:line="277" w:lineRule="auto"/>
        <w:tabs>
          <w:tab w:leader="none" w:pos="9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owns, on the date of such Event of Default or any anniversary of such Event of Default while such Event of Default remains outstanding, in the capacity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83" w:name="page184"/>
    <w:bookmarkEnd w:id="183"/>
    <w:p>
      <w:pPr>
        <w:spacing w:after="0" w:line="269" w:lineRule="auto"/>
        <w:rPr>
          <w:sz w:val="20"/>
          <w:szCs w:val="20"/>
          <w:color w:val="auto"/>
        </w:rPr>
      </w:pPr>
      <w:r>
        <w:rPr>
          <w:rFonts w:ascii="Arial" w:cs="Arial" w:eastAsia="Arial" w:hAnsi="Arial"/>
          <w:sz w:val="17"/>
          <w:szCs w:val="17"/>
          <w:color w:val="auto"/>
        </w:rPr>
        <w:t>executor, administrator, testamentary or inter vivos trustee, guardian, committee or conservator, or in any other similar capacity, an aggregate of 25% or more of the voting securities, or of any class of security, of any person, the beneficial ownership of a specified percentage of which would have constituted a conflicting interest under paragraph (6), (7) or (8) of this subsection. As to any such securities of which the Trustee acquired ownership through becoming executor, administrator or testamentary trustee of an estate which included them, the provisions of the preceding sentence shall not apply, for a period of not more than two years from the date of such acquisition, to the extent that such securities included in such estate do not exceed 25% of such voting securities or 25% of any such class of security. Promptly after the dates of any such Event of Default and annually in each succeeding year that such Event of Default continues, the Trustee shall make a check of its holdings of such securities in any of the above-mentioned capacities as of such dates. If the Company fails to make payment in full of the principal of (or premium, if any) or interest on any of the Debt Securities when and as the same becomes due and payable, and such failure continues for 30 days thereafter, the Trustee shall make a prompt check of its holdings of such securities in any of the above-mentioned capacities as of the date of the expiration of such 30-day period, and after such date, notwithstanding the foregoing provisions of this paragraph, all such securities so held by the Trustee, with sole or joint control over such securities vested in it, shall be considered as though beneficially owned by the Trustee for the purposes of paragraphs (6), (7) and (8) of this subsection; or</w:t>
      </w:r>
    </w:p>
    <w:p>
      <w:pPr>
        <w:spacing w:after="0" w:line="72" w:lineRule="exact"/>
        <w:rPr>
          <w:sz w:val="20"/>
          <w:szCs w:val="20"/>
          <w:color w:val="auto"/>
        </w:rPr>
      </w:pPr>
    </w:p>
    <w:p>
      <w:pPr>
        <w:ind w:right="100" w:firstLine="683"/>
        <w:spacing w:after="0" w:line="277" w:lineRule="auto"/>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except under the circumstances described in paragraphs (1), (3), (4), (5) or (6) of Section 6.13(b) of this Indenture, the Trustee shall be or shall become a creditor of the Company.</w:t>
      </w:r>
    </w:p>
    <w:p>
      <w:pPr>
        <w:spacing w:after="0" w:line="62"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 xml:space="preserve">For the purposes of paragraph (1) of this subsection, the term “series of securities” or “series” means a series, class or group of securities issuable under an indenture pursuant to whose terms holders of one such series may vote to direct the Trustee, or otherwise take action pursuant to a vote of such holders, separately from holders of another series; </w:t>
      </w:r>
      <w:r>
        <w:rPr>
          <w:rFonts w:ascii="Arial" w:cs="Arial" w:eastAsia="Arial" w:hAnsi="Arial"/>
          <w:sz w:val="18"/>
          <w:szCs w:val="18"/>
          <w:u w:val="single" w:color="auto"/>
          <w:color w:val="auto"/>
        </w:rPr>
        <w:t>provided</w:t>
      </w:r>
      <w:r>
        <w:rPr>
          <w:rFonts w:ascii="Arial" w:cs="Arial" w:eastAsia="Arial" w:hAnsi="Arial"/>
          <w:sz w:val="18"/>
          <w:szCs w:val="18"/>
          <w:color w:val="auto"/>
        </w:rPr>
        <w:t>, that “series of securities” or “series” shall not include any series of securities issuable under an indenture if all such series rank equally and are wholly unsecured.</w:t>
      </w:r>
    </w:p>
    <w:p>
      <w:pPr>
        <w:spacing w:after="0" w:line="79" w:lineRule="exact"/>
        <w:rPr>
          <w:sz w:val="20"/>
          <w:szCs w:val="20"/>
          <w:color w:val="auto"/>
        </w:rPr>
      </w:pPr>
    </w:p>
    <w:p>
      <w:pPr>
        <w:jc w:val="both"/>
        <w:ind w:right="260" w:firstLine="447"/>
        <w:spacing w:after="0" w:line="264" w:lineRule="auto"/>
        <w:rPr>
          <w:sz w:val="20"/>
          <w:szCs w:val="20"/>
          <w:color w:val="auto"/>
        </w:rPr>
      </w:pPr>
      <w:r>
        <w:rPr>
          <w:rFonts w:ascii="Arial" w:cs="Arial" w:eastAsia="Arial" w:hAnsi="Arial"/>
          <w:sz w:val="18"/>
          <w:szCs w:val="18"/>
          <w:color w:val="auto"/>
        </w:rPr>
        <w:t>The specification of percentages in paragraphs (5) to (9), inclusive, of this subsection shall not be construed as indicating that the ownership of such percentages of the securities of a person is or is not necessary or sufficient to constitute direct or indirect control for the purposes of paragraph (3) or (7) of this subsection.</w:t>
      </w:r>
    </w:p>
    <w:p>
      <w:pPr>
        <w:spacing w:after="0" w:line="73" w:lineRule="exact"/>
        <w:rPr>
          <w:sz w:val="20"/>
          <w:szCs w:val="20"/>
          <w:color w:val="auto"/>
        </w:rPr>
      </w:pPr>
    </w:p>
    <w:p>
      <w:pPr>
        <w:ind w:right="20" w:firstLine="450"/>
        <w:spacing w:after="0" w:line="254" w:lineRule="auto"/>
        <w:rPr>
          <w:sz w:val="20"/>
          <w:szCs w:val="20"/>
          <w:color w:val="auto"/>
        </w:rPr>
      </w:pPr>
      <w:r>
        <w:rPr>
          <w:rFonts w:ascii="Arial" w:cs="Arial" w:eastAsia="Arial" w:hAnsi="Arial"/>
          <w:sz w:val="18"/>
          <w:szCs w:val="18"/>
          <w:color w:val="auto"/>
        </w:rPr>
        <w:t>For the purposes of paragraphs (6), (7), (8) and (9) of this subsection only, (i) the terms “security” and “securities” shall include only such securities as are generally known as corporate securities, but shall not include any note or other evidence of indebtedness issued to evidence an obligation to repay moneys lent to a person by one or more banks, trust companies or banking firms, or any certificate of interest or participation in any such note or evidence of indebtedness; (ii) an obligation shall be deemed to be “in default” when a default in payment of principal shall have continued for 30 days or more and shall not have been cured; and (iii) the Trustee shall not be deemed to be the owner or holder of (A) any security which it holds as collateral security, as trustee or otherwise, for an obligation which is not in default as defined in clause (ii) above, or (B) any security which it holds as collateral security under this Indenture, irrespective of any default hereunder, or (C) any security which it holds as agent for collection, or as custodian, escrow agent or depositary, or in any similar representative capacity.</w:t>
      </w:r>
    </w:p>
    <w:p>
      <w:pPr>
        <w:spacing w:after="0" w:line="84" w:lineRule="exact"/>
        <w:rPr>
          <w:sz w:val="20"/>
          <w:szCs w:val="20"/>
          <w:color w:val="auto"/>
        </w:rPr>
      </w:pPr>
    </w:p>
    <w:p>
      <w:pPr>
        <w:ind w:left="720" w:hanging="262"/>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For the purposes of this Section 6.08:</w:t>
      </w:r>
    </w:p>
    <w:p>
      <w:pPr>
        <w:spacing w:after="0" w:line="117" w:lineRule="exact"/>
        <w:rPr>
          <w:rFonts w:ascii="Arial" w:cs="Arial" w:eastAsia="Arial" w:hAnsi="Arial"/>
          <w:sz w:val="18"/>
          <w:szCs w:val="18"/>
          <w:color w:val="auto"/>
        </w:rPr>
      </w:pPr>
    </w:p>
    <w:p>
      <w:pPr>
        <w:jc w:val="both"/>
        <w:ind w:right="260" w:firstLine="683"/>
        <w:spacing w:after="0" w:line="264" w:lineRule="auto"/>
        <w:tabs>
          <w:tab w:leader="none" w:pos="92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term “underwriter” when used with reference to the Company means every person who, within one year prior to the time as of which the determination is made, has purchased from the Company with a view to, or has offered or sold for the Company in connection with, the distribution of any security of the Company outstanding at such time, or has participated or has had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4" w:name="page185"/>
    <w:bookmarkEnd w:id="184"/>
    <w:p>
      <w:pPr>
        <w:ind w:right="40"/>
        <w:spacing w:after="0" w:line="264" w:lineRule="auto"/>
        <w:rPr>
          <w:sz w:val="20"/>
          <w:szCs w:val="20"/>
          <w:color w:val="auto"/>
        </w:rPr>
      </w:pPr>
      <w:r>
        <w:rPr>
          <w:rFonts w:ascii="Arial" w:cs="Arial" w:eastAsia="Arial" w:hAnsi="Arial"/>
          <w:sz w:val="18"/>
          <w:szCs w:val="18"/>
          <w:color w:val="auto"/>
        </w:rPr>
        <w:t>direct or indirect participation in any such undertaking, or has participated or has had a participation in the direct or indirect underwriting of any such undertaking, but such term shall not include a person whose interest was limited to a commission from an underwriter or dealer not in excess of the usual and customary distributors’ or sellers’ commission.</w:t>
      </w:r>
    </w:p>
    <w:p>
      <w:pPr>
        <w:spacing w:after="0" w:line="73" w:lineRule="exact"/>
        <w:rPr>
          <w:sz w:val="20"/>
          <w:szCs w:val="20"/>
          <w:color w:val="auto"/>
        </w:rPr>
      </w:pPr>
    </w:p>
    <w:p>
      <w:pPr>
        <w:ind w:firstLine="683"/>
        <w:spacing w:after="0" w:line="277" w:lineRule="auto"/>
        <w:tabs>
          <w:tab w:leader="none" w:pos="92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term “director” means any director of a corporation, or any individual performing similar functions with respect to any organization whether incorporated or unincorporated.</w:t>
      </w:r>
    </w:p>
    <w:p>
      <w:pPr>
        <w:spacing w:after="0" w:line="62" w:lineRule="exact"/>
        <w:rPr>
          <w:rFonts w:ascii="Arial" w:cs="Arial" w:eastAsia="Arial" w:hAnsi="Arial"/>
          <w:sz w:val="18"/>
          <w:szCs w:val="18"/>
          <w:color w:val="auto"/>
        </w:rPr>
      </w:pPr>
    </w:p>
    <w:p>
      <w:pPr>
        <w:ind w:right="140" w:firstLine="683"/>
        <w:spacing w:after="0" w:line="264" w:lineRule="auto"/>
        <w:tabs>
          <w:tab w:leader="none" w:pos="92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term “person” means an individual, a corporation, a partnership, an association, a joint stock company, a trust, an estate, an unincorporated organization, or a government or political subdivision thereof. As used in this paragraph, the term “trust” shall include only a trust where the interest or interests of the beneficiary or beneficiaries are evidenced by a security.</w:t>
      </w:r>
    </w:p>
    <w:p>
      <w:pPr>
        <w:spacing w:after="0" w:line="73" w:lineRule="exact"/>
        <w:rPr>
          <w:rFonts w:ascii="Arial" w:cs="Arial" w:eastAsia="Arial" w:hAnsi="Arial"/>
          <w:sz w:val="18"/>
          <w:szCs w:val="18"/>
          <w:color w:val="auto"/>
        </w:rPr>
      </w:pPr>
    </w:p>
    <w:p>
      <w:pPr>
        <w:ind w:right="240" w:firstLine="683"/>
        <w:spacing w:after="0" w:line="286" w:lineRule="auto"/>
        <w:tabs>
          <w:tab w:leader="none" w:pos="92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The term “voting security” means any security presently entitling the owner or holder thereof to vote in the direction or management of the affairs of a person, or any security issued under or pursuant to any trust, agreement or arrangements whereby a trustee or trustees or agent or agents for the owner or holder of such security are presently entitled to vote in the direction or management of the affairs of a person.</w:t>
      </w:r>
    </w:p>
    <w:p>
      <w:pPr>
        <w:spacing w:after="0" w:line="57" w:lineRule="exact"/>
        <w:rPr>
          <w:rFonts w:ascii="Arial" w:cs="Arial" w:eastAsia="Arial" w:hAnsi="Arial"/>
          <w:sz w:val="17"/>
          <w:szCs w:val="17"/>
          <w:color w:val="auto"/>
        </w:rPr>
      </w:pPr>
    </w:p>
    <w:p>
      <w:pPr>
        <w:ind w:left="940" w:hanging="257"/>
        <w:spacing w:after="0"/>
        <w:tabs>
          <w:tab w:leader="none" w:pos="9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term “Company” means any obligor upon the Debt Securities of any series.</w:t>
      </w:r>
    </w:p>
    <w:p>
      <w:pPr>
        <w:spacing w:after="0" w:line="117" w:lineRule="exact"/>
        <w:rPr>
          <w:rFonts w:ascii="Arial" w:cs="Arial" w:eastAsia="Arial" w:hAnsi="Arial"/>
          <w:sz w:val="18"/>
          <w:szCs w:val="18"/>
          <w:color w:val="auto"/>
        </w:rPr>
      </w:pPr>
    </w:p>
    <w:p>
      <w:pPr>
        <w:ind w:right="100" w:firstLine="683"/>
        <w:spacing w:after="0" w:line="264" w:lineRule="auto"/>
        <w:tabs>
          <w:tab w:leader="none" w:pos="92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term “executive officer” means the president, every vice president, every trust officer, the cashier, the secretary, and the treasurer of a corporation, and any individual customarily performing similar functions with respect to any organization, whether incorporated or unincorporated, but shall not include the chairman of the board of directors.</w:t>
      </w:r>
    </w:p>
    <w:p>
      <w:pPr>
        <w:spacing w:after="0" w:line="73" w:lineRule="exact"/>
        <w:rPr>
          <w:rFonts w:ascii="Arial" w:cs="Arial" w:eastAsia="Arial" w:hAnsi="Arial"/>
          <w:sz w:val="18"/>
          <w:szCs w:val="18"/>
          <w:color w:val="auto"/>
        </w:rPr>
      </w:pPr>
    </w:p>
    <w:p>
      <w:pPr>
        <w:ind w:right="720" w:firstLine="458"/>
        <w:spacing w:after="0" w:line="277" w:lineRule="auto"/>
        <w:tabs>
          <w:tab w:leader="none" w:pos="69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percentages of voting securities and other securities specified in this Section 6.08 shall be calculated in accordance with the following provisions:</w:t>
      </w:r>
    </w:p>
    <w:p>
      <w:pPr>
        <w:spacing w:after="0" w:line="62" w:lineRule="exact"/>
        <w:rPr>
          <w:rFonts w:ascii="Arial" w:cs="Arial" w:eastAsia="Arial" w:hAnsi="Arial"/>
          <w:sz w:val="18"/>
          <w:szCs w:val="18"/>
          <w:color w:val="auto"/>
        </w:rPr>
      </w:pPr>
    </w:p>
    <w:p>
      <w:pPr>
        <w:ind w:right="60" w:firstLine="683"/>
        <w:spacing w:after="0" w:line="259" w:lineRule="auto"/>
        <w:tabs>
          <w:tab w:leader="none" w:pos="9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specified percentage of the voting securities of the Trustee, the Company or any other person referred to in this Section 6.08 (each of whom is referred to as a “person” in this paragraph) means such amount of the outstanding voting securities of such person as entitles the holder or holders thereof to cast such specified percentage of the aggregate votes which the holders of all the outstanding voting securities of such person are entitled to cast in the direction or management of the affairs of such person.</w:t>
      </w:r>
    </w:p>
    <w:p>
      <w:pPr>
        <w:spacing w:after="0" w:line="78" w:lineRule="exact"/>
        <w:rPr>
          <w:rFonts w:ascii="Arial" w:cs="Arial" w:eastAsia="Arial" w:hAnsi="Arial"/>
          <w:sz w:val="18"/>
          <w:szCs w:val="18"/>
          <w:color w:val="auto"/>
        </w:rPr>
      </w:pPr>
    </w:p>
    <w:p>
      <w:pPr>
        <w:ind w:left="920" w:hanging="237"/>
        <w:spacing w:after="0"/>
        <w:tabs>
          <w:tab w:leader="none" w:pos="9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specified percentage of a class of securities of a person means such percentage of the aggregate amount of securities of the class outstanding.</w:t>
      </w:r>
    </w:p>
    <w:p>
      <w:pPr>
        <w:spacing w:after="0" w:line="140" w:lineRule="exact"/>
        <w:rPr>
          <w:rFonts w:ascii="Arial" w:cs="Arial" w:eastAsia="Arial" w:hAnsi="Arial"/>
          <w:sz w:val="16"/>
          <w:szCs w:val="16"/>
          <w:color w:val="auto"/>
        </w:rPr>
      </w:pPr>
    </w:p>
    <w:p>
      <w:pPr>
        <w:ind w:right="420" w:firstLine="683"/>
        <w:spacing w:after="0" w:line="277" w:lineRule="auto"/>
        <w:tabs>
          <w:tab w:leader="none" w:pos="92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term “amount”, when used with regard to securities means the principal amount if relating to evidences of indebtedness, the number of shares if relating to capital shares, and the number of units if relating to any other kind of security.</w:t>
      </w:r>
    </w:p>
    <w:p>
      <w:pPr>
        <w:spacing w:after="0" w:line="62" w:lineRule="exact"/>
        <w:rPr>
          <w:rFonts w:ascii="Arial" w:cs="Arial" w:eastAsia="Arial" w:hAnsi="Arial"/>
          <w:sz w:val="18"/>
          <w:szCs w:val="18"/>
          <w:color w:val="auto"/>
        </w:rPr>
      </w:pPr>
    </w:p>
    <w:p>
      <w:pPr>
        <w:ind w:right="140" w:firstLine="683"/>
        <w:spacing w:after="0" w:line="277" w:lineRule="auto"/>
        <w:tabs>
          <w:tab w:leader="none" w:pos="92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term “outstanding” means issued and not held by or for the account of the issuer. The following securities shall not be deemed outstanding within the meaning of this definition:</w:t>
      </w:r>
    </w:p>
    <w:p>
      <w:pPr>
        <w:spacing w:after="0" w:line="62" w:lineRule="exact"/>
        <w:rPr>
          <w:rFonts w:ascii="Arial" w:cs="Arial" w:eastAsia="Arial" w:hAnsi="Arial"/>
          <w:sz w:val="18"/>
          <w:szCs w:val="18"/>
          <w:color w:val="auto"/>
        </w:rPr>
      </w:pPr>
    </w:p>
    <w:p>
      <w:pPr>
        <w:ind w:left="1120" w:hanging="206"/>
        <w:spacing w:after="0"/>
        <w:tabs>
          <w:tab w:leader="none" w:pos="112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securities of an issuer held in a sinking fund relating to securities of the issuer of the same class;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5" w:name="page186"/>
    <w:bookmarkEnd w:id="185"/>
    <w:p>
      <w:pPr>
        <w:ind w:left="460" w:right="40" w:firstLine="454"/>
        <w:spacing w:after="0" w:line="277" w:lineRule="auto"/>
        <w:tabs>
          <w:tab w:leader="none" w:pos="117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securities of an issuer held in a sinking fund relating to another class of securities of the issuer, if the obligation evidenced by such other class of securities is not in default as to principal or interest or otherwise;</w:t>
      </w:r>
    </w:p>
    <w:p>
      <w:pPr>
        <w:spacing w:after="0" w:line="62" w:lineRule="exact"/>
        <w:rPr>
          <w:rFonts w:ascii="Arial" w:cs="Arial" w:eastAsia="Arial" w:hAnsi="Arial"/>
          <w:sz w:val="18"/>
          <w:szCs w:val="18"/>
          <w:color w:val="auto"/>
        </w:rPr>
      </w:pPr>
    </w:p>
    <w:p>
      <w:pPr>
        <w:ind w:left="1220" w:hanging="306"/>
        <w:spacing w:after="0"/>
        <w:tabs>
          <w:tab w:leader="none" w:pos="12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securities pledged by the issuer thereof as security for an obligation of the issuer not in default as to principal or interest or otherwise; and</w:t>
      </w:r>
    </w:p>
    <w:p>
      <w:pPr>
        <w:spacing w:after="0" w:line="140" w:lineRule="exact"/>
        <w:rPr>
          <w:rFonts w:ascii="Arial" w:cs="Arial" w:eastAsia="Arial" w:hAnsi="Arial"/>
          <w:sz w:val="16"/>
          <w:szCs w:val="16"/>
          <w:color w:val="auto"/>
        </w:rPr>
      </w:pPr>
    </w:p>
    <w:p>
      <w:pPr>
        <w:ind w:left="1220" w:hanging="306"/>
        <w:spacing w:after="0"/>
        <w:tabs>
          <w:tab w:leader="none" w:pos="12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securities held in escrow if placed in escrow by the issuer thereof;</w:t>
      </w:r>
    </w:p>
    <w:p>
      <w:pPr>
        <w:spacing w:after="0" w:line="117" w:lineRule="exact"/>
        <w:rPr>
          <w:sz w:val="20"/>
          <w:szCs w:val="20"/>
          <w:color w:val="auto"/>
        </w:rPr>
      </w:pPr>
    </w:p>
    <w:p>
      <w:pPr>
        <w:ind w:left="240" w:right="180" w:firstLine="45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voting securities of an issuer shall be deemed outstanding if any person other than the issuer is entitled to exercise the voting rights thereof.</w:t>
      </w:r>
    </w:p>
    <w:p>
      <w:pPr>
        <w:spacing w:after="0" w:line="62" w:lineRule="exact"/>
        <w:rPr>
          <w:sz w:val="20"/>
          <w:szCs w:val="20"/>
          <w:color w:val="auto"/>
        </w:rPr>
      </w:pPr>
    </w:p>
    <w:p>
      <w:pPr>
        <w:ind w:firstLine="683"/>
        <w:spacing w:after="0" w:line="276" w:lineRule="auto"/>
        <w:tabs>
          <w:tab w:leader="none" w:pos="92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A security shall be deemed to be of the same class as another security if both securities confer upon the holder or holders thereof substantially the same rights and privileges;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secured evidences of indebtedness, all of which are issued under a single indenture, differences in the interest rates or maturity dates of various series thereof shall not be deemed sufficient to constitute such series different classes;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unsecured evidences of indebtedness, differences in the interest rates or maturity dates thereof shall not be deemed sufficient to constitute them securities of different classes, whether or not they are issued under a single indenture.</w:t>
      </w:r>
    </w:p>
    <w:p>
      <w:pPr>
        <w:spacing w:after="0" w:line="64" w:lineRule="exact"/>
        <w:rPr>
          <w:rFonts w:ascii="Arial" w:cs="Arial" w:eastAsia="Arial" w:hAnsi="Arial"/>
          <w:sz w:val="17"/>
          <w:szCs w:val="17"/>
          <w:color w:val="auto"/>
        </w:rPr>
      </w:pPr>
    </w:p>
    <w:p>
      <w:pPr>
        <w:ind w:right="180" w:firstLine="458"/>
        <w:spacing w:after="0" w:line="264" w:lineRule="auto"/>
        <w:tabs>
          <w:tab w:leader="none" w:pos="67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Except in the case of a default in the payment of the principal of or interest on any Debt Security of any series, or in the payment of any sinking or purchase fund installment, the Trustee shall not be required to resign as provided by this Section 6.08 if the Trustee shall have sustained the burden of proving, on application to the Commission and after opportunity for hearing thereon, that:</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Event of Default may be cured or waived during a reasonable period and under the procedures described in such application; and</w:t>
      </w:r>
    </w:p>
    <w:p>
      <w:pPr>
        <w:spacing w:after="0" w:line="128" w:lineRule="exact"/>
        <w:rPr>
          <w:rFonts w:ascii="Arial" w:cs="Arial" w:eastAsia="Arial" w:hAnsi="Arial"/>
          <w:sz w:val="17"/>
          <w:szCs w:val="17"/>
          <w:color w:val="auto"/>
        </w:rPr>
      </w:pPr>
    </w:p>
    <w:p>
      <w:pPr>
        <w:ind w:left="940" w:hanging="257"/>
        <w:spacing w:after="0"/>
        <w:tabs>
          <w:tab w:leader="none" w:pos="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stay of the Trustee’s duty to resign will not be inconsistent with the interests of Holders of the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filing of such an application shall automatically stay the performance of the duty to resign until the Commission orders otherwise.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right="80" w:firstLine="447"/>
        <w:spacing w:after="0" w:line="286" w:lineRule="auto"/>
        <w:rPr>
          <w:sz w:val="20"/>
          <w:szCs w:val="20"/>
          <w:color w:val="auto"/>
        </w:rPr>
      </w:pPr>
      <w:r>
        <w:rPr>
          <w:rFonts w:ascii="Arial" w:cs="Arial" w:eastAsia="Arial" w:hAnsi="Arial"/>
          <w:sz w:val="16"/>
          <w:szCs w:val="16"/>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$100,000,000, subject to supervision or examination by Federal, State or District of Columbia authority. If such corporation publishes reports of condition at least annually, pursuant to law or to the requirements of the aforesaid supervising or examining authority, then for the purposes of this</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Section 6.09,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upon any Debt Securities.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6" w:name="page187"/>
    <w:bookmarkEnd w:id="186"/>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680" w:firstLine="458"/>
        <w:spacing w:after="0" w:line="277" w:lineRule="auto"/>
        <w:tabs>
          <w:tab w:leader="none" w:pos="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under Section 6.11.</w:t>
      </w:r>
    </w:p>
    <w:p>
      <w:pPr>
        <w:spacing w:after="0" w:line="62" w:lineRule="exact"/>
        <w:rPr>
          <w:rFonts w:ascii="Arial" w:cs="Arial" w:eastAsia="Arial" w:hAnsi="Arial"/>
          <w:sz w:val="18"/>
          <w:szCs w:val="18"/>
          <w:color w:val="auto"/>
        </w:rPr>
      </w:pPr>
    </w:p>
    <w:p>
      <w:pPr>
        <w:jc w:val="both"/>
        <w:ind w:right="120" w:firstLine="458"/>
        <w:spacing w:after="0" w:line="259" w:lineRule="auto"/>
        <w:tabs>
          <w:tab w:leader="none" w:pos="70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Debt Securities of one or more series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 with respect to the Debt Securities of such series.</w:t>
      </w:r>
    </w:p>
    <w:p>
      <w:pPr>
        <w:spacing w:after="0" w:line="78" w:lineRule="exact"/>
        <w:rPr>
          <w:rFonts w:ascii="Arial" w:cs="Arial" w:eastAsia="Arial" w:hAnsi="Arial"/>
          <w:sz w:val="18"/>
          <w:szCs w:val="18"/>
          <w:color w:val="auto"/>
        </w:rPr>
      </w:pPr>
    </w:p>
    <w:p>
      <w:pPr>
        <w:ind w:firstLine="458"/>
        <w:spacing w:after="0" w:line="277" w:lineRule="auto"/>
        <w:tabs>
          <w:tab w:leader="none" w:pos="69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Debt Securities of any series and a successor Trustee appointed by Act of the Holders of a majority in principal amount of the Outstanding Debt Securities of such series, delivered to the Trustee and to the Company.</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rFonts w:ascii="Arial" w:cs="Arial" w:eastAsia="Arial" w:hAnsi="Arial"/>
          <w:sz w:val="18"/>
          <w:szCs w:val="18"/>
          <w:color w:val="auto"/>
        </w:rPr>
      </w:pPr>
    </w:p>
    <w:p>
      <w:pPr>
        <w:ind w:right="660" w:firstLine="683"/>
        <w:spacing w:after="0" w:line="277" w:lineRule="auto"/>
        <w:tabs>
          <w:tab w:leader="none" w:pos="93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Trustee shall fail to comply with Section 6.08(a) with respect to the Debt Securities of any series after written request therefor by the Company or by any Holder who has been a bona fide Holder of a Debt Security of such series for at least six months, or</w:t>
      </w:r>
    </w:p>
    <w:p>
      <w:pPr>
        <w:spacing w:after="0" w:line="62" w:lineRule="exact"/>
        <w:rPr>
          <w:rFonts w:ascii="Arial" w:cs="Arial" w:eastAsia="Arial" w:hAnsi="Arial"/>
          <w:sz w:val="18"/>
          <w:szCs w:val="18"/>
          <w:color w:val="auto"/>
        </w:rPr>
      </w:pPr>
    </w:p>
    <w:p>
      <w:pPr>
        <w:ind w:right="440" w:firstLine="683"/>
        <w:spacing w:after="0" w:line="277" w:lineRule="auto"/>
        <w:tabs>
          <w:tab w:leader="none" w:pos="93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with respect to the Debt Securities of any series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right="220" w:firstLine="683"/>
        <w:spacing w:after="0" w:line="264" w:lineRule="auto"/>
        <w:tabs>
          <w:tab w:leader="none" w:pos="93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then, in any such case, (i) the Company by a Board Resolution may remove the Trustee with respect to all Debt Securities, or (ii) subject to Section 5.14, any Holder who has been a bona fide Holder of a Debt Security of any series for at least six months may, on behalf of himself and all others similarly situated, petition any court of competent jurisdiction for the removal of the Trustee and the appointment of a successor Trustee for the Debt Securities of such series.</w:t>
      </w:r>
    </w:p>
    <w:p>
      <w:pPr>
        <w:spacing w:after="0" w:line="39" w:lineRule="exact"/>
        <w:rPr>
          <w:sz w:val="20"/>
          <w:szCs w:val="20"/>
          <w:color w:val="auto"/>
        </w:rPr>
      </w:pPr>
    </w:p>
    <w:p>
      <w:pPr>
        <w:ind w:right="100" w:firstLine="458"/>
        <w:spacing w:after="0" w:line="270" w:lineRule="auto"/>
        <w:tabs>
          <w:tab w:leader="none" w:pos="69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Debt Securities of one or more series, the Company, by a Board Resolution, shall promptly appoint a successor Trustee or Trustees with respect to the Debt Securities of that or those series (it being understood that any such successor Trustee may be appointed with respect to the Debt Securities of one or more or all of such series and that at any time there shall be only one Trustee with respect to the Debt Securities of any particular series) and shall comply with the applicable requirements of Section 6.11. If, within one year after such resignation, removal or incapability, or the occurrence of such vacancy, a successor Trustee with respect to the Debt Securities of any series shall be appointed by Act of the Holders of a majority in principal amount of the Outstanding Debt Securities of such series delivered to the Company and the retiring Trustee, the successor Trustee so appointed shall, forthwith upon its acceptance of such appointment, become the successor Trustee with respect to the Debt Securities of such series and to that extent supersede the successor Trustee appointed by the Company. If no successor Trustee with respect to the Debt Securities of any series shall have been so appointed by the Company or the Holders of such series and accepted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jc w:val="both"/>
        <w:ind w:right="160"/>
        <w:spacing w:after="0" w:line="264" w:lineRule="auto"/>
        <w:rPr>
          <w:sz w:val="20"/>
          <w:szCs w:val="20"/>
          <w:color w:val="auto"/>
        </w:rPr>
      </w:pPr>
      <w:r>
        <w:rPr>
          <w:rFonts w:ascii="Arial" w:cs="Arial" w:eastAsia="Arial" w:hAnsi="Arial"/>
          <w:sz w:val="18"/>
          <w:szCs w:val="18"/>
          <w:color w:val="auto"/>
        </w:rPr>
        <w:t>appointment in the manner hereinafter provided, any Holder who has been a bona fide Holder of a Debt Security of such series for at least six months may, subject to Section 5.14, on behalf of himself and all others similarly situated, petition any court of competent jurisdiction for the appointment of a successor Trustee with respect to the Debt Securities of such series.</w:t>
      </w:r>
    </w:p>
    <w:p>
      <w:pPr>
        <w:spacing w:after="0" w:line="73" w:lineRule="exact"/>
        <w:rPr>
          <w:sz w:val="20"/>
          <w:szCs w:val="20"/>
          <w:color w:val="auto"/>
        </w:rPr>
      </w:pPr>
    </w:p>
    <w:p>
      <w:pPr>
        <w:ind w:firstLine="458"/>
        <w:spacing w:after="0" w:line="259" w:lineRule="auto"/>
        <w:tabs>
          <w:tab w:leader="none" w:pos="6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Debt Securities of any series and each appointment of a successor Trustee with respect to the Debt Securities of any series in the manner and to the extent provided in Section 1.05 to the Holders of Debt Securities of such series. Each notice shall include the name of the successor Trustee with respect to the Debt Securities of such series and the address of its Corporate Trust Office.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55" w:lineRule="auto"/>
        <w:tabs>
          <w:tab w:leader="none" w:pos="69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the case of an appointment hereunder of a successor Trustee with respect to all Debt Securities, each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6.07.</w:t>
      </w:r>
    </w:p>
    <w:p>
      <w:pPr>
        <w:spacing w:after="0" w:line="81" w:lineRule="exact"/>
        <w:rPr>
          <w:rFonts w:ascii="Arial" w:cs="Arial" w:eastAsia="Arial" w:hAnsi="Arial"/>
          <w:sz w:val="18"/>
          <w:szCs w:val="18"/>
          <w:color w:val="auto"/>
        </w:rPr>
      </w:pPr>
    </w:p>
    <w:p>
      <w:pPr>
        <w:ind w:right="20" w:firstLine="458"/>
        <w:spacing w:after="0" w:line="286" w:lineRule="auto"/>
        <w:tabs>
          <w:tab w:leader="none" w:pos="70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Debt Securities of one or more (but not all) series, the Company, the retiring Trustee and each successor Trustee with respect to the Debt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Debt Securities of that or those series to which the appointment of such successor Trustee relates, (2) if the retiring Trustee is not retiring with respect to all Debt Securities, shall contain such provisions as shall be deemed necessary or desirable to confirm that all the rights, powers, trusts and duties of the retiring Trustee with respect to the Debt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any such supplemental indenture shall constitute such Trustees co-trustees of the same trust and that each such Trustee shall be trustee of a trust or trusts hereunder separate and apart from any other trust or trusts hereunder administered by any other such Trustee; and upon the execution and delivery of any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Debt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Debt Securities of that or those series to which the appointment of such successor Trustee relates.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8" w:name="page189"/>
    <w:bookmarkEnd w:id="188"/>
    <w:p>
      <w:pPr>
        <w:ind w:right="660" w:firstLine="458"/>
        <w:spacing w:after="0" w:line="342" w:lineRule="auto"/>
        <w:tabs>
          <w:tab w:leader="none" w:pos="69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6.11, as the case may be.</w:t>
      </w:r>
    </w:p>
    <w:p>
      <w:pPr>
        <w:spacing w:after="0" w:line="15" w:lineRule="exact"/>
        <w:rPr>
          <w:rFonts w:ascii="Arial" w:cs="Arial" w:eastAsia="Arial" w:hAnsi="Arial"/>
          <w:sz w:val="16"/>
          <w:szCs w:val="16"/>
          <w:color w:val="auto"/>
        </w:rPr>
      </w:pPr>
    </w:p>
    <w:p>
      <w:pPr>
        <w:ind w:right="40" w:firstLine="458"/>
        <w:spacing w:after="0" w:line="277" w:lineRule="auto"/>
        <w:tabs>
          <w:tab w:leader="none" w:pos="70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otherwise qualified and eligible under this Article, without the execution or filing of any paper or any further act on the part of any of the parties hereto. In case any Debt Securities shall have been authenticated, but not delivered, by the Trustee then in office, any successor by merger, conversion or consolidation to such authenticating Trustee may adopt such authentication and deliver the Debt Securities so authenticated with the same effect as if such successor Trustee had itself authenticated such Debt Securities. In case any Debt Securities shall not have been authenticated by such predecessor Trustee, any such successor Trustee may authenticate and deliver such Debt Securities, in either its own name or that of its predecessor Trustee, with the full force and effect which this Indenture provides for the certificate of authentication of the Trustee.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117" w:lineRule="exact"/>
        <w:rPr>
          <w:sz w:val="20"/>
          <w:szCs w:val="20"/>
          <w:color w:val="auto"/>
        </w:rPr>
      </w:pPr>
    </w:p>
    <w:p>
      <w:pPr>
        <w:jc w:val="both"/>
        <w:ind w:right="200" w:firstLine="458"/>
        <w:spacing w:after="0" w:line="279" w:lineRule="auto"/>
        <w:tabs>
          <w:tab w:leader="none" w:pos="69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Subject to subsection (b) of this Section 6.13, if the Trustee shall be or shall become a creditor, directly or indirectly, secured or unsecured, of the Company within three months prior to a default, as defined in subsection (c) of this Section 6.13, or subsequent to such default, then, unless and until such default shall be cured, the Trustee shall set apart and hold in a special account for the benefit of the Trustee individually, the Holders of the Debt Securities and the holders of other indenture securities (as defined in subsection (c) of this Section 6.13):</w:t>
      </w:r>
    </w:p>
    <w:p>
      <w:pPr>
        <w:spacing w:after="0" w:line="63" w:lineRule="exact"/>
        <w:rPr>
          <w:rFonts w:ascii="Arial" w:cs="Arial" w:eastAsia="Arial" w:hAnsi="Arial"/>
          <w:sz w:val="17"/>
          <w:szCs w:val="17"/>
          <w:color w:val="auto"/>
        </w:rPr>
      </w:pPr>
    </w:p>
    <w:p>
      <w:pPr>
        <w:ind w:firstLine="683"/>
        <w:spacing w:after="0" w:line="276" w:lineRule="auto"/>
        <w:tabs>
          <w:tab w:leader="none" w:pos="93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an amount equal to any and all reductions in the amount due and owing upon any claim as such creditor in respect of principal or interest, effected after the beginning of such three-month period and valid as against the Company and its other creditors, except any such reduction resulting from the receipt or disposition of any property described in paragraph (2) of this subsection, or from the exercise of any right of set-off which the Trustee could have exercised if a voluntary or involuntary case had been commenced in respect of the Company under the Federal bankruptcy laws, as now or hereafter constituted, or any other applicable Federal or State bankruptcy, insolvency or other similar law upon the date of such default; and</w:t>
      </w:r>
    </w:p>
    <w:p>
      <w:pPr>
        <w:spacing w:after="0" w:line="64" w:lineRule="exact"/>
        <w:rPr>
          <w:rFonts w:ascii="Arial" w:cs="Arial" w:eastAsia="Arial" w:hAnsi="Arial"/>
          <w:sz w:val="17"/>
          <w:szCs w:val="17"/>
          <w:color w:val="auto"/>
        </w:rPr>
      </w:pPr>
    </w:p>
    <w:p>
      <w:pPr>
        <w:ind w:firstLine="683"/>
        <w:spacing w:after="0" w:line="259" w:lineRule="auto"/>
        <w:tabs>
          <w:tab w:leader="none" w:pos="93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all property received by the Trustee in respect of any claim as such creditor, either as security therefor, or in satisfaction or composition thereof, or otherwise, after the beginning of such three-month period, or an amount equal to the proceeds of any such property, if disposed of,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rights, if any, of the Company and its other creditors in such property or such proceeds. Nothing herein contained, however, shall affect the right of the Trustee:</w:t>
      </w:r>
    </w:p>
    <w:p>
      <w:pPr>
        <w:spacing w:after="0" w:line="78" w:lineRule="exact"/>
        <w:rPr>
          <w:rFonts w:ascii="Arial" w:cs="Arial" w:eastAsia="Arial" w:hAnsi="Arial"/>
          <w:sz w:val="18"/>
          <w:szCs w:val="18"/>
          <w:color w:val="auto"/>
        </w:rPr>
      </w:pPr>
    </w:p>
    <w:p>
      <w:pPr>
        <w:ind w:left="240" w:right="40" w:firstLine="671"/>
        <w:spacing w:after="0" w:line="264" w:lineRule="auto"/>
        <w:tabs>
          <w:tab w:leader="none" w:pos="121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to retain for its own account (i) payments made on account of any such claim by any Person (other than the Company) who is liable thereon, and (ii) the proceeds of the bona fide sale of any such claim by the Trustee to a third Person, and (iii) distributions made in cash, securities or other property in respect of claims filed against the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89" w:name="page190"/>
    <w:bookmarkEnd w:id="189"/>
    <w:p>
      <w:pPr>
        <w:ind w:left="240" w:right="240"/>
        <w:spacing w:after="0" w:line="277" w:lineRule="auto"/>
        <w:rPr>
          <w:sz w:val="20"/>
          <w:szCs w:val="20"/>
          <w:color w:val="auto"/>
        </w:rPr>
      </w:pPr>
      <w:r>
        <w:rPr>
          <w:rFonts w:ascii="Arial" w:cs="Arial" w:eastAsia="Arial" w:hAnsi="Arial"/>
          <w:sz w:val="18"/>
          <w:szCs w:val="18"/>
          <w:color w:val="auto"/>
        </w:rPr>
        <w:t>Company in bankruptcy or receivership or in proceedings or reorganization pursuant to the Federal bankruptcy laws, as now or hereafter constituted, or any other applicable Federal or state bankruptcy, insolvency or other similar law;</w:t>
      </w:r>
    </w:p>
    <w:p>
      <w:pPr>
        <w:spacing w:after="0" w:line="62" w:lineRule="exact"/>
        <w:rPr>
          <w:sz w:val="20"/>
          <w:szCs w:val="20"/>
          <w:color w:val="auto"/>
        </w:rPr>
      </w:pPr>
    </w:p>
    <w:p>
      <w:pPr>
        <w:ind w:left="240" w:firstLine="671"/>
        <w:spacing w:after="0" w:line="277" w:lineRule="auto"/>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realize, for its own account, upon any property held by it as security for any such claim, if such property was so held prior to the beginning of such three-month period;</w:t>
      </w:r>
    </w:p>
    <w:p>
      <w:pPr>
        <w:spacing w:after="0" w:line="62" w:lineRule="exact"/>
        <w:rPr>
          <w:rFonts w:ascii="Arial" w:cs="Arial" w:eastAsia="Arial" w:hAnsi="Arial"/>
          <w:sz w:val="18"/>
          <w:szCs w:val="18"/>
          <w:color w:val="auto"/>
        </w:rPr>
      </w:pPr>
    </w:p>
    <w:p>
      <w:pPr>
        <w:ind w:left="240" w:right="20" w:firstLine="671"/>
        <w:spacing w:after="0" w:line="279" w:lineRule="auto"/>
        <w:tabs>
          <w:tab w:leader="none" w:pos="12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to realize, for its own account, but only to the extent of the claim hereinafter mentioned, upon any property held by it as security for any such claim, if such claim was created after the beginning of such three-month period and such property was received as security therefor simultaneously with the creation thereof, and if the Trustee shall sustain the burden of proving that at the time such property was so received the Trustee had no reasonable cause to believe that a default, as defined in subsection (c) of this Section 6.13, would occur within three months, or</w:t>
      </w:r>
    </w:p>
    <w:p>
      <w:pPr>
        <w:spacing w:after="0" w:line="63" w:lineRule="exact"/>
        <w:rPr>
          <w:rFonts w:ascii="Arial" w:cs="Arial" w:eastAsia="Arial" w:hAnsi="Arial"/>
          <w:sz w:val="17"/>
          <w:szCs w:val="17"/>
          <w:color w:val="auto"/>
        </w:rPr>
      </w:pPr>
    </w:p>
    <w:p>
      <w:pPr>
        <w:ind w:left="240" w:right="360" w:firstLine="671"/>
        <w:spacing w:after="0" w:line="277" w:lineRule="auto"/>
        <w:tabs>
          <w:tab w:leader="none" w:pos="121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receive payment on any claim referred to in paragraph (B) or (C) against the release of any property held as security for such claim as provided in paragraph (B) or (C), as the case may be, to the extent of the fair value of such property.</w:t>
      </w:r>
    </w:p>
    <w:p>
      <w:pPr>
        <w:spacing w:after="0" w:line="62" w:lineRule="exact"/>
        <w:rPr>
          <w:sz w:val="20"/>
          <w:szCs w:val="20"/>
          <w:color w:val="auto"/>
        </w:rPr>
      </w:pPr>
    </w:p>
    <w:p>
      <w:pPr>
        <w:jc w:val="both"/>
        <w:ind w:right="40" w:firstLine="450"/>
        <w:spacing w:after="0" w:line="279" w:lineRule="auto"/>
        <w:rPr>
          <w:sz w:val="20"/>
          <w:szCs w:val="20"/>
          <w:color w:val="auto"/>
        </w:rPr>
      </w:pPr>
      <w:r>
        <w:rPr>
          <w:rFonts w:ascii="Arial" w:cs="Arial" w:eastAsia="Arial" w:hAnsi="Arial"/>
          <w:sz w:val="17"/>
          <w:szCs w:val="17"/>
          <w:color w:val="auto"/>
        </w:rPr>
        <w:t>For the purposes of paragraphs (B), (C) and (D), property substituted after the beginning of such three-month period for property held as security at the time of such substitution shall, to the extent of the fair value of the property released, have the same status as the property released, and, to the extent that any claim referred to in any of such paragraphs is created in renewal of or in substitution for or for the purpose of repaying or refunding any pre-existing claim of the Trustee as such creditor, such claim shall have the same status as such pre-existing claim.</w:t>
      </w:r>
    </w:p>
    <w:p>
      <w:pPr>
        <w:spacing w:after="0" w:line="63"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If the Trustee shall be required to account, the funds and property held in such special account and the proceeds thereof shall be apportioned among the Trustee, the Holders and the holders of other indenture securities in such manner that the Trustee, the Holders and the holders of other indenture securities realize, as a result of payments from such special account and payments of dividends on claims filed against the Company in bankruptcy or receivership or in proceedings for reorganization pursuant to the Federal bankruptcy laws, as now or hereafter constituted or any other applicable Federal or State bankruptcy, insolvency or other similar law, the same percentage of their respective claims, figured before crediting to the claim of the Trustee anything on account of the receipt by it from the Company of the funds and property in such special account and before crediting to the respective claims of the Trustee and the Holders and the holders of other indenture securities dividends on claims filed against the Company in bankruptcy or receivership or in proceedings for reorganization pursuant to the Federal bankruptcy laws, as now or hereafter constituted, or any other applicable Federal or State bankruptcy, insolvency or other similar law, but after crediting thereon receipts on account of the indebtedness represented by their respective claims from all sources other than from such dividends and from the funds and property so held in such special account. As used in this paragraph, with respect to any claim, the term “dividends” shall include any distribution with respect to such claim, in bankruptcy or receivership or proceedings for reorganization pursuant to the Federal bankruptcy laws, as now or hereafter constituted, or any other applicable Federal or State bankruptcy, insolvency or other similar law, whether such distribution is made in cash, securities, or other property, but shall not include any such distribution with respect to the secured portion, if any, of such claim. The court in which such bankruptcy, receivership or proceedings for reorganization is pending shall have jurisdiction (i) to apportion among the Trustee and the Holders and the holders of other indenture securities, in accordance with the provisions of this paragraph, the funds and property held in such special account and proceeds thereof, or (ii) in lieu of such apportionment, in whole or in part, to give to the provisions of this paragraph due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0" w:name="page191"/>
    <w:bookmarkEnd w:id="190"/>
    <w:p>
      <w:pPr>
        <w:spacing w:after="0" w:line="259" w:lineRule="auto"/>
        <w:rPr>
          <w:sz w:val="20"/>
          <w:szCs w:val="20"/>
          <w:color w:val="auto"/>
        </w:rPr>
      </w:pPr>
      <w:r>
        <w:rPr>
          <w:rFonts w:ascii="Arial" w:cs="Arial" w:eastAsia="Arial" w:hAnsi="Arial"/>
          <w:sz w:val="18"/>
          <w:szCs w:val="18"/>
          <w:color w:val="auto"/>
        </w:rPr>
        <w:t>consideration in determining the fairness of the distributions to be made to the Trustee and the Holders and the holders of other indenture securities with respect to their respective claims, in which event it shall not be necessary to liquidate or to appraise the value of any securities or other property held in such special account or as security for any such claim, or to make a specific allocation of such distributions as between the secured and unsecured portions of such claim, or otherwise to apply the provisions of this paragraph as a mathematical formula.</w:t>
      </w:r>
    </w:p>
    <w:p>
      <w:pPr>
        <w:spacing w:after="0" w:line="79" w:lineRule="exact"/>
        <w:rPr>
          <w:sz w:val="20"/>
          <w:szCs w:val="20"/>
          <w:color w:val="auto"/>
        </w:rPr>
      </w:pPr>
    </w:p>
    <w:p>
      <w:pPr>
        <w:jc w:val="both"/>
        <w:ind w:right="20" w:firstLine="440"/>
        <w:spacing w:after="0" w:line="264" w:lineRule="auto"/>
        <w:rPr>
          <w:sz w:val="20"/>
          <w:szCs w:val="20"/>
          <w:color w:val="auto"/>
        </w:rPr>
      </w:pPr>
      <w:r>
        <w:rPr>
          <w:rFonts w:ascii="Arial" w:cs="Arial" w:eastAsia="Arial" w:hAnsi="Arial"/>
          <w:sz w:val="18"/>
          <w:szCs w:val="18"/>
          <w:color w:val="auto"/>
        </w:rPr>
        <w:t>Any Trustee which has resigned or been removed after the beginning of such three-month period shall be subject to the provisions of this subsection as though such resignation or removal had not occurred. If any Trustee has resigned or been removed prior to the beginning of such three-month period, it shall be subject to the provisions of this subsection if and only if the following conditions exist:</w:t>
      </w:r>
    </w:p>
    <w:p>
      <w:pPr>
        <w:spacing w:after="0" w:line="73" w:lineRule="exact"/>
        <w:rPr>
          <w:sz w:val="20"/>
          <w:szCs w:val="20"/>
          <w:color w:val="auto"/>
        </w:rPr>
      </w:pPr>
    </w:p>
    <w:p>
      <w:pPr>
        <w:ind w:left="460" w:right="60" w:firstLine="229"/>
        <w:spacing w:after="0" w:line="277" w:lineRule="auto"/>
        <w:tabs>
          <w:tab w:leader="none" w:pos="90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receipt of property or reduction of claim, which would have given rise to the obligation to account, if such Trustee had continued as Trustee, occurred after the beginning of such three-month period; and</w:t>
      </w:r>
    </w:p>
    <w:p>
      <w:pPr>
        <w:spacing w:after="0" w:line="62" w:lineRule="exact"/>
        <w:rPr>
          <w:rFonts w:ascii="Arial" w:cs="Arial" w:eastAsia="Arial" w:hAnsi="Arial"/>
          <w:sz w:val="18"/>
          <w:szCs w:val="18"/>
          <w:color w:val="auto"/>
        </w:rPr>
      </w:pPr>
    </w:p>
    <w:p>
      <w:pPr>
        <w:ind w:left="960" w:hanging="271"/>
        <w:spacing w:after="0"/>
        <w:tabs>
          <w:tab w:leader="none" w:pos="96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such receipt of property or reduction of claim occurred within three months after such resignation or removal.</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 shall be excluded from the operation of subsection (a) of this Section 6.13 a creditor relationship arising from:</w:t>
      </w:r>
    </w:p>
    <w:p>
      <w:pPr>
        <w:spacing w:after="0" w:line="117" w:lineRule="exact"/>
        <w:rPr>
          <w:rFonts w:ascii="Arial" w:cs="Arial" w:eastAsia="Arial" w:hAnsi="Arial"/>
          <w:sz w:val="18"/>
          <w:szCs w:val="18"/>
          <w:color w:val="auto"/>
        </w:rPr>
      </w:pPr>
    </w:p>
    <w:p>
      <w:pPr>
        <w:ind w:right="160" w:firstLine="683"/>
        <w:spacing w:after="0" w:line="277" w:lineRule="auto"/>
        <w:tabs>
          <w:tab w:leader="none" w:pos="93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ownership or acquisition of securities issued under any indenture, or any security or securities having a maturity of one year or more at the time of acquisition by the Trustee;</w:t>
      </w:r>
    </w:p>
    <w:p>
      <w:pPr>
        <w:spacing w:after="0" w:line="62" w:lineRule="exact"/>
        <w:rPr>
          <w:rFonts w:ascii="Arial" w:cs="Arial" w:eastAsia="Arial" w:hAnsi="Arial"/>
          <w:sz w:val="18"/>
          <w:szCs w:val="18"/>
          <w:color w:val="auto"/>
        </w:rPr>
      </w:pPr>
    </w:p>
    <w:p>
      <w:pPr>
        <w:ind w:right="140" w:firstLine="683"/>
        <w:spacing w:after="0" w:line="312" w:lineRule="auto"/>
        <w:tabs>
          <w:tab w:leader="none" w:pos="93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advances authorized by a receivership or bankruptcy court of competent jurisdiction or by this Indenture, for the purpose of preserving any property which shall at any time be subject to the Lien of this Indenture or of discharging tax liens or other prior liens or encumbrances thereon, if notice of such advances and of the circumstances surrounding the making thereof is given to the Holders at the time and in the manner provided in this Indenture;</w:t>
      </w:r>
    </w:p>
    <w:p>
      <w:pPr>
        <w:spacing w:after="0" w:line="38" w:lineRule="exact"/>
        <w:rPr>
          <w:rFonts w:ascii="Arial" w:cs="Arial" w:eastAsia="Arial" w:hAnsi="Arial"/>
          <w:sz w:val="16"/>
          <w:szCs w:val="16"/>
          <w:color w:val="auto"/>
        </w:rPr>
      </w:pPr>
    </w:p>
    <w:p>
      <w:pPr>
        <w:ind w:right="140" w:firstLine="683"/>
        <w:spacing w:after="0" w:line="277" w:lineRule="auto"/>
        <w:tabs>
          <w:tab w:leader="none" w:pos="93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disbursements made in the ordinary course of business in the capacity of trustee under an indenture, transfer agent, registrar, custodian, paying agent, fiscal agent or depositary, or other similar capacity;</w:t>
      </w:r>
    </w:p>
    <w:p>
      <w:pPr>
        <w:spacing w:after="0" w:line="62" w:lineRule="exact"/>
        <w:rPr>
          <w:rFonts w:ascii="Arial" w:cs="Arial" w:eastAsia="Arial" w:hAnsi="Arial"/>
          <w:sz w:val="18"/>
          <w:szCs w:val="18"/>
          <w:color w:val="auto"/>
        </w:rPr>
      </w:pPr>
    </w:p>
    <w:p>
      <w:pPr>
        <w:ind w:right="60" w:firstLine="683"/>
        <w:spacing w:after="0" w:line="277" w:lineRule="auto"/>
        <w:tabs>
          <w:tab w:leader="none" w:pos="93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 indebtedness created as a result of services rendered or premises rented, or an indebtedness created as a result of goods or securities sold in a cash transaction as defined in subsection (c) of this Section 6.13;</w:t>
      </w:r>
    </w:p>
    <w:p>
      <w:pPr>
        <w:spacing w:after="0" w:line="62" w:lineRule="exact"/>
        <w:rPr>
          <w:rFonts w:ascii="Arial" w:cs="Arial" w:eastAsia="Arial" w:hAnsi="Arial"/>
          <w:sz w:val="18"/>
          <w:szCs w:val="18"/>
          <w:color w:val="auto"/>
        </w:rPr>
      </w:pPr>
    </w:p>
    <w:p>
      <w:pPr>
        <w:ind w:right="360" w:firstLine="683"/>
        <w:spacing w:after="0" w:line="277" w:lineRule="auto"/>
        <w:tabs>
          <w:tab w:leader="none" w:pos="93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ownership of stock or of other securities of a corporation organized under the provisions of Section 25(a) of the Federal Reserve Act, as amended, which is directly or indirectly a creditor of the Company; and</w:t>
      </w:r>
    </w:p>
    <w:p>
      <w:pPr>
        <w:spacing w:after="0" w:line="62" w:lineRule="exact"/>
        <w:rPr>
          <w:rFonts w:ascii="Arial" w:cs="Arial" w:eastAsia="Arial" w:hAnsi="Arial"/>
          <w:sz w:val="18"/>
          <w:szCs w:val="18"/>
          <w:color w:val="auto"/>
        </w:rPr>
      </w:pPr>
    </w:p>
    <w:p>
      <w:pPr>
        <w:ind w:right="780" w:firstLine="683"/>
        <w:spacing w:after="0" w:line="277" w:lineRule="auto"/>
        <w:tabs>
          <w:tab w:leader="none" w:pos="93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acquisition, ownership, acceptance or negotiation of any drafts, bills of exchange, acceptances or obligations which fall within the classification of self-liquidating paper as defined in subsection (c) of this Section 6.13.</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the purposes of this Section 6.13 only: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91" w:name="page192"/>
    <w:bookmarkEnd w:id="191"/>
    <w:p>
      <w:pPr>
        <w:ind w:right="460" w:firstLine="683"/>
        <w:spacing w:after="0" w:line="277" w:lineRule="auto"/>
        <w:tabs>
          <w:tab w:leader="none" w:pos="92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term “default” means any failure to make payment in full of the principal of or interest on any of the Debt Securities or upon the other indenture securities when and as such principal or interest becomes due and payable.</w:t>
      </w:r>
    </w:p>
    <w:p>
      <w:pPr>
        <w:spacing w:after="0" w:line="62" w:lineRule="exact"/>
        <w:rPr>
          <w:rFonts w:ascii="Arial" w:cs="Arial" w:eastAsia="Arial" w:hAnsi="Arial"/>
          <w:sz w:val="18"/>
          <w:szCs w:val="18"/>
          <w:color w:val="auto"/>
        </w:rPr>
      </w:pPr>
    </w:p>
    <w:p>
      <w:pPr>
        <w:ind w:right="240" w:firstLine="683"/>
        <w:spacing w:after="0" w:line="264" w:lineRule="auto"/>
        <w:tabs>
          <w:tab w:leader="none" w:pos="92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term “other indenture securities” means securities upon which the Company is an obligor outstanding under any other indenture (i) under which the Trustee is also trustee, (ii) which contains provisions substantially similar to the provisions of this Section 6.13, and (iii) under which a default exists at the time of the apportionment of the funds and property held in such special account.</w:t>
      </w:r>
    </w:p>
    <w:p>
      <w:pPr>
        <w:spacing w:after="0" w:line="73" w:lineRule="exact"/>
        <w:rPr>
          <w:rFonts w:ascii="Arial" w:cs="Arial" w:eastAsia="Arial" w:hAnsi="Arial"/>
          <w:sz w:val="18"/>
          <w:szCs w:val="18"/>
          <w:color w:val="auto"/>
        </w:rPr>
      </w:pPr>
    </w:p>
    <w:p>
      <w:pPr>
        <w:ind w:right="20" w:firstLine="683"/>
        <w:spacing w:after="0" w:line="277" w:lineRule="auto"/>
        <w:tabs>
          <w:tab w:leader="none" w:pos="92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term “cash transaction” means any transaction in which full payment for goods or securities sold is made within seven days after delivery of the goods or securities in currency or in checks or other orders drawn upon banks and payable upon demand.</w:t>
      </w:r>
    </w:p>
    <w:p>
      <w:pPr>
        <w:spacing w:after="0" w:line="62" w:lineRule="exact"/>
        <w:rPr>
          <w:rFonts w:ascii="Arial" w:cs="Arial" w:eastAsia="Arial" w:hAnsi="Arial"/>
          <w:sz w:val="18"/>
          <w:szCs w:val="18"/>
          <w:color w:val="auto"/>
        </w:rPr>
      </w:pPr>
    </w:p>
    <w:p>
      <w:pPr>
        <w:ind w:right="40" w:firstLine="683"/>
        <w:spacing w:after="0" w:line="297" w:lineRule="auto"/>
        <w:tabs>
          <w:tab w:leader="none" w:pos="92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term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50" w:lineRule="exact"/>
        <w:rPr>
          <w:rFonts w:ascii="Arial" w:cs="Arial" w:eastAsia="Arial" w:hAnsi="Arial"/>
          <w:sz w:val="16"/>
          <w:szCs w:val="16"/>
          <w:color w:val="auto"/>
        </w:rPr>
      </w:pPr>
    </w:p>
    <w:p>
      <w:pPr>
        <w:ind w:left="940" w:hanging="257"/>
        <w:spacing w:after="0"/>
        <w:tabs>
          <w:tab w:leader="none" w:pos="9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term “Company” means any obligor upon the Debt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As long as any Debt Securities of a series remain Outstanding, upon a Company Request, there shall be an authenticating agent (the “Authenticating Agent”) appointed, for such period as the Company shall elect, by the Trustee for such series of Debt Securities to act as its agent on its behalf and subject to its direction in connection with the authentication and delivery of each series of Debt Securities for which it is serving as Trustee. Debt Securities of each such series authenticated by such Authenticating Agent shall be entitled to the benefits of this Indenture and shall be valid and obligatory for all purposes as if authenticated by such Trustee. Wherever reference is made in this Indenture to the authentication and delivery of Debt Securities of any series by the Trustee for such series or to the Trustee’s Certificate of Authentication, such reference shall be deemed to include authentication and delivery on behalf of the Trustee for such series by an Authenticating Agent for such series and a Certificate of Authentication executed on behalf of such Trustee by such Authenticating Agent, except that only the Trustee may authenticate Debt Securities upon original issuance and pursuant to Section 3.06 hereof. Such Authenticating Agent shall at all times be a corporation organized and doing business under the laws of the United States of America or of any State, authorized under such laws to exercise corporate trust powers, having a combined capital and surplus of at least $10,000,000 and subject to supervision or examination by Federal or State authority. If such Authenticating Agent publishes reports of condition at least annually, pursuant to law or to the requirements of said supervising or examining authority, then for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2" w:name="page193"/>
    <w:bookmarkEnd w:id="192"/>
    <w:p>
      <w:pPr>
        <w:ind w:firstLine="440"/>
        <w:spacing w:after="0" w:line="255" w:lineRule="auto"/>
        <w:rPr>
          <w:sz w:val="20"/>
          <w:szCs w:val="20"/>
          <w:color w:val="auto"/>
        </w:rPr>
      </w:pPr>
      <w:r>
        <w:rPr>
          <w:rFonts w:ascii="Arial" w:cs="Arial" w:eastAsia="Arial" w:hAnsi="Arial"/>
          <w:sz w:val="18"/>
          <w:szCs w:val="18"/>
          <w:color w:val="auto"/>
        </w:rPr>
        <w:t>Any corporation into which any Authenticating Agent may be merged or converted, or with which it may be consolidated, or any corporation resulting from any merger, conversion or consolidation to which any Authenticating Agent shall be a party, or any corporation succeeding to the corporate agency business of any Authenticating Agent, shall continue to be the Authenticating Agent with respect to all series of Debt Securities for which it served as Authenticating Agent without the execution or filing of any paper or any further act on the part of the Trustee for such series or such Authenticating Agent. Any Authenticating Agent may at any time, and if it shall cease to be eligible shall, resign by giving written notice of resignation to the applicable Trustee and to the Company.</w:t>
      </w:r>
    </w:p>
    <w:p>
      <w:pPr>
        <w:spacing w:after="0" w:line="85" w:lineRule="exact"/>
        <w:rPr>
          <w:sz w:val="20"/>
          <w:szCs w:val="20"/>
          <w:color w:val="auto"/>
        </w:rPr>
      </w:pPr>
    </w:p>
    <w:p>
      <w:pPr>
        <w:ind w:right="40" w:firstLine="450"/>
        <w:spacing w:after="0" w:line="290" w:lineRule="auto"/>
        <w:rPr>
          <w:sz w:val="20"/>
          <w:szCs w:val="20"/>
          <w:color w:val="auto"/>
        </w:rPr>
      </w:pPr>
      <w:r>
        <w:rPr>
          <w:rFonts w:ascii="Arial" w:cs="Arial" w:eastAsia="Arial" w:hAnsi="Arial"/>
          <w:sz w:val="16"/>
          <w:szCs w:val="16"/>
          <w:color w:val="auto"/>
        </w:rPr>
        <w:t>Upon receiving such a notice of resignation or upon such a termination, or in case at any time any Authenticating Agent shall cease to be eligible in accordance with the provisions of this Section 6.14 with respect to one or more or all series of Debt Securities, the Trustee for such series shall upon a Company Request appoint a successor Authenticating Agent, and the Company shall provide notice of such appointment to all Holders of Debt Securities of such series in the manner and to the extent provided in Section 1.05. Any successor Authenticating Agent upon acceptance of its appointment hereunder shall become vested with all rights, powers, duties and responsibilities of its predecessor hereunder, with like effect as if originally named as Authenticating Agent herein. The Trustee for the Debt Securities of such series agrees to pay to the Authenticating Agent for such series from time to time reasonable compensation for its services, and the Trustee shall be entitled to be reimbursed for such payment, subject to the provisions of Section 6.07. The Authenticating Agent for the Debt Securities of any series shall have no responsibility or liability for any action taken by it as such at the direction of the Trustee for such series.</w:t>
      </w:r>
    </w:p>
    <w:p>
      <w:pPr>
        <w:spacing w:after="0" w:line="58" w:lineRule="exact"/>
        <w:rPr>
          <w:sz w:val="20"/>
          <w:szCs w:val="20"/>
          <w:color w:val="auto"/>
        </w:rPr>
      </w:pPr>
    </w:p>
    <w:p>
      <w:pPr>
        <w:ind w:right="580" w:firstLine="450"/>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6.14, the Debt Securities of such series may have endorsed thereon, in addition to the Trustee’s certificate of authentication, an alternative certificate of authentication in the following form:</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series of Debt Securities issued under the within 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246380</wp:posOffset>
            </wp:positionV>
            <wp:extent cx="27698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6987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495300</wp:posOffset>
            </wp:positionV>
            <wp:extent cx="27698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ind w:left="5020"/>
        <w:spacing w:after="0"/>
        <w:rPr>
          <w:sz w:val="20"/>
          <w:szCs w:val="20"/>
          <w:color w:val="auto"/>
        </w:rPr>
      </w:pPr>
      <w:r>
        <w:rPr>
          <w:rFonts w:ascii="Arial" w:cs="Arial" w:eastAsia="Arial" w:hAnsi="Arial"/>
          <w:sz w:val="18"/>
          <w:szCs w:val="18"/>
          <w:color w:val="auto"/>
        </w:rPr>
        <w:t>ARTICLE SEVEN</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HOLDERS’ LISTS AND REPORTS BY TRUSTEE AND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Company to Furnish Trustee Names and Addresses of Holders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will furnish or cause to be furnished to the Trustee with respect to Registered Securities of each series for which it acts as Trustee:</w:t>
      </w:r>
    </w:p>
    <w:p>
      <w:pPr>
        <w:spacing w:after="0" w:line="129" w:lineRule="exact"/>
        <w:rPr>
          <w:sz w:val="20"/>
          <w:szCs w:val="20"/>
          <w:color w:val="auto"/>
        </w:rPr>
      </w:pPr>
    </w:p>
    <w:p>
      <w:pPr>
        <w:ind w:firstLine="458"/>
        <w:spacing w:after="0" w:line="279" w:lineRule="auto"/>
        <w:tabs>
          <w:tab w:leader="none" w:pos="69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semi-annually on a date not more than 15 days after each Regular Record Date with respect to an Interest Payment Date, if any, for the Registered Securities of such series (or on semi-annual dates in each year to be determined pursuant to Section 3.01 if the Registered Securities of such series do not bear interest), a list, in such form as the Trustee may reasonably require, of the names and addresses of the Registered Holders as of the date 15 days next preceding each such Regular Record Date (or such semi-annual dates, as the case may be); and</w:t>
      </w:r>
    </w:p>
    <w:p>
      <w:pPr>
        <w:spacing w:after="0" w:line="63" w:lineRule="exact"/>
        <w:rPr>
          <w:rFonts w:ascii="Arial" w:cs="Arial" w:eastAsia="Arial" w:hAnsi="Arial"/>
          <w:sz w:val="17"/>
          <w:szCs w:val="17"/>
          <w:color w:val="auto"/>
        </w:rPr>
      </w:pPr>
    </w:p>
    <w:p>
      <w:pPr>
        <w:ind w:right="60" w:firstLine="458"/>
        <w:spacing w:after="0" w:line="264" w:lineRule="auto"/>
        <w:tabs>
          <w:tab w:leader="none" w:pos="70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and so long as the Trustee shall be the Registrar for such series, no such list need be furnished.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 to Holders</w:t>
      </w:r>
      <w:r>
        <w:rPr>
          <w:rFonts w:ascii="Arial" w:cs="Arial" w:eastAsia="Arial" w:hAnsi="Arial"/>
          <w:sz w:val="18"/>
          <w:szCs w:val="18"/>
          <w:color w:val="auto"/>
        </w:rPr>
        <w:t>.</w:t>
      </w:r>
    </w:p>
    <w:p>
      <w:pPr>
        <w:spacing w:after="0" w:line="117" w:lineRule="exact"/>
        <w:rPr>
          <w:sz w:val="20"/>
          <w:szCs w:val="20"/>
          <w:color w:val="auto"/>
        </w:rPr>
      </w:pPr>
    </w:p>
    <w:p>
      <w:pPr>
        <w:ind w:right="200" w:firstLine="458"/>
        <w:spacing w:after="0" w:line="342" w:lineRule="auto"/>
        <w:tabs>
          <w:tab w:leader="none" w:pos="69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all information as to the names and addresses of Holders contained in the most recent list furnished to the Trustee as provided in Section 7.01 received by it in the capacity of Paying Agent (if so acting) hereunder.</w:t>
      </w:r>
    </w:p>
    <w:p>
      <w:pPr>
        <w:spacing w:after="0" w:line="16" w:lineRule="exact"/>
        <w:rPr>
          <w:sz w:val="20"/>
          <w:szCs w:val="20"/>
          <w:color w:val="auto"/>
        </w:rPr>
      </w:pPr>
    </w:p>
    <w:p>
      <w:pPr>
        <w:ind w:right="20" w:firstLine="447"/>
        <w:spacing w:after="0" w:line="302" w:lineRule="auto"/>
        <w:rPr>
          <w:sz w:val="20"/>
          <w:szCs w:val="20"/>
          <w:color w:val="auto"/>
        </w:rPr>
      </w:pPr>
      <w:r>
        <w:rPr>
          <w:rFonts w:ascii="Arial" w:cs="Arial" w:eastAsia="Arial" w:hAnsi="Arial"/>
          <w:sz w:val="16"/>
          <w:szCs w:val="16"/>
          <w:color w:val="auto"/>
        </w:rPr>
        <w:t>The Trustee may destroy any list furnished to it as provided in Section 7.01 upon receipt of a new list so furnished, destroy any information received by it as Paying Agent (if so acting) hereunder upon delivering to itself as Trustee, not earlier than 45 days after an Interest Payment Date, a list containing the names and addresses of the Holders obtained from such information since the delivery of the next previous list, if any, and destroy any list delivered to itself as Trustee which was compiled from information received by it as Paying Agent (if so acting) hereunder upon the receipt of a new list so delivered.</w:t>
      </w:r>
    </w:p>
    <w:p>
      <w:pPr>
        <w:spacing w:after="0" w:line="46" w:lineRule="exact"/>
        <w:rPr>
          <w:sz w:val="20"/>
          <w:szCs w:val="20"/>
          <w:color w:val="auto"/>
        </w:rPr>
      </w:pPr>
    </w:p>
    <w:p>
      <w:pPr>
        <w:ind w:right="20" w:firstLine="458"/>
        <w:spacing w:after="0" w:line="255" w:lineRule="auto"/>
        <w:tabs>
          <w:tab w:leader="none" w:pos="70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three or more Holders (hereinafter referred to as “applicants”) apply in writing to the Trustee, and furnish to the Trustee reasonable proof that each such applicant has owned a Debt Security for a period of at least six months preceding the date of such application, and such application states that the applicants desire to communicate with other Holders of Debt Securities of a particular series (in which case the applicants must hold Debt Securities of such series) or with all Holders of Debt Securities with respect to their rights under this Indenture or under the Debt Securities and is accompanied by a copy of the form of proxy or other communication which such applicants propose to transmit, then the Trustee shall, within five Business Days after the receipt of such application, at its election, either</w:t>
      </w:r>
    </w:p>
    <w:p>
      <w:pPr>
        <w:spacing w:after="0" w:line="85" w:lineRule="exact"/>
        <w:rPr>
          <w:rFonts w:ascii="Arial" w:cs="Arial" w:eastAsia="Arial" w:hAnsi="Arial"/>
          <w:sz w:val="18"/>
          <w:szCs w:val="18"/>
          <w:color w:val="auto"/>
        </w:rPr>
      </w:pPr>
    </w:p>
    <w:p>
      <w:pPr>
        <w:ind w:left="900" w:hanging="211"/>
        <w:spacing w:after="0"/>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the Trustee in accordance with Section 7.02(a), or</w:t>
      </w:r>
    </w:p>
    <w:p>
      <w:pPr>
        <w:spacing w:after="0" w:line="117" w:lineRule="exact"/>
        <w:rPr>
          <w:rFonts w:ascii="Arial" w:cs="Arial" w:eastAsia="Arial" w:hAnsi="Arial"/>
          <w:sz w:val="18"/>
          <w:szCs w:val="18"/>
          <w:color w:val="auto"/>
        </w:rPr>
      </w:pPr>
    </w:p>
    <w:p>
      <w:pPr>
        <w:ind w:left="460" w:right="200" w:firstLine="229"/>
        <w:spacing w:after="0" w:line="277" w:lineRule="auto"/>
        <w:tabs>
          <w:tab w:leader="none" w:pos="95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inform such applicants as to the approximate number of Holders of Debt Securities of such series or of all Debt Securities, as the case may be, whose names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194" w:name="page195"/>
    <w:bookmarkEnd w:id="194"/>
    <w:p>
      <w:pPr>
        <w:ind w:left="460" w:right="160"/>
        <w:spacing w:after="0" w:line="277" w:lineRule="auto"/>
        <w:rPr>
          <w:sz w:val="20"/>
          <w:szCs w:val="20"/>
          <w:color w:val="auto"/>
        </w:rPr>
      </w:pPr>
      <w:r>
        <w:rPr>
          <w:rFonts w:ascii="Arial" w:cs="Arial" w:eastAsia="Arial" w:hAnsi="Arial"/>
          <w:sz w:val="18"/>
          <w:szCs w:val="18"/>
          <w:color w:val="auto"/>
        </w:rPr>
        <w:t>addresses appear in the information preserved at the time by the Trustee in accordance with Section 7.02(a), and as to the approximate cost of mailing to such Holders the form of proxy or other communication, specified in such application.</w:t>
      </w:r>
    </w:p>
    <w:p>
      <w:pPr>
        <w:spacing w:after="0" w:line="62"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If the Trustee shall elect not to afford such applicants access to such information, the Trustee shall, upon written request of such applicants, mail to the Holders of Debt Securities of such series or all Holders, as the case may be, whose names and addresses appear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Debt Securities of such series or all 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72" w:lineRule="exact"/>
        <w:rPr>
          <w:sz w:val="20"/>
          <w:szCs w:val="20"/>
          <w:color w:val="auto"/>
        </w:rPr>
      </w:pPr>
    </w:p>
    <w:p>
      <w:pPr>
        <w:ind w:right="80" w:firstLine="458"/>
        <w:spacing w:after="0" w:line="259"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Every Holder of Debt Securities, by receiving and holding the same, agrees with the Company and the Trustee that neither the Company nor the Trustee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of any material pursuant to a request made under Section 7.02(b).</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tabs>
          <w:tab w:leader="none" w:pos="3140" w:val="left"/>
          <w:tab w:leader="none" w:pos="5980" w:val="left"/>
        </w:tabs>
        <w:rPr>
          <w:sz w:val="20"/>
          <w:szCs w:val="20"/>
          <w:color w:val="auto"/>
        </w:rPr>
      </w:pPr>
      <w:r>
        <w:rPr>
          <w:rFonts w:ascii="Arial" w:cs="Arial" w:eastAsia="Arial" w:hAnsi="Arial"/>
          <w:sz w:val="18"/>
          <w:szCs w:val="18"/>
          <w:color w:val="auto"/>
        </w:rPr>
        <w:t>(a) Within 60 days after</w:t>
      </w:r>
      <w:r>
        <w:rPr>
          <w:sz w:val="20"/>
          <w:szCs w:val="20"/>
          <w:color w:val="auto"/>
        </w:rPr>
        <w:tab/>
      </w:r>
      <w:r>
        <w:rPr>
          <w:rFonts w:ascii="Arial" w:cs="Arial" w:eastAsia="Arial" w:hAnsi="Arial"/>
          <w:sz w:val="18"/>
          <w:szCs w:val="18"/>
          <w:color w:val="auto"/>
        </w:rPr>
        <w:t>of each year, commencing</w:t>
      </w:r>
      <w:r>
        <w:rPr>
          <w:sz w:val="20"/>
          <w:szCs w:val="20"/>
          <w:color w:val="auto"/>
        </w:rPr>
        <w:tab/>
      </w:r>
      <w:r>
        <w:rPr>
          <w:rFonts w:ascii="Arial" w:cs="Arial" w:eastAsia="Arial" w:hAnsi="Arial"/>
          <w:sz w:val="16"/>
          <w:szCs w:val="16"/>
          <w:color w:val="auto"/>
        </w:rPr>
        <w:t>, 20___, the Trustee shall, to the extent required by the Trust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-10160</wp:posOffset>
            </wp:positionV>
            <wp:extent cx="571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-10160</wp:posOffset>
            </wp:positionV>
            <wp:extent cx="571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Act, transmit to all Holders of Debt Securities of any series with respect to which it acts as Trustee, in the manner hereinafter provided in this Section 7.03, a brief report dated such date with respect to any of the following events which may have occurred within the previous 12 months (but if no such event has occurred within such period no report need be transmitted):</w:t>
      </w:r>
    </w:p>
    <w:p>
      <w:pPr>
        <w:spacing w:after="0" w:line="82" w:lineRule="exact"/>
        <w:rPr>
          <w:sz w:val="20"/>
          <w:szCs w:val="20"/>
          <w:color w:val="auto"/>
        </w:rPr>
      </w:pPr>
    </w:p>
    <w:p>
      <w:pPr>
        <w:ind w:left="940" w:hanging="257"/>
        <w:spacing w:after="0"/>
        <w:tabs>
          <w:tab w:leader="none" w:pos="9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change to its eligibility under Section 6.09 and its qualifications under Section 6.08;</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creation of or any material change to a relationship specified in paragraph (1) through (10) of Section 6.08(c) of this Indenture;</w:t>
      </w:r>
    </w:p>
    <w:p>
      <w:pPr>
        <w:spacing w:after="0" w:line="117" w:lineRule="exact"/>
        <w:rPr>
          <w:rFonts w:ascii="Arial" w:cs="Arial" w:eastAsia="Arial" w:hAnsi="Arial"/>
          <w:sz w:val="18"/>
          <w:szCs w:val="18"/>
          <w:color w:val="auto"/>
        </w:rPr>
      </w:pPr>
    </w:p>
    <w:p>
      <w:pPr>
        <w:ind w:right="120" w:firstLine="683"/>
        <w:spacing w:after="0" w:line="259" w:lineRule="auto"/>
        <w:tabs>
          <w:tab w:leader="none" w:pos="93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character and amount of any advances (and if the Trustee elects so to state, the circumstances surrounding the making thereof) made by the Trustee (as such) which remain unpaid on the date of such report, and for the reimbursement of which it claims or may claim a lien or charge, prior to that of the Debt Securities of such series, on any property or funds held or collected by it as Trustee, except that the Trustee shall not be required (but may elect) to report such advances if such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spacing w:after="0" w:line="277" w:lineRule="auto"/>
        <w:rPr>
          <w:sz w:val="20"/>
          <w:szCs w:val="20"/>
          <w:color w:val="auto"/>
        </w:rPr>
      </w:pPr>
      <w:r>
        <w:rPr>
          <w:rFonts w:ascii="Arial" w:cs="Arial" w:eastAsia="Arial" w:hAnsi="Arial"/>
          <w:sz w:val="18"/>
          <w:szCs w:val="18"/>
          <w:color w:val="auto"/>
        </w:rPr>
        <w:t>advances so remaining unpaid aggregate not more than 1/2 of 1% of the principal amount of the Outstanding Debt Securities of such series on the date of such report;</w:t>
      </w:r>
    </w:p>
    <w:p>
      <w:pPr>
        <w:spacing w:after="0" w:line="62" w:lineRule="exact"/>
        <w:rPr>
          <w:sz w:val="20"/>
          <w:szCs w:val="20"/>
          <w:color w:val="auto"/>
        </w:rPr>
      </w:pPr>
    </w:p>
    <w:p>
      <w:pPr>
        <w:ind w:right="60" w:firstLine="683"/>
        <w:spacing w:after="0" w:line="312" w:lineRule="auto"/>
        <w:tabs>
          <w:tab w:leader="none" w:pos="93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any change to the amount, interest rate and maturity date of all other indebtedness owing by the Company (or any other obligor on the Debt Securities of such series) to the Trustee in its individual capacity, on the date of such report, with a brief description of any property held as collateral security therefor, except an indebtedness based upon a creditor relationship arising in any manner described in Section 6.13(b)(2), (3), (4) or (6);</w:t>
      </w:r>
    </w:p>
    <w:p>
      <w:pPr>
        <w:spacing w:after="0" w:line="38" w:lineRule="exact"/>
        <w:rPr>
          <w:rFonts w:ascii="Arial" w:cs="Arial" w:eastAsia="Arial" w:hAnsi="Arial"/>
          <w:sz w:val="16"/>
          <w:szCs w:val="16"/>
          <w:color w:val="auto"/>
        </w:rPr>
      </w:pPr>
    </w:p>
    <w:p>
      <w:pPr>
        <w:ind w:left="940" w:hanging="257"/>
        <w:spacing w:after="0"/>
        <w:tabs>
          <w:tab w:leader="none" w:pos="9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change to the property and funds, if any, physically in the possession of the Trustee as such on the date of such report;</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additional issue of Debt Securities which the Trustee has not previously reported; and</w:t>
      </w:r>
    </w:p>
    <w:p>
      <w:pPr>
        <w:spacing w:after="0" w:line="117" w:lineRule="exact"/>
        <w:rPr>
          <w:rFonts w:ascii="Arial" w:cs="Arial" w:eastAsia="Arial" w:hAnsi="Arial"/>
          <w:sz w:val="18"/>
          <w:szCs w:val="18"/>
          <w:color w:val="auto"/>
        </w:rPr>
      </w:pPr>
    </w:p>
    <w:p>
      <w:pPr>
        <w:ind w:right="500" w:firstLine="683"/>
        <w:spacing w:after="0" w:line="264" w:lineRule="auto"/>
        <w:tabs>
          <w:tab w:leader="none" w:pos="93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action taken by the Trustee in the performance of its duties hereunder which it has not previously reported and which in its opinion materially affects the Debt Securities of such series, except action in respect of a default, notice of which has been or is to be withheld by the Trustee in accordance with Section 6.02.</w:t>
      </w:r>
    </w:p>
    <w:p>
      <w:pPr>
        <w:spacing w:after="0" w:line="73" w:lineRule="exact"/>
        <w:rPr>
          <w:rFonts w:ascii="Arial" w:cs="Arial" w:eastAsia="Arial" w:hAnsi="Arial"/>
          <w:sz w:val="18"/>
          <w:szCs w:val="18"/>
          <w:color w:val="auto"/>
        </w:rPr>
      </w:pPr>
    </w:p>
    <w:p>
      <w:pPr>
        <w:ind w:firstLine="458"/>
        <w:spacing w:after="0" w:line="290" w:lineRule="auto"/>
        <w:tabs>
          <w:tab w:leader="none" w:pos="70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Trustee shall transmit by mail to all Holders of Debt Securities of any series (whose names and addresses appear in the information preserved at the time by the Trustee in accordance with Section 7.02 (a)) for which it acts as the Trustee, as hereinafter provided, a brief report with respect to the character and amount of any advances (and if the Trustee elects so to state, the circumstances surrounding the making thereof) made by the Trustee (as such) since the date of the last report transmitted pursuant to subsection (a) of this Section 7.03 (or if no such report has yet been so transmitted, since the date of execution of this instrument) for the reimbursement of which it claims or may claim a lien or charge, prior to that of the Debt Securities of such series, on property or funds held or collected by it as Trustee, and which it has not previously reported pursuant to this subsection, except that the Trustee for each series shall not be required (but may elect) to report such advances if such advances remaining unpaid at any time aggregate 10% or less of the principal amount of the Debt Securities of such series Outstanding at such time, such report to be transmitted within 90 days after such time.</w:t>
      </w:r>
    </w:p>
    <w:p>
      <w:pPr>
        <w:spacing w:after="0" w:line="58" w:lineRule="exact"/>
        <w:rPr>
          <w:rFonts w:ascii="Arial" w:cs="Arial" w:eastAsia="Arial" w:hAnsi="Arial"/>
          <w:sz w:val="16"/>
          <w:szCs w:val="16"/>
          <w:color w:val="auto"/>
        </w:rPr>
      </w:pPr>
    </w:p>
    <w:p>
      <w:pPr>
        <w:ind w:left="700" w:hanging="242"/>
        <w:spacing w:after="0"/>
        <w:tabs>
          <w:tab w:leader="none" w:pos="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Reports pursuant to this Section 7.03 shall be transmitted by mail:</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to all Holders of Registered Securities, as the names and addresses of such Holders of Registered Securities appear in the Register; and</w:t>
      </w:r>
    </w:p>
    <w:p>
      <w:pPr>
        <w:spacing w:after="0" w:line="128" w:lineRule="exact"/>
        <w:rPr>
          <w:rFonts w:ascii="Arial" w:cs="Arial" w:eastAsia="Arial" w:hAnsi="Arial"/>
          <w:sz w:val="17"/>
          <w:szCs w:val="17"/>
          <w:color w:val="auto"/>
        </w:rPr>
      </w:pPr>
    </w:p>
    <w:p>
      <w:pPr>
        <w:ind w:right="340" w:firstLine="683"/>
        <w:spacing w:after="0" w:line="277" w:lineRule="auto"/>
        <w:tabs>
          <w:tab w:leader="none" w:pos="93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except in the cases of reports pursuant to subsection (b) of this Section 7.03, to each Holder of a Debt Security of any series whose name and address appear in the information preserved at the time by the Trustee in accordance with Section 7.02(a).</w:t>
      </w:r>
    </w:p>
    <w:p>
      <w:pPr>
        <w:spacing w:after="0" w:line="62" w:lineRule="exact"/>
        <w:rPr>
          <w:rFonts w:ascii="Arial" w:cs="Arial" w:eastAsia="Arial" w:hAnsi="Arial"/>
          <w:sz w:val="18"/>
          <w:szCs w:val="18"/>
          <w:color w:val="auto"/>
        </w:rPr>
      </w:pPr>
    </w:p>
    <w:p>
      <w:pPr>
        <w:jc w:val="both"/>
        <w:ind w:right="40" w:firstLine="458"/>
        <w:spacing w:after="0" w:line="264" w:lineRule="auto"/>
        <w:tabs>
          <w:tab w:leader="none" w:pos="69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Holders, be filed by the Trustee with each stock exchange upon which any Debt Securities of such series are listed, with the Commission and also with the Company. The Company will notify the Trustee when any series of Debt Securities are listed on any stock exchange.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with respect to a particular series of Debt Securities pursuant to Section 3.01, the Company will: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6" w:name="page197"/>
    <w:bookmarkEnd w:id="196"/>
    <w:p>
      <w:pPr>
        <w:ind w:right="60" w:firstLine="458"/>
        <w:spacing w:after="0" w:line="284" w:lineRule="auto"/>
        <w:tabs>
          <w:tab w:leader="none" w:pos="705" w:val="left"/>
        </w:tabs>
        <w:numPr>
          <w:ilvl w:val="1"/>
          <w:numId w:val="221"/>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Notwithstanding that the Company may not be required to remain subject to the reporting requirements of Section 13 or 15(d) of the Exchange Act, or otherwise report on an annual and quarterly basis on forms provided for such annual and quarterly reporting pursuant to rules and regulations promulgated by the Commission, the Company shall continue to file with the Commission and provide the Trustee and the Holders of each series of Debt Securities with, without cost to each Holder, (a) within 90 days after the end of each fiscal year, annual reports on Form 10-K (or any successor or comparable form) containing the information required (other than pursuant to Item 9 of such report) to be contained therein (or required in such successor or comparable form);</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within 45 days after the end of each of the first three fiscal quarters of each fiscal year, reports on Form 10-Q (or any successor or comparable form); and</w:t>
      </w:r>
    </w:p>
    <w:p>
      <w:pPr>
        <w:spacing w:after="0" w:line="32" w:lineRule="exact"/>
        <w:rPr>
          <w:rFonts w:ascii="Arial" w:cs="Arial" w:eastAsia="Arial" w:hAnsi="Arial"/>
          <w:sz w:val="16"/>
          <w:szCs w:val="16"/>
          <w:color w:val="auto"/>
        </w:rPr>
      </w:pPr>
    </w:p>
    <w:p>
      <w:pPr>
        <w:ind w:firstLine="8"/>
        <w:spacing w:after="0" w:line="292" w:lineRule="auto"/>
        <w:tabs>
          <w:tab w:leader="none" w:pos="24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promptly from time to time after the occurrence of an event required to be therein reported, such other reports on Form 8-K (or any successor or comparable form) containing the information required to be contained therein (or required in any successor or comparable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such reports with the Commission if the Commission does not permit such filings. The Company will in all cases, without cost to each recipient, provide copies of such information to the Holders of the Debt Securities of each series and, if they are not permitted to file such reports with the Commission, shall make available information to prospective purchasers and to securities analysts and broker-dealers upon their request;</w:t>
      </w:r>
    </w:p>
    <w:p>
      <w:pPr>
        <w:spacing w:after="0" w:line="54" w:lineRule="exact"/>
        <w:rPr>
          <w:rFonts w:ascii="Arial" w:cs="Arial" w:eastAsia="Arial" w:hAnsi="Arial"/>
          <w:sz w:val="16"/>
          <w:szCs w:val="16"/>
          <w:color w:val="auto"/>
        </w:rPr>
      </w:pPr>
    </w:p>
    <w:p>
      <w:pPr>
        <w:ind w:firstLine="458"/>
        <w:spacing w:after="0" w:line="264" w:lineRule="auto"/>
        <w:tabs>
          <w:tab w:leader="none" w:pos="70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73" w:lineRule="exact"/>
        <w:rPr>
          <w:rFonts w:ascii="Arial" w:cs="Arial" w:eastAsia="Arial" w:hAnsi="Arial"/>
          <w:sz w:val="18"/>
          <w:szCs w:val="18"/>
          <w:color w:val="auto"/>
        </w:rPr>
      </w:pPr>
    </w:p>
    <w:p>
      <w:pPr>
        <w:ind w:right="200" w:firstLine="458"/>
        <w:spacing w:after="0" w:line="264" w:lineRule="auto"/>
        <w:tabs>
          <w:tab w:leader="none" w:pos="70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transmit to all Holders of Debt Securities, in the manner and to the extent provided in Section 7.03, within 30 days after the filing thereof with the Trustee, such summaries of any information, documents and reports required to be filed by the Company pursuant to paragraphs (1) and (2) of this Section 7.04 as may be required by rules and regulations prescribed from time to time by the Commission.</w:t>
      </w:r>
    </w:p>
    <w:p>
      <w:pPr>
        <w:spacing w:after="0" w:line="73"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Notwithstanding the foregoing, to the extent the Company files the information and reports referred to in clauses (1), (2) and (3) above with the Commission and such information is publicly available on the Internet, the Company shall be deemed to be in compliance with its obligations to furnish such information.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302" w:lineRule="auto"/>
        <w:rPr>
          <w:sz w:val="20"/>
          <w:szCs w:val="20"/>
          <w:color w:val="auto"/>
        </w:rPr>
      </w:pPr>
      <w:r>
        <w:rPr>
          <w:rFonts w:ascii="Arial" w:cs="Arial" w:eastAsia="Arial" w:hAnsi="Arial"/>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or proxy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7" w:name="page198"/>
    <w:bookmarkEnd w:id="197"/>
    <w:p>
      <w:pPr>
        <w:ind w:right="60"/>
        <w:spacing w:after="0" w:line="297" w:lineRule="auto"/>
        <w:rPr>
          <w:sz w:val="20"/>
          <w:szCs w:val="20"/>
          <w:color w:val="auto"/>
        </w:rPr>
      </w:pPr>
      <w:r>
        <w:rPr>
          <w:rFonts w:ascii="Arial" w:cs="Arial" w:eastAsia="Arial" w:hAnsi="Arial"/>
          <w:sz w:val="16"/>
          <w:szCs w:val="16"/>
          <w:color w:val="auto"/>
        </w:rPr>
        <w:t>evidenced thereby) are herein sometimes referred to as the “Act” of the Holders signing such instrument or instruments. Whenever in this Indenture it is provided that the Holders of a specified percentage in aggregate principal amount of the Outstanding Debt Securities of any series may take any Act, the fact that the Holders of such specified percentage have joined therein may be evidenced (a) by the instrument or instruments executed by Holders in person or by agent or proxy appointed in writing, or (b) by the record of Holders voting in favor thereof at any meeting of such Holders duly called and held in accordance with the provisions of Article Nine, or (c) by a combination of such instrument or instruments and any such record of such a meeting of Holders.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Ownership; Proof of Execution of Instruments by Holder</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ownership of Registered Securities of any series shall be proved by the Register for such series or by a certificate of the Registrar for such series.</w:t>
      </w:r>
    </w:p>
    <w:p>
      <w:pPr>
        <w:spacing w:after="0" w:line="140"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Subject to the provisions of Sections 6.01, 6.03 and 9.05, proof of the execution of any instrument by a Holder or such Holder’s agent shall be sufficient if made in accordance with such reasonable rules and regulations as may be prescribed by the Trustee or in such manner as shall be satisfactory to the Trustee.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record of any Holders’ meeting shall be proved in the manner provided in Section 9.06.</w:t>
      </w:r>
    </w:p>
    <w:p>
      <w:pPr>
        <w:spacing w:after="0" w:line="117" w:lineRule="exact"/>
        <w:rPr>
          <w:sz w:val="20"/>
          <w:szCs w:val="20"/>
          <w:color w:val="auto"/>
        </w:rPr>
      </w:pPr>
    </w:p>
    <w:p>
      <w:pPr>
        <w:ind w:right="540" w:firstLine="447"/>
        <w:spacing w:after="0" w:line="277" w:lineRule="auto"/>
        <w:rPr>
          <w:sz w:val="20"/>
          <w:szCs w:val="20"/>
          <w:color w:val="auto"/>
        </w:rPr>
      </w:pPr>
      <w:r>
        <w:rPr>
          <w:rFonts w:ascii="Arial" w:cs="Arial" w:eastAsia="Arial" w:hAnsi="Arial"/>
          <w:sz w:val="18"/>
          <w:szCs w:val="18"/>
          <w:color w:val="auto"/>
        </w:rPr>
        <w:t>The Trustee may in any instance require further proof with respect to any of the matters referred to in this Section 8.02 so long as the request is a reasonable one.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right="120" w:firstLine="447"/>
        <w:spacing w:after="0" w:line="297" w:lineRule="auto"/>
        <w:rPr>
          <w:sz w:val="20"/>
          <w:szCs w:val="20"/>
          <w:color w:val="auto"/>
        </w:rPr>
      </w:pPr>
      <w:r>
        <w:rPr>
          <w:rFonts w:ascii="Arial" w:cs="Arial" w:eastAsia="Arial" w:hAnsi="Arial"/>
          <w:sz w:val="16"/>
          <w:szCs w:val="16"/>
          <w:color w:val="auto"/>
        </w:rPr>
        <w:t>The Company, the Trustee and any agent of the Company or the Trustee may treat the Person in whose name any Registered Security is registered as the owner of such Registered Security for the purpose of receiving payment of the principal of (and premium, if any) and (subject to Section 3.07) interest, if any, on such Registered Security and for all other purposes whatsoever, whether or not such Registered Security be overdue, and neither the Company, the Trustee nor any agent of the Company or the Trustee shall be affected by notice to the contrary. All payments made to any Holder, or upon his order, shall be valid, and, to the extent of the sum or sums paid, effectual to satisfy and discharge the liability for moneys payable upon such Debt Security.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Revocation of Consents; Future Holders Bound</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At any time prior to (but not after) the evidencing to the Trustee, as provided in Section 8.01, of the taking of any Act by the Holders of the percentage in aggregate principal amount of the Outstanding Debt Securities specified in this Indenture in connection with such Act, any Holder of a Debt Security the number, letter or other distinguishing symbol of which is shown by the evidence to be included in the Debt Securities the Holders of which have consented to such Act may, by filing written notice with the Trustee at the Corporate Trust Office and upon proof of ownership as provided in Section 8.02, revoke such Act so far as it concerns such Debt Security. Except as aforesaid, any such Act taken by the Holder of any Debt Security shall be conclusive and binding upon such Holder and, subject to the provisions of Section 5.08, upon all future Holders of such Debt Security and of any Debt Securities issued on transfer or in lieu thereof or in exchange or substitution therefor, irrespective of whether or not any notation in regard thereto is made upon such Debt Security or such other Debt Securities.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8" w:name="page199"/>
    <w:bookmarkEnd w:id="198"/>
    <w:p>
      <w:pPr>
        <w:jc w:val="center"/>
        <w:ind w:right="-39"/>
        <w:spacing w:after="0"/>
        <w:rPr>
          <w:sz w:val="20"/>
          <w:szCs w:val="20"/>
          <w:color w:val="auto"/>
        </w:rPr>
      </w:pPr>
      <w:r>
        <w:rPr>
          <w:rFonts w:ascii="Arial" w:cs="Arial" w:eastAsia="Arial" w:hAnsi="Arial"/>
          <w:sz w:val="18"/>
          <w:szCs w:val="18"/>
          <w:color w:val="auto"/>
        </w:rPr>
        <w:t>ARTICLE NINE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HOLDERS’ MEETINGS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Purposes of Meetings</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 meeting of Holders of any or all series may be called at any time and from time to time pursuant to the provisions of this Article Nine for any of the following purposes:</w:t>
      </w:r>
    </w:p>
    <w:p>
      <w:pPr>
        <w:spacing w:after="0" w:line="62" w:lineRule="exact"/>
        <w:rPr>
          <w:sz w:val="20"/>
          <w:szCs w:val="20"/>
          <w:color w:val="auto"/>
        </w:rPr>
      </w:pPr>
    </w:p>
    <w:p>
      <w:pPr>
        <w:ind w:right="380" w:firstLine="458"/>
        <w:spacing w:after="0" w:line="264" w:lineRule="auto"/>
        <w:tabs>
          <w:tab w:leader="none" w:pos="70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for such series, or to give any directions to the Trustee for such series, or to consent to the waiving of any default hereunder and its consequences, or to take any other action authorized to be taken by Holders pursuant to any of the provisions of Article Five;</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remove the Trustee for such series and appoint a successor Trustee pursuant to the provisions of Article Six;</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11.02; or</w:t>
      </w:r>
    </w:p>
    <w:p>
      <w:pPr>
        <w:spacing w:after="0" w:line="117" w:lineRule="exact"/>
        <w:rPr>
          <w:rFonts w:ascii="Arial" w:cs="Arial" w:eastAsia="Arial" w:hAnsi="Arial"/>
          <w:sz w:val="18"/>
          <w:szCs w:val="18"/>
          <w:color w:val="auto"/>
        </w:rPr>
      </w:pPr>
    </w:p>
    <w:p>
      <w:pPr>
        <w:ind w:right="140" w:firstLine="458"/>
        <w:spacing w:after="0" w:line="308" w:lineRule="auto"/>
        <w:tabs>
          <w:tab w:leader="none" w:pos="7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to take any other action authorized to be taken by or on behalf of the Holders of any specified aggregate principal amount of the Outstanding Debt Securities of any one or more or all series, as the case may be, under any other provision of this Indenture or under applicable law.</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Call of Meetings by Trustee</w:t>
      </w:r>
      <w:r>
        <w:rPr>
          <w:rFonts w:ascii="Arial" w:cs="Arial" w:eastAsia="Arial" w:hAnsi="Arial"/>
          <w:sz w:val="18"/>
          <w:szCs w:val="18"/>
          <w:color w:val="auto"/>
        </w:rPr>
        <w:t>.</w:t>
      </w:r>
    </w:p>
    <w:p>
      <w:pPr>
        <w:spacing w:after="0" w:line="117" w:lineRule="exact"/>
        <w:rPr>
          <w:sz w:val="20"/>
          <w:szCs w:val="20"/>
          <w:color w:val="auto"/>
        </w:rPr>
      </w:pPr>
    </w:p>
    <w:p>
      <w:pPr>
        <w:jc w:val="both"/>
        <w:ind w:firstLine="447"/>
        <w:spacing w:after="0" w:line="302" w:lineRule="auto"/>
        <w:rPr>
          <w:sz w:val="20"/>
          <w:szCs w:val="20"/>
          <w:color w:val="auto"/>
        </w:rPr>
      </w:pPr>
      <w:r>
        <w:rPr>
          <w:rFonts w:ascii="Arial" w:cs="Arial" w:eastAsia="Arial" w:hAnsi="Arial"/>
          <w:sz w:val="16"/>
          <w:szCs w:val="16"/>
          <w:color w:val="auto"/>
        </w:rPr>
        <w:t>The Trustee for any series may at any time call a meeting of Holders of such series to take any action specified in Section 9.01, to be held at such time or times and at such place or places as the Trustee for such series shall determine. Notice of every meeting of the Holders of any series, setting forth the time and the place of such meeting and in general terms the action proposed to be taken at such meeting, shall be given to Holders of such series in the manner and to the extent provided in Section 1.05. Such notice shall be given not less than 10 days nor more than 90 days prior to the date fixed for the meeting.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Call of Meetings by Company or Holders</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In case at any time the Company, pursuant to a Board Resolution, or the Holders of at least 10% in aggregate principal amount of the Outstanding Debt Securities of a series or of all series, as the case may be, shall have requested the Trustee for such series to call a meeting of Holders of any or all such series by written request setting forth in reasonable detail the action proposed to be taken at the meeting, and the Trustee shall not have given the notice of such meeting within 10 days after the receipt of such request, then the Company or such Holders may determine the time or times and the place or places for such meetings and may call such meetings to take any action authorized in Section 9.01, by giving notice thereof as provided in Section 9.02.</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Qualifications for Voting</w:t>
      </w:r>
      <w:r>
        <w:rPr>
          <w:rFonts w:ascii="Arial" w:cs="Arial" w:eastAsia="Arial" w:hAnsi="Arial"/>
          <w:sz w:val="18"/>
          <w:szCs w:val="18"/>
          <w:color w:val="auto"/>
        </w:rPr>
        <w:t>.</w:t>
      </w:r>
    </w:p>
    <w:p>
      <w:pPr>
        <w:spacing w:after="0" w:line="117" w:lineRule="exact"/>
        <w:rPr>
          <w:sz w:val="20"/>
          <w:szCs w:val="20"/>
          <w:color w:val="auto"/>
        </w:rPr>
      </w:pPr>
    </w:p>
    <w:p>
      <w:pPr>
        <w:ind w:right="100" w:firstLine="447"/>
        <w:spacing w:after="0" w:line="264" w:lineRule="auto"/>
        <w:rPr>
          <w:sz w:val="20"/>
          <w:szCs w:val="20"/>
          <w:color w:val="auto"/>
        </w:rPr>
      </w:pPr>
      <w:r>
        <w:rPr>
          <w:rFonts w:ascii="Arial" w:cs="Arial" w:eastAsia="Arial" w:hAnsi="Arial"/>
          <w:sz w:val="18"/>
          <w:szCs w:val="18"/>
          <w:color w:val="auto"/>
        </w:rPr>
        <w:t>To be entitled to vote at any meeting of Holders a Person shall be (a) a Holder of a Debt Security of the series with respect to which such meeting is being held or (b) a Person appointed by an instrument in writing as agent or proxy by such Holder. The only Persons who shall be entitled to be present or to speak at any meeting of Holders shall be the Persons entitled to vote at such meeting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199" w:name="page200"/>
    <w:bookmarkEnd w:id="199"/>
    <w:p>
      <w:pPr>
        <w:ind w:right="140"/>
        <w:spacing w:after="0" w:line="277" w:lineRule="auto"/>
        <w:rPr>
          <w:sz w:val="20"/>
          <w:szCs w:val="20"/>
          <w:color w:val="auto"/>
        </w:rPr>
      </w:pPr>
      <w:r>
        <w:rPr>
          <w:rFonts w:ascii="Arial" w:cs="Arial" w:eastAsia="Arial" w:hAnsi="Arial"/>
          <w:sz w:val="18"/>
          <w:szCs w:val="18"/>
          <w:color w:val="auto"/>
        </w:rPr>
        <w:t>their counsel and any representatives of the Trustee for the series with respect to which such meeting is being held and its counsel and any representatives of the Company and its counsel.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Regulations</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79" w:lineRule="auto"/>
        <w:rPr>
          <w:sz w:val="20"/>
          <w:szCs w:val="20"/>
          <w:color w:val="auto"/>
        </w:rPr>
      </w:pPr>
      <w:r>
        <w:rPr>
          <w:rFonts w:ascii="Arial" w:cs="Arial" w:eastAsia="Arial" w:hAnsi="Arial"/>
          <w:sz w:val="17"/>
          <w:szCs w:val="17"/>
          <w:color w:val="auto"/>
        </w:rPr>
        <w:t>Notwithstanding any other provisions of this Indenture, the Trustee for any series may make such reasonable regulations as it may deem advisable for any meeting of Holders of such series, in regard to proof of the holding of Debt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63" w:lineRule="exact"/>
        <w:rPr>
          <w:sz w:val="20"/>
          <w:szCs w:val="20"/>
          <w:color w:val="auto"/>
        </w:rPr>
      </w:pPr>
    </w:p>
    <w:p>
      <w:pPr>
        <w:ind w:right="40" w:firstLine="447"/>
        <w:spacing w:after="0" w:line="312" w:lineRule="auto"/>
        <w:rPr>
          <w:sz w:val="20"/>
          <w:szCs w:val="20"/>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such series as provided in Section 9.03, in which case the Company or the Holders calling the meeting, as the case may be, shall in like manner appoint a temporary chairman. A permanent chairman and a permanent secretary of the meeting shall be elected by a majority vote of the meeting.</w:t>
      </w:r>
    </w:p>
    <w:p>
      <w:pPr>
        <w:spacing w:after="0" w:line="39" w:lineRule="exact"/>
        <w:rPr>
          <w:sz w:val="20"/>
          <w:szCs w:val="20"/>
          <w:color w:val="auto"/>
        </w:rPr>
      </w:pPr>
    </w:p>
    <w:p>
      <w:pPr>
        <w:ind w:right="140" w:firstLine="450"/>
        <w:spacing w:after="0" w:line="254" w:lineRule="auto"/>
        <w:rPr>
          <w:sz w:val="20"/>
          <w:szCs w:val="20"/>
          <w:color w:val="auto"/>
        </w:rPr>
      </w:pPr>
      <w:r>
        <w:rPr>
          <w:rFonts w:ascii="Arial" w:cs="Arial" w:eastAsia="Arial" w:hAnsi="Arial"/>
          <w:sz w:val="18"/>
          <w:szCs w:val="18"/>
          <w:color w:val="auto"/>
        </w:rPr>
        <w:t xml:space="preserve">Subject to the provisos in the definition of “Outstanding,” at any meeting each Holder of a Debt Security of the series with respect to which such meeting is being held or proxy therefor shall be entitled to one vote for each $1,000 principal amount (or such other amount as shall be specified as contemplated by Section 3.01) of Debt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Debt Security challenged as not Outstanding and ruled by the chairman of the meeting to be not Outstanding. The chairman of the meeting shall have no right to vote other than by virtue of Outstanding Debt Securities of such series held by him or instruments in writing duly designating him as the person to vote on behalf of Holders of Debt Securities of such series. Any meeting of Holders with respect to which a meeting was duly called pursuant to the provisions of Section 9.02 or 9.03 may be adjourned from time to time by a majority of such Holders present and the meeting may be held as so adjourned without further notice.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vote upon any resolution submitted to any meeting of Holders with respect to which such meeting is being held shall be by written ballots on which shall be subscribed the signatures of such Holders or of their representatives by proxy and the serial number or numbers of the Debt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taken and there shall be attached to said record the original reports of the inspectors of votes on any vote by ballot taken thereat and affidavits by one or more persons having knowledge of the facts setting forth a copy of the notice of the meeting and showing that said notice was transmitted as provided in Section 9.02. The record shall show the serial numbers of the Debt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0" w:name="page201"/>
    <w:bookmarkEnd w:id="200"/>
    <w:p>
      <w:pPr>
        <w:ind w:left="46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50"/>
        <w:spacing w:after="0" w:line="286" w:lineRule="auto"/>
        <w:rPr>
          <w:sz w:val="20"/>
          <w:szCs w:val="20"/>
          <w:color w:val="auto"/>
        </w:rPr>
      </w:pPr>
      <w:r>
        <w:rPr>
          <w:rFonts w:ascii="Arial" w:cs="Arial" w:eastAsia="Arial" w:hAnsi="Arial"/>
          <w:sz w:val="17"/>
          <w:szCs w:val="17"/>
          <w:color w:val="auto"/>
        </w:rPr>
        <w:t>Nothing contained in this Article Nine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any Holder under any of the provisions of this Indenture or of the Debt Securities of any series.</w:t>
      </w:r>
    </w:p>
    <w:p>
      <w:pPr>
        <w:spacing w:after="0" w:line="27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TEN</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CONSOLIDATION, MERGER, CONVEYANCE, TRANSFER OR LEASE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Company shall not consolidate with or merge with or into or wind up into (whether or not the Company is the surviving corporation) or sell, assign, convey, transfer or lease its properties and assets substantially as an entirety to any Person, unless:</w:t>
      </w:r>
    </w:p>
    <w:p>
      <w:pPr>
        <w:spacing w:after="0" w:line="62" w:lineRule="exact"/>
        <w:rPr>
          <w:sz w:val="20"/>
          <w:szCs w:val="20"/>
          <w:color w:val="auto"/>
        </w:rPr>
      </w:pPr>
    </w:p>
    <w:p>
      <w:pPr>
        <w:ind w:right="60" w:firstLine="458"/>
        <w:spacing w:after="0" w:line="297" w:lineRule="auto"/>
        <w:tabs>
          <w:tab w:leader="none" w:pos="70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corporation formed by such consolidation or into which the Company is merged or the Person which acquires by conveyance or transfer, or which leases, the properties and assets of the Company substantially as an entirety (the “successor corporation”) shall be a corporation organized and existing under the laws of the United States or any State or territory thereof or the District of Columbia and shall expressly assume, by an indenture supplemental hereto, executed and delivered to the Trustee, in form satisfactory to the Trustee, the due and punctual payment of the principal of (and premium, if any) and interest on all the Debt Securities and the performance of every covenant of this Indenture on the part of the Company to be performed or observed;</w:t>
      </w:r>
    </w:p>
    <w:p>
      <w:pPr>
        <w:spacing w:after="0" w:line="50" w:lineRule="exact"/>
        <w:rPr>
          <w:rFonts w:ascii="Arial" w:cs="Arial" w:eastAsia="Arial" w:hAnsi="Arial"/>
          <w:sz w:val="16"/>
          <w:szCs w:val="16"/>
          <w:color w:val="auto"/>
        </w:rPr>
      </w:pPr>
    </w:p>
    <w:p>
      <w:pPr>
        <w:ind w:right="40" w:firstLine="458"/>
        <w:spacing w:after="0" w:line="277" w:lineRule="auto"/>
        <w:tabs>
          <w:tab w:leader="none" w:pos="70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w:t>
      </w:r>
    </w:p>
    <w:p>
      <w:pPr>
        <w:spacing w:after="0" w:line="62" w:lineRule="exact"/>
        <w:rPr>
          <w:rFonts w:ascii="Arial" w:cs="Arial" w:eastAsia="Arial" w:hAnsi="Arial"/>
          <w:sz w:val="18"/>
          <w:szCs w:val="18"/>
          <w:color w:val="auto"/>
        </w:rPr>
      </w:pPr>
    </w:p>
    <w:p>
      <w:pPr>
        <w:ind w:right="140" w:firstLine="458"/>
        <w:spacing w:after="0" w:line="264" w:lineRule="auto"/>
        <w:tabs>
          <w:tab w:leader="none" w:pos="70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 and</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such other conditions as may be specified under Section 3.01 with respect to any series of Debt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Upon any consolidation with or merger into any other corporation, or any conveyance, transfer or lease of the properties and assets of the Company substantially as an entirety in accordance with Section 10.01, the successor corporation formed by such consolidation or into which the Company is merged or to which such conveyance, transfer or lease is made shall succeed to, and be substituted for, and may exercise every right and power of, the Company under this Indenture with the same effect as if such successor corporation had been named as the Company herein.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p>
      <w:pPr>
        <w:ind w:left="4960"/>
        <w:spacing w:after="0"/>
        <w:rPr>
          <w:sz w:val="20"/>
          <w:szCs w:val="20"/>
          <w:color w:val="auto"/>
        </w:rPr>
      </w:pPr>
      <w:r>
        <w:rPr>
          <w:rFonts w:ascii="Arial" w:cs="Arial" w:eastAsia="Arial" w:hAnsi="Arial"/>
          <w:sz w:val="18"/>
          <w:szCs w:val="18"/>
          <w:color w:val="auto"/>
        </w:rPr>
        <w:t>ARTICLE ELEVEN</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117" w:lineRule="exact"/>
        <w:rPr>
          <w:sz w:val="20"/>
          <w:szCs w:val="20"/>
          <w:color w:val="auto"/>
        </w:rPr>
      </w:pPr>
    </w:p>
    <w:p>
      <w:pPr>
        <w:ind w:right="200" w:firstLine="447"/>
        <w:spacing w:after="0" w:line="308" w:lineRule="auto"/>
        <w:rPr>
          <w:sz w:val="20"/>
          <w:szCs w:val="20"/>
          <w:color w:val="auto"/>
        </w:rPr>
      </w:pPr>
      <w:r>
        <w:rPr>
          <w:rFonts w:ascii="Arial" w:cs="Arial" w:eastAsia="Arial" w:hAnsi="Arial"/>
          <w:sz w:val="17"/>
          <w:szCs w:val="17"/>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38" w:lineRule="exact"/>
        <w:rPr>
          <w:sz w:val="20"/>
          <w:szCs w:val="20"/>
          <w:color w:val="auto"/>
        </w:rPr>
      </w:pPr>
    </w:p>
    <w:p>
      <w:pPr>
        <w:ind w:left="720" w:hanging="262"/>
        <w:spacing w:after="0"/>
        <w:tabs>
          <w:tab w:leader="none" w:pos="7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cure any ambiguity, defect or inconsistency;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to provide for uncertificated Debt Securities of a particular series in addition to or in place of certificated Debt Securities of such series; or</w:t>
      </w:r>
    </w:p>
    <w:p>
      <w:pPr>
        <w:spacing w:after="0" w:line="128" w:lineRule="exact"/>
        <w:rPr>
          <w:rFonts w:ascii="Arial" w:cs="Arial" w:eastAsia="Arial" w:hAnsi="Arial"/>
          <w:sz w:val="17"/>
          <w:szCs w:val="17"/>
          <w:color w:val="auto"/>
        </w:rPr>
      </w:pPr>
    </w:p>
    <w:p>
      <w:pPr>
        <w:ind w:right="140" w:firstLine="458"/>
        <w:spacing w:after="0" w:line="277"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Debt Securities in the case of a merger or consolidation or sale of all or substantially all of the Company’s assets; or</w:t>
      </w:r>
    </w:p>
    <w:p>
      <w:pPr>
        <w:spacing w:after="0" w:line="62" w:lineRule="exact"/>
        <w:rPr>
          <w:rFonts w:ascii="Arial" w:cs="Arial" w:eastAsia="Arial" w:hAnsi="Arial"/>
          <w:sz w:val="18"/>
          <w:szCs w:val="18"/>
          <w:color w:val="auto"/>
        </w:rPr>
      </w:pPr>
    </w:p>
    <w:p>
      <w:pPr>
        <w:ind w:right="160" w:firstLine="458"/>
        <w:spacing w:after="0" w:line="277"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Debt Securities or that does not adversely affect in any material respect the legal rights under this Indenture of any such Holder; or</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add any Person as a Guarantor;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to comply with any requirements of the Commission in order to effect or maintain the qualification of this Indenture under the Trust Indenture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720" w:hanging="262"/>
        <w:spacing w:after="0"/>
        <w:tabs>
          <w:tab w:leader="none" w:pos="7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remove a Guarantor which, in accordance with the terms of this Indenture, ceases to be liable in respect of its Guarantee;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this Indenture by a successor Trustee;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secure all of the Debt Securities of a particular series; or</w:t>
      </w:r>
    </w:p>
    <w:p>
      <w:pPr>
        <w:spacing w:after="0" w:line="117" w:lineRule="exact"/>
        <w:rPr>
          <w:rFonts w:ascii="Arial" w:cs="Arial" w:eastAsia="Arial" w:hAnsi="Arial"/>
          <w:sz w:val="18"/>
          <w:szCs w:val="18"/>
          <w:color w:val="auto"/>
        </w:rPr>
      </w:pPr>
    </w:p>
    <w:p>
      <w:pPr>
        <w:ind w:right="340" w:firstLine="458"/>
        <w:spacing w:after="0" w:line="277" w:lineRule="auto"/>
        <w:tabs>
          <w:tab w:leader="none" w:pos="79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or</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 as permitted by Sections 2.01 and 3.01.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117"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 xml:space="preserve">With the written consent of the Holders of not less than a majority in principal amount of the Outstanding Debt Securities of each series affected by such supplemental indenture voting separately,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of such Debt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Debt Security of each such series affected thereby,</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2" w:right="359" w:bottom="1440" w:gutter="0" w:footer="0" w:header="0"/>
        </w:sectPr>
      </w:pPr>
    </w:p>
    <w:bookmarkStart w:id="202" w:name="page203"/>
    <w:bookmarkEnd w:id="202"/>
    <w:p>
      <w:pPr>
        <w:ind w:right="100" w:firstLine="458"/>
        <w:spacing w:after="0" w:line="308" w:lineRule="auto"/>
        <w:tabs>
          <w:tab w:leader="none" w:pos="70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reduce the principal amount of Debt Securities of such a series whose Holders must consent to an amendment, supplement or waiver, including the waiver of Defaults or Events of Default, or to a rescission and cancellation of a declaration of acceleration of the Debt Securities;</w:t>
      </w:r>
    </w:p>
    <w:p>
      <w:pPr>
        <w:spacing w:after="0" w:line="38" w:lineRule="exact"/>
        <w:rPr>
          <w:rFonts w:ascii="Arial" w:cs="Arial" w:eastAsia="Arial" w:hAnsi="Arial"/>
          <w:sz w:val="17"/>
          <w:szCs w:val="17"/>
          <w:color w:val="auto"/>
        </w:rPr>
      </w:pPr>
    </w:p>
    <w:p>
      <w:pPr>
        <w:ind w:right="60" w:firstLine="458"/>
        <w:spacing w:after="0" w:line="277"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reduce the rate of or change or have the effect of changing the time for payment of interest, including Defaulted Interest, on the Debt Securities of a such series;</w:t>
      </w:r>
    </w:p>
    <w:p>
      <w:pPr>
        <w:spacing w:after="0" w:line="62" w:lineRule="exact"/>
        <w:rPr>
          <w:rFonts w:ascii="Arial" w:cs="Arial" w:eastAsia="Arial" w:hAnsi="Arial"/>
          <w:sz w:val="18"/>
          <w:szCs w:val="18"/>
          <w:color w:val="auto"/>
        </w:rPr>
      </w:pPr>
    </w:p>
    <w:p>
      <w:pPr>
        <w:ind w:right="180" w:firstLine="458"/>
        <w:spacing w:after="0" w:line="277"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such Debt Securities, or change the date on which such Debt Securities may be subject to redemption, or reduce the redemption price therefor;</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make such Debt Securities payable in money other than that stated in such Debt Securities;</w:t>
      </w:r>
    </w:p>
    <w:p>
      <w:pPr>
        <w:spacing w:after="0" w:line="117"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protecting the right of each Holder to receive payment of principal of and interest on such Debt Securities on or after the due date thereof or to bring suit to enforce such payment;</w:t>
      </w:r>
    </w:p>
    <w:p>
      <w:pPr>
        <w:spacing w:after="0" w:line="62" w:lineRule="exact"/>
        <w:rPr>
          <w:rFonts w:ascii="Arial" w:cs="Arial" w:eastAsia="Arial" w:hAnsi="Arial"/>
          <w:sz w:val="18"/>
          <w:szCs w:val="18"/>
          <w:color w:val="auto"/>
        </w:rPr>
      </w:pPr>
    </w:p>
    <w:p>
      <w:pPr>
        <w:ind w:right="260" w:firstLine="458"/>
        <w:spacing w:after="0" w:line="264"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waive a default in the payment of principal of or interest on any such Debt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(6) shall not limit the right of the Holders of a majority in aggregate principal amount of the Outstanding Debt Securities of such series to rescind and cancel a declaration of acceleration of such Debt Securities following delivery of an acceleration notice as described under Section 5.02;</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contractually subordinate such Debt Securities (or any related Guarantees) to any other Indebtedness;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conflict with the required provisions of the Trust Indenture Act; or</w:t>
      </w:r>
    </w:p>
    <w:p>
      <w:pPr>
        <w:spacing w:after="0" w:line="117" w:lineRule="exact"/>
        <w:rPr>
          <w:rFonts w:ascii="Arial" w:cs="Arial" w:eastAsia="Arial" w:hAnsi="Arial"/>
          <w:sz w:val="18"/>
          <w:szCs w:val="18"/>
          <w:color w:val="auto"/>
        </w:rPr>
      </w:pPr>
    </w:p>
    <w:p>
      <w:pPr>
        <w:jc w:val="both"/>
        <w:ind w:right="160" w:firstLine="458"/>
        <w:spacing w:after="0" w:line="286" w:lineRule="auto"/>
        <w:tabs>
          <w:tab w:leader="none" w:pos="70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modify any of the provisions of this Section 11.02, Section 5.13 or Section 12.06, except to increase any such percentage or to provide that certain other provisions of this Indenture cannot be modified or waived without the consent of the Holder of each Outstanding Debt Security of each series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shall not be deemed to require the consent of any Holder with respect to changes in the references to “the Trustee” and concomitant changes in this Section 11.02 and Section 12.06, or the deletion of this proviso, in accordance with the requirements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6.11.</w:t>
      </w:r>
    </w:p>
    <w:p>
      <w:pPr>
        <w:spacing w:after="0" w:line="103"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It shall not be necessary for any Act of Holders under this Section 11.02 to approve the particular form of any proposed supplemental indenture, but it shall be sufficient if such Act shall approve the substance thereof.</w:t>
      </w:r>
    </w:p>
    <w:p>
      <w:pPr>
        <w:spacing w:after="0" w:line="62"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with respect to one or more particular series of Debt Securities or which modifies the rights of the Holders of Debt Securities of such series with respect to such covenant or other provision, shall be deemed not to affect the rights under this Indenture of the Holders of Debt Securities of any other series.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right="400" w:firstLine="450"/>
        <w:spacing w:after="0" w:line="34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3" w:name="page204"/>
    <w:bookmarkEnd w:id="203"/>
    <w:p>
      <w:pPr>
        <w:ind w:right="140"/>
        <w:spacing w:after="0" w:line="264" w:lineRule="auto"/>
        <w:rPr>
          <w:sz w:val="20"/>
          <w:szCs w:val="20"/>
          <w:color w:val="auto"/>
        </w:rPr>
      </w:pPr>
      <w:r>
        <w:rPr>
          <w:rFonts w:ascii="Arial" w:cs="Arial" w:eastAsia="Arial" w:hAnsi="Arial"/>
          <w:sz w:val="18"/>
          <w:szCs w:val="18"/>
          <w:color w:val="auto"/>
        </w:rPr>
        <w:t>Opinion of Counsel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 in a material way.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Debt Securities theretofore or thereafter authenticated and delivered hereunder shall be bound thereby.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Reference in Debt Securities to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Debt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Debt Securities of any series so modified as to conform, in the opinion of the Trustee and the Board of Directors, to any such supplemental indenture may be prepared and executed by the Company and authenticated and delivered by the Trustee in exchange for Outstanding Debt Securities of such series.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Notice of Supplemental Indenture</w:t>
      </w:r>
      <w:r>
        <w:rPr>
          <w:rFonts w:ascii="Arial" w:cs="Arial" w:eastAsia="Arial" w:hAnsi="Arial"/>
          <w:sz w:val="18"/>
          <w:szCs w:val="18"/>
          <w:color w:val="auto"/>
        </w:rPr>
        <w:t>.</w:t>
      </w:r>
    </w:p>
    <w:p>
      <w:pPr>
        <w:spacing w:after="0" w:line="117" w:lineRule="exact"/>
        <w:rPr>
          <w:sz w:val="20"/>
          <w:szCs w:val="20"/>
          <w:color w:val="auto"/>
        </w:rPr>
      </w:pPr>
    </w:p>
    <w:p>
      <w:pPr>
        <w:jc w:val="both"/>
        <w:ind w:right="40" w:firstLine="450"/>
        <w:spacing w:after="0" w:line="264" w:lineRule="auto"/>
        <w:rPr>
          <w:sz w:val="20"/>
          <w:szCs w:val="20"/>
          <w:color w:val="auto"/>
        </w:rPr>
      </w:pPr>
      <w:r>
        <w:rPr>
          <w:rFonts w:ascii="Arial" w:cs="Arial" w:eastAsia="Arial" w:hAnsi="Arial"/>
          <w:sz w:val="18"/>
          <w:szCs w:val="18"/>
          <w:color w:val="auto"/>
        </w:rPr>
        <w:t>Promptly after the execution by the Company and the appropriate Trustee of any supplemental indenture pursuant to Section 11.02, the Company shall transmit, in the manner and to the extent provided in Section 1.05, to all Holders of any series of the Debt Securities affected thereby, a notice setting forth in general terms the substance of such supplemental indenture.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TWELVE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COVENANTS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140" w:firstLine="447"/>
        <w:spacing w:after="0" w:line="259" w:lineRule="auto"/>
        <w:rPr>
          <w:sz w:val="20"/>
          <w:szCs w:val="20"/>
          <w:color w:val="auto"/>
        </w:rPr>
      </w:pPr>
      <w:r>
        <w:rPr>
          <w:rFonts w:ascii="Arial" w:cs="Arial" w:eastAsia="Arial" w:hAnsi="Arial"/>
          <w:sz w:val="18"/>
          <w:szCs w:val="18"/>
          <w:color w:val="auto"/>
        </w:rPr>
        <w:t>The Company, for the benefit of each series of Debt Securities, will duly and punctually pay or cause to be paid the principal of, and premium, if any, and interest on, each of the Debt Securities at the place, at the respective times and in the manner provided herein. Each installment of interest on the Debt Securities may at the Company’s option be paid by mailing checks for such interest payable to the Person entitled thereto to the address of such Person as it appears on the Register.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Officer’s Certificate as to Default</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308" w:lineRule="auto"/>
        <w:rPr>
          <w:sz w:val="20"/>
          <w:szCs w:val="20"/>
          <w:color w:val="auto"/>
        </w:rPr>
      </w:pPr>
      <w:r>
        <w:rPr>
          <w:rFonts w:ascii="Arial" w:cs="Arial" w:eastAsia="Arial" w:hAnsi="Arial"/>
          <w:sz w:val="17"/>
          <w:szCs w:val="17"/>
          <w:color w:val="auto"/>
        </w:rPr>
        <w:t>Unless otherwise specifically provided for with respect to any series of Debt Securities under Section 3.01, (a) the Company shall provide an Officers’ Certificate to the Trustee promptly upon any officer of the Company obtaining knowledge of any Default or Event of Default that has occurred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04" w:name="page205"/>
    <w:bookmarkEnd w:id="204"/>
    <w:p>
      <w:pPr>
        <w:ind w:right="160"/>
        <w:spacing w:after="0" w:line="273" w:lineRule="auto"/>
        <w:rPr>
          <w:sz w:val="20"/>
          <w:szCs w:val="20"/>
          <w:color w:val="auto"/>
        </w:rPr>
      </w:pPr>
      <w:r>
        <w:rPr>
          <w:rFonts w:ascii="Arial" w:cs="Arial" w:eastAsia="Arial" w:hAnsi="Arial"/>
          <w:sz w:val="17"/>
          <w:szCs w:val="17"/>
          <w:color w:val="auto"/>
        </w:rPr>
        <w:t>and, if applicable, describe such Default or Event of Default and the status thereof and (b) the Company will deliver to the Trustee, on or before a date not more than four months after the end of each fiscal year of the Company ending after the date hereof, a certificate of the principal executive officer, principal financial officer or principal accounting officer of the Company stating whether or not to the best knowledge of the signer thereof the Company is in compliance with all covenants and conditions under this Indenture, and, if any Default or Event of Default shall have occurred, specifying all such Defaults and Events of Default and the nature thereof of which such signer may have knowledge. For purposes of this Section 12.02, such compliance shall be determined without regard to any period of grace or requirement of notice provided under this Indenture.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If Debt Securities of a series are issuable only as Registered Securities, the Company will maintain in each Place of Payment for such series an office or agency where Debt Securities of that series may be presented or surrendered for payment, where Debt Securities of that series may be surrendered for registration of transfer or exchange, where Debt Securities of that series that are convertible may be surrendered for conversion, if applicable, and where notices and demands to or upon the Company in respect of the Debt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presentations, surrenders, notices and demands.</w:t>
      </w:r>
    </w:p>
    <w:p>
      <w:pPr>
        <w:spacing w:after="0" w:line="84" w:lineRule="exact"/>
        <w:rPr>
          <w:sz w:val="20"/>
          <w:szCs w:val="20"/>
          <w:color w:val="auto"/>
        </w:rPr>
      </w:pPr>
    </w:p>
    <w:p>
      <w:pPr>
        <w:ind w:right="40" w:firstLine="447"/>
        <w:spacing w:after="0" w:line="279" w:lineRule="auto"/>
        <w:rPr>
          <w:sz w:val="20"/>
          <w:szCs w:val="20"/>
          <w:color w:val="auto"/>
        </w:rPr>
      </w:pPr>
      <w:r>
        <w:rPr>
          <w:rFonts w:ascii="Arial" w:cs="Arial" w:eastAsia="Arial" w:hAnsi="Arial"/>
          <w:sz w:val="17"/>
          <w:szCs w:val="17"/>
          <w:color w:val="auto"/>
        </w:rPr>
        <w:t xml:space="preserve">The Company may also from time to time designate different or additional offices or agencies to be maintained for such purposes (in or outside of such Place of Payment), and may from time to time rescind any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designation or rescission shall in any manner relieve the Company of its obligations described in the preceding paragraph. The Company will give prompt written notice to the Trustee of any such additional designation or rescission of designation and any change in the location of any such different or additional office or agency.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Money for Debt Securities; Payments To Be Held in Trust</w:t>
      </w:r>
      <w:r>
        <w:rPr>
          <w:rFonts w:ascii="Arial" w:cs="Arial" w:eastAsia="Arial" w:hAnsi="Arial"/>
          <w:sz w:val="18"/>
          <w:szCs w:val="18"/>
          <w:color w:val="auto"/>
        </w:rPr>
        <w:t>.</w:t>
      </w:r>
    </w:p>
    <w:p>
      <w:pPr>
        <w:spacing w:after="0" w:line="117" w:lineRule="exact"/>
        <w:rPr>
          <w:sz w:val="20"/>
          <w:szCs w:val="20"/>
          <w:color w:val="auto"/>
        </w:rPr>
      </w:pPr>
    </w:p>
    <w:p>
      <w:pPr>
        <w:jc w:val="both"/>
        <w:ind w:right="300" w:firstLine="450"/>
        <w:spacing w:after="0" w:line="279" w:lineRule="auto"/>
        <w:rPr>
          <w:sz w:val="20"/>
          <w:szCs w:val="20"/>
          <w:color w:val="auto"/>
        </w:rPr>
      </w:pPr>
      <w:r>
        <w:rPr>
          <w:rFonts w:ascii="Arial" w:cs="Arial" w:eastAsia="Arial" w:hAnsi="Arial"/>
          <w:sz w:val="17"/>
          <w:szCs w:val="17"/>
          <w:color w:val="auto"/>
        </w:rPr>
        <w:t>If the Company shall at any time act as its own Paying Agent with respect to any series of Debt Securities, it will, on or before each due date of the principal of (and premium, if any) or interest on any of the Debt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63" w:lineRule="exact"/>
        <w:rPr>
          <w:sz w:val="20"/>
          <w:szCs w:val="20"/>
          <w:color w:val="auto"/>
        </w:rPr>
      </w:pPr>
    </w:p>
    <w:p>
      <w:pPr>
        <w:ind w:right="320" w:firstLine="447"/>
        <w:spacing w:after="0" w:line="279" w:lineRule="auto"/>
        <w:rPr>
          <w:sz w:val="20"/>
          <w:szCs w:val="20"/>
          <w:color w:val="auto"/>
        </w:rPr>
      </w:pPr>
      <w:r>
        <w:rPr>
          <w:rFonts w:ascii="Arial" w:cs="Arial" w:eastAsia="Arial" w:hAnsi="Arial"/>
          <w:sz w:val="17"/>
          <w:szCs w:val="17"/>
          <w:color w:val="auto"/>
        </w:rPr>
        <w:t>Whenever the Company shall have one or more Paying Agents with respect to any series of Debt Securities, it will, by or on each due date of the principal (and premium, if any) or interest on any Debt Securities of such series, deposit with any such Paying Agent a sum sufficient to pay the principal (and premium, if any) or interest so becoming due, such sum to be held in trust for the benefit of the Persons entitled thereto, and (unless any such Paying Agent is the Trustee) the Company will promptly notify the Trustee of its action or failure so to act.</w:t>
      </w:r>
    </w:p>
    <w:p>
      <w:pPr>
        <w:spacing w:after="0" w:line="63" w:lineRule="exact"/>
        <w:rPr>
          <w:sz w:val="20"/>
          <w:szCs w:val="20"/>
          <w:color w:val="auto"/>
        </w:rPr>
      </w:pPr>
    </w:p>
    <w:p>
      <w:pPr>
        <w:ind w:right="60" w:firstLine="447"/>
        <w:spacing w:after="0" w:line="342" w:lineRule="auto"/>
        <w:rPr>
          <w:sz w:val="20"/>
          <w:szCs w:val="20"/>
          <w:color w:val="auto"/>
        </w:rPr>
      </w:pPr>
      <w:r>
        <w:rPr>
          <w:rFonts w:ascii="Arial" w:cs="Arial" w:eastAsia="Arial" w:hAnsi="Arial"/>
          <w:sz w:val="16"/>
          <w:szCs w:val="16"/>
          <w:color w:val="auto"/>
        </w:rPr>
        <w:t>The Company will cause each Paying Agent with respect to any series of Debt Securities other than the Trustee to execute and deliver to the Trustee an instrument in which such Paying Agent shall agree with the Trustee, subject to the provisions of this Section 12.04, that such Paying Agent will: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5" w:name="page206"/>
    <w:bookmarkEnd w:id="205"/>
    <w:p>
      <w:pPr>
        <w:ind w:right="80" w:firstLine="458"/>
        <w:spacing w:after="0" w:line="277"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premium, if any) or interest on Debt Securities of such series in trust for the benefit of the Persons entitled thereto until such sums shall be paid to such Persons or otherwise disposed of as herein provided;</w:t>
      </w:r>
    </w:p>
    <w:p>
      <w:pPr>
        <w:spacing w:after="0" w:line="62" w:lineRule="exact"/>
        <w:rPr>
          <w:rFonts w:ascii="Arial" w:cs="Arial" w:eastAsia="Arial" w:hAnsi="Arial"/>
          <w:sz w:val="18"/>
          <w:szCs w:val="18"/>
          <w:color w:val="auto"/>
        </w:rPr>
      </w:pPr>
    </w:p>
    <w:p>
      <w:pPr>
        <w:ind w:right="140" w:firstLine="458"/>
        <w:spacing w:after="0" w:line="277"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Debt Securities of such series) in the making of any payment of principal (and premium, if any) or interest on the Debt Securities of such series; and</w:t>
      </w:r>
    </w:p>
    <w:p>
      <w:pPr>
        <w:spacing w:after="0" w:line="62" w:lineRule="exact"/>
        <w:rPr>
          <w:rFonts w:ascii="Arial" w:cs="Arial" w:eastAsia="Arial" w:hAnsi="Arial"/>
          <w:sz w:val="18"/>
          <w:szCs w:val="18"/>
          <w:color w:val="auto"/>
        </w:rPr>
      </w:pPr>
    </w:p>
    <w:p>
      <w:pPr>
        <w:ind w:right="80" w:firstLine="458"/>
        <w:spacing w:after="0" w:line="277"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62" w:lineRule="exact"/>
        <w:rPr>
          <w:sz w:val="20"/>
          <w:szCs w:val="20"/>
          <w:color w:val="auto"/>
        </w:rPr>
      </w:pPr>
    </w:p>
    <w:p>
      <w:pPr>
        <w:ind w:right="80" w:firstLine="447"/>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63"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(and premium, if any) or interest on any Debt Security of any series and remaining unclaimed for two years after such principal (and premium, if any) or interest has become due and payable shall be paid to the Company upon Company Request, or (if then held by the Company) shall be discharged from such trust; and the Holder of such Debt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transmitted in the manner and to the extent provided by Section 1.05, notice that such money remains unclaimed and that, after a date specified therein, which shall not be less than 30 days from the date of such notification, any unclaimed balance of such money then remaining will be repaid to the Company.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 xml:space="preserve">Subject to Article Ten, the Company will do or cause to be done all things necessary to preserve and keep in full force and effect its corporate existence, rights (charter and statutory) and franchises;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preserve any such right or franchise if the Company shall determine that the preservation thereof is no longer desirable in the conduct of the business of the Company.</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w:t>
      </w:r>
    </w:p>
    <w:p>
      <w:pPr>
        <w:spacing w:after="0" w:line="117" w:lineRule="exact"/>
        <w:rPr>
          <w:sz w:val="20"/>
          <w:szCs w:val="20"/>
          <w:color w:val="auto"/>
        </w:rPr>
      </w:pPr>
    </w:p>
    <w:p>
      <w:pPr>
        <w:ind w:right="60" w:firstLine="447"/>
        <w:spacing w:after="0" w:line="272" w:lineRule="auto"/>
        <w:rPr>
          <w:sz w:val="20"/>
          <w:szCs w:val="20"/>
          <w:color w:val="auto"/>
        </w:rPr>
      </w:pPr>
      <w:r>
        <w:rPr>
          <w:rFonts w:ascii="Arial" w:cs="Arial" w:eastAsia="Arial" w:hAnsi="Arial"/>
          <w:sz w:val="17"/>
          <w:szCs w:val="17"/>
          <w:color w:val="auto"/>
        </w:rPr>
        <w:t>The Company may omit in any particular instance to comply with any term, provision or condition set forth in Section 12.05 (and, if so specified pursuant to Section 3.01, any other covenant not set forth herein and specified pursuant to Section 3.01 to be applicable to the Securities of any series, except as otherwise provided pursuant to Section 3.01) with respect to the Debt Securities of any series if before the time for such compliance the Holders of at least a majority in principal amount of the Outstanding Debt Securities of such series shall, by Act of such Holders, either waive such compliance in such instance or generally waive compliance with such term, provision or condition, but no such waiver shall extend to or affect such term, provision or condition except to the extent expressly so waived, and, until such waiver shall become effective, the obligations of the Company and the duties of the Trustee in respect of any such term, provision or condition shall remain in full force and effect.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color w:val="auto"/>
        </w:rPr>
        <w:t>ARTICLE THIRTEEN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DEBT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Debt Securities of any series which are redeemable before their Maturity shall be redeemable in accordance with their terms and (except as otherwise specified pursuant to Section 3.01 for Debt Securities of any series) in accordance with this Article.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117" w:lineRule="exact"/>
        <w:rPr>
          <w:sz w:val="20"/>
          <w:szCs w:val="20"/>
          <w:color w:val="auto"/>
        </w:rPr>
      </w:pPr>
    </w:p>
    <w:p>
      <w:pPr>
        <w:ind w:right="200" w:firstLine="447"/>
        <w:spacing w:after="0" w:line="293" w:lineRule="auto"/>
        <w:rPr>
          <w:sz w:val="20"/>
          <w:szCs w:val="20"/>
          <w:color w:val="auto"/>
        </w:rPr>
      </w:pPr>
      <w:r>
        <w:rPr>
          <w:rFonts w:ascii="Arial" w:cs="Arial" w:eastAsia="Arial" w:hAnsi="Arial"/>
          <w:sz w:val="16"/>
          <w:szCs w:val="16"/>
          <w:color w:val="auto"/>
        </w:rPr>
        <w:t>The election of the Company to redeem (or, in the case of Discount Securities, to permit the Holders to elect to surrender for redemption) any Debt Securities shall be evidenced by a Board Resolution. In case of any redemption at the election of the Company of less than all of the Debt Securities of any series pursuant to Section 13.03, the Company shall, at least 30 days before the Redemption Date fixed by the Company (unless a shorter notice shall be satisfactory to the Trustee), notify the Trustee of such Redemption Date and of the principal amount of Debt Securities of such series to be redeemed. In the case of any redemption of Debt Securities prior to the expiration of any restriction on such redemption provided in the terms of such Debt Securities or elsewhere in this Indenture, the Company shall furnish the Trustee with an Officers’ Certificate evidencing compliance with such restrictions.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Selection by Trustee of Debt Securities to Be Redeemed</w:t>
      </w:r>
      <w:r>
        <w:rPr>
          <w:rFonts w:ascii="Arial" w:cs="Arial" w:eastAsia="Arial" w:hAnsi="Arial"/>
          <w:sz w:val="18"/>
          <w:szCs w:val="18"/>
          <w:color w:val="auto"/>
        </w:rPr>
        <w:t>.</w:t>
      </w:r>
    </w:p>
    <w:p>
      <w:pPr>
        <w:spacing w:after="0" w:line="117" w:lineRule="exact"/>
        <w:rPr>
          <w:sz w:val="20"/>
          <w:szCs w:val="20"/>
          <w:color w:val="auto"/>
        </w:rPr>
      </w:pPr>
    </w:p>
    <w:p>
      <w:pPr>
        <w:ind w:right="100" w:firstLine="450"/>
        <w:spacing w:after="0" w:line="270" w:lineRule="auto"/>
        <w:rPr>
          <w:sz w:val="20"/>
          <w:szCs w:val="20"/>
          <w:color w:val="auto"/>
        </w:rPr>
      </w:pPr>
      <w:r>
        <w:rPr>
          <w:rFonts w:ascii="Arial" w:cs="Arial" w:eastAsia="Arial" w:hAnsi="Arial"/>
          <w:sz w:val="17"/>
          <w:szCs w:val="17"/>
          <w:color w:val="auto"/>
        </w:rPr>
        <w:t>Except in the case of a redemption in whole of the Registered Securities of such series, if less than all the Debt Securities of any series are to be redeemed at the election of the Company, the particular Debt Securities to be redeemed shall be selected not more than 60 days prior to the Redemption Date by the Trustee, from the Outstanding Debt Securities of such series not previously called for redemption, as follows (i) if the Debt Securities are listed, in compliance with the requirements of the principal national securities exchange on which the Debt Securities are listed or (ii) if the Debt Securities are not so listed, on a pro rata basis subject to adjustment for minimum denominations. The portions of the principal amount of Debt Securities so selected for partial redemption shall be equal to the minimum authorized denominations for Debt Securities of such series pursuant to Section 3.02 in the Currency in which the Debt Securities of such series are denominated or any integral multiple thereof, except as otherwise set forth in the applicable form of Debt Securities. In any case when more than one Registered Security of such series is registered in the same name, the Trustee in its discretion may treat the aggregate principal amount so registered as if it were represented by one Registered Security of such series.</w:t>
      </w:r>
    </w:p>
    <w:p>
      <w:pPr>
        <w:spacing w:after="0" w:line="74"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Trustee shall promptly notify the Company in writing of the Debt Securities selected for redemption and, in the case of any Debt Securities selected for partial redemption, the principal amount thereof to be redeemed.</w:t>
      </w:r>
    </w:p>
    <w:p>
      <w:pPr>
        <w:spacing w:after="0" w:line="62"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Debt Securities shall relate, in the case of any Debt Security redeemed or to be redeemed only in part, to the portion of the principal amount of such Debt security which has been or is to be redeemed.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07" w:name="page208"/>
    <w:bookmarkEnd w:id="207"/>
    <w:p>
      <w:pPr>
        <w:ind w:left="46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color w:val="auto"/>
        </w:rPr>
        <w:t>Notice of redemption shall be given by the Company, or at the Company’s request, by the Trustee in the name and at the expense of the Company, not less than 30 days and not more than 60 days prior to the Redemption Date to the Holders of Debt Securities of any series to be redeemed in whole or in part pursuant to this Article Thirteen, in the manner provided in Section 1.05. Any notice so given shall be conclusively presumed to have been duly given, whether or not the Holder receives such notice. Failure to give such notice, or any defect in such notice to the Holder of any Debt Security of a series designated for redemption, in whole or in part, shall not affect the sufficiency of any notice of redemption with respect to the Holder of any other Debt Security of such series.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720" w:hanging="262"/>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jc w:val="both"/>
        <w:ind w:right="140" w:firstLine="458"/>
        <w:spacing w:after="0" w:line="264"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that Debt Securities of such series are being redeemed by the Company pursuant to provisions contained in this Indenture or the terms of the Debt Securities of such series or a supplemental indenture establishing such series, if such be the case, together with a brief statement of the facts permitting such redemption,</w:t>
      </w:r>
    </w:p>
    <w:p>
      <w:pPr>
        <w:spacing w:after="0" w:line="73" w:lineRule="exact"/>
        <w:rPr>
          <w:rFonts w:ascii="Arial" w:cs="Arial" w:eastAsia="Arial" w:hAnsi="Arial"/>
          <w:sz w:val="18"/>
          <w:szCs w:val="18"/>
          <w:color w:val="auto"/>
        </w:rPr>
      </w:pPr>
    </w:p>
    <w:p>
      <w:pPr>
        <w:ind w:right="140" w:firstLine="458"/>
        <w:spacing w:after="0" w:line="277"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less than all Outstanding Debt Securities of any series are to be redeemed, the identification (and, in the case of partial redemption, the principal amounts) of the particular Debt Securities to be redeemed,</w:t>
      </w:r>
    </w:p>
    <w:p>
      <w:pPr>
        <w:spacing w:after="0" w:line="62" w:lineRule="exact"/>
        <w:rPr>
          <w:rFonts w:ascii="Arial" w:cs="Arial" w:eastAsia="Arial" w:hAnsi="Arial"/>
          <w:sz w:val="18"/>
          <w:szCs w:val="18"/>
          <w:color w:val="auto"/>
        </w:rPr>
      </w:pPr>
    </w:p>
    <w:p>
      <w:pPr>
        <w:ind w:right="280" w:firstLine="458"/>
        <w:spacing w:after="0" w:line="277"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Debt Security to be redeemed, and that interest thereon, if any, shall cease to accrue on and after said date,</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Place or Places of Payment where such Debt Securities are to be surrendered for payment of the Redemption Price, and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On or prior to the Redemption Date for any Debt Securities, the Company shall deposit with the Trustee or with a Paying Agent (or, if the Company is acting as its own Paying Agent, segregate and hold in trust as provided in Section 12.04) an amount of money in the Currency or Currencies in which such Debt Securities are denominated (except as provided pursuant to Section 3.01) sufficient to pay the Redemption Price of such Debt Securities or any portions thereof which are to be redeemed on that date.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Debt Securities Payable on Redemption Date</w:t>
      </w:r>
      <w:r>
        <w:rPr>
          <w:rFonts w:ascii="Arial" w:cs="Arial" w:eastAsia="Arial" w:hAnsi="Arial"/>
          <w:sz w:val="18"/>
          <w:szCs w:val="18"/>
          <w:color w:val="auto"/>
        </w:rPr>
        <w:t>.</w:t>
      </w:r>
    </w:p>
    <w:p>
      <w:pPr>
        <w:spacing w:after="0" w:line="11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Notice of redemption having been given as aforesaid, any Debt Securities so to be redeemed shall, on the Redemption Date, become due and payable at the Redemption Price in the Currency in which the Debt Securities of such series are payable (except as otherwise specified pursuant to Section 3.01 or 3.10), and from and after such date (unless the Company shall default in the payment of the Redemption Price) such Debt Securities shall cease to bear interest. Upon surrender of any such Debt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08" w:name="page209"/>
    <w:bookmarkEnd w:id="208"/>
    <w:p>
      <w:pPr>
        <w:jc w:val="both"/>
        <w:ind w:right="160"/>
        <w:spacing w:after="0" w:line="312" w:lineRule="auto"/>
        <w:rPr>
          <w:sz w:val="20"/>
          <w:szCs w:val="20"/>
          <w:color w:val="auto"/>
        </w:rPr>
      </w:pPr>
      <w:r>
        <w:rPr>
          <w:rFonts w:ascii="Arial" w:cs="Arial" w:eastAsia="Arial" w:hAnsi="Arial"/>
          <w:sz w:val="16"/>
          <w:szCs w:val="16"/>
          <w:color w:val="auto"/>
        </w:rPr>
        <w:t xml:space="preserve">Security for redemption in accordance with said notice, such Debt Security shall be paid by the Company at the Redemption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otherwise specified as contemplated by Section 3.01, installments of interest on Registered Securities which have a Stated Maturity on or prior to the Redemption Date for such Debt Securities shall be payable according to the terms of such Debt Securities and the provisions of Section 3.07.</w:t>
      </w:r>
    </w:p>
    <w:p>
      <w:pPr>
        <w:spacing w:after="0" w:line="39"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If any Debt Security called for redemption shall not be so paid upon surrender thereof for redemption, the principal (and premium, if any) shall, until paid, bear interest from the Redemption Date at the rate prescribed therefor in the Debt Security.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Debt Securities Redeemed in Part</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Any Debt Security which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attorney duly authorized in writing, and the Company shall execute, and the Trustee shall authenticate and deliver to the Holder of such Debt Security without service charge, a new Debt Security or Debt Securities of the same series, of like tenor and form, of any authorized denomination as requested by such Holder in aggregate principal amount equal to and in exchange for the unredeemed portion of the principal of the Debt Security so surrendered. In the case of a Debt Security providing appropriate space for such notation, at the option of the Holder thereof, the Trustee, in lieu of delivering a new Debt Security or Debt Securities as aforesaid, may make a notation on such Debt Security of the payment of the redeemed portion thereof.</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FOURTEEN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right="420" w:firstLine="447"/>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Debt Securities of a series except as otherwise specified pursuant to Section 3.01 for Debt Securities of such series.</w:t>
      </w:r>
    </w:p>
    <w:p>
      <w:pPr>
        <w:spacing w:after="0" w:line="62" w:lineRule="exact"/>
        <w:rPr>
          <w:sz w:val="20"/>
          <w:szCs w:val="20"/>
          <w:color w:val="auto"/>
        </w:rPr>
      </w:pPr>
    </w:p>
    <w:p>
      <w:pPr>
        <w:ind w:firstLine="447"/>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Debt Securities of any series is herein referred to as a “mandatory sinking fund payment,” and any payment in excess of such minimum amount provided for by the terms of Debt Securities of any series is herein referred to as an “optional sinking fund payment.” If provided for by the terms of Debt Securities of any series, the amount of any cash sinking fund payment may be subject to reduction as provided in Section 14.02. Each sinking fund payment shall be applied to the redemption of Debt Securities of any series as provided for by the terms of Debt Securities of such series.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Satisfaction of Mandatory Sinking Fund Payments with Debt Securities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50"/>
        <w:spacing w:after="0" w:line="302" w:lineRule="auto"/>
        <w:rPr>
          <w:sz w:val="20"/>
          <w:szCs w:val="20"/>
          <w:color w:val="auto"/>
        </w:rPr>
      </w:pPr>
      <w:r>
        <w:rPr>
          <w:rFonts w:ascii="Arial" w:cs="Arial" w:eastAsia="Arial" w:hAnsi="Arial"/>
          <w:sz w:val="16"/>
          <w:szCs w:val="16"/>
          <w:color w:val="auto"/>
        </w:rPr>
        <w:t>In lieu of making all or any part of a mandatory sinking fund payment with respect to any Debt Securities of a series in cash, the Company may at its option, at any time no more than sixteen months and no less than 45 days prior to the date on which such sinking fund payment is due, deliver to the Trustee Debt Securities of such series theretofore purchased or otherwise acquired by the Company, except Debt Securities of such series which have been redeemed through the application of mandatory sinking fund payments pursuant to the terms of the Debt Securities of such series, accompanied by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9" w:name="page210"/>
    <w:bookmarkEnd w:id="209"/>
    <w:p>
      <w:pPr>
        <w:ind w:right="40"/>
        <w:spacing w:after="0" w:line="279" w:lineRule="auto"/>
        <w:rPr>
          <w:sz w:val="20"/>
          <w:szCs w:val="20"/>
          <w:color w:val="auto"/>
        </w:rPr>
      </w:pPr>
      <w:r>
        <w:rPr>
          <w:rFonts w:ascii="Arial" w:cs="Arial" w:eastAsia="Arial" w:hAnsi="Arial"/>
          <w:sz w:val="17"/>
          <w:szCs w:val="17"/>
          <w:color w:val="auto"/>
        </w:rPr>
        <w:t xml:space="preserve">Company Order instructing the Trustee to credit such obligations and stating that the Debt Securities of such series were originally issued by the Company by way of bona fide sale or other negotiation for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Debt Securities shall not have been previously so credited. Such Debt Securities shall be received and credited for such purpose by the Trustee at the Redemption Price specified in such Debt Securities for redemption through operation of the sinking fund and the amount of such mandatory sinking fund payment shall be reduced accordingly.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Redemption of Debt Securities for Sinking Fund</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Not less than 60 days prior to each sinking fund payment date for any series of Debt Securities (unless a shorter period shall be satisfactory to the Trustee), the Company will deliver to the Trustee an Officers’ Certificate specifying the amount of the next ensuing sinking fund payment for that series pursuant to the terms of that series, the portion thereof, if any, which is to be satisfied by payment of cash in the Currency or Currencies in which the Debt Securities of such series are denominated (except as provided pursuant to Section 3.01) and the portion thereof, if any, which is to be satisfied by delivering and crediting Debt Securities of such series pursuant to Section 14.02 and whether the Company intends to exercise its rights to make a permitted optional sinking fund payment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such series shall be paid entirely in cash and shall be sufficient to redeem the principal amount of the Debt Securities of such series subject to a mandatory sinking fund payment without the right to deliver or credit Debt Securities as provided in Section 14.02 and without the right to make any optional sinking fund payment with respect to such series at such time.</w:t>
      </w:r>
    </w:p>
    <w:p>
      <w:pPr>
        <w:spacing w:after="0" w:line="61"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Any sinking fund payment or payments (mandatory or optional) made in cash plus any unused balance of any preceding sinking fund payments made with respect to the Debt Securities of any particular series shall be applied by the Trustee (or by the Company if the Company is acting as its own Paying Agent) on the sinking fund payment date on which such payment is made (or, if such payment is made before a sinking fund payment date, on the sinking fund payment date immediately following the date of such payment) to the redemption of Debt Securities of such series at the Redemption Price specified in such Debt Securities with respect to the sinking fund. Any sinking fund moneys not so applied or allocated by the Trustee (or by the Company if the Company is acting as its own Paying Agent) to the redemption of Debt Securities shall be added to the next sinking fund payment received by the Trustee (or if the Company is acting as its own Paying Agent, segregated and held in trust as provided in Section 12.04) for such series and, together with such payment (or such amount so segregated) shall be applied in accordance with the provisions of this Section 14.03. Any and all sinking fund moneys with respect to the Debt Securities of any particular series held by the Trustee (or if the Company is acting as its own Paying Agent, segregated and held in trust as provided in Section 12.04) on the last sinking fund payment date with respect to Debt Securities of such series and not held for the payment or redemption of particular Debt Securities of such series shall be applied by the Trustee (or by the Company if the Company is acting as its own Paying Agent), together with other moneys, if necessary, to be deposited (or segregated) sufficient for the purpose, to the payment of the principal of the Debt Securities of such series at Maturity.</w:t>
      </w:r>
    </w:p>
    <w:p>
      <w:pPr>
        <w:spacing w:after="0" w:line="80" w:lineRule="exact"/>
        <w:rPr>
          <w:sz w:val="20"/>
          <w:szCs w:val="20"/>
          <w:color w:val="auto"/>
        </w:rPr>
      </w:pPr>
    </w:p>
    <w:p>
      <w:pPr>
        <w:ind w:right="260" w:firstLine="447"/>
        <w:spacing w:after="0" w:line="286" w:lineRule="auto"/>
        <w:rPr>
          <w:sz w:val="20"/>
          <w:szCs w:val="20"/>
          <w:color w:val="auto"/>
        </w:rPr>
      </w:pPr>
      <w:r>
        <w:rPr>
          <w:rFonts w:ascii="Arial" w:cs="Arial" w:eastAsia="Arial" w:hAnsi="Arial"/>
          <w:sz w:val="17"/>
          <w:szCs w:val="17"/>
          <w:color w:val="auto"/>
        </w:rPr>
        <w:t>The Trustee shall select or cause to be selected the Debt Securities to be redeemed upon such sinking fund payment date in the manner specified in Section 13.03 and the Company shall cause notice of the redemption thereof to be given in the manner provided in Section 13.04. Such notice having been duly given, the redemption of such Debt Securities shall be made upon the terms and in the manner stated in Section 13.06.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0" w:name="page211"/>
    <w:bookmarkEnd w:id="210"/>
    <w:p>
      <w:pPr>
        <w:ind w:right="100" w:firstLine="450"/>
        <w:spacing w:after="0" w:line="279" w:lineRule="auto"/>
        <w:rPr>
          <w:sz w:val="20"/>
          <w:szCs w:val="20"/>
          <w:color w:val="auto"/>
        </w:rPr>
      </w:pPr>
      <w:r>
        <w:rPr>
          <w:rFonts w:ascii="Arial" w:cs="Arial" w:eastAsia="Arial" w:hAnsi="Arial"/>
          <w:sz w:val="17"/>
          <w:szCs w:val="17"/>
          <w:color w:val="auto"/>
        </w:rPr>
        <w:t>On or before each sinking fund payment date, the Company shall pay to the Trustee (or, if the Company is acting as its own Paying Agent, the Company shall segregate and hold in trust as provided in Section 12.04) in cash a sum, in the Currency or Currencies in which Debt Securities of such series are denominated (except as provided pursuant to Sections 3.01 or 3.10), equal to the principal and any interest accrued to the Redemption Date for Debt Securities or portions thereof to be redeemed on such sinking fund payment date pursuant to this Section 14.03.</w:t>
      </w:r>
    </w:p>
    <w:p>
      <w:pPr>
        <w:spacing w:after="0" w:line="63"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 xml:space="preserve">Neither the Trustee nor the Company shall redeem any Debt Securities of a series with sinking fund moneys or mail any notice of redemption of Debt Securities of such series by operation of the sinking fund for such series during the continuance of a default in payment of interest, if any, on any Debt Securities of such series or of any Event of Default (other than an Event of Default occurring as a consequence of this paragraph) with respect to the Debt Securities of such series, except that if the notice of redemption shall have been provided in accordance with the provisions hereof, the Trustee (or the Company, if the Company is then acting as its own Paying Agent) shall redeem such Debt Securities if cash sufficient for that purpose shall be deposited with the Trustee (or segregated by the Company) for that purpose in accordance with the terms of this Article. 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the Debt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case such default or Event of Default shall have been cured or waived as provided herein, such moneys shall thereafter be applied on or prior to the next sinking fund payment date for the Debt Securities of such series on which such moneys may be applied pursuant to the provisions of this Section 14.03.</w:t>
      </w:r>
    </w:p>
    <w:p>
      <w:pPr>
        <w:spacing w:after="0" w:line="27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ARTICLE FIFTEEN</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DEFEASANCE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w:t>
      </w:r>
    </w:p>
    <w:p>
      <w:pPr>
        <w:spacing w:after="0" w:line="117" w:lineRule="exact"/>
        <w:rPr>
          <w:sz w:val="20"/>
          <w:szCs w:val="20"/>
          <w:color w:val="auto"/>
        </w:rPr>
      </w:pPr>
    </w:p>
    <w:p>
      <w:pPr>
        <w:jc w:val="both"/>
        <w:ind w:right="20" w:firstLine="447"/>
        <w:spacing w:after="0" w:line="342" w:lineRule="auto"/>
        <w:rPr>
          <w:sz w:val="20"/>
          <w:szCs w:val="20"/>
          <w:color w:val="auto"/>
        </w:rPr>
      </w:pPr>
      <w:r>
        <w:rPr>
          <w:rFonts w:ascii="Arial" w:cs="Arial" w:eastAsia="Arial" w:hAnsi="Arial"/>
          <w:sz w:val="16"/>
          <w:szCs w:val="16"/>
          <w:color w:val="auto"/>
        </w:rPr>
        <w:t>The Company may, at the option of its Board of Directors evidenced by a resolution set forth in an Officers’ Certificate, at any time, elect to have either Section 15.02 or 15.03 applied to all Outstanding Debt Securities of a particular series upon compliance with the conditions set forth below in this Article 15.</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Legal Defeasance and Discharge</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88" w:lineRule="auto"/>
        <w:rPr>
          <w:sz w:val="20"/>
          <w:szCs w:val="20"/>
          <w:color w:val="auto"/>
        </w:rPr>
      </w:pPr>
      <w:r>
        <w:rPr>
          <w:rFonts w:ascii="Arial" w:cs="Arial" w:eastAsia="Arial" w:hAnsi="Arial"/>
          <w:sz w:val="16"/>
          <w:szCs w:val="16"/>
          <w:color w:val="auto"/>
        </w:rPr>
        <w:t>Upon the Company’s exercise under Section 15.01 of the option applicable to this Section 15.02 with respect to a series of Debt Securities, the Company shall, subject to the satisfaction of the conditions set forth in Section 15.04, be deemed to have been discharged from its obligations with respect to all Outstanding Debt Securities of such series (and all obligations of any Guarantors with respect to any Guarantees shall be discharged) on the date the conditions set forth below are satisfied (hereinafter, “Legal Defeasance”). For this purpose, Legal Defeasance means that the Company shall be deemed to have paid and discharged the entire indebtedness represented by the Outstanding Debt Securities of such series, which shall thereafter be deemed to be Outstanding only for the purposes of Section 15.05 and to have satisfied all its other obligations under such Outstanding Debt Securities of such series and any supplemental indenture relating thereto (and the Trustee, on demand of and at the expense of the Company, shall execute proper instruments acknowledging the same), except for the following provisions which shall survive until otherwise terminated or discharged hereunder: (a) the rights of Holders of Outstanding Debt Securities to receive payments in respect of the principal of, premium, if any, and interest on such Debt Securities when such payments are due from the trust referred to in Section 15.04, (b) the Company’s obligations with respect to the Debt Securities concerning issuing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1" w:name="page212"/>
    <w:bookmarkEnd w:id="211"/>
    <w:p>
      <w:pPr>
        <w:jc w:val="both"/>
        <w:spacing w:after="0" w:line="279" w:lineRule="auto"/>
        <w:rPr>
          <w:sz w:val="20"/>
          <w:szCs w:val="20"/>
          <w:color w:val="auto"/>
        </w:rPr>
      </w:pPr>
      <w:r>
        <w:rPr>
          <w:rFonts w:ascii="Arial" w:cs="Arial" w:eastAsia="Arial" w:hAnsi="Arial"/>
          <w:sz w:val="17"/>
          <w:szCs w:val="17"/>
          <w:color w:val="auto"/>
        </w:rPr>
        <w:t>temporary Debt Securities, registration of Debt Securities, mutilated, destroyed, lost or stolen Debt Securities and the maintenance of an office or agency for payment and money for security payments held in trust; (c) the rights, powers, trusts, duties and immunities of the Trustee, and the Company’s obligations in connection therewith and (d) the provisions of this Article 15 with respect to Legal Defeasance. Subject to compliance with this Article 15, the Company may exercise its option under this Section 15.02 notwithstanding the prior exercise of its option under Section 15.03.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ind w:right="100" w:firstLine="450"/>
        <w:spacing w:after="0" w:line="287" w:lineRule="auto"/>
        <w:rPr>
          <w:sz w:val="20"/>
          <w:szCs w:val="20"/>
          <w:color w:val="auto"/>
        </w:rPr>
      </w:pPr>
      <w:r>
        <w:rPr>
          <w:rFonts w:ascii="Arial" w:cs="Arial" w:eastAsia="Arial" w:hAnsi="Arial"/>
          <w:sz w:val="16"/>
          <w:szCs w:val="16"/>
          <w:color w:val="auto"/>
        </w:rPr>
        <w:t>Upon the Company’s exercise under Section 15.01 of the option applicable to this Section 15.03, the Company shall, subject to the satisfaction of the conditions set forth in Section 15.04, be released from its obligations under the covenants contained in Sections 10.01 (and if so specified pursuant to Section 3.01, any other obligation of the Company or restrictive covenant added for the benefit of such series pursuant to Section 3.01) with respect to the Outstanding Debt Securities of such series on and after the date the conditions set forth in Section 15.04 are satisfied (hereinafter, “Covenant Defeasance”), and such Debt Securities shall thereafter be deemed not Outstanding for the purposes of any direction, waiver, consent or declaration or act of Holders (and the consequences thereof) in connection with such covenants, but shall continue to be deemed “outstanding” for all other purposes hereunder (it being understood that such Debt Securities shall not be deemed outstanding for accounting purposes). For this purpose, Covenant Defeasance means that, with respect to the Outstanding Debt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(other than Sections 5.01(1), 5.01(2), 5.01(3), 5.01(5) and 5.01(6)) under Section 5.01 or the terms of any supplemental indenture, but, except as specified above, the remainder of this Indenture and such Debt Securities shall be unaffected thereby.</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shall be the conditions to the application of either Section 15.02 or 15.03 to the Outstanding Debt Securities of such series: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(a) the Company must irrevocably deposit with the Trustee, in trust, for the benefit of the Holders, cash in United States dollars, non-callable U.S. Government Obligations, or a combination thereof, in such amounts as will be sufficient, in the opinion of a nationally recognized firm of independent public accountants, to pay the principal amount at maturity of, premium and interest on the Outstanding Debt Securities of such series on the stated date for payment thereof or on the applicable redemption date, as the case may be;</w:t>
      </w:r>
    </w:p>
    <w:p>
      <w:pPr>
        <w:spacing w:after="0" w:line="79" w:lineRule="exact"/>
        <w:rPr>
          <w:sz w:val="20"/>
          <w:szCs w:val="20"/>
          <w:color w:val="auto"/>
        </w:rPr>
      </w:pPr>
    </w:p>
    <w:p>
      <w:pPr>
        <w:ind w:right="60" w:firstLine="458"/>
        <w:spacing w:after="0" w:line="293" w:lineRule="auto"/>
        <w:tabs>
          <w:tab w:leader="none" w:pos="70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the case of an election under Section 15.02, the Company shall have delivered to the Trustee an Opinion of Counsel in the United States of America reasonably acceptable to the Trustee confirming that (A) the Company has received from, or there has been published by, the Internal Revenue Service a ruling or (B) since the applicable issue date with respect to such Debt Securities, there has been a change in the applicable Federal income tax law, in either case to the effect that, and based thereon such Opinion of Counsel shall confirm that, the Holders of the Outstanding Debt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12" w:name="page213"/>
    <w:bookmarkEnd w:id="212"/>
    <w:p>
      <w:pPr>
        <w:ind w:right="40" w:firstLine="458"/>
        <w:spacing w:after="0" w:line="279" w:lineRule="auto"/>
        <w:tabs>
          <w:tab w:leader="none" w:pos="69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 the case of an election under Section 15.03, the Company shall have delivered to the Trustee an Opinion of Counsel in the United States of America reasonably acceptable to the Trustee confirming that the Holders of the outstanding Debt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firstLine="458"/>
        <w:spacing w:after="0" w:line="259"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incurrence of Indebtedness all or a portion of the proceeds of which will be used to defease such Debt Securities pursuant to this Article 15 concurrently with such incurrence and the grant of a Lien to secure such Indebtedness) or insofar as Section 5.01(5) or 5.01(6) is concerned, at any time in the period ending on the 91st day after the date of deposit;</w:t>
      </w:r>
    </w:p>
    <w:p>
      <w:pPr>
        <w:spacing w:after="0" w:line="78" w:lineRule="exact"/>
        <w:rPr>
          <w:rFonts w:ascii="Arial" w:cs="Arial" w:eastAsia="Arial" w:hAnsi="Arial"/>
          <w:sz w:val="18"/>
          <w:szCs w:val="18"/>
          <w:color w:val="auto"/>
        </w:rPr>
      </w:pPr>
    </w:p>
    <w:p>
      <w:pPr>
        <w:ind w:right="280" w:firstLine="458"/>
        <w:spacing w:after="0" w:line="259" w:lineRule="auto"/>
        <w:tabs>
          <w:tab w:leader="none" w:pos="69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this Indenture or any supplemental indenture relating to such Debt Securities (other than a Default or an Event of Default resulting from the borrowing of funds to be applied to such deposit and the grant of any Lien securing such borrowing) or any other material agreement or instrument to which the Company or any of its Subsidiaries is a party or by which the Company or any of its Subsidiaries is bound;</w:t>
      </w:r>
    </w:p>
    <w:p>
      <w:pPr>
        <w:spacing w:after="0" w:line="78" w:lineRule="exact"/>
        <w:rPr>
          <w:rFonts w:ascii="Arial" w:cs="Arial" w:eastAsia="Arial" w:hAnsi="Arial"/>
          <w:sz w:val="18"/>
          <w:szCs w:val="18"/>
          <w:color w:val="auto"/>
        </w:rPr>
      </w:pPr>
    </w:p>
    <w:p>
      <w:pPr>
        <w:ind w:right="180" w:firstLine="458"/>
        <w:spacing w:after="0" w:line="264" w:lineRule="auto"/>
        <w:tabs>
          <w:tab w:leader="none" w:pos="67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(which may be subject to customary exceptions) to the effect that after the 91st day following the deposit, the trust funds will not be subject to the effect of the preference provisions of Section 547 of the United States Federal Bankruptcy Code;</w:t>
      </w:r>
    </w:p>
    <w:p>
      <w:pPr>
        <w:spacing w:after="0" w:line="73" w:lineRule="exact"/>
        <w:rPr>
          <w:rFonts w:ascii="Arial" w:cs="Arial" w:eastAsia="Arial" w:hAnsi="Arial"/>
          <w:sz w:val="18"/>
          <w:szCs w:val="18"/>
          <w:color w:val="auto"/>
        </w:rPr>
      </w:pPr>
    </w:p>
    <w:p>
      <w:pPr>
        <w:jc w:val="both"/>
        <w:ind w:right="280" w:firstLine="458"/>
        <w:spacing w:after="0" w:line="264"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or others;</w:t>
      </w:r>
    </w:p>
    <w:p>
      <w:pPr>
        <w:spacing w:after="0" w:line="73" w:lineRule="exact"/>
        <w:rPr>
          <w:rFonts w:ascii="Arial" w:cs="Arial" w:eastAsia="Arial" w:hAnsi="Arial"/>
          <w:sz w:val="18"/>
          <w:szCs w:val="18"/>
          <w:color w:val="auto"/>
        </w:rPr>
      </w:pPr>
    </w:p>
    <w:p>
      <w:pPr>
        <w:ind w:right="480" w:firstLine="458"/>
        <w:spacing w:after="0" w:line="277"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or relating to the Legal Defeasance or the Covenant Defeasance have been complied with; and</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shall have paid or duly provided for payment of all amounts then due to the Trustee pursuant to Section 6.07.</w:t>
      </w:r>
    </w:p>
    <w:p>
      <w:pPr>
        <w:spacing w:after="0" w:line="117"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Notwithstanding the foregoing, the Opinion of Counsel required by clause (b) above with respect to a Legal Defeasance need not be delivered if all Debt Securities of such series not therefor delivered to the Trustee for cancellation (A) have become due and payable, or (B) will become due and payable on the maturity date within one year under arrangements satisfactory to the Trustee for giving of notice of redemption by the Trustee in the name, and at the expense, of the Company.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64" w:lineRule="auto"/>
        <w:rPr>
          <w:sz w:val="20"/>
          <w:szCs w:val="20"/>
          <w:color w:val="auto"/>
        </w:rPr>
      </w:pPr>
      <w:r>
        <w:rPr>
          <w:rFonts w:ascii="Arial" w:cs="Arial" w:eastAsia="Arial" w:hAnsi="Arial"/>
          <w:sz w:val="18"/>
          <w:szCs w:val="18"/>
          <w:color w:val="auto"/>
        </w:rPr>
        <w:t>All cash and non-callable U.S. Government Obligations (including the proceeds thereof) deposited with the Trustee (or other qualifying trustee, collectively for purposes of this Section 15.05, the “Trustee”) pursuant to Section 15.04 in respect of the Outstanding Debt Securities of such series shall be held in trust and applied by the Trustee, in accordance with the provisions of such Debt Securities and this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3" w:name="page214"/>
    <w:bookmarkEnd w:id="213"/>
    <w:p>
      <w:pPr>
        <w:jc w:val="both"/>
        <w:ind w:right="60"/>
        <w:spacing w:after="0" w:line="264" w:lineRule="auto"/>
        <w:rPr>
          <w:sz w:val="20"/>
          <w:szCs w:val="20"/>
          <w:color w:val="auto"/>
        </w:rPr>
      </w:pPr>
      <w:r>
        <w:rPr>
          <w:rFonts w:ascii="Arial" w:cs="Arial" w:eastAsia="Arial" w:hAnsi="Arial"/>
          <w:sz w:val="18"/>
          <w:szCs w:val="18"/>
          <w:color w:val="auto"/>
        </w:rPr>
        <w:t>Indenture, to the payment, either directly or through any Paying Agent (including the Company acting as Paying Agent) as the Trustee may determine, to the Holders of such Debt Securities of all sums due and to become due thereon in respect of principal, premium, if any, and interest, but such cash and securities need not be segregated from other funds except to the extent required by law.</w:t>
      </w:r>
    </w:p>
    <w:p>
      <w:pPr>
        <w:spacing w:after="0" w:line="73" w:lineRule="exact"/>
        <w:rPr>
          <w:sz w:val="20"/>
          <w:szCs w:val="20"/>
          <w:color w:val="auto"/>
        </w:rPr>
      </w:pPr>
    </w:p>
    <w:p>
      <w:pPr>
        <w:ind w:right="220" w:firstLine="447"/>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cash or non-callable U.S. Government Obligations deposited pursuant to Section 15.04 or the principal and interest received in respect thereof other than any such tax, fee or other charge which by law is for the account of the Holders of the Outstanding Debt Securities of such series.</w:t>
      </w:r>
    </w:p>
    <w:p>
      <w:pPr>
        <w:spacing w:after="0" w:line="5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Anything in this Article 15 to the contrary notwithstanding, the Trustee shall deliver or pay to the Company from time to time upon the request of the Company any money or non-callable U.S. Government Obligations held by it as provided in Section 15.04 which, in the opinion of a nationally recognized firm of independent public accountants expressed in a written certification thereof delivered to the Trustee (which may be the opinion delivered under Section 15.04(a)), are in excess of the amount thereof that would then be required to be deposited to effect an equivalent Legal Defeasance or Covenant Defeasance.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Any cash or non-callable U.S. Government Obligations deposited with the Trustee or any Paying Agent, or then held by the Company, in trust for the payment of the principal of, premium, if any, or interest on, any Debt Security and remaining unclaimed for two years after such principal, and premium, if any, or interest has become due and payable shall be paid to the Company on its request or (if then held by the Company) shall be discharged from such trust; and the Holder shall thereafter, as an unsecured creditor, look only to the Company for payment thereof, and all liability of the Trustee or such Paying Agent with respect to such cash and securities, and all liability of the Company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The New York Times and The Wall Street Journal (national edition), notice that such cash and securities remains unclaimed and that, after a date specified therein, which shall not be less than 30 days from the date of such notification or publication, any unclaimed balance of such cash and securities then remaining will be repaid to the Company.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72" w:lineRule="auto"/>
        <w:rPr>
          <w:sz w:val="20"/>
          <w:szCs w:val="20"/>
          <w:color w:val="auto"/>
        </w:rPr>
      </w:pPr>
      <w:r>
        <w:rPr>
          <w:rFonts w:ascii="Arial" w:cs="Arial" w:eastAsia="Arial" w:hAnsi="Arial"/>
          <w:sz w:val="17"/>
          <w:szCs w:val="17"/>
          <w:color w:val="auto"/>
        </w:rPr>
        <w:t xml:space="preserve">If the Trustee or Paying Agent is unable to apply any cash or non-callable U.S. Government Obligations in accordance with Section 15.02 or 15.03, as the case may be, by reason of any order or judgment of any court or governmental authority enjoining, restraining or otherwise prohibiting such application, then the Company’s obligations under this Indenture and the applicable series of Debt Securities shall be revived and reinstated as though no deposit had occurred pursuant to Section 15.02 or 15.03 until such time as the Trustee or Paying Agent is permitted to apply all such cash and securities in accordance with Section 15.02 or 15.03,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makes any payment of principal of, premium, if any, or interest on any Debt Security following the reinstatement of its obligations, the Company shall be subrogated to the rights of the Holders to receive such payment from the cash and securities held by the Trustee or Paying Agent.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14" w:name="page215"/>
    <w:bookmarkEnd w:id="214"/>
    <w:p>
      <w:pPr>
        <w:ind w:left="460"/>
        <w:spacing w:after="0"/>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rights under this Article 15 shall survive termination of this Indenture or the resignation of the Trustee.</w:t>
      </w:r>
    </w:p>
    <w:p>
      <w:pPr>
        <w:spacing w:after="0" w:line="33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ARTICLE SIXTEEN</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SUBORDINATION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Agreement to Subordinate</w:t>
      </w:r>
      <w:r>
        <w:rPr>
          <w:rFonts w:ascii="Arial" w:cs="Arial" w:eastAsia="Arial" w:hAnsi="Arial"/>
          <w:sz w:val="18"/>
          <w:szCs w:val="18"/>
          <w:color w:val="auto"/>
        </w:rPr>
        <w:t>.</w:t>
      </w:r>
    </w:p>
    <w:p>
      <w:pPr>
        <w:spacing w:after="0" w:line="117" w:lineRule="exact"/>
        <w:rPr>
          <w:sz w:val="20"/>
          <w:szCs w:val="20"/>
          <w:color w:val="auto"/>
        </w:rPr>
      </w:pPr>
    </w:p>
    <w:p>
      <w:pPr>
        <w:jc w:val="both"/>
        <w:ind w:right="480" w:firstLine="447"/>
        <w:spacing w:after="0" w:line="312" w:lineRule="auto"/>
        <w:rPr>
          <w:sz w:val="20"/>
          <w:szCs w:val="20"/>
          <w:color w:val="auto"/>
        </w:rPr>
      </w:pPr>
      <w:r>
        <w:rPr>
          <w:rFonts w:ascii="Arial" w:cs="Arial" w:eastAsia="Arial" w:hAnsi="Arial"/>
          <w:sz w:val="16"/>
          <w:szCs w:val="16"/>
          <w:color w:val="auto"/>
        </w:rPr>
        <w:t>The Company, for itself, its successors and assigns, covenants and agrees, and each Holder of Debt Securities by his acceptance thereof, likewise covenants and agrees, that the payment of the principal of (and premium, if any) and interest on each and all of the Debt Securities is hereby expressly subordinated, to the extent and in the manner hereinafter set forth, in right of payment to the prior payment in full of all Senior Indebtedness.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Distribution on Dissolution, Liquidation and Reorganization; Subrogation of Debt Securities</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Debt Securities and the Holders thereof by a plan of reorganization under applicable bankruptcy law):</w:t>
      </w:r>
    </w:p>
    <w:p>
      <w:pPr>
        <w:spacing w:after="0" w:line="80" w:lineRule="exact"/>
        <w:rPr>
          <w:sz w:val="20"/>
          <w:szCs w:val="20"/>
          <w:color w:val="auto"/>
        </w:rPr>
      </w:pPr>
    </w:p>
    <w:p>
      <w:pPr>
        <w:jc w:val="both"/>
        <w:ind w:right="320" w:firstLine="458"/>
        <w:spacing w:after="0" w:line="264" w:lineRule="auto"/>
        <w:tabs>
          <w:tab w:leader="none" w:pos="6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Debt Securities are entitled to receive any payment upon the principal (and premium, if any) or interest on indebtedness evidenced by the Debt Securities; and</w:t>
      </w:r>
    </w:p>
    <w:p>
      <w:pPr>
        <w:spacing w:after="0" w:line="73" w:lineRule="exact"/>
        <w:rPr>
          <w:rFonts w:ascii="Arial" w:cs="Arial" w:eastAsia="Arial" w:hAnsi="Arial"/>
          <w:sz w:val="18"/>
          <w:szCs w:val="18"/>
          <w:color w:val="auto"/>
        </w:rPr>
      </w:pPr>
    </w:p>
    <w:p>
      <w:pPr>
        <w:ind w:firstLine="458"/>
        <w:spacing w:after="0" w:line="291" w:lineRule="auto"/>
        <w:tabs>
          <w:tab w:leader="none" w:pos="70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any payment or distribution of the Company of any kind or character, whether in cash, property or securities, to which the Holders of the Debt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59" w:lineRule="exact"/>
        <w:rPr>
          <w:rFonts w:ascii="Arial" w:cs="Arial" w:eastAsia="Arial" w:hAnsi="Arial"/>
          <w:sz w:val="16"/>
          <w:szCs w:val="16"/>
          <w:color w:val="auto"/>
        </w:rPr>
      </w:pPr>
    </w:p>
    <w:p>
      <w:pPr>
        <w:jc w:val="both"/>
        <w:ind w:right="60" w:firstLine="458"/>
        <w:spacing w:after="0" w:line="259" w:lineRule="auto"/>
        <w:tabs>
          <w:tab w:leader="none" w:pos="6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event that, notwithstanding the foregoing, any payment or distribution of assets of the Company of any kind or character, whether in cash, property or securities, shall be received by the Trustee or the Holders of the Debt Securities before all Senior Indebtedness is paid in full, such payment or distribution shall be paid over, upon written notice to the Trustee, to the holder of such Senior Indebtedness or their representative or representatives or to the trustee or trustees under any indenture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15" w:name="page216"/>
    <w:bookmarkEnd w:id="215"/>
    <w:p>
      <w:pPr>
        <w:ind w:right="100"/>
        <w:spacing w:after="0" w:line="264" w:lineRule="auto"/>
        <w:rPr>
          <w:sz w:val="20"/>
          <w:szCs w:val="20"/>
          <w:color w:val="auto"/>
        </w:rPr>
      </w:pPr>
      <w:r>
        <w:rPr>
          <w:rFonts w:ascii="Arial" w:cs="Arial" w:eastAsia="Arial" w:hAnsi="Arial"/>
          <w:sz w:val="18"/>
          <w:szCs w:val="18"/>
          <w:color w:val="auto"/>
        </w:rPr>
        <w:t>under which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73" w:lineRule="exact"/>
        <w:rPr>
          <w:sz w:val="20"/>
          <w:szCs w:val="20"/>
          <w:color w:val="auto"/>
        </w:rPr>
      </w:pPr>
    </w:p>
    <w:p>
      <w:pPr>
        <w:ind w:firstLine="450"/>
        <w:spacing w:after="0" w:line="267" w:lineRule="auto"/>
        <w:rPr>
          <w:sz w:val="20"/>
          <w:szCs w:val="20"/>
          <w:color w:val="auto"/>
        </w:rPr>
      </w:pPr>
      <w:r>
        <w:rPr>
          <w:rFonts w:ascii="Arial" w:cs="Arial" w:eastAsia="Arial" w:hAnsi="Arial"/>
          <w:sz w:val="17"/>
          <w:szCs w:val="17"/>
          <w:color w:val="auto"/>
        </w:rPr>
        <w:t>Subject to the payment in full of all Senior Indebtedness, the Holders of the Debt Securities shall be subrogated to the rights of the holders of Senior Indebtedness to receive payments or distributions of cash, property or securities of the Company applicable to Senior Indebtedness until the principal of (and premium, if any) and interest on the Debt Securities shall be paid in full and no such payments or distributions to the Holders of the Debt Securities of cash, property, or securities otherwise distributable to the holders of Senior Indebtedness shall, as between the Company, its creditors other than the holders of Senior Indebtedness, and the Holders of the Debt Securities be deemed to be a payment by the Company to or on account of the Debt Securities. It is understood that the provisions of this Article Sixteen are and are intended solely for the purpose of defining the relative rights of the Holders of the Debt Securities, on the one hand, and the holders of the Senior Indebtedness, on the other hand. Nothing contained in this Article Sixteen or elsewhere in this Indenture or in the Debt Securities is intended to or shall impair, as between the Company, its creditors other than the holders of Senior Indebtedness, and the Holders of the Debt Securities, the obligation of the Company, which is unconditional and absolute, to pay to the Holders of the Debt Securities the principal of (and premium, if any) and interest on the Debt Securities as and when the same shall become due and payable in accordance with their terms, or to affect the relative rights of the Holders of the Debt Securities and creditors of the Company other than the holders of Senior Indebtedness, nor shall anything herein or in the Debt Securities prevent the Trustee or the Holder of any Debt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Sections 6.01 and 6.03,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to this Article Sixteen.</w:t>
      </w:r>
    </w:p>
    <w:p>
      <w:pPr>
        <w:spacing w:after="0" w:line="83" w:lineRule="exact"/>
        <w:rPr>
          <w:sz w:val="20"/>
          <w:szCs w:val="20"/>
          <w:color w:val="auto"/>
        </w:rPr>
      </w:pPr>
    </w:p>
    <w:p>
      <w:pPr>
        <w:jc w:val="both"/>
        <w:ind w:right="140" w:firstLine="447"/>
        <w:spacing w:after="0" w:line="264" w:lineRule="auto"/>
        <w:rPr>
          <w:sz w:val="20"/>
          <w:szCs w:val="20"/>
          <w:color w:val="auto"/>
        </w:rPr>
      </w:pPr>
      <w:r>
        <w:rPr>
          <w:rFonts w:ascii="Arial" w:cs="Arial" w:eastAsia="Arial" w:hAnsi="Arial"/>
          <w:sz w:val="18"/>
          <w:szCs w:val="18"/>
          <w:color w:val="auto"/>
        </w:rPr>
        <w:t>The Trustee, however, shall not be deemed to owe any fiduciary duty to the holders of Senior Indebtedness. The Trustee shall not be liable to any such holder if it shall pay or distribute to or on behalf of Holders of Debt Securities or the Company moneys or assets to which any holder of Senior Indebtedness shall be entitled by virtue of this Article Sixteen.</w:t>
      </w:r>
    </w:p>
    <w:p>
      <w:pPr>
        <w:spacing w:after="0" w:line="73"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If the Trustee or any Holder of Debt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Debt Securities.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No Payment on Debt Securities in Event of Default on Senior Indebtedness</w:t>
      </w:r>
      <w:r>
        <w:rPr>
          <w:rFonts w:ascii="Arial" w:cs="Arial" w:eastAsia="Arial" w:hAnsi="Arial"/>
          <w:sz w:val="18"/>
          <w:szCs w:val="18"/>
          <w:color w:val="auto"/>
        </w:rPr>
        <w:t>.</w:t>
      </w:r>
    </w:p>
    <w:p>
      <w:pPr>
        <w:spacing w:after="0" w:line="117" w:lineRule="exact"/>
        <w:rPr>
          <w:sz w:val="20"/>
          <w:szCs w:val="20"/>
          <w:color w:val="auto"/>
        </w:rPr>
      </w:pPr>
    </w:p>
    <w:p>
      <w:pPr>
        <w:ind w:right="320" w:firstLine="450"/>
        <w:spacing w:after="0" w:line="342" w:lineRule="auto"/>
        <w:rPr>
          <w:sz w:val="20"/>
          <w:szCs w:val="20"/>
          <w:color w:val="auto"/>
        </w:rPr>
      </w:pPr>
      <w:r>
        <w:rPr>
          <w:rFonts w:ascii="Arial" w:cs="Arial" w:eastAsia="Arial" w:hAnsi="Arial"/>
          <w:sz w:val="16"/>
          <w:szCs w:val="16"/>
          <w:color w:val="auto"/>
        </w:rPr>
        <w:t>No payment by the Company on account of principal (or premium, if any), sinking funds or interest on the Debt Securities shall be made unless full payment of amounts then due for principal, premium, if any, sinking funds, and interest on Senior Indebtedness has been made or duly provided for.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6" w:name="page217"/>
    <w:bookmarkEnd w:id="216"/>
    <w:p>
      <w:pPr>
        <w:ind w:left="460"/>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Payments on Debt Securities Permitted</w:t>
      </w:r>
      <w:r>
        <w:rPr>
          <w:rFonts w:ascii="Arial" w:cs="Arial" w:eastAsia="Arial" w:hAnsi="Arial"/>
          <w:sz w:val="18"/>
          <w:szCs w:val="18"/>
          <w:color w:val="auto"/>
        </w:rPr>
        <w:t>.</w:t>
      </w:r>
    </w:p>
    <w:p>
      <w:pPr>
        <w:spacing w:after="0" w:line="117" w:lineRule="exact"/>
        <w:rPr>
          <w:sz w:val="20"/>
          <w:szCs w:val="20"/>
          <w:color w:val="auto"/>
        </w:rPr>
      </w:pPr>
    </w:p>
    <w:p>
      <w:pPr>
        <w:ind w:right="260" w:firstLine="450"/>
        <w:spacing w:after="0" w:line="291" w:lineRule="auto"/>
        <w:rPr>
          <w:sz w:val="20"/>
          <w:szCs w:val="20"/>
          <w:color w:val="auto"/>
        </w:rPr>
      </w:pPr>
      <w:r>
        <w:rPr>
          <w:rFonts w:ascii="Arial" w:cs="Arial" w:eastAsia="Arial" w:hAnsi="Arial"/>
          <w:sz w:val="16"/>
          <w:szCs w:val="16"/>
          <w:color w:val="auto"/>
        </w:rPr>
        <w:t>Nothing contained in this Indenture or in any of the Debt Securities shall (a) affect the obligation of the Company to make, or prevent the Company from making, at any time except as provided in Sections 16.02 and 16.03, payments of principal (and premium, if any) or interest of the Debt Securities or</w:t>
      </w:r>
    </w:p>
    <w:p>
      <w:pPr>
        <w:ind w:firstLine="8"/>
        <w:spacing w:after="0" w:line="255" w:lineRule="auto"/>
        <w:tabs>
          <w:tab w:leader="none" w:pos="2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prevent the application by the Trustee of any moneys deposited with it hereunder to the payment of or on account of the principal of (and premium, if any) or interest on the Debt Securities, unless the Trustee shall have received at its Corporate Trust Office written notice of any event prohibiting the making of such payment more than two Business Days prior to the date fixed for such payment.</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Trustee to Effectuate Subordination</w:t>
      </w:r>
      <w:r>
        <w:rPr>
          <w:rFonts w:ascii="Arial" w:cs="Arial" w:eastAsia="Arial" w:hAnsi="Arial"/>
          <w:sz w:val="18"/>
          <w:szCs w:val="18"/>
          <w:color w:val="auto"/>
        </w:rPr>
        <w:t>.</w:t>
      </w:r>
    </w:p>
    <w:p>
      <w:pPr>
        <w:spacing w:after="0" w:line="117" w:lineRule="exact"/>
        <w:rPr>
          <w:sz w:val="20"/>
          <w:szCs w:val="20"/>
          <w:color w:val="auto"/>
        </w:rPr>
      </w:pPr>
    </w:p>
    <w:p>
      <w:pPr>
        <w:ind w:right="300" w:firstLine="450"/>
        <w:spacing w:after="0" w:line="342" w:lineRule="auto"/>
        <w:rPr>
          <w:sz w:val="20"/>
          <w:szCs w:val="20"/>
          <w:color w:val="auto"/>
        </w:rPr>
      </w:pPr>
      <w:r>
        <w:rPr>
          <w:rFonts w:ascii="Arial" w:cs="Arial" w:eastAsia="Arial" w:hAnsi="Arial"/>
          <w:sz w:val="16"/>
          <w:szCs w:val="16"/>
          <w:color w:val="auto"/>
        </w:rPr>
        <w:t>Each Holder of Debt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Notices to Trustee</w:t>
      </w:r>
      <w:r>
        <w:rPr>
          <w:rFonts w:ascii="Arial" w:cs="Arial" w:eastAsia="Arial" w:hAnsi="Arial"/>
          <w:sz w:val="18"/>
          <w:szCs w:val="18"/>
          <w:color w:val="auto"/>
        </w:rPr>
        <w:t>.</w:t>
      </w:r>
    </w:p>
    <w:p>
      <w:pPr>
        <w:spacing w:after="0" w:line="117"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The Company shall give prompt written notice to the Trustee of any fact known to the Company which would prohibit the making of any payment to or by the Trustee in respect of the Debt Securities. Failure to give such notice shall not affect the subordination of the Debt Securities to Senior Indebtedness. 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provided, however, that if at least two Business Days prior to the date upon which by the terms hereof any such moneys may become payable for any purpose (including, without limitation, the payment of either the principal (and premium, if any) or interest on any Debt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7" w:name="page218"/>
    <w:bookmarkEnd w:id="217"/>
    <w:p>
      <w:pPr>
        <w:ind w:left="460"/>
        <w:spacing w:after="0"/>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w:t>
      </w:r>
    </w:p>
    <w:p>
      <w:pPr>
        <w:spacing w:after="0" w:line="117" w:lineRule="exact"/>
        <w:rPr>
          <w:sz w:val="20"/>
          <w:szCs w:val="20"/>
          <w:color w:val="auto"/>
        </w:rPr>
      </w:pPr>
    </w:p>
    <w:p>
      <w:pPr>
        <w:ind w:right="140" w:firstLine="447"/>
        <w:spacing w:after="0" w:line="264"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shall apply to claims, of, or payments to, the Trustee under or pursuant to Section 6.07.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Modification of Terms of Senior Indebtedness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64" w:lineRule="auto"/>
        <w:rPr>
          <w:sz w:val="20"/>
          <w:szCs w:val="20"/>
          <w:color w:val="auto"/>
        </w:rPr>
      </w:pPr>
      <w:r>
        <w:rPr>
          <w:rFonts w:ascii="Arial" w:cs="Arial" w:eastAsia="Arial" w:hAnsi="Arial"/>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Debt Securities or the Trustee.</w:t>
      </w:r>
    </w:p>
    <w:p>
      <w:pPr>
        <w:spacing w:after="0" w:line="73"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Debt Securities relating to the subordination thereof.</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Reliance on Judicial Order or Certificate of Liquidation Agent</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Sixteen, the Trustee and the Holders of the Debt Securities shall be entitled to rely upon any order or decree entered by any court of competent jurisdiction in which each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Debt Securities, for the purpose of ascertaining the persons entitled to participate in such payment or distribution, the holders of Senior Indebtedness and other indebtedness of the Company, the amount thereof or payable therein, the amount or amounts paid or distributed thereon and all other facts pertinent thereto or to this Article Sixteen.</w:t>
      </w:r>
    </w:p>
    <w:p>
      <w:pPr>
        <w:spacing w:after="0" w:line="81" w:lineRule="exact"/>
        <w:rPr>
          <w:sz w:val="20"/>
          <w:szCs w:val="20"/>
          <w:color w:val="auto"/>
        </w:rPr>
      </w:pPr>
    </w:p>
    <w:p>
      <w:pPr>
        <w:jc w:val="both"/>
        <w:ind w:right="520" w:firstLine="447"/>
        <w:spacing w:after="0" w:line="312" w:lineRule="auto"/>
        <w:rPr>
          <w:sz w:val="20"/>
          <w:szCs w:val="20"/>
          <w:color w:val="auto"/>
        </w:rPr>
      </w:pPr>
      <w:r>
        <w:rPr>
          <w:rFonts w:ascii="Arial" w:cs="Arial" w:eastAsia="Arial" w:hAnsi="Arial"/>
          <w:sz w:val="16"/>
          <w:szCs w:val="16"/>
          <w:color w:val="auto"/>
        </w:rPr>
        <w:t>The Company, for itself, its successors and assigns, covenants and agrees, and each Holder of Debt Securities by his acceptance thereof, likewise covenants and agrees, that the payment of the principal of (and premium, if any) and interest on each and all of the Debt Securities is hereby expressly subordinated, to the extent and in the manner hereinafter set forth, in right of payment to the prior payment in full of all Senior Indebtedness.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color w:val="auto"/>
        </w:rPr>
        <w:t>ARTICLE SEVENTEEN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17.01. </w:t>
      </w:r>
      <w:r>
        <w:rPr>
          <w:rFonts w:ascii="Arial" w:cs="Arial" w:eastAsia="Arial" w:hAnsi="Arial"/>
          <w:sz w:val="18"/>
          <w:szCs w:val="18"/>
          <w:u w:val="single" w:color="auto"/>
          <w:color w:val="auto"/>
        </w:rPr>
        <w:t>Applicability; Conversion Privilege</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90" w:lineRule="auto"/>
        <w:rPr>
          <w:sz w:val="20"/>
          <w:szCs w:val="20"/>
          <w:color w:val="auto"/>
        </w:rPr>
      </w:pPr>
      <w:r>
        <w:rPr>
          <w:rFonts w:ascii="Arial" w:cs="Arial" w:eastAsia="Arial" w:hAnsi="Arial"/>
          <w:sz w:val="16"/>
          <w:szCs w:val="16"/>
          <w:color w:val="auto"/>
        </w:rPr>
        <w:t>Except as otherwise specified pursuant to Section 3.01 for Debt Securities of any series, the provisions of this Article Seventeen shall be applicable to any Debt Securities that are convertible into Common Shares. If so provided pursuant to Section 3.01 with respect to the Debt Securities of any series, the Holder of a Debt Security of such series shall have the right, at such Holder’s option, to convert, in accordance with the terms of such series of Debt Securities and this Article Seventeen, all or any part (in a denomination of, unless otherwise specified pursuant to Section 3.01 with respect to Debt Securities of such series, (1) $1,000 in principal amount or any integral multiple thereof or (2) in the case of Debt Securities denominated in a Foreign Currency, in a denomination equal to $1,000 or an integral multiple thereof based on the Market Exchange Rate) of such Debt Security into shares of Common Shares or, as to any Debt Securities called for redemption, at any time prior to the time and date fixed for such redemption (unless the Company shall default in the payment of the Redemption Price, in which case such right shall not terminate at such time and date).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17.02. </w:t>
      </w:r>
      <w:r>
        <w:rPr>
          <w:rFonts w:ascii="Arial" w:cs="Arial" w:eastAsia="Arial" w:hAnsi="Arial"/>
          <w:sz w:val="18"/>
          <w:szCs w:val="18"/>
          <w:u w:val="single" w:color="auto"/>
          <w:color w:val="auto"/>
        </w:rPr>
        <w:t>Conversion Procedure; Conversion Price; Fractional Shares</w:t>
      </w:r>
      <w:r>
        <w:rPr>
          <w:rFonts w:ascii="Arial" w:cs="Arial" w:eastAsia="Arial" w:hAnsi="Arial"/>
          <w:sz w:val="18"/>
          <w:szCs w:val="18"/>
          <w:color w:val="auto"/>
        </w:rPr>
        <w:t>.</w:t>
      </w:r>
    </w:p>
    <w:p>
      <w:pPr>
        <w:spacing w:after="0" w:line="117" w:lineRule="exact"/>
        <w:rPr>
          <w:sz w:val="20"/>
          <w:szCs w:val="20"/>
          <w:color w:val="auto"/>
        </w:rPr>
      </w:pPr>
    </w:p>
    <w:p>
      <w:pPr>
        <w:jc w:val="both"/>
        <w:ind w:right="40" w:firstLine="458"/>
        <w:spacing w:after="0" w:line="286" w:lineRule="auto"/>
        <w:tabs>
          <w:tab w:leader="none" w:pos="69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Each Debt Security to which this Article is applicable shall be convertible at the office of the Conversion Agent, and at such other place or places, if any, specified in pursuant to Section 3.01 with respect to the Debt Securities of such series, into fully paid and nonassessable shares (calculated to the nearest 1/100th of a share) of Common Shares. The Debt Securities will be converted into shares of Common Shares at the Conversion Price therefor. No payment or adjustment shall be made in respect of dividends on the Common Shares or accrued interest on a converted Debt Security except as described in</w:t>
      </w:r>
    </w:p>
    <w:p>
      <w:pPr>
        <w:spacing w:after="0" w:line="1" w:lineRule="exact"/>
        <w:rPr>
          <w:rFonts w:ascii="Arial" w:cs="Arial" w:eastAsia="Arial" w:hAnsi="Arial"/>
          <w:sz w:val="16"/>
          <w:szCs w:val="16"/>
          <w:color w:val="auto"/>
        </w:rPr>
      </w:pPr>
    </w:p>
    <w:p>
      <w:pPr>
        <w:jc w:val="both"/>
        <w:ind w:right="180"/>
        <w:spacing w:after="0" w:line="302" w:lineRule="auto"/>
        <w:rPr>
          <w:rFonts w:ascii="Arial" w:cs="Arial" w:eastAsia="Arial" w:hAnsi="Arial"/>
          <w:sz w:val="16"/>
          <w:szCs w:val="16"/>
          <w:color w:val="auto"/>
        </w:rPr>
      </w:pPr>
      <w:r>
        <w:rPr>
          <w:rFonts w:ascii="Arial" w:cs="Arial" w:eastAsia="Arial" w:hAnsi="Arial"/>
          <w:sz w:val="16"/>
          <w:szCs w:val="16"/>
          <w:color w:val="auto"/>
        </w:rPr>
        <w:t>Section 17.09. The Company may, but shall not be required, in connection with any conversion of Debt Securities, to issue a fraction of a share of Common Shares and, if the Company shall determine not to issue any such fraction, the Company shall, subject to Section 17.03(4), make a cash payment (calculated to the nearest cent) equal to such fraction multiplied by the Closing Price of the Common Shares on the last Trading Day prior to the date of conversion.</w:t>
      </w:r>
    </w:p>
    <w:p>
      <w:pPr>
        <w:spacing w:after="0" w:line="47" w:lineRule="exact"/>
        <w:rPr>
          <w:rFonts w:ascii="Arial" w:cs="Arial" w:eastAsia="Arial" w:hAnsi="Arial"/>
          <w:sz w:val="16"/>
          <w:szCs w:val="16"/>
          <w:color w:val="auto"/>
        </w:rPr>
      </w:pPr>
    </w:p>
    <w:p>
      <w:pPr>
        <w:ind w:firstLine="458"/>
        <w:spacing w:after="0" w:line="283" w:lineRule="auto"/>
        <w:tabs>
          <w:tab w:leader="none" w:pos="70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Before any Holder of a Debt Security shall be entitled to convert the same into Common Shares, such Holder shall surrender such Debt Security duly endorsed to the Company or in blank at the office of the Conversion Agent or at such other place or places, if any, specified pursuant to Section 3.01, and shall give written notice to the Company at said office or place that he elects to convert the same and shall state in writing therein the principal amount of Debt Securities to be converted and the name or names (with addresses) in which he wishes the certificate or certificates for Common Shares to be issued; provided, however, that no Debt Security or portion thereof shall be accepted for conversion unless the principal amount of such Debt Security or such portion, when added to the principal amount of all other Debt Securities or portions thereof then being surrendered by the Holder thereof for conversion, exceeds the then effective Conversion Price with respect thereto. If more than one Debt Security shall be surrendered for conversion at one time by the same Holder, the number of full shares of Common Shares which shall be deliverable upon conversion shall be computed on the basis of the aggregate principal amount of the Debt Securities (or specified portions thereof to the extent permitted thereby) so surrendered. Subject to the next succeeding sentence, the Company will, as soon as practicable thereafter, issue and deliver at said office or place to such Holder of a Debt Security, or to his nominee or nominees, certificates for the number of full shares of Common Shares to which he shall be entitled as aforesaid, together, subject to the last sentence of paragraph</w:t>
      </w:r>
    </w:p>
    <w:p>
      <w:pPr>
        <w:spacing w:after="0" w:line="4" w:lineRule="exact"/>
        <w:rPr>
          <w:rFonts w:ascii="Arial" w:cs="Arial" w:eastAsia="Arial" w:hAnsi="Arial"/>
          <w:sz w:val="16"/>
          <w:szCs w:val="16"/>
          <w:color w:val="auto"/>
        </w:rPr>
      </w:pPr>
    </w:p>
    <w:p>
      <w:pPr>
        <w:ind w:right="240" w:firstLine="8"/>
        <w:spacing w:after="0" w:line="261" w:lineRule="auto"/>
        <w:tabs>
          <w:tab w:leader="none" w:pos="24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above, with cash in lieu of any fraction of a share to which he would otherwise be entitled. The Company shall not be required to deliver certificates for shares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19" w:name="page220"/>
    <w:bookmarkEnd w:id="219"/>
    <w:p>
      <w:pPr>
        <w:ind w:right="140"/>
        <w:spacing w:after="0" w:line="271" w:lineRule="auto"/>
        <w:rPr>
          <w:sz w:val="20"/>
          <w:szCs w:val="20"/>
          <w:color w:val="auto"/>
        </w:rPr>
      </w:pPr>
      <w:r>
        <w:rPr>
          <w:rFonts w:ascii="Arial" w:cs="Arial" w:eastAsia="Arial" w:hAnsi="Arial"/>
          <w:sz w:val="17"/>
          <w:szCs w:val="17"/>
          <w:color w:val="auto"/>
        </w:rPr>
        <w:t>of Common Shares while the share transfer books for such shares or the Register are duly closed for any purpose, but certificates for shares of Common Shares shall be issued and delivered as soon as practicable after the opening of such books or Register. A Debt Security shall be deemed to have been converted as of the close of business on the date of the surrender of such Debt Security for conversion as provided above, and the Person or Persons entitled to receive the Common Shares issuable upon such conversion shall be treated for all purposes as the record Holder or Holders of such Common Shares as of the close of business on such date. In case any Debt Security shall be surrendered for partial conversion, the Company shall execute and the Trustee shall authenticate and deliver to or upon the written order of the Holder of the Debt Securities so surrendered, without charge to such Holder (subject to the provisions of Section 17.08), a new Debt Security or Securities in authorized denominations in an aggregate principal amount equal to the unconverted portion of the surrendered Debt Security.</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17.03. </w:t>
      </w:r>
      <w:r>
        <w:rPr>
          <w:rFonts w:ascii="Arial" w:cs="Arial" w:eastAsia="Arial" w:hAnsi="Arial"/>
          <w:sz w:val="18"/>
          <w:szCs w:val="18"/>
          <w:u w:val="single" w:color="auto"/>
          <w:color w:val="auto"/>
        </w:rPr>
        <w:t>Adjustment of Conversion Price for Common Shares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Conversion Price with respect to any Debt Security which is convertible into Common Shares shall be adjusted from time to time as follows:</w:t>
      </w:r>
    </w:p>
    <w:p>
      <w:pPr>
        <w:spacing w:after="0" w:line="129" w:lineRule="exact"/>
        <w:rPr>
          <w:sz w:val="20"/>
          <w:szCs w:val="20"/>
          <w:color w:val="auto"/>
        </w:rPr>
      </w:pPr>
    </w:p>
    <w:p>
      <w:pPr>
        <w:ind w:right="220" w:firstLine="458"/>
        <w:spacing w:after="0" w:line="291" w:lineRule="auto"/>
        <w:tabs>
          <w:tab w:leader="none" w:pos="705" w:val="left"/>
        </w:tabs>
        <w:numPr>
          <w:ilvl w:val="1"/>
          <w:numId w:val="235"/>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such Debt Securities are outstanding, (i) pay a dividend in shares of its Common Shares to holders of Common Shares, (ii) combine its outstanding shares of Common Shares into a smaller number of shares of Common Shares,</w:t>
      </w:r>
    </w:p>
    <w:p>
      <w:pPr>
        <w:ind w:right="100" w:firstLine="8"/>
        <w:spacing w:after="0" w:line="286" w:lineRule="auto"/>
        <w:tabs>
          <w:tab w:leader="none" w:pos="31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subdivide its outstanding shares of Common Shares into a greater number of shares of Common Shares or (iv) make a distribution in shares of Common Shares to holders of Common Shares, then the Conversion Price in effect immediately before such action shall be adjusted so that the Holders of such Debt Securities, upon conversion thereof into Common Shares immediately following such event, shall be entitled to receive the kind and amount of shares of capital stock of the Company which they would have owned or been entitled to receive upon or by reason of such event if such Debt Securities had been converted immediately before the record dated (or, if no record date, the effective date) for such event. An adjustment made pursuant to this Section 17.03(1) shall become effective retroactively immediately after the record date in the case of a dividend or distribution and shall become effective retroactively immediately after the effective date in the case of a subdivision or combination. For the purposes of this Section 17.03(1), each Holder of Debt Securities shall be deemed to have failed to exercise any right to elect the kind or amount of securities receivable upon the payment of any such dividend, subdivision, combination or distribution (provided that if the kind or amount of securities receivable upon such dividend, subdivision, combination or distribution is not the same for each nonelecting share, then the kind and amount of securities or other property receivable upon such dividend, subdivision, combination or distribution for each nonelecting share shall be deemed to be the kind and amount so receivable per share by a plurality of the nonelecting shares).</w:t>
      </w:r>
    </w:p>
    <w:p>
      <w:pPr>
        <w:spacing w:after="0" w:line="58" w:lineRule="exact"/>
        <w:rPr>
          <w:rFonts w:ascii="Arial" w:cs="Arial" w:eastAsia="Arial" w:hAnsi="Arial"/>
          <w:sz w:val="16"/>
          <w:szCs w:val="16"/>
          <w:color w:val="auto"/>
        </w:rPr>
      </w:pPr>
    </w:p>
    <w:p>
      <w:pPr>
        <w:jc w:val="both"/>
        <w:ind w:firstLine="458"/>
        <w:spacing w:after="0" w:line="285" w:lineRule="auto"/>
        <w:tabs>
          <w:tab w:leader="none" w:pos="705"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such Debt Securities are outstanding, issue rights or warrants to all holders of shares of its Common Shares entitling them (for a period expiring within 45 days after the record date for such issuance) to subscribe for or purchase shares of Common Shares (or securities convertible into shares of Common Shares) at a price per share less than the Current Market Price of the Common Shares at such record date (treating the price per share of the securities convertible into Common Shares as equal to (x) the sum of (i) the price for a unit of the security convertible into Common Shares and (ii) any additional consideration initially payable upon the conversion of such security into Common Shares divided by</w:t>
      </w:r>
    </w:p>
    <w:p>
      <w:pPr>
        <w:spacing w:after="0" w:line="2" w:lineRule="exact"/>
        <w:rPr>
          <w:rFonts w:ascii="Arial" w:cs="Arial" w:eastAsia="Arial" w:hAnsi="Arial"/>
          <w:sz w:val="16"/>
          <w:szCs w:val="16"/>
          <w:color w:val="auto"/>
        </w:rPr>
      </w:pPr>
    </w:p>
    <w:p>
      <w:pPr>
        <w:ind w:right="20" w:firstLine="8"/>
        <w:spacing w:after="0" w:line="254" w:lineRule="auto"/>
        <w:tabs>
          <w:tab w:leader="none" w:pos="2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number of shares of Common Shares initially underlying such convertible security), the Conversion Price with respect to such Debt Securities shall be adjusted so that it shall equal the price determined by dividing the Conversion Price in effect immediately prior to the date of issuance of such rights or warrants by a fraction, the numerator of which shall be the number of shares of Common Shares outstanding on the date of issuance of such rights or warrants plus the number of additional shares of Common Shares offered for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0" w:name="page221"/>
    <w:bookmarkEnd w:id="220"/>
    <w:p>
      <w:pPr>
        <w:ind w:right="80"/>
        <w:spacing w:after="0" w:line="273" w:lineRule="auto"/>
        <w:rPr>
          <w:sz w:val="20"/>
          <w:szCs w:val="20"/>
          <w:color w:val="auto"/>
        </w:rPr>
      </w:pPr>
      <w:r>
        <w:rPr>
          <w:rFonts w:ascii="Arial" w:cs="Arial" w:eastAsia="Arial" w:hAnsi="Arial"/>
          <w:sz w:val="17"/>
          <w:szCs w:val="17"/>
          <w:color w:val="auto"/>
        </w:rPr>
        <w:t>subscription or purchase (or into which the convertible securities so offered are initially convertible), and the denominator of which shall be the number of shares of Common Shares outstanding on the date of issuance of such rights or warrants plus the number of shares of additional shares of Common Shares which the aggregate offering price of the total number of shares of securities so offered for subscription or purchase (or the aggregate purchase price of the convertible securities so offered plus the aggregate amount of any additional consideration initially payable upon conversion of such securities into Common Shares) would purchase at such Current Market Price of the Common Shares. Such adjustment shall become effective retroactively immediately after the record date for the determination of shareholders entitled to receive such rights or warrants.</w:t>
      </w:r>
    </w:p>
    <w:p>
      <w:pPr>
        <w:spacing w:after="0" w:line="70" w:lineRule="exact"/>
        <w:rPr>
          <w:sz w:val="20"/>
          <w:szCs w:val="20"/>
          <w:color w:val="auto"/>
        </w:rPr>
      </w:pPr>
    </w:p>
    <w:p>
      <w:pPr>
        <w:ind w:firstLine="458"/>
        <w:spacing w:after="0" w:line="268" w:lineRule="auto"/>
        <w:tabs>
          <w:tab w:leader="none" w:pos="70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the case the Company shall, at any time or from time to time while any of such Debt Securities are outstanding, distribute to all holders of shares of its Common Shares (including any such distribution made in connection with a consolidation or merger in which the Company is the continuing corporation and the Common Shares are not changed or exchanged) cash, evidences of its indebtedness, securities or assets (excluding (i) regular periodic cash dividends in amounts, if any, determined from time to time by the Board of Directors, (ii) dividends payable in shares of Common Shares for which adjustment is made under Section 17.03(1) or (iii) rights or warrants to subscribe for or purchase securities of the Company (excluding those referred to in Section 17.03(2))), then in each such case the Conversion Price with respect to such Debt Securities determined by dividing the Conversion Price in effect immediately prior to the date of such distribution by a fraction, the numerator of which shall be the Current Market Price of the Common Shares on the record date referred to below, and the denominator of which shall be such Current Market Price of the Common Shares less the then fair market value (as determined by the Board of Directors of the Company, whose determination shall be conclusive) of the portion of the cash or assets or evidences of indebtedness or securities so distributed or of such subscription rights or warrants applicable to one share of Common Shares (provided that such denominator shall never be less than 1.0); provided however, that no adjustment shall be made with respect to any distribution of rights to purchase securities of the Company if a Holder of Debt Securities would otherwise be entitled to receive such rights upon conversion at any time of such Debt Securities into Common Shares unless such rights are subsequently redeemed by the Company, in which case such redemption shall be treated for purposes of this Section 17.03 as a dividend on the Common Shares. Such adjustment shall become effective retroactively immediately after the record date for the determination of shareholders entitled to receive such distribution; and in the event that such distribution is not so made, the Conversion Price shall again be adjusted to the Conversion Price which would then be in effect if such record date had not been fixed.</w:t>
      </w:r>
    </w:p>
    <w:p>
      <w:pPr>
        <w:spacing w:after="0" w:line="72" w:lineRule="exact"/>
        <w:rPr>
          <w:rFonts w:ascii="Arial" w:cs="Arial" w:eastAsia="Arial" w:hAnsi="Arial"/>
          <w:sz w:val="17"/>
          <w:szCs w:val="17"/>
          <w:color w:val="auto"/>
        </w:rPr>
      </w:pPr>
    </w:p>
    <w:p>
      <w:pPr>
        <w:ind w:right="40" w:firstLine="458"/>
        <w:spacing w:after="0" w:line="259" w:lineRule="auto"/>
        <w:tabs>
          <w:tab w:leader="none" w:pos="70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 shall be entitled to make such additional adjustments in the Conversion Price, in addition to those required by subsections 17.03(1), 17.03(2), and 17.03(3), as shall be necessary in order that any dividend or distribution of Common Shares, any subdivision, reclassification or combination of shares of Common Shares or any issuance of rights or warrants referred to above shall not be taxable to the holders of Common Shares for United States Federal income tax purposes.</w:t>
      </w:r>
    </w:p>
    <w:p>
      <w:pPr>
        <w:spacing w:after="0" w:line="78" w:lineRule="exact"/>
        <w:rPr>
          <w:rFonts w:ascii="Arial" w:cs="Arial" w:eastAsia="Arial" w:hAnsi="Arial"/>
          <w:sz w:val="18"/>
          <w:szCs w:val="18"/>
          <w:color w:val="auto"/>
        </w:rPr>
      </w:pPr>
    </w:p>
    <w:p>
      <w:pPr>
        <w:ind w:right="60" w:firstLine="458"/>
        <w:spacing w:after="0" w:line="273" w:lineRule="auto"/>
        <w:tabs>
          <w:tab w:leader="none" w:pos="70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any case in which this Section 17.03 shall require that any adjustment be made effective as of or retroactively immediately following a record date, the Company may elect to defer (but only for five (5) Trading Days following the filing of the statement referred to in Section 17.05) issuing to the Holder of any Debt Securities converted after such record date the shares of Common Shares and other capital stock of the Company issuable upon such conversion over and above the shares of Common Shares and other capital stock of the Company issuable upon such conversion on the basis of the Conversion Price prior to adjustment; provided, however, that the Company shall deliver to such Holder a due bill or other appropriate instrument evidencing such Holder’s right to receive such additional shares upon the occurrence of the event requiring such adjustment.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1" w:name="page222"/>
    <w:bookmarkEnd w:id="221"/>
    <w:p>
      <w:pPr>
        <w:ind w:right="100" w:firstLine="458"/>
        <w:spacing w:after="0" w:line="255" w:lineRule="auto"/>
        <w:tabs>
          <w:tab w:leader="none" w:pos="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calculations under this Section 17.03 shall be made to the nearest cent or one-hundredth of a share of security, with one-half cent and 0.005 of a share, respectively, being rounded upward. Notwithstanding any other provision of this Section 16.03, the Company shall not be required to make any adjustment of the Conversion Price unless such adjustment would require an increase or decrease of at least 1% of such price. Any lesser adjustment shall be carried forward and shall be made at the time of and together with the next subsequent adjustment which, together with any adjustment or adjustments so carried forward, shall amount to an increase or decrease of at least 1% in such price. Any adjustments under this Section 17.03 shall be made successively whenever an event requiring such an adjustment occurs.</w:t>
      </w:r>
    </w:p>
    <w:p>
      <w:pPr>
        <w:spacing w:after="0" w:line="85" w:lineRule="exact"/>
        <w:rPr>
          <w:rFonts w:ascii="Arial" w:cs="Arial" w:eastAsia="Arial" w:hAnsi="Arial"/>
          <w:sz w:val="18"/>
          <w:szCs w:val="18"/>
          <w:color w:val="auto"/>
        </w:rPr>
      </w:pPr>
    </w:p>
    <w:p>
      <w:pPr>
        <w:ind w:right="100" w:firstLine="458"/>
        <w:spacing w:after="0" w:line="293" w:lineRule="auto"/>
        <w:tabs>
          <w:tab w:leader="none" w:pos="70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the event that at any time, as a result of an adjustment made pursuant to this Section 17.03, the Holder of any Debt Security thereafter surrendered for conversion shall become entitled to receive any shares of stock of the Company other than shares of Common Shares into which the Debt Securities originally were convertible, the Conversion Price of such other shares so receivable upon conversion of any such Debt Security shall be subject to adjustment from time to time in a manner and on terms as nearly equivalent as practicable to the provisions with respect to Common Shares contained in subparagraphs (1) through (6) of this Section 17.03, and the provisions of Sections 17.01, 17.02 and 17.04 through 17.09 with respect to the Common Shares shall apply on like or similar terms to any such other shares and the determination of the Board of Directors as to any such adjustment shall be conclusive.</w:t>
      </w:r>
    </w:p>
    <w:p>
      <w:pPr>
        <w:spacing w:after="0" w:line="56" w:lineRule="exact"/>
        <w:rPr>
          <w:rFonts w:ascii="Arial" w:cs="Arial" w:eastAsia="Arial" w:hAnsi="Arial"/>
          <w:sz w:val="16"/>
          <w:szCs w:val="16"/>
          <w:color w:val="auto"/>
        </w:rPr>
      </w:pPr>
    </w:p>
    <w:p>
      <w:pPr>
        <w:jc w:val="both"/>
        <w:ind w:right="80" w:firstLine="458"/>
        <w:spacing w:after="0" w:line="264" w:lineRule="auto"/>
        <w:tabs>
          <w:tab w:leader="none" w:pos="7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adjustment shall be made pursuant to this Section 17.03: (i) if the effect thereof would be to reduce the Conversion Price below the par value (if any) of the Common Shares or (ii) subject to 17.03(5) hereof, with respect to any Debt Security that is converted prior to the time such adjustment otherwise would be made.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Consolidation or Merger of the Company</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In case of either (a) any consolidation or merger to which the Company is a party, other than a merger or consolidation in which the Company is the surviving or continuing corporation and which does not result in a reclassification of, or change (other than a change in par value or from par value to no par value or from no par value to par value, as a result of a subdivision or combination) in, outstanding shares of Common Shares or (b) any sale or conveyance of all or substantially all of the property and assets of the Company to another Person, then each Debt Security then outstanding shall be convertible from and after such merger, consolidation, sale or conveyance of property and assets into the kind and amount of shares of stock or other securities and property (including cash) receivable upon such consolidation, merger, sale or conveyance by a holder of the number of shares of Common Shares into which such Debt Securities would have been converted immediately prior to such consolidation, merger, sale or conveyance, subject to adjustments which shall be as nearly equivalent as may be practicable to the adjustments provided for in this Article Seventeen (and assuming such holder of Common Shares failed to exercise his rights of election, if any, as to the kind or amount of securities, cash or other property (including cash) receivable upon such consolidation, merger, sale or conveyance (provided that, if the kind or amount of securities, cash or other property (including cash) receivable upon such consolidation, merger, sale or conveyance is not the same for each nonelecting share, then the kind and amount of securities, cash or other property (including cash) receivable upon such consolidation, merger, sale or conveyance for each nonelecting share shall be deemed to be the kind and amount so receivable per share by a plurality of the nonelecting shares or securities)). The Company shall not enter into any of the transactions referred to in clause (a) or (b) of the preceding sentence unless effective provision shall be made so as to give effect to the provisions set forth in this Section 17.04. The provisions of this Section 17.04 shall apply similarly to successive consolidations, mergers, sales or conveyances.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2" w:name="page223"/>
    <w:bookmarkEnd w:id="222"/>
    <w:p>
      <w:pPr>
        <w:ind w:left="460"/>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Notice of Adjustment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an adjustment in the Conversion Price with respect to a series of Debt Securities is required:</w:t>
      </w:r>
    </w:p>
    <w:p>
      <w:pPr>
        <w:spacing w:after="0" w:line="117" w:lineRule="exact"/>
        <w:rPr>
          <w:sz w:val="20"/>
          <w:szCs w:val="20"/>
          <w:color w:val="auto"/>
        </w:rPr>
      </w:pPr>
    </w:p>
    <w:p>
      <w:pPr>
        <w:ind w:right="120" w:firstLine="458"/>
        <w:spacing w:after="0" w:line="286" w:lineRule="auto"/>
        <w:tabs>
          <w:tab w:leader="none" w:pos="70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Company shall forthwith place on file with the Trustee and any Conversion Agent for such Securities a certificate of the Treasurer of the Company, stating the adjusted Conversion Price determined as provided herein and setting forth in reasonable detail such facts as shall be necessary to show the reason for and the manner of computing such adjustment, such certificate to be conclusive evidence that the adjustment is correct; and</w:t>
      </w:r>
    </w:p>
    <w:p>
      <w:pPr>
        <w:spacing w:after="0" w:line="57" w:lineRule="exact"/>
        <w:rPr>
          <w:rFonts w:ascii="Arial" w:cs="Arial" w:eastAsia="Arial" w:hAnsi="Arial"/>
          <w:sz w:val="17"/>
          <w:szCs w:val="17"/>
          <w:color w:val="auto"/>
        </w:rPr>
      </w:pPr>
    </w:p>
    <w:p>
      <w:pPr>
        <w:ind w:left="720" w:hanging="262"/>
        <w:spacing w:after="0"/>
        <w:tabs>
          <w:tab w:leader="none" w:pos="7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 notice stating that the Conversion Price has been adjusted and setting forth the adjusted Conversion Price shall forthwith be given by the</w:t>
      </w:r>
    </w:p>
    <w:p>
      <w:pPr>
        <w:spacing w:after="0" w:line="34" w:lineRule="exact"/>
        <w:rPr>
          <w:rFonts w:ascii="Arial" w:cs="Arial" w:eastAsia="Arial" w:hAnsi="Arial"/>
          <w:sz w:val="17"/>
          <w:szCs w:val="17"/>
          <w:color w:val="auto"/>
        </w:rPr>
      </w:pPr>
    </w:p>
    <w:p>
      <w:pPr>
        <w:ind w:right="60"/>
        <w:spacing w:after="0" w:line="261" w:lineRule="auto"/>
        <w:rPr>
          <w:rFonts w:ascii="Arial" w:cs="Arial" w:eastAsia="Arial" w:hAnsi="Arial"/>
          <w:sz w:val="17"/>
          <w:szCs w:val="17"/>
          <w:color w:val="auto"/>
        </w:rPr>
      </w:pPr>
      <w:r>
        <w:rPr>
          <w:rFonts w:ascii="Arial" w:cs="Arial" w:eastAsia="Arial" w:hAnsi="Arial"/>
          <w:sz w:val="18"/>
          <w:szCs w:val="18"/>
          <w:color w:val="auto"/>
        </w:rPr>
        <w:t>Company, or at the Company’s request, by the Trustee in the name and at the expense of the Company, in the manner provided in Section 1.05. Any notice so given shall be conclusively presumed to have been duly given, whether or not the Holder receives such notice.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u w:val="single" w:color="auto"/>
          <w:color w:val="auto"/>
        </w:rPr>
        <w:t>Notice in Certain Events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case:</w:t>
      </w:r>
    </w:p>
    <w:p>
      <w:pPr>
        <w:spacing w:after="0" w:line="117" w:lineRule="exact"/>
        <w:rPr>
          <w:sz w:val="20"/>
          <w:szCs w:val="20"/>
          <w:color w:val="auto"/>
        </w:rPr>
      </w:pPr>
    </w:p>
    <w:p>
      <w:pPr>
        <w:ind w:right="60" w:firstLine="458"/>
        <w:spacing w:after="0" w:line="286" w:lineRule="auto"/>
        <w:tabs>
          <w:tab w:leader="none" w:pos="70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of a consolidation or merger to which the Company is a party and for which approval of any shareholders of the Company is required, or of the sale or conveyance to another Person or entity or group of Persons or entities acting in concert as a partnership, limited partnership, syndicate or other group (within the meaning of Rule 13d-3 under the Exchange Act) of all or substantially all of the property and assets of the Company; or</w:t>
      </w:r>
    </w:p>
    <w:p>
      <w:pPr>
        <w:spacing w:after="0" w:line="57" w:lineRule="exact"/>
        <w:rPr>
          <w:rFonts w:ascii="Arial" w:cs="Arial" w:eastAsia="Arial" w:hAnsi="Arial"/>
          <w:sz w:val="17"/>
          <w:szCs w:val="17"/>
          <w:color w:val="auto"/>
        </w:rPr>
      </w:pPr>
    </w:p>
    <w:p>
      <w:pPr>
        <w:ind w:left="720" w:hanging="262"/>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 or</w:t>
      </w:r>
    </w:p>
    <w:p>
      <w:pPr>
        <w:spacing w:after="0" w:line="117" w:lineRule="exact"/>
        <w:rPr>
          <w:rFonts w:ascii="Arial" w:cs="Arial" w:eastAsia="Arial" w:hAnsi="Arial"/>
          <w:sz w:val="18"/>
          <w:szCs w:val="18"/>
          <w:color w:val="auto"/>
        </w:rPr>
      </w:pPr>
    </w:p>
    <w:p>
      <w:pPr>
        <w:ind w:firstLine="458"/>
        <w:spacing w:after="0" w:line="270" w:lineRule="auto"/>
        <w:tabs>
          <w:tab w:leader="none" w:pos="70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of any action triggering an adjustment of the Conversion Price pursuant to this Article Seventeen; then, in each case, the Company shall cause to be filed with the Trustee and the Conversion Agent for the applicable Debt Securities, and shall cause to be given, to the Holders of record of applicable Debt Securities in the manner provided in Section 1.05, at least fifteen (15) days prior to the applicable date hereinafter specified, a notice stating (x) the date on which a record is to be taken for the purpose of any distribution or grant of rights or warrants triggering an adjustment to the Conversion Price pursuant to this Article Seventeen, or, if a record is not to be taken, the date as of which the holders of record or Common Shares entitled to such distribution, rights or warrants are to be determined, or (y) the date on which any reclassification, consolidation, merger, sale, conveyance, dissolution, liquidation or winding up triggering an adjustment to the Conversion Price pursuant to this Article Seventeen is expected to become effective, and the date as of which it is expected that holders of Common Shares of record shall be entitled to exchange their Common Shares for securities or other property deliverable upon such reclassification, consolidation, merger, sale, conveyance, dissolution, liquidation or winding up.</w:t>
      </w:r>
    </w:p>
    <w:p>
      <w:pPr>
        <w:spacing w:after="0" w:line="74"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Failure to give such notice or any defect therein shall not affect the legality or validity of the proceedings described in clause (1), (2), or (3) of this Section 17.06.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3" w:name="page224"/>
    <w:bookmarkEnd w:id="223"/>
    <w:p>
      <w:pPr>
        <w:ind w:left="460"/>
        <w:spacing w:after="0"/>
        <w:rPr>
          <w:sz w:val="20"/>
          <w:szCs w:val="20"/>
          <w:color w:val="auto"/>
        </w:rPr>
      </w:pPr>
      <w:r>
        <w:rPr>
          <w:rFonts w:ascii="Arial" w:cs="Arial" w:eastAsia="Arial" w:hAnsi="Arial"/>
          <w:sz w:val="18"/>
          <w:szCs w:val="18"/>
          <w:color w:val="auto"/>
        </w:rPr>
        <w:t xml:space="preserve">Section 17.07. </w:t>
      </w:r>
      <w:r>
        <w:rPr>
          <w:rFonts w:ascii="Arial" w:cs="Arial" w:eastAsia="Arial" w:hAnsi="Arial"/>
          <w:sz w:val="18"/>
          <w:szCs w:val="18"/>
          <w:u w:val="single" w:color="auto"/>
          <w:color w:val="auto"/>
        </w:rPr>
        <w:t>Company to Reserve Shares; Registration; Listing</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70" w:lineRule="auto"/>
        <w:tabs>
          <w:tab w:leader="none" w:pos="69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The Company shall at all times reserve and keep available, free from preemptive rights, out of its authorized but unissued shares of Common Shares, for the purpose of effecting the conversion of the Debt Securities, such number of its duly authorized shares of Common Shares as shall from time to time be sufficient to effect the conversion of all applicable outstanding Debt Securities into such Common Shares at any time (assuming that, at the time of the computation of such number of shares or securities, all such Debt Securities would be held by a single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herein shall preclude the Company from satisfying its obligations in respect of the conversion of the Debt Securities by delivery of purchased shares of Common Shares which are held in the treasury of the Company. The Company shall from time to time, in accordance with the laws of the State of Ohio, use its best efforts to cause the authorized amount of the Common Shares to be increased if the aggregate of the authorized amount of the Common Shares remaining unissued and the issued shares of such Common Shares in its treasury (other than any such shares reserved for issuance in any other connection) shall not be sufficient to permit the conversion of all Debt Securities.</w:t>
      </w:r>
    </w:p>
    <w:p>
      <w:pPr>
        <w:spacing w:after="0" w:line="73" w:lineRule="exact"/>
        <w:rPr>
          <w:rFonts w:ascii="Arial" w:cs="Arial" w:eastAsia="Arial" w:hAnsi="Arial"/>
          <w:sz w:val="17"/>
          <w:szCs w:val="17"/>
          <w:color w:val="auto"/>
        </w:rPr>
      </w:pPr>
    </w:p>
    <w:p>
      <w:pPr>
        <w:jc w:val="both"/>
        <w:ind w:firstLine="458"/>
        <w:spacing w:after="0" w:line="257" w:lineRule="auto"/>
        <w:tabs>
          <w:tab w:leader="none" w:pos="70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any shares of Common Shares which would be issuable upon conversion of Debt Securities hereunder require registration with or approval of any governmental authority before such shares or securities may be issued upon such conversion, the Company will in good faith and as expeditiously as possible endeavor to cause such shares or securities to be duly registered or approved, as the case may be. The Company will endeavor to list the shares of Common Shares required to be delivered upon conversion of the Debt Securities prior to such delivery upon the principal national securities exchange upon which the outstanding Common Shares are listed at the time of such delivery.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Company shall pay any and all documentary, stamp or similar issue or transfer taxes that may be payable in respect of the issue or delivery of shares of Common Shares on conversion of Debt Securities pursuant hereto. The Company shall not, however, be required to pay any such tax which may be payable in respect of any transfer involved in the issue or delivery of shares of Common Shares or the portion, if any, of the Debt Securities which are not so converted in a name other than that in which the Debt Securities so converted were registered, and no such issue or delivery shall be made unless and until the Person requesting such issue has paid to the Company the amount of such tax or has established to the satisfaction of the Company that such tax has been paid.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17.09. </w:t>
      </w:r>
      <w:r>
        <w:rPr>
          <w:rFonts w:ascii="Arial" w:cs="Arial" w:eastAsia="Arial" w:hAnsi="Arial"/>
          <w:sz w:val="18"/>
          <w:szCs w:val="18"/>
          <w:u w:val="single" w:color="auto"/>
          <w:color w:val="auto"/>
        </w:rPr>
        <w:t>Conversion After Record Date</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If any Debt Securities are surrendered for conversion subsequent to the record date preceding an Interest Payment Date but on or prior to such Interest Payment Date (except Debt Securities called for redemption on a Redemption Date between such record date and Interest Payment Date), the Holder of such Debt Securities at the close of business on such record date shall be entitled to receive the interest payable on such Debt Securities on such Interest Payment Date notwithstanding the conversion thereof. Debt Securities surrendered for conversion during the period from the close of business on any record date next preceding any Interest Payment Date to the opening of business on such Interest Payment Date to the opening of business on such Interest Payment Date shall (except in the case of Debt Securities which have been called for redemption on a Redemption Date within such period) be accompanied by payment to the Company and in the Currency acceptable to the Company of an amount equal to the interest payable on such Interest Payment Date on the Debt Securities being surrendered for conversion. Except as provided in this Section 17.09, no adjustments in respect of payments of interest on Debt Securities surrendered for conversion or any dividends or distributions of interest on the Common Shares issued upon conversion shall be made upon the conversion of any Debt Securities.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4" w:name="page225"/>
    <w:bookmarkEnd w:id="224"/>
    <w:p>
      <w:pPr>
        <w:ind w:left="460"/>
        <w:spacing w:after="0"/>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u w:val="single" w:color="auto"/>
          <w:color w:val="auto"/>
        </w:rPr>
        <w:t>Company Determination Final</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determination that the Company or the Board of Directors must make pursuant to this Article is conclusive.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17.11.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jc w:val="both"/>
        <w:ind w:right="120" w:firstLine="447"/>
        <w:spacing w:after="0" w:line="259" w:lineRule="auto"/>
        <w:rPr>
          <w:sz w:val="20"/>
          <w:szCs w:val="20"/>
          <w:color w:val="auto"/>
        </w:rPr>
      </w:pPr>
      <w:r>
        <w:rPr>
          <w:rFonts w:ascii="Arial" w:cs="Arial" w:eastAsia="Arial" w:hAnsi="Arial"/>
          <w:sz w:val="18"/>
          <w:szCs w:val="18"/>
          <w:color w:val="auto"/>
        </w:rPr>
        <w:t>The Trustee has no duty to determine when an adjustment under this Article should be made, how it should be made or what it should be. The Trustee makes no representation as to the validity or value of any securities or assets issued upon conversion of Debt Securities. The Trustee shall not be responsible for the Company’s failure to comply with this Article. Each Conversion Agent other than the Company shall have the same protection under this Section 17.11 as the Trustee.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EIGHTEEN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18.01. </w:t>
      </w:r>
      <w:r>
        <w:rPr>
          <w:rFonts w:ascii="Arial" w:cs="Arial" w:eastAsia="Arial" w:hAnsi="Arial"/>
          <w:sz w:val="18"/>
          <w:szCs w:val="18"/>
          <w:u w:val="single" w:color="auto"/>
          <w:color w:val="auto"/>
        </w:rPr>
        <w:t>Unconditional Guarantee</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342" w:lineRule="auto"/>
        <w:tabs>
          <w:tab w:leader="none" w:pos="69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Notwithstanding any provision of this Article to the contrary, the provisions of this Article shall be applicable only to, and inure solely to the benefit of, the Debt Securities of any series designated, pursuant to Section 3.01, as entitled to the benefits of the Guarantee of each of the Guarantors.</w:t>
      </w:r>
    </w:p>
    <w:p>
      <w:pPr>
        <w:spacing w:after="0" w:line="15" w:lineRule="exact"/>
        <w:rPr>
          <w:rFonts w:ascii="Arial" w:cs="Arial" w:eastAsia="Arial" w:hAnsi="Arial"/>
          <w:sz w:val="16"/>
          <w:szCs w:val="16"/>
          <w:color w:val="auto"/>
        </w:rPr>
      </w:pPr>
    </w:p>
    <w:p>
      <w:pPr>
        <w:ind w:right="60" w:firstLine="458"/>
        <w:spacing w:after="0" w:line="257" w:lineRule="auto"/>
        <w:tabs>
          <w:tab w:leader="none" w:pos="7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For value received, each of the Guarantors hereby fully, unconditionally and absolutely guarantees (the “Guarantee”) to the Holders of such series of Debt Securities and to the Trustee the due and punctual payment of the principal of, and premium, if any, and interest on the Debt Securities and all other amounts due and payable under this Indenture and the Debt Securities by the Company, when and as such principal, premium, if any, and interest shall become due and payable, whether at the stated maturity or by declaration of acceleration, call for redemption or otherwise, according to the terms of the Debt Securities and this Indenture, subject to the limitations set forth in Section 18.03.</w:t>
      </w:r>
    </w:p>
    <w:p>
      <w:pPr>
        <w:spacing w:after="0" w:line="80" w:lineRule="exact"/>
        <w:rPr>
          <w:rFonts w:ascii="Arial" w:cs="Arial" w:eastAsia="Arial" w:hAnsi="Arial"/>
          <w:sz w:val="18"/>
          <w:szCs w:val="18"/>
          <w:color w:val="auto"/>
        </w:rPr>
      </w:pPr>
    </w:p>
    <w:p>
      <w:pPr>
        <w:ind w:firstLine="458"/>
        <w:spacing w:after="0" w:line="286" w:lineRule="auto"/>
        <w:tabs>
          <w:tab w:leader="none" w:pos="69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Failing payment when due of any amount guaranteed pursuant to the Guarantee, for whatever reason, each of the Guarantors will be jointly and severally obligated to pay the same immediately. The obligations of each Guarantor under its Guarantee pursuant to this Article Eighteen are expressly made subordinate and subject in right of payment to the prior payment in full of all Senior Guarantor Indebtedness of such Guarantor, in each case on the same basis as the indebtedness of the Company represented by the Debt Securities; and the payment of the principal of (and premium, if any) and interest on the Debt Securities is subordinate and subject in right of payment to the prior payment in full of all Senior Indebtedness. For the purpose of the foregoing sentence, the Trustee and the Holders shall have the right to receive and/or retain payments by any Guarantor only at such times as they may receive and/or retain payments and distributions in respect of the Debt Securities pursuant to this Indenture, including Article Sixteen hereof. Each of the Guarantors hereby agrees that its obligations hereunder shall be full, unconditional and absolute, irrespective of the validity, regularity or enforceability of the Debt Securities, the Guarantee (including the Guarantee of any other Guarantor) or this Indenture, the absence of any action to enforce the same, any waiver or consent by any Holder of the Debt Securities with respect to any provisions hereof or thereof, the recovery of any judgment against the Company or any other Guarantor, or any action to enforce the same or any other circumstances which might otherwise constitute a legal or equitable discharge or defense of the Guarantors. Each of the Guarantors hereby agrees that in the event of a default in payment of the principal of, or premium, if any, or interest on the Debt Securities, whether at the Stated Maturity or by declaration of acceleration, call for redemption or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5" w:name="page226"/>
    <w:bookmarkEnd w:id="225"/>
    <w:p>
      <w:pPr>
        <w:ind w:right="40"/>
        <w:spacing w:after="0" w:line="342" w:lineRule="auto"/>
        <w:rPr>
          <w:sz w:val="20"/>
          <w:szCs w:val="20"/>
          <w:color w:val="auto"/>
        </w:rPr>
      </w:pPr>
      <w:r>
        <w:rPr>
          <w:rFonts w:ascii="Arial" w:cs="Arial" w:eastAsia="Arial" w:hAnsi="Arial"/>
          <w:sz w:val="16"/>
          <w:szCs w:val="16"/>
          <w:color w:val="auto"/>
        </w:rPr>
        <w:t>otherwise, legal proceedings may be instituted by the Trustee on behalf of the Holders or, subject to Section 5.07, by the Holders, on the terms and conditions set forth in this Indenture, directly against such Guarantor to enforce the Guarantee without first proceeding against the Company or any other Guarantor.</w:t>
      </w:r>
    </w:p>
    <w:p>
      <w:pPr>
        <w:spacing w:after="0" w:line="16" w:lineRule="exact"/>
        <w:rPr>
          <w:sz w:val="20"/>
          <w:szCs w:val="20"/>
          <w:color w:val="auto"/>
        </w:rPr>
      </w:pPr>
    </w:p>
    <w:p>
      <w:pPr>
        <w:ind w:firstLine="458"/>
        <w:spacing w:after="0" w:line="283" w:lineRule="auto"/>
        <w:tabs>
          <w:tab w:leader="none" w:pos="702"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obligations of each of the Guarantors under this Article shall be as aforesaid full,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Company or any of the Guarantors contained in the Debt Securities or this Indenture, (B) any impairment, modification, release or limitation of the liability of the Company, any of the Guarantors or either of their estates in bankruptcy, or any remedy for the enforcement thereof, resulting from the operation of any present or future provision of any applicable bankruptcy law, or other statute or from the decision of any court, (C) the assertion or exercise by the Company, any of the Guarantors or the Trustee of any rights or remedies under the Debt Securities or this Indenture or their delay in or failure to assert or exercise any such rights or remedies, (D) the assignment or the purported assignment of any property as security for the Debt Securities, including all or any part of the rights of the Company or any of the Guarantors under this Indenture, (E) the extension of the time for payment by the Company or any of the Guarantors of any payments or other sums or any part thereof owing or payable under any of the terms and provisions of the Debt Securities or this Indenture or of the time for performance by the Company or any of the Guarantors of any other obligations under or arising out of any such terms and provisions or the extension or the renewal of any thereof, (F) the modification or amendment (whether material or otherwise) of any duty, agreement or obligation of the Company or any of the Guarantors set forth in this Indenture,</w:t>
      </w:r>
    </w:p>
    <w:p>
      <w:pPr>
        <w:spacing w:after="0" w:line="3" w:lineRule="exact"/>
        <w:rPr>
          <w:rFonts w:ascii="Arial" w:cs="Arial" w:eastAsia="Arial" w:hAnsi="Arial"/>
          <w:sz w:val="16"/>
          <w:szCs w:val="16"/>
          <w:color w:val="auto"/>
        </w:rPr>
      </w:pPr>
    </w:p>
    <w:p>
      <w:pPr>
        <w:ind w:firstLine="8"/>
        <w:spacing w:after="0" w:line="269" w:lineRule="auto"/>
        <w:tabs>
          <w:tab w:leader="none" w:pos="29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Company or any of the Guarantors or any of their respective assets, or the disaffirmance of the Debt Securities, the Guarantee or this Indenture in any such proceeding, (H) the release or discharge of the Company or any of the Guarantors from the performance or observance of any agreement, covenant, term or condition contained in any of such instruments by operation of law, (I) the unenforceability of the Debt Securities, the Guarantee or this Indenture or (J) any other circumstances (other than payment in full or discharge of all amounts guaranteed pursuant to the Guarantee) which might otherwise constitute a legal or equitable discharge of a surety or guarantor.</w:t>
      </w:r>
    </w:p>
    <w:p>
      <w:pPr>
        <w:spacing w:after="0" w:line="72" w:lineRule="exact"/>
        <w:rPr>
          <w:rFonts w:ascii="Arial" w:cs="Arial" w:eastAsia="Arial" w:hAnsi="Arial"/>
          <w:sz w:val="17"/>
          <w:szCs w:val="17"/>
          <w:color w:val="auto"/>
        </w:rPr>
      </w:pPr>
    </w:p>
    <w:p>
      <w:pPr>
        <w:ind w:firstLine="458"/>
        <w:spacing w:after="0" w:line="253" w:lineRule="auto"/>
        <w:tabs>
          <w:tab w:leader="none" w:pos="69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Each of the Guarantors hereby (A) waives diligence, presentment, demand of payment, filing of claims with a court in the event of the merger, insolvency or bankruptcy of the Company or any of the Guarantors, and all demands whatsoever, (B) acknowledges that any agreement, instrument or document evidencing the Guarantee may be transferred and that the benefit of its obligations hereunder shall extend to each holder of any agreement, instrument or document evidencing the Guarantee without notice to it and (C) covenants that the Guarantee will not be discharged except by complete performance of the Guarantee. Each of the Guarantors further agrees that if at any time all or any part of any payment theretofore applied by any Person to the Guarantee is, or must be, rescinded or returned for any reason whatsoever, including without limitation, the insolvency, bankruptcy or reorganization of the Company or any of the Guarantors, the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89" w:lineRule="exact"/>
        <w:rPr>
          <w:rFonts w:ascii="Arial" w:cs="Arial" w:eastAsia="Arial" w:hAnsi="Arial"/>
          <w:sz w:val="18"/>
          <w:szCs w:val="18"/>
          <w:color w:val="auto"/>
        </w:rPr>
      </w:pPr>
    </w:p>
    <w:p>
      <w:pPr>
        <w:ind w:right="120" w:firstLine="458"/>
        <w:spacing w:after="0" w:line="342" w:lineRule="auto"/>
        <w:tabs>
          <w:tab w:leader="none" w:pos="675" w:val="left"/>
        </w:tabs>
        <w:numPr>
          <w:ilvl w:val="1"/>
          <w:numId w:val="245"/>
        </w:numPr>
        <w:rPr>
          <w:rFonts w:ascii="Arial" w:cs="Arial" w:eastAsia="Arial" w:hAnsi="Arial"/>
          <w:sz w:val="16"/>
          <w:szCs w:val="16"/>
          <w:color w:val="auto"/>
        </w:rPr>
      </w:pPr>
      <w:r>
        <w:rPr>
          <w:rFonts w:ascii="Arial" w:cs="Arial" w:eastAsia="Arial" w:hAnsi="Arial"/>
          <w:sz w:val="16"/>
          <w:szCs w:val="16"/>
          <w:color w:val="auto"/>
        </w:rPr>
        <w:t xml:space="preserve">Each of the Guarantors shall be subrogated to all rights of the Holders and the Trustee against the Company in respect of any amounts paid by such Guarantor pursuant to the provisions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Guarantor shall not be entitled to enforce or to receive 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6" w:name="page227"/>
    <w:bookmarkEnd w:id="226"/>
    <w:p>
      <w:pPr>
        <w:spacing w:after="0"/>
        <w:rPr>
          <w:sz w:val="20"/>
          <w:szCs w:val="20"/>
          <w:color w:val="auto"/>
        </w:rPr>
      </w:pPr>
      <w:r>
        <w:rPr>
          <w:rFonts w:ascii="Arial" w:cs="Arial" w:eastAsia="Arial" w:hAnsi="Arial"/>
          <w:sz w:val="16"/>
          <w:szCs w:val="16"/>
          <w:color w:val="auto"/>
        </w:rPr>
        <w:t>payments arising out of, or based upon, such right of subrogation until all of the Debt Securities and the Guarantee shall have been paid in full or discharged.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18.02. </w:t>
      </w:r>
      <w:r>
        <w:rPr>
          <w:rFonts w:ascii="Arial" w:cs="Arial" w:eastAsia="Arial" w:hAnsi="Arial"/>
          <w:sz w:val="18"/>
          <w:szCs w:val="18"/>
          <w:u w:val="single" w:color="auto"/>
          <w:color w:val="auto"/>
        </w:rPr>
        <w:t>Execution and Delivery of Guarantee.</w:t>
      </w:r>
    </w:p>
    <w:p>
      <w:pPr>
        <w:spacing w:after="0" w:line="117" w:lineRule="exact"/>
        <w:rPr>
          <w:sz w:val="20"/>
          <w:szCs w:val="20"/>
          <w:color w:val="auto"/>
        </w:rPr>
      </w:pPr>
    </w:p>
    <w:p>
      <w:pPr>
        <w:ind w:right="80" w:firstLine="458"/>
        <w:spacing w:after="0" w:line="289" w:lineRule="auto"/>
        <w:tabs>
          <w:tab w:leader="none" w:pos="69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To further evidence the Guarantee set forth in Section 18.01, each of the Guarantors hereby agrees that a notation relating to such Guarantee, substantially in the form attached to the supplemental indenture for the applicable Debt Securities, shall be endorsed on each Debt Security entitled to the benefits of the Guarantee authenticated and delivered by the Trustee and executed by either manual or facsimile signature of an officer of such Guarantor, or in the case of a Guarantor that is a limited partnership, an officer of the general partner of each Guarantor. Each of the Guarantors hereby agrees that the Guarantee set forth in Section 18.01 shall remain in full force and effect notwithstanding any failure to endorse on each Debt Security a notation relating to the Guarantee. If any officer of the Guarantor, or in the case of a Guarantor that is a limited partnership, any officer of the general partner of the Guarantor, whose signature is on this Indenture or a Debt Security no longer holds that office at the time the Trustee authenticates such Debt Security or at any time thereafter, the Guarantee of such Debt Security shall be valid nevertheless. The delivery of any Debt Security by the Trustee, after the authentication thereof hereunder, shall constitute due delivery of the Guarantee set forth in this Indenture on behalf of the Guarantors.</w:t>
      </w:r>
    </w:p>
    <w:p>
      <w:pPr>
        <w:spacing w:after="0" w:line="58" w:lineRule="exact"/>
        <w:rPr>
          <w:rFonts w:ascii="Arial" w:cs="Arial" w:eastAsia="Arial" w:hAnsi="Arial"/>
          <w:sz w:val="16"/>
          <w:szCs w:val="16"/>
          <w:color w:val="auto"/>
        </w:rPr>
      </w:pPr>
    </w:p>
    <w:p>
      <w:pPr>
        <w:ind w:left="700" w:hanging="242"/>
        <w:spacing w:after="0"/>
        <w:tabs>
          <w:tab w:leader="none" w:pos="7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Trustee hereby accepts the trusts in this Indenture upon the terms and conditions herein set forth.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18.03. </w:t>
      </w:r>
      <w:r>
        <w:rPr>
          <w:rFonts w:ascii="Arial" w:cs="Arial" w:eastAsia="Arial" w:hAnsi="Arial"/>
          <w:sz w:val="18"/>
          <w:szCs w:val="18"/>
          <w:u w:val="single" w:color="auto"/>
          <w:color w:val="auto"/>
        </w:rPr>
        <w:t>Limitation on Guarantors’ Liability</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Each Guarantor and by its acceptance hereof each Holder of a Debt Security entitled to the benefits of the Guarantee hereby confirms that it is the intention of all such parties that the guarantee by such Guarantor pursuant to its Guarantee not constitute a fraudulent transfer or conveyance for purposes of any Federal or state law. To effectuate the foregoing intention, the Holders of a Debt Security entitled to the benefits of the Guarantee and the Guarantors hereby irrevocably agree that the obligations of each Guarantor under its Guarantee shall be limited to the maximum amount as will, after giving effect to all other contingent and fixed liabilities of such Guarantor and to any collections from or payments made by or on behalf of any other Guarantor in respect of the obligations of such other Guarantor under its Guarantee, result in the obligations of such Guarantor under the Guarantee not constituting a fraudulent conveyance or fraudulent transfer under Federal or state law.</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18.04. </w:t>
      </w:r>
      <w:r>
        <w:rPr>
          <w:rFonts w:ascii="Arial" w:cs="Arial" w:eastAsia="Arial" w:hAnsi="Arial"/>
          <w:sz w:val="18"/>
          <w:szCs w:val="18"/>
          <w:u w:val="single" w:color="auto"/>
          <w:color w:val="auto"/>
        </w:rPr>
        <w:t>Release of Guarantors from Guarantee</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Guarantee of a Guarantor will be released:</w:t>
      </w:r>
    </w:p>
    <w:p>
      <w:pPr>
        <w:spacing w:after="0" w:line="117" w:lineRule="exact"/>
        <w:rPr>
          <w:rFonts w:ascii="Arial" w:cs="Arial" w:eastAsia="Arial" w:hAnsi="Arial"/>
          <w:sz w:val="18"/>
          <w:szCs w:val="18"/>
          <w:color w:val="auto"/>
        </w:rPr>
      </w:pPr>
    </w:p>
    <w:p>
      <w:pPr>
        <w:ind w:right="380" w:firstLine="683"/>
        <w:spacing w:after="0" w:line="277" w:lineRule="auto"/>
        <w:tabs>
          <w:tab w:leader="none" w:pos="93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that Guarantor (including by way of merger or consolidation), in accordance with this Indenture, to any Person other than the Company;</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 or</w:t>
      </w:r>
    </w:p>
    <w:p>
      <w:pPr>
        <w:spacing w:after="0" w:line="117" w:lineRule="exact"/>
        <w:rPr>
          <w:rFonts w:ascii="Arial" w:cs="Arial" w:eastAsia="Arial" w:hAnsi="Arial"/>
          <w:sz w:val="18"/>
          <w:szCs w:val="18"/>
          <w:color w:val="auto"/>
        </w:rPr>
      </w:pPr>
    </w:p>
    <w:p>
      <w:pPr>
        <w:ind w:right="220" w:firstLine="683"/>
        <w:spacing w:after="0" w:line="277" w:lineRule="auto"/>
        <w:tabs>
          <w:tab w:leader="none" w:pos="93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if the Company exercises its Legal Defeasance option or Covenant Defeasance option pursuant to Section 15.01 with respect to such series of Debt Securities or if the obligations under this Indenture are discharged in accordance with Section 4.01.</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27" w:name="page228"/>
    <w:bookmarkEnd w:id="227"/>
    <w:p>
      <w:pPr>
        <w:ind w:right="160" w:firstLine="458"/>
        <w:spacing w:after="0" w:line="302" w:lineRule="auto"/>
        <w:tabs>
          <w:tab w:leader="none" w:pos="70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Trustee shall deliver an appropriate instrument evidencing any release of a Guarantor from the Guarantee upon receipt of a written request of the Company accompanied by an Officers’ Certificate and an Opinion of Counsel that the Guarantor is entitled to such release in accordance with the provisions of this Indenture. Any Guarantor not so released remains liable for the full amount of principal of (and premium, if any, on) and interest on the Debt Securities entitled to the benefits of such Guarantee as provided in this Indenture, subject to the limitations of Section 18.03.</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18.05. </w:t>
      </w:r>
      <w:r>
        <w:rPr>
          <w:rFonts w:ascii="Arial" w:cs="Arial" w:eastAsia="Arial" w:hAnsi="Arial"/>
          <w:sz w:val="18"/>
          <w:szCs w:val="18"/>
          <w:u w:val="single" w:color="auto"/>
          <w:color w:val="auto"/>
        </w:rPr>
        <w:t>Guarantor Contribution</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In order to provide for just and equitable contribution among the Guarantors, the Guarantors hereby agree, </w:t>
      </w:r>
      <w:r>
        <w:rPr>
          <w:rFonts w:ascii="Arial" w:cs="Arial" w:eastAsia="Arial" w:hAnsi="Arial"/>
          <w:sz w:val="17"/>
          <w:szCs w:val="17"/>
          <w:i w:val="1"/>
          <w:iCs w:val="1"/>
          <w:color w:val="auto"/>
        </w:rPr>
        <w:t>inter se</w:t>
      </w:r>
      <w:r>
        <w:rPr>
          <w:rFonts w:ascii="Arial" w:cs="Arial" w:eastAsia="Arial" w:hAnsi="Arial"/>
          <w:sz w:val="17"/>
          <w:szCs w:val="17"/>
          <w:color w:val="auto"/>
        </w:rPr>
        <w:t>, that in the event any payment or distribution is made by any Guarantor (a “Funding Guarantor”) under its Guarantee, such Guarantor shall be entitled to a contribution from each other Guarantor (if any) in a pro rata amount based on the net assets of each Guarantor (including the Funding Guarantor) as of the most recently completed fiscal quarter of such Guarantor, for all payments, damages and expenses incurred by that Funding Guarantor in discharging the Company’ obligations with respect to the Debt Securities or any other Guarantor’s obligations with respect to its Guarantee.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ectPr>
          <w:pgSz w:w="11900" w:h="16838" w:orient="portrait"/>
          <w:cols w:equalWidth="0" w:num="1">
            <w:col w:w="9759"/>
          </w:cols>
          <w:pgMar w:left="700" w:top="936" w:right="1440" w:bottom="1440" w:gutter="0" w:footer="0" w:header="0"/>
        </w:sectPr>
      </w:pPr>
    </w:p>
    <w:p>
      <w:pPr>
        <w:spacing w:after="0" w:line="248"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THE SCOTTS MIRACLE-GRO COMPANY</w:t>
      </w: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-130810</wp:posOffset>
            </wp:positionV>
            <wp:extent cx="27959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-10160</wp:posOffset>
            </wp:positionV>
            <wp:extent cx="11430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-130810</wp:posOffset>
            </wp:positionV>
            <wp:extent cx="279590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9759"/>
          </w:cols>
          <w:pgMar w:left="700" w:top="936" w:right="1440" w:bottom="1440" w:gutter="0" w:footer="0" w:header="0"/>
          <w:type w:val="continuous"/>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OPINION OF VORYS, SATER, SEYMOUR AND PEASE LLP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[Vorys, Sater, Seymour and Pease LLP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11,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Post-Effective Amendment No. 1 to The Scotts Miracle-Gro Company 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We have acted as counsel to The Scotts Miracle-Gro Company, an Ohio corporation (the “Company”), in connection with Post-Effective Amendment No. 1 to the Registration Statement on Form S-3 (Registration No. 333-163330) (the “Registration Statement”) being filed by the Company with the Securities and Exchange Commission (the “Commission”) for the purpose of registering under the Securities Act of 1933, as amended (the “Securities Act”),</w:t>
      </w:r>
    </w:p>
    <w:p>
      <w:pPr>
        <w:ind w:right="100" w:firstLine="8"/>
        <w:spacing w:after="0" w:line="251" w:lineRule="auto"/>
        <w:tabs>
          <w:tab w:leader="none" w:pos="21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debt securities of the Company, which may be either senior debt securities (the “Senior Debt Securities”) or subordinated debt securities (the “Subordinated Debt Securities” and, together with the Senior Debt Securities, the “Debt Securities”), (ii) common shares, without par value, of the Company (the “Common Shares”), (iii) preferred shares, without par value, of the Company (the “Preferred Shares”), (iv) warrants to purchase Debt Securities, Preferred Shares or Common Shares (the “Warrants”), (v) purchase contracts and purchase units (the “Purchase Contracts”) and (vi) guarantees of debt securities by certain direct and indirect subsidiaries of the Company (the “Guarantees of Debt Securities”). The Debt Securities, Common Shares, Preferred Shares, Warrants, Purchase Contracts and Guarantees of Debt Securities are collectively referred to as the “Securities.” An indeterminate amount of the Securities may be offered at indeterminate prices from time to time by the Company, as set forth in the Registration Statement, any amendment thereto, the prospectus contained in the Registration Statement (the “Prospectus”) and one or more supplements to the Prospectus filed pursuant to Rule 415 under the Securities Act.</w:t>
      </w:r>
    </w:p>
    <w:p>
      <w:pPr>
        <w:spacing w:after="0" w:line="90" w:lineRule="exact"/>
        <w:rPr>
          <w:sz w:val="20"/>
          <w:szCs w:val="20"/>
          <w:color w:val="auto"/>
        </w:rPr>
      </w:pPr>
    </w:p>
    <w:p>
      <w:pPr>
        <w:jc w:val="both"/>
        <w:ind w:right="200" w:firstLine="222"/>
        <w:spacing w:after="0" w:line="312" w:lineRule="auto"/>
        <w:rPr>
          <w:sz w:val="20"/>
          <w:szCs w:val="20"/>
          <w:color w:val="auto"/>
        </w:rPr>
      </w:pPr>
      <w:r>
        <w:rPr>
          <w:rFonts w:ascii="Arial" w:cs="Arial" w:eastAsia="Arial" w:hAnsi="Arial"/>
          <w:sz w:val="16"/>
          <w:szCs w:val="16"/>
          <w:color w:val="auto"/>
        </w:rPr>
        <w:t>The Warrants will be issued under one or more warrant agreements (each, a “Warrant Agreement”), by and between the Company and a warrant agent to be identified therein (each, a “Warrant Agent”). The Purchase Contracts will be issued under one or more purchase contract agreements (each, a “Purchase Contract Agreement”) by and between the Company and a purchase contract agent to be identified therein (each, a “Purchase Contract Agent”).</w:t>
      </w:r>
    </w:p>
    <w:p>
      <w:pPr>
        <w:spacing w:after="0" w:line="39" w:lineRule="exact"/>
        <w:rPr>
          <w:sz w:val="20"/>
          <w:szCs w:val="20"/>
          <w:color w:val="auto"/>
        </w:rPr>
      </w:pPr>
    </w:p>
    <w:p>
      <w:pPr>
        <w:jc w:val="both"/>
        <w:ind w:right="60" w:firstLine="215"/>
        <w:spacing w:after="0" w:line="312" w:lineRule="auto"/>
        <w:rPr>
          <w:sz w:val="20"/>
          <w:szCs w:val="20"/>
          <w:color w:val="auto"/>
        </w:rPr>
      </w:pPr>
      <w:r>
        <w:rPr>
          <w:rFonts w:ascii="Arial" w:cs="Arial" w:eastAsia="Arial" w:hAnsi="Arial"/>
          <w:sz w:val="16"/>
          <w:szCs w:val="16"/>
          <w:color w:val="auto"/>
        </w:rPr>
        <w:t>As such counsel, in rendering the opinions expressed below, we have examined and relied without investigation as to matters of fact upon the Registration Statement and the exhibits thereto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0" w:name="page231"/>
    <w:bookmarkEnd w:id="230"/>
    <w:p>
      <w:pPr>
        <w:jc w:val="both"/>
        <w:ind w:right="620"/>
        <w:spacing w:after="0" w:line="264" w:lineRule="auto"/>
        <w:rPr>
          <w:sz w:val="20"/>
          <w:szCs w:val="20"/>
          <w:color w:val="auto"/>
        </w:rPr>
      </w:pPr>
      <w:r>
        <w:rPr>
          <w:rFonts w:ascii="Arial" w:cs="Arial" w:eastAsia="Arial" w:hAnsi="Arial"/>
          <w:sz w:val="18"/>
          <w:szCs w:val="18"/>
          <w:color w:val="auto"/>
        </w:rPr>
        <w:t>have deemed necessary or appropriate to enable us to render the opinions expressed herein.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foregoing and the other matters and assumptions set forth herein, we are of the opinion that, as of the date hereof:</w:t>
      </w:r>
    </w:p>
    <w:p>
      <w:pPr>
        <w:spacing w:after="0" w:line="117" w:lineRule="exact"/>
        <w:rPr>
          <w:sz w:val="20"/>
          <w:szCs w:val="20"/>
          <w:color w:val="auto"/>
        </w:rPr>
      </w:pPr>
    </w:p>
    <w:p>
      <w:pPr>
        <w:ind w:right="240" w:firstLine="233"/>
        <w:spacing w:after="0" w:line="255" w:lineRule="auto"/>
        <w:tabs>
          <w:tab w:leader="none" w:pos="47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When the Board of Directors (or a duly authorized committee thereof) of the Company (the “Board”) has taken all necessary corporate action to authorize the issuance and sale of Common Shares proposed to be sold by the Company, and when such Common Shares are issued and delivered against payment therefor in accordance with the terms of the applicable underwriting, purchase or similar agreement (the “Underwriting Agreement”) or upon conversion or exercise of any Securities, in accordance with the terms of such Securities or the instrument governing such Securities providing for such conversion or exercise as approved by the Board, for the consideration approved by the Board, such Common Shares will be validly issued, fully paid and nonassessable.</w:t>
      </w:r>
    </w:p>
    <w:p>
      <w:pPr>
        <w:spacing w:after="0" w:line="85" w:lineRule="exact"/>
        <w:rPr>
          <w:rFonts w:ascii="Arial" w:cs="Arial" w:eastAsia="Arial" w:hAnsi="Arial"/>
          <w:sz w:val="18"/>
          <w:szCs w:val="18"/>
          <w:color w:val="auto"/>
        </w:rPr>
      </w:pPr>
    </w:p>
    <w:p>
      <w:pPr>
        <w:ind w:firstLine="233"/>
        <w:spacing w:after="0" w:line="272" w:lineRule="auto"/>
        <w:tabs>
          <w:tab w:leader="none" w:pos="47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When the Board has duly established a new series of Preferred Shares in accordance with the terms of the Articles of Incorporation, as amended, of the Company (the “Articles”) and applicable law, including, without limitation, the proper filing of a certificate of amendment to the Articles with the Secretary of State of the State of Ohio relating to such series of Preferred Shares, when the Board has taken all necessary corporate action to authorize the issuance and sale of the Preferred Shares proposed to be sold by the Company, and when such Preferred Shares are issued and delivered against payment therefor in accordance with the terms of the applicable Underwriting Agreement or upon conversion or exercise of any Securities, in accordance with the terms of such Securities or the instrument governing such Securities providing for such conversion or exercise as approved by the Board, for the consideration approved by the Board, such Preferred Shares will be validly issued, fully paid and nonassessable.</w:t>
      </w:r>
    </w:p>
    <w:p>
      <w:pPr>
        <w:spacing w:after="0" w:line="69" w:lineRule="exact"/>
        <w:rPr>
          <w:rFonts w:ascii="Arial" w:cs="Arial" w:eastAsia="Arial" w:hAnsi="Arial"/>
          <w:sz w:val="17"/>
          <w:szCs w:val="17"/>
          <w:color w:val="auto"/>
        </w:rPr>
      </w:pPr>
    </w:p>
    <w:p>
      <w:pPr>
        <w:jc w:val="both"/>
        <w:ind w:firstLine="233"/>
        <w:spacing w:after="0" w:line="257" w:lineRule="auto"/>
        <w:tabs>
          <w:tab w:leader="none" w:pos="47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when the specific terms of a particular issuance of Warrants have been duly established in accordance with the Warrant Agreement and applicable law, and when such Warrants have been duly authorized, executed, authenticated, issued and delivered against payment therefor in accordance with the terms of the Warrant Agreement and the applicable Underwriting Agreement, such Warrants will constitute valid and binding obligations of the Company.</w:t>
      </w:r>
    </w:p>
    <w:p>
      <w:pPr>
        <w:spacing w:after="0" w:line="80" w:lineRule="exact"/>
        <w:rPr>
          <w:rFonts w:ascii="Arial" w:cs="Arial" w:eastAsia="Arial" w:hAnsi="Arial"/>
          <w:sz w:val="18"/>
          <w:szCs w:val="18"/>
          <w:color w:val="auto"/>
        </w:rPr>
      </w:pPr>
    </w:p>
    <w:p>
      <w:pPr>
        <w:ind w:right="160" w:firstLine="233"/>
        <w:spacing w:after="0" w:line="279" w:lineRule="auto"/>
        <w:tabs>
          <w:tab w:leader="none" w:pos="47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When the Purchase Contract Agreement to be entered into in connection with the issuance of any Purchase Contracts has been duly authorized, executed and delivered by the Purchase Contract Agent and the Company, when the specific terms of a particular issuance of Purchase Contracts have been duly established in accordance with the Purchase Contract Agreement and applicable law, and when such Purchase Contracts have been duly authorized, executed, authenticated, issued and delivered against payment therefor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31" w:name="page232"/>
    <w:bookmarkEnd w:id="231"/>
    <w:p>
      <w:pPr>
        <w:ind w:right="60"/>
        <w:spacing w:after="0" w:line="277" w:lineRule="auto"/>
        <w:rPr>
          <w:sz w:val="20"/>
          <w:szCs w:val="20"/>
          <w:color w:val="auto"/>
        </w:rPr>
      </w:pPr>
      <w:r>
        <w:rPr>
          <w:rFonts w:ascii="Arial" w:cs="Arial" w:eastAsia="Arial" w:hAnsi="Arial"/>
          <w:sz w:val="18"/>
          <w:szCs w:val="18"/>
          <w:color w:val="auto"/>
        </w:rPr>
        <w:t>terms of the Purchase Contract Agreement and the applicable Underwriting Agreement, such Purchase Contracts will constitute valid and binding obligations of the Company.</w:t>
      </w:r>
    </w:p>
    <w:p>
      <w:pPr>
        <w:spacing w:after="0" w:line="62"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opinions set forth in paragraphs (3) and (4) above are subject to the following exceptions, limitations and qualifications: (i) the effect of bankruptcy, insolvency, reorganization, fraudulent conveyance, moratorium or other similar laws now or hereafter in effect relating to or affecting the rights or remedies of creditors; (ii) the effect of general principles of equity, whether enforcement is considered in a proceeding in equity or at law, and the discretion of the court before which any proceeding therefor may be brought; (iii) the enforceability under certain circumstances under law or court decisions of provisions providing for the indemnification of or contribution to a party with respect to a liability where such indemnification or contribution is contrary to public policy; and (iv) any requirement that a claim with respect to any Securities denominated other than in United States dollars (or a judgment denominated other than in United States dollars with respect to such a claim) be converted into United States dollars at a rate of exchange prevailing on a date determined pursuant applicable law.</w:t>
      </w:r>
    </w:p>
    <w:p>
      <w:pPr>
        <w:spacing w:after="0" w:line="84"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To the extent that the obligations of the Company under any Warrant Agreement or Purchase Contract Agreement may be dependent upon such matters, we assume for purposes of this opinion that each Warrant Agent or Purchase Contract Agent, as applicable, will be duly organized, validly existing and in good standing under the laws of its jurisdiction of organization; that each Warrant Agent or Purchase Contract Agent will be duly qualified to engage in the activities contemplated by the applicable Warrant Agreement or Purchase Contract Agreement; that each Warrant Agreement or Purchase Contract Agreement will be duly authorized, executed and delivered by the applicable Warrant Agent or Purchase Contract Agent and will constitute the legal, valid and binding obligation of such Warrant Agent or Purchase Contract Agent, enforceable against such Warrant Agent or Purchase Contract Agent in accordance with its terms; that each Warrant Agent or Purchase Contract Agent will be in compliance at all applicable times, generally and with respect to acting as a Warrant Agent or Purchase Contract Agent under the applicable Warrant Agreement or Purchase Contract Agreement, with all applicable laws and regulations; and that each Warrant Agent or Purchase Contract Agent will have the requisite organizational and legal power and authority to perform its obligations under the applicable Warrant Agreement or Purchase Contract Agreement.</w:t>
      </w:r>
    </w:p>
    <w:p>
      <w:pPr>
        <w:spacing w:after="0" w:line="70" w:lineRule="exact"/>
        <w:rPr>
          <w:sz w:val="20"/>
          <w:szCs w:val="20"/>
          <w:color w:val="auto"/>
        </w:rPr>
      </w:pPr>
    </w:p>
    <w:p>
      <w:pPr>
        <w:ind w:right="120" w:firstLine="225"/>
        <w:spacing w:after="0" w:line="290" w:lineRule="auto"/>
        <w:rPr>
          <w:sz w:val="20"/>
          <w:szCs w:val="20"/>
          <w:color w:val="auto"/>
        </w:rPr>
      </w:pPr>
      <w:r>
        <w:rPr>
          <w:rFonts w:ascii="Arial" w:cs="Arial" w:eastAsia="Arial" w:hAnsi="Arial"/>
          <w:sz w:val="16"/>
          <w:szCs w:val="16"/>
          <w:color w:val="auto"/>
        </w:rPr>
        <w:t>In rendering the foregoing opinions, we have assumed that at the time of the issuance and sale of any of the Securities: (i) the Registration Statement, and any amendments thereto, will have become effective and such effectiveness will not have been terminated or rescinded; (ii) a Prospectus Supplement describing the Securities, to the extent required by applicable law and relevant rules and regulations of the Commission, will be timely filed with the Commission; (iii) the Board will have duly established the terms of the Securities and duly authorized the issuance and sale of the Securities, in each case, in accordance with the Articles and applicable law and such authorization will be in full force and effect; (iv) the Securities will be issued and sold in compliance with all applicable federal and state securities laws and in the manner contemplated by the Registration Statement and the applicable Prospectus Supplement; (v) there shall not have occurred any change in law affecting the validity of the Securities; (vi) any Securities, including Common Shares or Preferred Shares issuable upon conversion, exchange, or exercise of any other Security, will have been duly authorized and reserved for issuance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2" w:name="page233"/>
    <w:bookmarkEnd w:id="232"/>
    <w:p>
      <w:pPr>
        <w:spacing w:after="0" w:line="255" w:lineRule="auto"/>
        <w:rPr>
          <w:sz w:val="20"/>
          <w:szCs w:val="20"/>
          <w:color w:val="auto"/>
        </w:rPr>
      </w:pPr>
      <w:r>
        <w:rPr>
          <w:rFonts w:ascii="Arial" w:cs="Arial" w:eastAsia="Arial" w:hAnsi="Arial"/>
          <w:sz w:val="18"/>
          <w:szCs w:val="18"/>
          <w:color w:val="auto"/>
        </w:rPr>
        <w:t>the applicable class of capital stock of the Company; (vii) with respect to Common Shares, there will be sufficient Common Shares authorized under the Articles, as amended and in effect at the relevant time, and not otherwise reserved for issuance; and (viii) with respect to Preferred Shares, there will be sufficient Preferred Shares authorized under the Articles, as amended and in effect at the relevant time, and not otherwise reserved for issuance. We have also assumed that none of the terms of any Securities to be established subsequent to the date hereof, nor the issuance and delivery of any such Securities, nor the compliance by the Company with the terms of such Securities will violate any applicable law or public policy or result in a violation of any provision of any instrument or agreement then binding upon the Company or any restriction imposed by any court or governmental body having jurisdiction over the Company.</w:t>
      </w:r>
    </w:p>
    <w:p>
      <w:pPr>
        <w:spacing w:after="0" w:line="8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opinions expressed herein are limited to the laws of the State of Ohio and we express no opinion with respect to the effect of the laws of any other jurisdiction.</w:t>
      </w:r>
    </w:p>
    <w:p>
      <w:pPr>
        <w:spacing w:after="0" w:line="6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hereby consent to your filing of this opinion as an exhibit to the Registration Statement and to the reference to our firm under the caption “Legal Matters” in the Prospectus included therein. In giving such consent, we do not thereby admit that we are included in the category of persons whose consent is required under Section 7 of the Securities Act or the rules and regulations of the Commission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Vorys, Sater, Seymour and Pease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340"/>
          </w:cols>
          <w:pgMar w:left="240" w:top="936"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Post-Effective Amendment No. 1 to The Scotts Miracle-Gro Company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acted as counsel to The Scotts Miracle-Gro Company, an Ohio corporation (the “Company”), in connection with Post-Effective Amendment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 1 to the Registration Statement on Form S-3 (Registration No. 333-163330)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being filed by the Company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to register under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among other securities, (i)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the Company, which may be either senior debt securities (the “</w:t>
      </w:r>
      <w:r>
        <w:rPr>
          <w:rFonts w:ascii="Arial" w:cs="Arial" w:eastAsia="Arial" w:hAnsi="Arial"/>
          <w:sz w:val="16"/>
          <w:szCs w:val="16"/>
          <w:u w:val="single" w:color="auto"/>
          <w:color w:val="auto"/>
        </w:rPr>
        <w:t>Senior Debt Securities</w:t>
      </w:r>
      <w:r>
        <w:rPr>
          <w:rFonts w:ascii="Arial" w:cs="Arial" w:eastAsia="Arial" w:hAnsi="Arial"/>
          <w:sz w:val="16"/>
          <w:szCs w:val="16"/>
          <w:color w:val="auto"/>
        </w:rPr>
        <w:t>”) or subordinated debt securities (the “</w:t>
      </w:r>
      <w:r>
        <w:rPr>
          <w:rFonts w:ascii="Arial" w:cs="Arial" w:eastAsia="Arial" w:hAnsi="Arial"/>
          <w:sz w:val="16"/>
          <w:szCs w:val="16"/>
          <w:u w:val="single" w:color="auto"/>
          <w:color w:val="auto"/>
        </w:rPr>
        <w:t>Subordinated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and, together with the Senior Debt Securities,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and (ii) guarantees of debt securities by certain direct and indirect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of the Company (the “</w:t>
      </w:r>
      <w:r>
        <w:rPr>
          <w:rFonts w:ascii="Arial" w:cs="Arial" w:eastAsia="Arial" w:hAnsi="Arial"/>
          <w:sz w:val="16"/>
          <w:szCs w:val="16"/>
          <w:u w:val="single" w:color="auto"/>
          <w:color w:val="auto"/>
        </w:rPr>
        <w:t>Guarantees</w:t>
      </w:r>
      <w:r>
        <w:rPr>
          <w:rFonts w:ascii="Arial" w:cs="Arial" w:eastAsia="Arial" w:hAnsi="Arial"/>
          <w:sz w:val="16"/>
          <w:szCs w:val="16"/>
          <w:color w:val="auto"/>
        </w:rPr>
        <w:t>”). The Debt Securities and the Guarantees are collectively referred to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 indeterminate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the Securities may be offered at indeterminate prices from time to time by the Company, as set forth in the Registration Statement, any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the prospectus contained in the Registration Statement (the “</w:t>
      </w:r>
      <w:r>
        <w:rPr>
          <w:rFonts w:ascii="Arial" w:cs="Arial" w:eastAsia="Arial" w:hAnsi="Arial"/>
          <w:sz w:val="16"/>
          <w:szCs w:val="16"/>
          <w:u w:val="single" w:color="auto"/>
          <w:color w:val="auto"/>
        </w:rPr>
        <w:t>Prospectus</w:t>
      </w:r>
      <w:r>
        <w:rPr>
          <w:rFonts w:ascii="Arial" w:cs="Arial" w:eastAsia="Arial" w:hAnsi="Arial"/>
          <w:sz w:val="16"/>
          <w:szCs w:val="16"/>
          <w:color w:val="auto"/>
        </w:rPr>
        <w:t>”) and one or more supplements to the Prospectus filed pursuant to Rule 415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The Senior Debt Securities will be issued under an Indenture to be entered into between the Company, each of the Guarantors named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therein and U.S. Bank National Association, as trustee (the “</w:t>
      </w:r>
      <w:r>
        <w:rPr>
          <w:rFonts w:ascii="Arial" w:cs="Arial" w:eastAsia="Arial" w:hAnsi="Arial"/>
          <w:sz w:val="17"/>
          <w:szCs w:val="17"/>
          <w:u w:val="single" w:color="auto"/>
          <w:color w:val="auto"/>
        </w:rPr>
        <w:t>Senior Indenture</w:t>
      </w:r>
      <w:r>
        <w:rPr>
          <w:rFonts w:ascii="Arial" w:cs="Arial" w:eastAsia="Arial" w:hAnsi="Arial"/>
          <w:sz w:val="17"/>
          <w:szCs w:val="17"/>
          <w:color w:val="auto"/>
        </w:rPr>
        <w:t>”) and qualified under the Trust Indenture Act of 1939 (the “</w:t>
      </w:r>
      <w:r>
        <w:rPr>
          <w:rFonts w:ascii="Arial" w:cs="Arial" w:eastAsia="Arial" w:hAnsi="Arial"/>
          <w:sz w:val="17"/>
          <w:szCs w:val="17"/>
          <w:u w:val="single" w:color="auto"/>
          <w:color w:val="auto"/>
        </w:rPr>
        <w:t>TIA</w:t>
      </w:r>
      <w:r>
        <w:rPr>
          <w:rFonts w:ascii="Arial" w:cs="Arial" w:eastAsia="Arial" w:hAnsi="Arial"/>
          <w:sz w:val="17"/>
          <w:szCs w:val="17"/>
          <w:color w:val="auto"/>
        </w:rPr>
        <w: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Subordinated Debt Securities will be issued under an Indenture to be entered into between the Company, each of the Guarantors named therein and a trustee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named (the “</w:t>
      </w:r>
      <w:r>
        <w:rPr>
          <w:rFonts w:ascii="Arial" w:cs="Arial" w:eastAsia="Arial" w:hAnsi="Arial"/>
          <w:sz w:val="17"/>
          <w:szCs w:val="17"/>
          <w:u w:val="single" w:color="auto"/>
          <w:color w:val="auto"/>
        </w:rPr>
        <w:t>Subordinated Indenture</w:t>
      </w:r>
      <w:r>
        <w:rPr>
          <w:rFonts w:ascii="Arial" w:cs="Arial" w:eastAsia="Arial" w:hAnsi="Arial"/>
          <w:sz w:val="17"/>
          <w:szCs w:val="17"/>
          <w:color w:val="auto"/>
        </w:rPr>
        <w:t>”) and qualified under the TIA. Forms of the Senior Indenture and the Subordinated Indenture (together,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Indentures</w:t>
      </w:r>
      <w:r>
        <w:rPr>
          <w:rFonts w:ascii="Arial" w:cs="Arial" w:eastAsia="Arial" w:hAnsi="Arial"/>
          <w:sz w:val="16"/>
          <w:szCs w:val="16"/>
          <w:color w:val="auto"/>
        </w:rPr>
        <w:t>”) are included as exhibits to the Registration Statement. The Guarantees will be issued pursuant to a supplemental Indenture, the form of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Guarantees will be filed as an exhibit to the Registration Statement or as an exhibit to a report filed under the Securities Exchange Act of 1934 that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in the Registration Statement when the Guarantees are issued (the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w:t>
      </w:r>
    </w:p>
    <w:p>
      <w:pPr>
        <w:spacing w:after="0" w:line="103"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As such counsel, we have examined and relied without investigation as to matters of fact upon the Registration Statement and the exhibits thereto and such certificates, statements and results of inquiries of public officials and officers and representatives of the Company and originals or copies, certified or otherwise identified to our satisfaction, of such other documents, corporate records and certificates, in each case as we have deemed necessary or appropriate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enable us to render the opinions expressed herein.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foregoing and the other matters and assumptions set forth herein, we are of the opinion that, as of the date hereof:</w:t>
      </w:r>
    </w:p>
    <w:p>
      <w:pPr>
        <w:spacing w:after="0" w:line="117" w:lineRule="exact"/>
        <w:rPr>
          <w:sz w:val="20"/>
          <w:szCs w:val="20"/>
          <w:color w:val="auto"/>
        </w:rPr>
      </w:pPr>
    </w:p>
    <w:p>
      <w:pPr>
        <w:jc w:val="both"/>
        <w:ind w:firstLine="233"/>
        <w:spacing w:after="0" w:line="259" w:lineRule="auto"/>
        <w:tabs>
          <w:tab w:leader="none" w:pos="4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When (i) the Senior Indenture has been duly executed and delivered by the parties thereto and duly qualified under the TIA and (ii) the Senior Debt Securities have been duly executed and authenticated in accordance with the terms of the Senior Indenture and delivered by the Company upon purchase thereof and payment in full therefor as contemplated by the Prospectus and any Prospectus Supplement relating to the Senior Debt Securities, the Senior Debt Securities will constitute legal, valid and binding obligations of the Company.</w:t>
      </w:r>
    </w:p>
    <w:p>
      <w:pPr>
        <w:spacing w:after="0" w:line="78" w:lineRule="exact"/>
        <w:rPr>
          <w:rFonts w:ascii="Arial" w:cs="Arial" w:eastAsia="Arial" w:hAnsi="Arial"/>
          <w:sz w:val="18"/>
          <w:szCs w:val="18"/>
          <w:color w:val="auto"/>
        </w:rPr>
      </w:pPr>
    </w:p>
    <w:p>
      <w:pPr>
        <w:ind w:right="40" w:firstLine="233"/>
        <w:spacing w:after="0" w:line="279" w:lineRule="auto"/>
        <w:tabs>
          <w:tab w:leader="none" w:pos="40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When (i) the Subordinated Indenture has been duly executed and delivered by the parties thereto and duly qualified under the TIA and (ii) the Subordinated Debt Securities have been duly executed and authenticated in accordance with the terms of the Subordinated Indenture and delivered by the Company upon purchase thereof and payment in full therefor as contemplated by the Prospectus and any Prospectus Supplement relating to the Subordinated Debt Securities, the Subordinated Debt Securities will constitute legal, valid and binding obligations of the Company.</w:t>
      </w:r>
    </w:p>
    <w:p>
      <w:pPr>
        <w:spacing w:after="0" w:line="63" w:lineRule="exact"/>
        <w:rPr>
          <w:rFonts w:ascii="Arial" w:cs="Arial" w:eastAsia="Arial" w:hAnsi="Arial"/>
          <w:sz w:val="17"/>
          <w:szCs w:val="17"/>
          <w:color w:val="auto"/>
        </w:rPr>
      </w:pPr>
    </w:p>
    <w:p>
      <w:pPr>
        <w:ind w:right="40" w:firstLine="233"/>
        <w:spacing w:after="0" w:line="264" w:lineRule="auto"/>
        <w:tabs>
          <w:tab w:leader="none" w:pos="4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When the Guarantees have been duly executed and delivered by the parties thereto as contemplated by the Prospectus and any Prospectus Supplement relating to the Guarantees and in accordance with the terms of the Supplemental Indenture, the Guarantees will constitute legal, valid and binding obligations of the Guarantors.</w:t>
      </w:r>
    </w:p>
    <w:p>
      <w:pPr>
        <w:spacing w:after="0" w:line="73"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opinions set forth in paragraphs (1), (2) and (3) above are subject to the following exceptions, limitations and qualifications: (i) the effect of bankruptcy, insolvency, reorganization, fraudulent conveyance, moratorium or other similar laws now or hereafter in effect relating to or affecting the rights or remedies of creditors, (ii) the effect of general principles of equity, whether enforcement is considered in a proceeding in equity or at law, (iii) the enforceability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the waiver of rights or defenses, (d) any provision requiring the payment of attorneys’ fees, where such payment is contrary to law or public policy, (e) any provision permitting, upon acceleration of the Debt Securities, collection of that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stated principal amount thereof which might be determined to constitute unearned interest thereon, (f) any provision to the extent it requires that a claim with respect to the Securities (or a judgment in respect of such a claim) be converted into U.S. dollars at a rate of exchange at a particular date, to the extent applicable law otherwise provides, (g) provisions purporting to make a guarantor primarily liable rather than as a surety and provisions purporting to waive modifications or any guaranteed obligation to the extent such modification constitutes a novation, and (h) the severability, if invalid, of provisions to the foregoing effect.</w:t>
      </w:r>
    </w:p>
    <w:p>
      <w:pPr>
        <w:spacing w:after="0" w:line="8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To the extent that the obligations of the Company under the Indentures are or may be dependent upon such matters, we assume for purposes of this opinion that (i) the Company is duly organized, validly existing and in good standing under the laws of the State of Ohio, (ii) the Company will be duly qualified to engage in the activities contemplated by the Indentures, (iii) the Indentures will be duly authorized, executed and delivered by the Company and will constitute the legal, valid and binding obligations of the Company, enforceable against it in accordance with their terms, and (iv) the Company will have the requisite organizational and legal power and authority to perform its obligations under the Indentures.</w:t>
      </w:r>
    </w:p>
    <w:p>
      <w:pPr>
        <w:spacing w:after="0" w:line="64"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To the extent that the obligations of the Guarantors under the Guarantees are or may be dependent upon such matters, we assume for purposes of this opinion that (i) the Guarantors are duly organized, validly existing and in good standing under the laws of their respective jurisdiction of organization, (ii) the Guarantors will be duly qualified to engage in the activities contemplated by the Guarantees, (iii) the Guarantees will be duly authorized, executed and delivered by the Guarantors and will constitute the legal, valid and binding obligations of the Guarantors, enforceable against each of the Guarantors in accordance with their terms, and (iv) the Guarantors will have the requisite organizational and legal power and authority to perform their respective obligations under the Guarantees.</w:t>
      </w:r>
    </w:p>
    <w:p>
      <w:pPr>
        <w:spacing w:after="0" w:line="85"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In rendering the foregoing opinions, we have assumed that at the time of the issuance and sale of any of the Securities: (i) the Registration Statement, and any amendments thereto, including all necessary post-effective amendments, will have become effective under the Securities Act and such effectiveness will not have been terminated or rescinded, (ii) a Prospectus Supplement describing the Securities, to the extent required by applicable law and relevant rules and regulations of the Commission, will be timely filed with the Commission, (iii) the Board of Directors of the Company will have duly established the terms of the Securities and duly authorized the issuance and sale of the Securities, in each case, in accordance with the organizational documents of the Company and applicable law and such authorization will be in full force and effect, (iv) the Securities will be issued and sold in compliance with all applicable federal and state securities laws and in the manner contemplated by the Registration Statement and the applicable Prospectus Supplement, and (v) there shall not have occurred any change in law affecting the validity of the Securities. We have also assumed that none of the terms of any Securities nor the issuance and delivery of any Securities, nor the compliance by the Company with the terms of any Securities, will violate any applicable law or public policy or result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violation of any provision of any agreement then binding upon the Company or any restriction imposed by any court or governmental body having jurisdiction over the Company.</w:t>
      </w:r>
    </w:p>
    <w:p>
      <w:pPr>
        <w:spacing w:after="0" w:line="62"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opinions expressed herein are limited to the laws of the State of New York and we express no opinion with respect to the effect of the laws of any other jurisdiction.</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hereby consent to your filing of this opinion as an exhibit to the Registration Statement and to the reference to our firm under the caption “Legal Matters” in the Prospectus. In giving such consent, we do not thereby admit that we are included in the category of persons whose consent is required under Section 7 of the Securities Act or the rules and regulations of the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Katten Muchin Rosenman LLP</w:t>
      </w:r>
    </w:p>
    <w:p>
      <w:pPr>
        <w:sectPr>
          <w:pgSz w:w="11900" w:h="16838" w:orient="portrait"/>
          <w:cols w:equalWidth="0" w:num="1">
            <w:col w:w="11240"/>
          </w:cols>
          <w:pgMar w:left="240" w:top="935" w:right="4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this Post-Effective Amendment No. 1 to Registration Statement No. 333-163330 on Form S-3 of our report, dated November 24, 2009 (January 11, 2010 as to Note 24) relating to the consolidated financial statements and consolidated financial statement schedules of The Scotts Miracle-Gro Company (which report expresses an unqualified opinion and includes an explanatory paragraph relating to the adoption of new guidance regarding employers’ accounting for defined benefit pension and postretirement plans on September 30, 2007) and our report dated November 24, 2009 relating to the effectiveness of The Scotts Miracle-Gro Company’s internal control over financial reporting, appearing in the Current Report on Form 8-K of The Scotts Miracle Gro Company dated January 11, 2010, and to the reference to us under the heading “Experts” in the Prospectus, which is part of such Registration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2010</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1)"/>
      <w:numFmt w:val="decimal"/>
      <w:start w:val="1"/>
    </w:lvl>
  </w:abstractNum>
  <w:abstractNum w:abstractNumId="1">
    <w:nsid w:val="2C6E4AFD"/>
    <w:multiLevelType w:val="hybridMultilevel"/>
    <w:lvl w:ilvl="0">
      <w:lvlJc w:val="left"/>
      <w:lvlText w:val="(%1)"/>
      <w:numFmt w:val="decimal"/>
      <w:start w:val="1"/>
    </w:lvl>
    <w:lvl w:ilvl="1">
      <w:lvlJc w:val="left"/>
      <w:lvlText w:val="(%2)"/>
      <w:numFmt w:val="decimal"/>
      <w:start w:val="937"/>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1)"/>
      <w:numFmt w:val="decimal"/>
      <w:start w:val="937"/>
    </w:lvl>
  </w:abstractNum>
  <w:abstractNum w:abstractNumId="5">
    <w:nsid w:val="5D888A08"/>
    <w:multiLevelType w:val="hybridMultilevel"/>
    <w:lvl w:ilvl="0">
      <w:lvlJc w:val="left"/>
      <w:lvlText w:val="(%1)"/>
      <w:numFmt w:val="decimal"/>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
      <w:numFmt w:val="bullet"/>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
      <w:numFmt w:val="bullet"/>
      <w:start w:val="1"/>
    </w:lvl>
  </w:abstractNum>
  <w:abstractNum w:abstractNumId="10">
    <w:nsid w:val="57A61A29"/>
    <w:multiLevelType w:val="hybridMultilevel"/>
    <w:lvl w:ilvl="0">
      <w:lvlJc w:val="left"/>
      <w:lvlText w:val="•"/>
      <w:numFmt w:val="bullet"/>
      <w:start w:val="1"/>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
      <w:numFmt w:val="bullet"/>
      <w:start w:val="1"/>
    </w:lvl>
  </w:abstractNum>
  <w:abstractNum w:abstractNumId="14">
    <w:nsid w:val="B37E80A"/>
    <w:multiLevelType w:val="hybridMultilevel"/>
    <w:lvl w:ilvl="0">
      <w:lvlJc w:val="left"/>
      <w:lvlText w:val="•"/>
      <w:numFmt w:val="bullet"/>
      <w:start w:val="1"/>
    </w:lvl>
    <w:lvl w:ilvl="1">
      <w:lvlJc w:val="left"/>
      <w:lvlText w:val="•"/>
      <w:numFmt w:val="bullet"/>
      <w:start w:val="1"/>
    </w:lvl>
  </w:abstractNum>
  <w:abstractNum w:abstractNumId="15">
    <w:nsid w:val="2157F6BC"/>
    <w:multiLevelType w:val="hybridMultilevel"/>
    <w:lvl w:ilvl="0">
      <w:lvlJc w:val="left"/>
      <w:lvlText w:val="•"/>
      <w:numFmt w:val="bullet"/>
      <w:start w:val="1"/>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
      <w:numFmt w:val="bullet"/>
      <w:start w:val="1"/>
    </w:lvl>
  </w:abstractNum>
  <w:abstractNum w:abstractNumId="18">
    <w:nsid w:val="BFFAE18"/>
    <w:multiLevelType w:val="hybridMultilevel"/>
    <w:lvl w:ilvl="0">
      <w:lvlJc w:val="left"/>
      <w:lvlText w:val="•"/>
      <w:numFmt w:val="bullet"/>
      <w:start w:val="1"/>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
      <w:numFmt w:val="bullet"/>
      <w:start w:val="1"/>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
      <w:numFmt w:val="bullet"/>
      <w:start w:val="1"/>
    </w:lvl>
  </w:abstractNum>
  <w:abstractNum w:abstractNumId="26">
    <w:nsid w:val="24E99DD7"/>
    <w:multiLevelType w:val="hybridMultilevel"/>
    <w:lvl w:ilvl="0">
      <w:lvlJc w:val="left"/>
      <w:lvlText w:val="•"/>
      <w:numFmt w:val="bullet"/>
      <w:start w:val="1"/>
    </w:lvl>
  </w:abstractNum>
  <w:abstractNum w:abstractNumId="27">
    <w:nsid w:val="2A31B62D"/>
    <w:multiLevelType w:val="hybridMultilevel"/>
    <w:lvl w:ilvl="0">
      <w:lvlJc w:val="left"/>
      <w:lvlText w:val="•"/>
      <w:numFmt w:val="bullet"/>
      <w:start w:val="1"/>
    </w:lvl>
  </w:abstractNum>
  <w:abstractNum w:abstractNumId="28">
    <w:nsid w:val="1849C29B"/>
    <w:multiLevelType w:val="hybridMultilevel"/>
    <w:lvl w:ilvl="0">
      <w:lvlJc w:val="left"/>
      <w:lvlText w:val="•"/>
      <w:numFmt w:val="bullet"/>
      <w:start w:val="1"/>
    </w:lvl>
  </w:abstractNum>
  <w:abstractNum w:abstractNumId="29">
    <w:nsid w:val="7DFF9D09"/>
    <w:multiLevelType w:val="hybridMultilevel"/>
    <w:lvl w:ilvl="0">
      <w:lvlJc w:val="left"/>
      <w:lvlText w:val="•"/>
      <w:numFmt w:val="bullet"/>
      <w:start w:val="1"/>
    </w:lvl>
  </w:abstractNum>
  <w:abstractNum w:abstractNumId="30">
    <w:nsid w:val="754342"/>
    <w:multiLevelType w:val="hybridMultilevel"/>
    <w:lvl w:ilvl="0">
      <w:lvlJc w:val="left"/>
      <w:lvlText w:val="(%1)"/>
      <w:numFmt w:val="decimal"/>
      <w:start w:val="1"/>
    </w:lvl>
  </w:abstractNum>
  <w:abstractNum w:abstractNumId="31">
    <w:nsid w:val="69E7F3E5"/>
    <w:multiLevelType w:val="hybridMultilevel"/>
    <w:lvl w:ilvl="0">
      <w:lvlJc w:val="left"/>
      <w:lvlText w:val="*"/>
      <w:numFmt w:val="bullet"/>
      <w:start w:val="1"/>
    </w:lvl>
  </w:abstractNum>
  <w:abstractNum w:abstractNumId="32">
    <w:nsid w:val="2A6DE80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1816F8C4"/>
    <w:multiLevelType w:val="hybridMultilevel"/>
    <w:lvl w:ilvl="0">
      <w:lvlJc w:val="left"/>
      <w:lvlText w:val="(%1)"/>
      <w:numFmt w:val="decimal"/>
      <w:start w:val="2"/>
    </w:lvl>
    <w:lvl w:ilvl="1">
      <w:lvlJc w:val="left"/>
      <w:lvlText w:val="(%2)"/>
      <w:numFmt w:val="lowerRoman"/>
      <w:start w:val="1"/>
    </w:lvl>
  </w:abstractNum>
  <w:abstractNum w:abstractNumId="34">
    <w:nsid w:val="37DF2233"/>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5">
    <w:nsid w:val="7AB49DA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759F82CD"/>
    <w:multiLevelType w:val="hybridMultilevel"/>
    <w:lvl w:ilvl="0">
      <w:lvlJc w:val="left"/>
      <w:lvlText w:val="†"/>
      <w:numFmt w:val="bullet"/>
      <w:start w:val="1"/>
    </w:lvl>
  </w:abstractNum>
  <w:abstractNum w:abstractNumId="37">
    <w:nsid w:val="61E74EA3"/>
    <w:multiLevelType w:val="hybridMultilevel"/>
    <w:lvl w:ilvl="0">
      <w:lvlJc w:val="left"/>
      <w:lvlText w:val="*"/>
      <w:numFmt w:val="bullet"/>
      <w:start w:val="1"/>
    </w:lvl>
    <w:lvl w:ilvl="1">
      <w:lvlJc w:val="left"/>
      <w:lvlText w:val="**"/>
      <w:numFmt w:val="bullet"/>
      <w:start w:val="1"/>
    </w:lvl>
  </w:abstractNum>
  <w:abstractNum w:abstractNumId="38">
    <w:nsid w:val="597B4D84"/>
    <w:multiLevelType w:val="hybridMultilevel"/>
    <w:lvl w:ilvl="0">
      <w:lvlJc w:val="left"/>
      <w:lvlText w:val="(%1)"/>
      <w:numFmt w:val="decimal"/>
      <w:start w:val="1"/>
    </w:lvl>
  </w:abstractNum>
  <w:abstractNum w:abstractNumId="39">
    <w:nsid w:val="F819E7F"/>
    <w:multiLevelType w:val="hybridMultilevel"/>
    <w:lvl w:ilvl="0">
      <w:lvlJc w:val="left"/>
      <w:lvlText w:val="(%1)"/>
      <w:numFmt w:val="decimal"/>
      <w:start w:val="4"/>
    </w:lvl>
  </w:abstractNum>
  <w:abstractNum w:abstractNumId="40">
    <w:nsid w:val="57C7D42D"/>
    <w:multiLevelType w:val="hybridMultilevel"/>
    <w:lvl w:ilvl="0">
      <w:lvlJc w:val="left"/>
      <w:lvlText w:val="(%1)"/>
      <w:numFmt w:val="decimal"/>
      <w:start w:val="1"/>
    </w:lvl>
  </w:abstractNum>
  <w:abstractNum w:abstractNumId="41">
    <w:nsid w:val="312167AD"/>
    <w:multiLevelType w:val="hybridMultilevel"/>
    <w:lvl w:ilvl="0">
      <w:lvlJc w:val="left"/>
      <w:lvlText w:val="(%1)"/>
      <w:numFmt w:val="decimal"/>
      <w:start w:val="45"/>
    </w:lvl>
  </w:abstractNum>
  <w:abstractNum w:abstractNumId="42">
    <w:nsid w:val="631B64D4"/>
    <w:multiLevelType w:val="hybridMultilevel"/>
    <w:lvl w:ilvl="0">
      <w:lvlJc w:val="left"/>
      <w:lvlText w:val="(%1)"/>
      <w:numFmt w:val="lowerRoman"/>
      <w:start w:val="1"/>
    </w:lvl>
  </w:abstractNum>
  <w:abstractNum w:abstractNumId="43">
    <w:nsid w:val="78B5E776"/>
    <w:multiLevelType w:val="hybridMultilevel"/>
    <w:lvl w:ilvl="0">
      <w:lvlJc w:val="left"/>
      <w:lvlText w:val="(%1)"/>
      <w:numFmt w:val="decimal"/>
      <w:start w:val="1"/>
    </w:lvl>
  </w:abstractNum>
  <w:abstractNum w:abstractNumId="44">
    <w:nsid w:val="75486E47"/>
    <w:multiLevelType w:val="hybridMultilevel"/>
    <w:lvl w:ilvl="0">
      <w:lvlJc w:val="left"/>
      <w:lvlText w:val="(%1)"/>
      <w:numFmt w:val="decimal"/>
      <w:start w:val="1"/>
    </w:lvl>
  </w:abstractNum>
  <w:abstractNum w:abstractNumId="45">
    <w:nsid w:val="6E534CDE"/>
    <w:multiLevelType w:val="hybridMultilevel"/>
    <w:lvl w:ilvl="0">
      <w:lvlJc w:val="left"/>
      <w:lvlText w:val="(%1)"/>
      <w:numFmt w:val="decimal"/>
      <w:start w:val="1"/>
    </w:lvl>
  </w:abstractNum>
  <w:abstractNum w:abstractNumId="46">
    <w:nsid w:val="1A0DDE32"/>
    <w:multiLevelType w:val="hybridMultilevel"/>
    <w:lvl w:ilvl="0">
      <w:lvlJc w:val="left"/>
      <w:lvlText w:val="(%1)"/>
      <w:numFmt w:val="decimal"/>
      <w:start w:val="1"/>
    </w:lvl>
  </w:abstractNum>
  <w:abstractNum w:abstractNumId="47">
    <w:nsid w:val="65968C1C"/>
    <w:multiLevelType w:val="hybridMultilevel"/>
    <w:lvl w:ilvl="0">
      <w:lvlJc w:val="left"/>
      <w:lvlText w:val="(%1)"/>
      <w:numFmt w:val="decimal"/>
      <w:start w:val="8"/>
    </w:lvl>
  </w:abstractNum>
  <w:abstractNum w:abstractNumId="48">
    <w:nsid w:val="46263DEC"/>
    <w:multiLevelType w:val="hybridMultilevel"/>
    <w:lvl w:ilvl="0">
      <w:lvlJc w:val="left"/>
      <w:lvlText w:val="(%1)"/>
      <w:numFmt w:val="decimal"/>
      <w:start w:val="19"/>
    </w:lvl>
  </w:abstractNum>
  <w:abstractNum w:abstractNumId="49">
    <w:nsid w:val="260D8C4A"/>
    <w:multiLevelType w:val="hybridMultilevel"/>
    <w:lvl w:ilvl="0">
      <w:lvlJc w:val="left"/>
      <w:lvlText w:val="(%1)"/>
      <w:numFmt w:val="decimal"/>
      <w:start w:val="1"/>
    </w:lvl>
  </w:abstractNum>
  <w:abstractNum w:abstractNumId="50">
    <w:nsid w:val="73D4D3C4"/>
    <w:multiLevelType w:val="hybridMultilevel"/>
    <w:lvl w:ilvl="0">
      <w:lvlJc w:val="left"/>
      <w:lvlText w:val="(%1)"/>
      <w:numFmt w:val="decimal"/>
      <w:start w:val="2"/>
    </w:lvl>
  </w:abstractNum>
  <w:abstractNum w:abstractNumId="51">
    <w:nsid w:val="746F2E30"/>
    <w:multiLevelType w:val="hybridMultilevel"/>
    <w:lvl w:ilvl="0">
      <w:lvlJc w:val="left"/>
      <w:lvlText w:val="(%1)"/>
      <w:numFmt w:val="lowerLetter"/>
      <w:start w:val="1"/>
    </w:lvl>
  </w:abstractNum>
  <w:abstractNum w:abstractNumId="52">
    <w:nsid w:val="6FDE8AF6"/>
    <w:multiLevelType w:val="hybridMultilevel"/>
    <w:lvl w:ilvl="0">
      <w:lvlJc w:val="left"/>
      <w:lvlText w:val="(%1)"/>
      <w:numFmt w:val="lowerLetter"/>
      <w:start w:val="2"/>
    </w:lvl>
  </w:abstractNum>
  <w:abstractNum w:abstractNumId="53">
    <w:nsid w:val="3FC32E20"/>
    <w:multiLevelType w:val="hybridMultilevel"/>
    <w:lvl w:ilvl="0">
      <w:lvlJc w:val="left"/>
      <w:lvlText w:val="(%1)"/>
      <w:numFmt w:val="lowerRoman"/>
      <w:start w:val="1"/>
    </w:lvl>
  </w:abstractNum>
  <w:abstractNum w:abstractNumId="54">
    <w:nsid w:val="49C0E823"/>
    <w:multiLevelType w:val="hybridMultilevel"/>
    <w:lvl w:ilvl="0">
      <w:lvlJc w:val="left"/>
      <w:lvlText w:val="(%1)"/>
      <w:numFmt w:val="lowerLetter"/>
      <w:start w:val="1"/>
    </w:lvl>
  </w:abstractNum>
  <w:abstractNum w:abstractNumId="55">
    <w:nsid w:val="14D53685"/>
    <w:multiLevelType w:val="hybridMultilevel"/>
    <w:lvl w:ilvl="0">
      <w:lvlJc w:val="left"/>
      <w:lvlText w:val="(%1)"/>
      <w:numFmt w:val="lowerLetter"/>
      <w:start w:val="2"/>
    </w:lvl>
  </w:abstractNum>
  <w:abstractNum w:abstractNumId="56">
    <w:nsid w:val="230F856C"/>
    <w:multiLevelType w:val="hybridMultilevel"/>
    <w:lvl w:ilvl="0">
      <w:lvlJc w:val="left"/>
      <w:lvlText w:val="(%1)"/>
      <w:numFmt w:val="lowerLetter"/>
      <w:start w:val="1"/>
    </w:lvl>
    <w:lvl w:ilvl="1">
      <w:lvlJc w:val="left"/>
      <w:lvlText w:val="(%2)"/>
      <w:numFmt w:val="decimal"/>
      <w:start w:val="1"/>
    </w:lvl>
  </w:abstractNum>
  <w:abstractNum w:abstractNumId="57">
    <w:nsid w:val="6EAA85FB"/>
    <w:multiLevelType w:val="hybridMultilevel"/>
    <w:lvl w:ilvl="0">
      <w:lvlJc w:val="left"/>
      <w:lvlText w:val="%1"/>
      <w:numFmt w:val="lowerLetter"/>
      <w:start w:val="1"/>
    </w:lvl>
    <w:lvl w:ilvl="1">
      <w:lvlJc w:val="left"/>
      <w:lvlText w:val="(%2)"/>
      <w:numFmt w:val="decimal"/>
      <w:start w:val="2"/>
    </w:lvl>
  </w:abstractNum>
  <w:abstractNum w:abstractNumId="58">
    <w:nsid w:val="3F06ECB2"/>
    <w:multiLevelType w:val="hybridMultilevel"/>
    <w:lvl w:ilvl="0">
      <w:lvlJc w:val="left"/>
      <w:lvlText w:val="(%1)"/>
      <w:numFmt w:val="lowerLetter"/>
      <w:start w:val="3"/>
    </w:lvl>
    <w:lvl w:ilvl="1">
      <w:lvlJc w:val="left"/>
      <w:lvlText w:val="%2"/>
      <w:numFmt w:val="decimal"/>
      <w:start w:val="1"/>
    </w:lvl>
  </w:abstractNum>
  <w:abstractNum w:abstractNumId="59">
    <w:nsid w:val="3B594807"/>
    <w:multiLevelType w:val="hybridMultilevel"/>
    <w:lvl w:ilvl="0">
      <w:lvlJc w:val="left"/>
      <w:lvlText w:val="(%1)"/>
      <w:numFmt w:val="lowerLetter"/>
      <w:start w:val="1"/>
    </w:lvl>
  </w:abstractNum>
  <w:abstractNum w:abstractNumId="60">
    <w:nsid w:val="6CAA2304"/>
    <w:multiLevelType w:val="hybridMultilevel"/>
    <w:lvl w:ilvl="0">
      <w:lvlJc w:val="left"/>
      <w:lvlText w:val="%1"/>
      <w:numFmt w:val="lowerLetter"/>
      <w:start w:val="1"/>
    </w:lvl>
    <w:lvl w:ilvl="1">
      <w:lvlJc w:val="left"/>
      <w:lvlText w:val="(%2)"/>
      <w:numFmt w:val="lowerLetter"/>
      <w:start w:val="3"/>
    </w:lvl>
  </w:abstractNum>
  <w:abstractNum w:abstractNumId="61">
    <w:nsid w:val="3F7C2FF4"/>
    <w:multiLevelType w:val="hybridMultilevel"/>
    <w:lvl w:ilvl="0">
      <w:lvlJc w:val="left"/>
      <w:lvlText w:val="(%1)"/>
      <w:numFmt w:val="lowerLetter"/>
      <w:start w:val="2"/>
    </w:lvl>
    <w:lvl w:ilvl="1">
      <w:lvlJc w:val="left"/>
      <w:lvlText w:val="(%2)"/>
      <w:numFmt w:val="lowerLetter"/>
      <w:start w:val="6"/>
    </w:lvl>
  </w:abstractNum>
  <w:abstractNum w:abstractNumId="62">
    <w:nsid w:val="25413BEC"/>
    <w:multiLevelType w:val="hybridMultilevel"/>
    <w:lvl w:ilvl="0">
      <w:lvlJc w:val="left"/>
      <w:lvlText w:val="(%1)"/>
      <w:numFmt w:val="lowerLetter"/>
      <w:start w:val="7"/>
    </w:lvl>
  </w:abstractNum>
  <w:abstractNum w:abstractNumId="63">
    <w:nsid w:val="17180B0B"/>
    <w:multiLevelType w:val="hybridMultilevel"/>
    <w:lvl w:ilvl="0">
      <w:lvlJc w:val="left"/>
      <w:lvlText w:val="(%1)"/>
      <w:numFmt w:val="lowerRoman"/>
      <w:start w:val="1"/>
    </w:lvl>
  </w:abstractNum>
  <w:abstractNum w:abstractNumId="64">
    <w:nsid w:val="579328B9"/>
    <w:multiLevelType w:val="hybridMultilevel"/>
    <w:lvl w:ilvl="0">
      <w:lvlJc w:val="left"/>
      <w:lvlText w:val="(%1)"/>
      <w:numFmt w:val="lowerLetter"/>
      <w:start w:val="10"/>
    </w:lvl>
  </w:abstractNum>
  <w:abstractNum w:abstractNumId="65">
    <w:nsid w:val="5D205E20"/>
    <w:multiLevelType w:val="hybridMultilevel"/>
    <w:lvl w:ilvl="0">
      <w:lvlJc w:val="left"/>
      <w:lvlText w:val="(%1)"/>
      <w:numFmt w:val="lowerLetter"/>
      <w:start w:val="1"/>
    </w:lvl>
    <w:lvl w:ilvl="1">
      <w:lvlJc w:val="left"/>
      <w:lvlText w:val="(%2)"/>
      <w:numFmt w:val="lowerRoman"/>
      <w:start w:val="1"/>
    </w:lvl>
  </w:abstractNum>
  <w:abstractNum w:abstractNumId="66">
    <w:nsid w:val="11CCA8BA"/>
    <w:multiLevelType w:val="hybridMultilevel"/>
    <w:lvl w:ilvl="0">
      <w:lvlJc w:val="left"/>
      <w:lvlText w:val="(%1)"/>
      <w:numFmt w:val="lowerRoman"/>
      <w:start w:val="2"/>
    </w:lvl>
  </w:abstractNum>
  <w:abstractNum w:abstractNumId="67">
    <w:nsid w:val="4D32AB86"/>
    <w:multiLevelType w:val="hybridMultilevel"/>
    <w:lvl w:ilvl="0">
      <w:lvlJc w:val="left"/>
      <w:lvlText w:val="(%1)"/>
      <w:numFmt w:val="lowerRoman"/>
      <w:start w:val="10"/>
    </w:lvl>
  </w:abstractNum>
  <w:abstractNum w:abstractNumId="68">
    <w:nsid w:val="3F07ACC3"/>
    <w:multiLevelType w:val="hybridMultilevel"/>
    <w:lvl w:ilvl="0">
      <w:lvlJc w:val="left"/>
      <w:lvlText w:val="(%1)"/>
      <w:numFmt w:val="decimal"/>
      <w:start w:val="1"/>
    </w:lvl>
  </w:abstractNum>
  <w:abstractNum w:abstractNumId="69">
    <w:nsid w:val="6B47F63E"/>
    <w:multiLevelType w:val="hybridMultilevel"/>
    <w:lvl w:ilvl="0">
      <w:lvlJc w:val="left"/>
      <w:lvlText w:val="(%1)"/>
      <w:numFmt w:val="decimal"/>
      <w:start w:val="3"/>
    </w:lvl>
    <w:lvl w:ilvl="1">
      <w:lvlJc w:val="left"/>
      <w:lvlText w:val="(%2)"/>
      <w:numFmt w:val="lowerRoman"/>
      <w:start w:val="1"/>
    </w:lvl>
  </w:abstractNum>
  <w:abstractNum w:abstractNumId="70">
    <w:nsid w:val="5CB44A05"/>
    <w:multiLevelType w:val="hybridMultilevel"/>
    <w:lvl w:ilvl="0">
      <w:lvlJc w:val="left"/>
      <w:lvlText w:val="(%1)"/>
      <w:numFmt w:val="decimal"/>
      <w:start w:val="1"/>
    </w:lvl>
  </w:abstractNum>
  <w:abstractNum w:abstractNumId="71">
    <w:nsid w:val="16CF80F1"/>
    <w:multiLevelType w:val="hybridMultilevel"/>
    <w:lvl w:ilvl="0">
      <w:lvlJc w:val="left"/>
      <w:lvlText w:val="(%1)"/>
      <w:numFmt w:val="decimal"/>
      <w:start w:val="1"/>
    </w:lvl>
  </w:abstractNum>
  <w:abstractNum w:abstractNumId="72">
    <w:nsid w:val="1C695DEC"/>
    <w:multiLevelType w:val="hybridMultilevel"/>
    <w:lvl w:ilvl="0">
      <w:lvlJc w:val="left"/>
      <w:lvlText w:val="(%1)"/>
      <w:numFmt w:val="decimal"/>
      <w:start w:val="2"/>
    </w:lvl>
  </w:abstractNum>
  <w:abstractNum w:abstractNumId="73">
    <w:nsid w:val="3FCFAED9"/>
    <w:multiLevelType w:val="hybridMultilevel"/>
    <w:lvl w:ilvl="0">
      <w:lvlJc w:val="left"/>
      <w:lvlText w:val="(%1)"/>
      <w:numFmt w:val="lowerRoman"/>
      <w:start w:val="1"/>
    </w:lvl>
  </w:abstractNum>
  <w:abstractNum w:abstractNumId="74">
    <w:nsid w:val="F856867"/>
    <w:multiLevelType w:val="hybridMultilevel"/>
    <w:lvl w:ilvl="0">
      <w:lvlJc w:val="left"/>
      <w:lvlText w:val="(%1)"/>
      <w:numFmt w:val="decimal"/>
      <w:start w:val="1"/>
    </w:lvl>
  </w:abstractNum>
  <w:abstractNum w:abstractNumId="75">
    <w:nsid w:val="11B1CC33"/>
    <w:multiLevelType w:val="hybridMultilevel"/>
    <w:lvl w:ilvl="0">
      <w:lvlJc w:val="left"/>
      <w:lvlText w:val="(%1)"/>
      <w:numFmt w:val="decimal"/>
      <w:start w:val="2"/>
    </w:lvl>
  </w:abstractNum>
  <w:abstractNum w:abstractNumId="76">
    <w:nsid w:val="2E22FBB7"/>
    <w:multiLevelType w:val="hybridMultilevel"/>
    <w:lvl w:ilvl="0">
      <w:lvlJc w:val="left"/>
      <w:lvlText w:val="(%1)"/>
      <w:numFmt w:val="decimal"/>
      <w:start w:val="1"/>
    </w:lvl>
  </w:abstractNum>
  <w:abstractNum w:abstractNumId="77">
    <w:nsid w:val="29934699"/>
    <w:multiLevelType w:val="hybridMultilevel"/>
    <w:lvl w:ilvl="0">
      <w:lvlJc w:val="left"/>
      <w:lvlText w:val="(%1)"/>
      <w:numFmt w:val="decimal"/>
      <w:start w:val="1"/>
    </w:lvl>
  </w:abstractNum>
  <w:abstractNum w:abstractNumId="78">
    <w:nsid w:val="77485850"/>
    <w:multiLevelType w:val="hybridMultilevel"/>
    <w:lvl w:ilvl="0">
      <w:lvlJc w:val="left"/>
      <w:lvlText w:val="(%1)"/>
      <w:numFmt w:val="lowerLetter"/>
      <w:start w:val="1"/>
    </w:lvl>
    <w:lvl w:ilvl="1">
      <w:lvlJc w:val="left"/>
      <w:lvlText w:val="(%2)"/>
      <w:numFmt w:val="decimal"/>
      <w:start w:val="1"/>
    </w:lvl>
  </w:abstractNum>
  <w:abstractNum w:abstractNumId="79">
    <w:nsid w:val="744939A3"/>
    <w:multiLevelType w:val="hybridMultilevel"/>
    <w:lvl w:ilvl="0">
      <w:lvlJc w:val="left"/>
      <w:lvlText w:val="%1"/>
      <w:numFmt w:val="lowerLetter"/>
      <w:start w:val="1"/>
    </w:lvl>
    <w:lvl w:ilvl="1">
      <w:lvlJc w:val="left"/>
      <w:lvlText w:val="(%2)"/>
      <w:numFmt w:val="decimal"/>
      <w:start w:val="2"/>
    </w:lvl>
  </w:abstractNum>
  <w:abstractNum w:abstractNumId="80">
    <w:nsid w:val="4FA0D2E3"/>
    <w:multiLevelType w:val="hybridMultilevel"/>
    <w:lvl w:ilvl="0">
      <w:lvlJc w:val="left"/>
      <w:lvlText w:val="(%1)"/>
      <w:numFmt w:val="lowerLetter"/>
      <w:start w:val="4"/>
    </w:lvl>
    <w:lvl w:ilvl="1">
      <w:lvlJc w:val="left"/>
      <w:lvlText w:val="%2"/>
      <w:numFmt w:val="decimal"/>
      <w:start w:val="1"/>
    </w:lvl>
  </w:abstractNum>
  <w:abstractNum w:abstractNumId="81">
    <w:nsid w:val="6B1D2C14"/>
    <w:multiLevelType w:val="hybridMultilevel"/>
    <w:lvl w:ilvl="0">
      <w:lvlJc w:val="left"/>
      <w:lvlText w:val="(%1)"/>
      <w:numFmt w:val="decimal"/>
      <w:start w:val="1"/>
    </w:lvl>
  </w:abstractNum>
  <w:abstractNum w:abstractNumId="82">
    <w:nsid w:val="68B867D3"/>
    <w:multiLevelType w:val="hybridMultilevel"/>
    <w:lvl w:ilvl="0">
      <w:lvlJc w:val="left"/>
      <w:lvlText w:val="(%1)"/>
      <w:numFmt w:val="lowerLetter"/>
      <w:start w:val="1"/>
    </w:lvl>
  </w:abstractNum>
  <w:abstractNum w:abstractNumId="83">
    <w:nsid w:val="3F7F5DD9"/>
    <w:multiLevelType w:val="hybridMultilevel"/>
    <w:lvl w:ilvl="0">
      <w:lvlJc w:val="left"/>
      <w:lvlText w:val="%1"/>
      <w:numFmt w:val="lowerLetter"/>
      <w:start w:val="1"/>
    </w:lvl>
    <w:lvl w:ilvl="1">
      <w:lvlJc w:val="left"/>
      <w:lvlText w:val="(%2)"/>
      <w:numFmt w:val="lowerLetter"/>
      <w:start w:val="2"/>
    </w:lvl>
  </w:abstractNum>
  <w:abstractNum w:abstractNumId="84">
    <w:nsid w:val="2AE05A34"/>
    <w:multiLevelType w:val="hybridMultilevel"/>
    <w:lvl w:ilvl="0">
      <w:lvlJc w:val="left"/>
      <w:lvlText w:val="(%1)"/>
      <w:numFmt w:val="lowerLetter"/>
      <w:start w:val="35"/>
    </w:lvl>
    <w:lvl w:ilvl="1">
      <w:lvlJc w:val="left"/>
      <w:lvlText w:val="(%2)"/>
      <w:numFmt w:val="lowerLetter"/>
      <w:start w:val="8"/>
    </w:lvl>
  </w:abstractNum>
  <w:abstractNum w:abstractNumId="85">
    <w:nsid w:val="32794FF7"/>
    <w:multiLevelType w:val="hybridMultilevel"/>
    <w:lvl w:ilvl="0">
      <w:lvlJc w:val="left"/>
      <w:lvlText w:val="(%1)"/>
      <w:numFmt w:val="decimal"/>
      <w:start w:val="1"/>
    </w:lvl>
  </w:abstractNum>
  <w:abstractNum w:abstractNumId="86">
    <w:nsid w:val="5454945E"/>
    <w:multiLevelType w:val="hybridMultilevel"/>
    <w:lvl w:ilvl="0">
      <w:lvlJc w:val="left"/>
      <w:lvlText w:val="(%1)"/>
      <w:numFmt w:val="lowerLetter"/>
      <w:start w:val="1"/>
    </w:lvl>
  </w:abstractNum>
  <w:abstractNum w:abstractNumId="87">
    <w:nsid w:val="4DEFDFA0"/>
    <w:multiLevelType w:val="hybridMultilevel"/>
    <w:lvl w:ilvl="0">
      <w:lvlJc w:val="left"/>
      <w:lvlText w:val="(%1)"/>
      <w:numFmt w:val="lowerLetter"/>
      <w:start w:val="2"/>
    </w:lvl>
  </w:abstractNum>
  <w:abstractNum w:abstractNumId="88">
    <w:nsid w:val="2123D5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9">
    <w:nsid w:val="135B8110"/>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90">
    <w:nsid w:val="94927A8"/>
    <w:multiLevelType w:val="hybridMultilevel"/>
    <w:lvl w:ilvl="0">
      <w:lvlJc w:val="left"/>
      <w:lvlText w:val="%1"/>
      <w:numFmt w:val="lowerRoman"/>
      <w:start w:val="1"/>
    </w:lvl>
    <w:lvl w:ilvl="1">
      <w:lvlJc w:val="left"/>
      <w:lvlText w:val="(%2)"/>
      <w:numFmt w:val="decimal"/>
      <w:start w:val="2"/>
    </w:lvl>
  </w:abstractNum>
  <w:abstractNum w:abstractNumId="91">
    <w:nsid w:val="DCDF8F6"/>
    <w:multiLevelType w:val="hybridMultilevel"/>
    <w:lvl w:ilvl="0">
      <w:lvlJc w:val="left"/>
      <w:lvlText w:val="(%1)"/>
      <w:numFmt w:val="lowerRoman"/>
      <w:start w:val="1"/>
    </w:lvl>
    <w:lvl w:ilvl="1">
      <w:lvlJc w:val="left"/>
      <w:lvlText w:val="(%2)"/>
      <w:numFmt w:val="decimal"/>
      <w:start w:val="7"/>
    </w:lvl>
  </w:abstractNum>
  <w:abstractNum w:abstractNumId="92">
    <w:nsid w:val="52D7B105"/>
    <w:multiLevelType w:val="hybridMultilevel"/>
    <w:lvl w:ilvl="0">
      <w:lvlJc w:val="left"/>
      <w:lvlText w:val="(%1)"/>
      <w:numFmt w:val="decimal"/>
      <w:start w:val="10"/>
    </w:lvl>
  </w:abstractNum>
  <w:abstractNum w:abstractNumId="93">
    <w:nsid w:val="2E8A6394"/>
    <w:multiLevelType w:val="hybridMultilevel"/>
    <w:lvl w:ilvl="0">
      <w:lvlJc w:val="left"/>
      <w:lvlText w:val="(%1)"/>
      <w:numFmt w:val="lowerLetter"/>
      <w:start w:val="4"/>
    </w:lvl>
    <w:lvl w:ilvl="1">
      <w:lvlJc w:val="left"/>
      <w:lvlText w:val="(%2)"/>
      <w:numFmt w:val="decimal"/>
      <w:start w:val="1"/>
    </w:lvl>
  </w:abstractNum>
  <w:abstractNum w:abstractNumId="94">
    <w:nsid w:val="24E6040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5">
    <w:nsid w:val="2A6AD9BE"/>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9"/>
    </w:lvl>
  </w:abstractNum>
  <w:abstractNum w:abstractNumId="96">
    <w:nsid w:val="BAAC1B4"/>
    <w:multiLevelType w:val="hybridMultilevel"/>
    <w:lvl w:ilvl="0">
      <w:lvlJc w:val="left"/>
      <w:lvlText w:val="(%1)"/>
      <w:numFmt w:val="lowerRoman"/>
      <w:start w:val="2"/>
    </w:lvl>
  </w:abstractNum>
  <w:abstractNum w:abstractNumId="97">
    <w:nsid w:val="36B2ACBC"/>
    <w:multiLevelType w:val="hybridMultilevel"/>
    <w:lvl w:ilvl="0">
      <w:lvlJc w:val="left"/>
      <w:lvlText w:val="%1"/>
      <w:numFmt w:val="lowerLetter"/>
      <w:start w:val="1"/>
    </w:lvl>
    <w:lvl w:ilvl="1">
      <w:lvlJc w:val="left"/>
      <w:lvlText w:val="(%2)"/>
      <w:numFmt w:val="decimal"/>
      <w:start w:val="5"/>
    </w:lvl>
  </w:abstractNum>
  <w:abstractNum w:abstractNumId="98">
    <w:nsid w:val="779D8544"/>
    <w:multiLevelType w:val="hybridMultilevel"/>
    <w:lvl w:ilvl="0">
      <w:lvlJc w:val="left"/>
      <w:lvlText w:val="(%1)"/>
      <w:numFmt w:val="lowerLetter"/>
      <w:start w:val="6"/>
    </w:lvl>
    <w:lvl w:ilvl="1">
      <w:lvlJc w:val="left"/>
      <w:lvlText w:val="(%2)"/>
      <w:numFmt w:val="decimal"/>
      <w:start w:val="1"/>
    </w:lvl>
  </w:abstractNum>
  <w:abstractNum w:abstractNumId="99">
    <w:nsid w:val="4AB26E78"/>
    <w:multiLevelType w:val="hybridMultilevel"/>
    <w:lvl w:ilvl="0">
      <w:lvlJc w:val="left"/>
      <w:lvlText w:val="(%1)"/>
      <w:numFmt w:val="lowerLetter"/>
      <w:start w:val="1"/>
    </w:lvl>
    <w:lvl w:ilvl="1">
      <w:lvlJc w:val="left"/>
      <w:lvlText w:val="(%2)"/>
      <w:numFmt w:val="decimal"/>
      <w:start w:val="1"/>
    </w:lvl>
  </w:abstractNum>
  <w:abstractNum w:abstractNumId="100">
    <w:nsid w:val="21FAA2FA"/>
    <w:multiLevelType w:val="hybridMultilevel"/>
    <w:lvl w:ilvl="0">
      <w:lvlJc w:val="left"/>
      <w:lvlText w:val="(%1)"/>
      <w:numFmt w:val="lowerLetter"/>
      <w:start w:val="5"/>
    </w:lvl>
  </w:abstractNum>
  <w:abstractNum w:abstractNumId="101">
    <w:nsid w:val="5451CF49"/>
    <w:multiLevelType w:val="hybridMultilevel"/>
    <w:lvl w:ilvl="0">
      <w:lvlJc w:val="left"/>
      <w:lvlText w:val="(%1)"/>
      <w:numFmt w:val="lowerLetter"/>
      <w:start w:val="6"/>
    </w:lvl>
  </w:abstractNum>
  <w:abstractNum w:abstractNumId="102">
    <w:nsid w:val="6181EF69"/>
    <w:multiLevelType w:val="hybridMultilevel"/>
    <w:lvl w:ilvl="0">
      <w:lvlJc w:val="left"/>
      <w:lvlText w:val="(%1)"/>
      <w:numFmt w:val="lowerLetter"/>
      <w:start w:val="1"/>
    </w:lvl>
  </w:abstractNum>
  <w:abstractNum w:abstractNumId="103">
    <w:nsid w:val="3E6400E6"/>
    <w:multiLevelType w:val="hybridMultilevel"/>
    <w:lvl w:ilvl="0">
      <w:lvlJc w:val="left"/>
      <w:lvlText w:val="(%1)"/>
      <w:numFmt w:val="lowerLetter"/>
      <w:start w:val="3"/>
    </w:lvl>
  </w:abstractNum>
  <w:abstractNum w:abstractNumId="104">
    <w:nsid w:val="14217E23"/>
    <w:multiLevelType w:val="hybridMultilevel"/>
    <w:lvl w:ilvl="0">
      <w:lvlJc w:val="left"/>
      <w:lvlText w:val="(%1)"/>
      <w:numFmt w:val="lowerLetter"/>
      <w:start w:val="1"/>
    </w:lvl>
    <w:lvl w:ilvl="1">
      <w:lvlJc w:val="left"/>
      <w:lvlText w:val="(%2)"/>
      <w:numFmt w:val="decimal"/>
      <w:start w:val="1"/>
    </w:lvl>
  </w:abstractNum>
  <w:abstractNum w:abstractNumId="105">
    <w:nsid w:val="710757D0"/>
    <w:multiLevelType w:val="hybridMultilevel"/>
    <w:lvl w:ilvl="0">
      <w:lvlJc w:val="left"/>
      <w:lvlText w:val="%1"/>
      <w:numFmt w:val="lowerRoman"/>
      <w:start w:val="1"/>
    </w:lvl>
    <w:lvl w:ilvl="1">
      <w:lvlJc w:val="left"/>
      <w:lvlText w:val="(%2)"/>
      <w:numFmt w:val="upperLetter"/>
      <w:start w:val="1"/>
    </w:lvl>
  </w:abstractNum>
  <w:abstractNum w:abstractNumId="106">
    <w:nsid w:val="5015CD1A"/>
    <w:multiLevelType w:val="hybridMultilevel"/>
    <w:lvl w:ilvl="0">
      <w:lvlJc w:val="left"/>
      <w:lvlText w:val="(%1)"/>
      <w:numFmt w:val="lowerRoman"/>
      <w:start w:val="2"/>
    </w:lvl>
    <w:lvl w:ilvl="1">
      <w:lvlJc w:val="left"/>
      <w:lvlText w:val="%2"/>
      <w:numFmt w:val="upperLetter"/>
      <w:start w:val="1"/>
    </w:lvl>
  </w:abstractNum>
  <w:abstractNum w:abstractNumId="107">
    <w:nsid w:val="424479DA"/>
    <w:multiLevelType w:val="hybridMultilevel"/>
    <w:lvl w:ilvl="0">
      <w:lvlJc w:val="left"/>
      <w:lvlText w:val="(%1)"/>
      <w:numFmt w:val="upperLetter"/>
      <w:start w:val="2"/>
    </w:lvl>
  </w:abstractNum>
  <w:abstractNum w:abstractNumId="108">
    <w:nsid w:val="1A9A9E69"/>
    <w:multiLevelType w:val="hybridMultilevel"/>
    <w:lvl w:ilvl="0">
      <w:lvlJc w:val="left"/>
      <w:lvlText w:val="(%1)"/>
      <w:numFmt w:val="lowerRoman"/>
      <w:start w:val="1"/>
    </w:lvl>
  </w:abstractNum>
  <w:abstractNum w:abstractNumId="109">
    <w:nsid w:val="475E256A"/>
    <w:multiLevelType w:val="hybridMultilevel"/>
    <w:lvl w:ilvl="0">
      <w:lvlJc w:val="left"/>
      <w:lvlText w:val="(%1)"/>
      <w:numFmt w:val="lowerLetter"/>
      <w:start w:val="2"/>
    </w:lvl>
    <w:lvl w:ilvl="1">
      <w:lvlJc w:val="left"/>
      <w:lvlText w:val="(%2)"/>
      <w:numFmt w:val="decimal"/>
      <w:start w:val="1"/>
    </w:lvl>
  </w:abstractNum>
  <w:abstractNum w:abstractNumId="110">
    <w:nsid w:val="368DB37E"/>
    <w:multiLevelType w:val="hybridMultilevel"/>
    <w:lvl w:ilvl="0">
      <w:lvlJc w:val="left"/>
      <w:lvlText w:val="(%1)"/>
      <w:numFmt w:val="lowerLetter"/>
      <w:start w:val="3"/>
    </w:lvl>
    <w:lvl w:ilvl="1">
      <w:lvlJc w:val="left"/>
      <w:lvlText w:val="(%2)"/>
      <w:numFmt w:val="decimal"/>
      <w:start w:val="1"/>
    </w:lvl>
  </w:abstractNum>
  <w:abstractNum w:abstractNumId="111">
    <w:nsid w:val="6A3B714C"/>
    <w:multiLevelType w:val="hybridMultilevel"/>
    <w:lvl w:ilvl="0">
      <w:lvlJc w:val="left"/>
      <w:lvlText w:val="(%1)"/>
      <w:numFmt w:val="lowerLetter"/>
      <w:start w:val="1"/>
    </w:lvl>
  </w:abstractNum>
  <w:abstractNum w:abstractNumId="112">
    <w:nsid w:val="327B517E"/>
    <w:multiLevelType w:val="hybridMultilevel"/>
    <w:lvl w:ilvl="0">
      <w:lvlJc w:val="left"/>
      <w:lvlText w:val="(%1)"/>
      <w:numFmt w:val="lowerLetter"/>
      <w:start w:val="1"/>
    </w:lvl>
  </w:abstractNum>
  <w:abstractNum w:abstractNumId="113">
    <w:nsid w:val="1F461B51"/>
    <w:multiLevelType w:val="hybridMultilevel"/>
    <w:lvl w:ilvl="0">
      <w:lvlJc w:val="left"/>
      <w:lvlText w:val="(%1)"/>
      <w:numFmt w:val="lowerLetter"/>
      <w:start w:val="2"/>
    </w:lvl>
    <w:lvl w:ilvl="1">
      <w:lvlJc w:val="left"/>
      <w:lvlText w:val="(%2)"/>
      <w:numFmt w:val="lowerRoman"/>
      <w:start w:val="1"/>
    </w:lvl>
  </w:abstractNum>
  <w:abstractNum w:abstractNumId="114">
    <w:nsid w:val="29BACF25"/>
    <w:multiLevelType w:val="hybridMultilevel"/>
    <w:lvl w:ilvl="0">
      <w:lvlJc w:val="left"/>
      <w:lvlText w:val="(%1)"/>
      <w:numFmt w:val="lowerLetter"/>
      <w:start w:val="3"/>
    </w:lvl>
  </w:abstractNum>
  <w:abstractNum w:abstractNumId="115">
    <w:nsid w:val="5D5BABB3"/>
    <w:multiLevelType w:val="hybridMultilevel"/>
    <w:lvl w:ilvl="0">
      <w:lvlJc w:val="left"/>
      <w:lvlText w:val="(%1)"/>
      <w:numFmt w:val="lowerLetter"/>
      <w:start w:val="1"/>
    </w:lvl>
    <w:lvl w:ilvl="1">
      <w:lvlJc w:val="left"/>
      <w:lvlText w:val="(%2)"/>
      <w:numFmt w:val="decimal"/>
      <w:start w:val="1"/>
    </w:lvl>
  </w:abstractNum>
  <w:abstractNum w:abstractNumId="116">
    <w:nsid w:val="51BF6B48"/>
    <w:multiLevelType w:val="hybridMultilevel"/>
    <w:lvl w:ilvl="0">
      <w:lvlJc w:val="left"/>
      <w:lvlText w:val="%1"/>
      <w:numFmt w:val="lowerLetter"/>
      <w:start w:val="1"/>
    </w:lvl>
    <w:lvl w:ilvl="1">
      <w:lvlJc w:val="left"/>
      <w:lvlText w:val="(%2)"/>
      <w:numFmt w:val="decimal"/>
      <w:start w:val="4"/>
    </w:lvl>
  </w:abstractNum>
  <w:abstractNum w:abstractNumId="117">
    <w:nsid w:val="7E0F6384"/>
    <w:multiLevelType w:val="hybridMultilevel"/>
    <w:lvl w:ilvl="0">
      <w:lvlJc w:val="left"/>
      <w:lvlText w:val="(%1)"/>
      <w:numFmt w:val="lowerLetter"/>
      <w:start w:val="2"/>
    </w:lvl>
    <w:lvl w:ilvl="1">
      <w:lvlJc w:val="left"/>
      <w:lvlText w:val="(%2)"/>
      <w:numFmt w:val="decimal"/>
      <w:start w:val="1"/>
    </w:lvl>
  </w:abstractNum>
  <w:abstractNum w:abstractNumId="118">
    <w:nsid w:val="2B4B8B53"/>
    <w:multiLevelType w:val="hybridMultilevel"/>
    <w:lvl w:ilvl="0">
      <w:lvlJc w:val="left"/>
      <w:lvlText w:val="(%1)"/>
      <w:numFmt w:val="decimal"/>
      <w:start w:val="1"/>
    </w:lvl>
  </w:abstractNum>
  <w:abstractNum w:abstractNumId="119">
    <w:nsid w:val="72E3413A"/>
    <w:multiLevelType w:val="hybridMultilevel"/>
    <w:lvl w:ilvl="0">
      <w:lvlJc w:val="left"/>
      <w:lvlText w:val="(%1)"/>
      <w:numFmt w:val="lowerLetter"/>
      <w:start w:val="1"/>
    </w:lvl>
    <w:lvl w:ilvl="1">
      <w:lvlJc w:val="left"/>
      <w:lvlText w:val="(%2)"/>
      <w:numFmt w:val="decimal"/>
      <w:start w:val="2"/>
    </w:lvl>
  </w:abstractNum>
  <w:abstractNum w:abstractNumId="120">
    <w:nsid w:val="116AE494"/>
    <w:multiLevelType w:val="hybridMultilevel"/>
    <w:lvl w:ilvl="0">
      <w:lvlJc w:val="left"/>
      <w:lvlText w:val="(%1)"/>
      <w:numFmt w:val="decimal"/>
      <w:start w:val="1"/>
    </w:lvl>
  </w:abstractNum>
  <w:abstractNum w:abstractNumId="121">
    <w:nsid w:val="3494B2FB"/>
    <w:multiLevelType w:val="hybridMultilevel"/>
    <w:lvl w:ilvl="0">
      <w:lvlJc w:val="left"/>
      <w:lvlText w:val="(%1)"/>
      <w:numFmt w:val="decimal"/>
      <w:start w:val="1"/>
    </w:lvl>
  </w:abstractNum>
  <w:abstractNum w:abstractNumId="122">
    <w:nsid w:val="B13A31"/>
    <w:multiLevelType w:val="hybridMultilevel"/>
    <w:lvl w:ilvl="0">
      <w:lvlJc w:val="left"/>
      <w:lvlText w:val="(%1)"/>
      <w:numFmt w:val="decimal"/>
      <w:start w:val="1"/>
    </w:lvl>
  </w:abstractNum>
  <w:abstractNum w:abstractNumId="123">
    <w:nsid w:val="64429599"/>
    <w:multiLevelType w:val="hybridMultilevel"/>
    <w:lvl w:ilvl="0">
      <w:lvlJc w:val="left"/>
      <w:lvlText w:val="(%1)"/>
      <w:numFmt w:val="decimal"/>
      <w:start w:val="1"/>
    </w:lvl>
  </w:abstractNum>
  <w:abstractNum w:abstractNumId="124">
    <w:nsid w:val="631F1690"/>
    <w:multiLevelType w:val="hybridMultilevel"/>
    <w:lvl w:ilvl="0">
      <w:lvlJc w:val="left"/>
      <w:lvlText w:val="(%1)"/>
      <w:numFmt w:val="decimal"/>
      <w:start w:val="1"/>
    </w:lvl>
  </w:abstractNum>
  <w:abstractNum w:abstractNumId="125">
    <w:nsid w:val="25973E32"/>
    <w:multiLevelType w:val="hybridMultilevel"/>
    <w:lvl w:ilvl="0">
      <w:lvlJc w:val="left"/>
      <w:lvlText w:val="(%1)"/>
      <w:numFmt w:val="decimal"/>
      <w:start w:val="1"/>
    </w:lvl>
  </w:abstractNum>
  <w:abstractNum w:abstractNumId="126">
    <w:nsid w:val="EAD6F57"/>
    <w:multiLevelType w:val="hybridMultilevel"/>
    <w:lvl w:ilvl="0">
      <w:lvlJc w:val="left"/>
      <w:lvlText w:val="(%1)"/>
      <w:numFmt w:val="lowerLetter"/>
      <w:start w:val="1"/>
    </w:lvl>
  </w:abstractNum>
  <w:abstractNum w:abstractNumId="127">
    <w:nsid w:val="6EC9D844"/>
    <w:multiLevelType w:val="hybridMultilevel"/>
    <w:lvl w:ilvl="0">
      <w:lvlJc w:val="left"/>
      <w:lvlText w:val="(%1)"/>
      <w:numFmt w:val="lowerLetter"/>
      <w:start w:val="3"/>
    </w:lvl>
  </w:abstractNum>
  <w:abstractNum w:abstractNumId="128">
    <w:nsid w:val="5C49EAEE"/>
    <w:multiLevelType w:val="hybridMultilevel"/>
    <w:lvl w:ilvl="0">
      <w:lvlJc w:val="left"/>
      <w:lvlText w:val="(%1)"/>
      <w:numFmt w:val="lowerLetter"/>
      <w:start w:val="1"/>
    </w:lvl>
  </w:abstractNum>
  <w:abstractNum w:abstractNumId="129">
    <w:nsid w:val="64AF49B"/>
    <w:multiLevelType w:val="hybridMultilevel"/>
    <w:lvl w:ilvl="0">
      <w:lvlJc w:val="left"/>
      <w:lvlText w:val="%1"/>
      <w:numFmt w:val="lowerRoman"/>
      <w:start w:val="1"/>
    </w:lvl>
    <w:lvl w:ilvl="1">
      <w:lvlJc w:val="left"/>
      <w:lvlText w:val="(%2)"/>
      <w:numFmt w:val="decimal"/>
      <w:start w:val="1"/>
    </w:lvl>
  </w:abstractNum>
  <w:abstractNum w:abstractNumId="130">
    <w:nsid w:val="397C46BC"/>
    <w:multiLevelType w:val="hybridMultilevel"/>
    <w:lvl w:ilvl="0">
      <w:lvlJc w:val="left"/>
      <w:lvlText w:val="(%1)"/>
      <w:numFmt w:val="lowerRoman"/>
      <w:start w:val="3"/>
    </w:lvl>
    <w:lvl w:ilvl="1">
      <w:lvlJc w:val="left"/>
      <w:lvlText w:val="(%2)"/>
      <w:numFmt w:val="decimal"/>
      <w:start w:val="2"/>
    </w:lvl>
  </w:abstractNum>
  <w:abstractNum w:abstractNumId="131">
    <w:nsid w:val="7E448DE9"/>
    <w:multiLevelType w:val="hybridMultilevel"/>
    <w:lvl w:ilvl="0">
      <w:lvlJc w:val="left"/>
      <w:lvlText w:val="(%1)"/>
      <w:numFmt w:val="decimal"/>
      <w:start w:val="3"/>
    </w:lvl>
  </w:abstractNum>
  <w:abstractNum w:abstractNumId="132">
    <w:nsid w:val="5A9CC3E5"/>
    <w:multiLevelType w:val="hybridMultilevel"/>
    <w:lvl w:ilvl="0">
      <w:lvlJc w:val="left"/>
      <w:lvlText w:val="(%1)"/>
      <w:numFmt w:val="decimal"/>
      <w:start w:val="5"/>
    </w:lvl>
  </w:abstractNum>
  <w:abstractNum w:abstractNumId="133">
    <w:nsid w:val="1AFE3625"/>
    <w:multiLevelType w:val="hybridMultilevel"/>
    <w:lvl w:ilvl="0">
      <w:lvlJc w:val="left"/>
      <w:lvlText w:val="(%1)"/>
      <w:numFmt w:val="decimal"/>
      <w:start w:val="1"/>
    </w:lvl>
  </w:abstractNum>
  <w:abstractNum w:abstractNumId="134">
    <w:nsid w:val="3CA88ECF"/>
    <w:multiLevelType w:val="hybridMultilevel"/>
    <w:lvl w:ilvl="0">
      <w:lvlJc w:val="left"/>
      <w:lvlText w:val="(%1)"/>
      <w:numFmt w:val="decimal"/>
      <w:start w:val="1"/>
    </w:lvl>
  </w:abstractNum>
  <w:abstractNum w:abstractNumId="135">
    <w:nsid w:val="6EBE4208"/>
    <w:multiLevelType w:val="hybridMultilevel"/>
    <w:lvl w:ilvl="0">
      <w:lvlJc w:val="left"/>
      <w:lvlText w:val="(%1)"/>
      <w:numFmt w:val="lowerLetter"/>
      <w:start w:val="1"/>
    </w:lvl>
  </w:abstractNum>
  <w:abstractNum w:abstractNumId="136">
    <w:nsid w:val="C058DF5"/>
    <w:multiLevelType w:val="hybridMultilevel"/>
    <w:lvl w:ilvl="0">
      <w:lvlJc w:val="left"/>
      <w:lvlText w:val="(%1)"/>
      <w:numFmt w:val="lowerLetter"/>
      <w:start w:val="1"/>
    </w:lvl>
  </w:abstractNum>
  <w:abstractNum w:abstractNumId="137">
    <w:nsid w:val="CBE5BE9"/>
    <w:multiLevelType w:val="hybridMultilevel"/>
    <w:lvl w:ilvl="0">
      <w:lvlJc w:val="left"/>
      <w:lvlText w:val="%1"/>
      <w:numFmt w:val="upperLetter"/>
      <w:start w:val="1"/>
    </w:lvl>
    <w:lvl w:ilvl="1">
      <w:lvlJc w:val="left"/>
      <w:lvlText w:val="(%2)"/>
      <w:numFmt w:val="lowerLetter"/>
      <w:start w:val="4"/>
    </w:lvl>
  </w:abstractNum>
  <w:abstractNum w:abstractNumId="138">
    <w:nsid w:val="3102BBE2"/>
    <w:multiLevelType w:val="hybridMultilevel"/>
    <w:lvl w:ilvl="0">
      <w:lvlJc w:val="left"/>
      <w:lvlText w:val="(%1)"/>
      <w:numFmt w:val="upperLetter"/>
      <w:start w:val="7"/>
    </w:lvl>
    <w:lvl w:ilvl="1">
      <w:lvlJc w:val="left"/>
      <w:lvlText w:val="(%2)"/>
      <w:numFmt w:val="lowerLetter"/>
      <w:start w:val="5"/>
    </w:lvl>
  </w:abstractNum>
  <w:abstractNum w:abstractNumId="139">
    <w:nsid w:val="26A02C5E"/>
    <w:multiLevelType w:val="hybridMultilevel"/>
    <w:lvl w:ilvl="0">
      <w:lvlJc w:val="left"/>
      <w:lvlText w:val="(%1)"/>
      <w:numFmt w:val="lowerLetter"/>
      <w:start w:val="6"/>
    </w:lvl>
  </w:abstractNum>
  <w:abstractNum w:abstractNumId="140">
    <w:nsid w:val="541C8153"/>
    <w:multiLevelType w:val="hybridMultilevel"/>
    <w:lvl w:ilvl="0">
      <w:lvlJc w:val="left"/>
      <w:lvlText w:val="(%1)"/>
      <w:numFmt w:val="lowerLetter"/>
      <w:start w:val="1"/>
    </w:lvl>
  </w:abstractNum>
  <w:abstractNum w:abstractNumId="141">
    <w:nsid w:val="67906F60"/>
    <w:multiLevelType w:val="hybridMultilevel"/>
    <w:lvl w:ilvl="0">
      <w:lvlJc w:val="left"/>
      <w:lvlText w:val="(%1)"/>
      <w:numFmt w:val="lowerLetter"/>
      <w:start w:val="2"/>
    </w:lvl>
  </w:abstractNum>
  <w:abstractNum w:abstractNumId="142">
    <w:nsid w:val="10DB9DAA"/>
    <w:multiLevelType w:val="hybridMultilevel"/>
    <w:lvl w:ilvl="0">
      <w:lvlJc w:val="left"/>
      <w:lvlText w:val="%1"/>
      <w:numFmt w:val="lowerLetter"/>
      <w:start w:val="1"/>
    </w:lvl>
    <w:lvl w:ilvl="1">
      <w:lvlJc w:val="left"/>
      <w:lvlText w:val="(%2)"/>
      <w:numFmt w:val="decimal"/>
      <w:start w:val="1"/>
    </w:lvl>
  </w:abstractNum>
  <w:abstractNum w:abstractNumId="143">
    <w:nsid w:val="697D2D2"/>
    <w:multiLevelType w:val="hybridMultilevel"/>
    <w:lvl w:ilvl="0">
      <w:lvlJc w:val="left"/>
      <w:lvlText w:val="(%1)"/>
      <w:numFmt w:val="lowerLetter"/>
      <w:start w:val="2"/>
    </w:lvl>
    <w:lvl w:ilvl="1">
      <w:lvlJc w:val="left"/>
      <w:lvlText w:val="%2"/>
      <w:numFmt w:val="decimal"/>
      <w:start w:val="1"/>
    </w:lvl>
  </w:abstractNum>
  <w:abstractNum w:abstractNumId="144">
    <w:nsid w:val="6D68AB2"/>
    <w:multiLevelType w:val="hybridMultilevel"/>
    <w:lvl w:ilvl="0">
      <w:lvlJc w:val="left"/>
      <w:lvlText w:val="(%1)"/>
      <w:numFmt w:val="decimal"/>
      <w:start w:val="1"/>
    </w:lvl>
  </w:abstractNum>
  <w:abstractNum w:abstractNumId="145">
    <w:nsid w:val="3A966CD0"/>
    <w:multiLevelType w:val="hybridMultilevel"/>
    <w:lvl w:ilvl="0">
      <w:lvlJc w:val="left"/>
      <w:lvlText w:val="(%1)"/>
      <w:numFmt w:val="decimal"/>
      <w:start w:val="4"/>
    </w:lvl>
  </w:abstractNum>
  <w:abstractNum w:abstractNumId="146">
    <w:nsid w:val="63F37E85"/>
    <w:multiLevelType w:val="hybridMultilevel"/>
    <w:lvl w:ilvl="0">
      <w:lvlJc w:val="left"/>
      <w:lvlText w:val="(%1)"/>
      <w:numFmt w:val="decimal"/>
      <w:start w:val="1"/>
    </w:lvl>
  </w:abstractNum>
  <w:abstractNum w:abstractNumId="147">
    <w:nsid w:val="5895F5FA"/>
    <w:multiLevelType w:val="hybridMultilevel"/>
    <w:lvl w:ilvl="0">
      <w:lvlJc w:val="left"/>
      <w:lvlText w:val="(%1)"/>
      <w:numFmt w:val="lowerRoman"/>
      <w:start w:val="1"/>
    </w:lvl>
  </w:abstractNum>
  <w:abstractNum w:abstractNumId="148">
    <w:nsid w:val="38A5D054"/>
    <w:multiLevelType w:val="hybridMultilevel"/>
    <w:lvl w:ilvl="0">
      <w:lvlJc w:val="left"/>
      <w:lvlText w:val="(%1)"/>
      <w:numFmt w:val="decimal"/>
      <w:start w:val="1"/>
    </w:lvl>
  </w:abstractNum>
  <w:abstractNum w:abstractNumId="149">
    <w:nsid w:val="F3F09D8"/>
    <w:multiLevelType w:val="hybridMultilevel"/>
    <w:lvl w:ilvl="0">
      <w:lvlJc w:val="left"/>
      <w:lvlText w:val="(%1)"/>
      <w:numFmt w:val="decimal"/>
      <w:start w:val="1"/>
    </w:lvl>
  </w:abstractNum>
  <w:abstractNum w:abstractNumId="150">
    <w:nsid w:val="4B793735"/>
    <w:multiLevelType w:val="hybridMultilevel"/>
    <w:lvl w:ilvl="0">
      <w:lvlJc w:val="left"/>
      <w:lvlText w:val="(%1)"/>
      <w:numFmt w:val="decimal"/>
      <w:start w:val="1"/>
    </w:lvl>
  </w:abstractNum>
  <w:abstractNum w:abstractNumId="151">
    <w:nsid w:val="4A10B4E8"/>
    <w:multiLevelType w:val="hybridMultilevel"/>
    <w:lvl w:ilvl="0">
      <w:lvlJc w:val="left"/>
      <w:lvlText w:val="(%1)"/>
      <w:numFmt w:val="decimal"/>
      <w:start w:val="1"/>
    </w:lvl>
  </w:abstractNum>
  <w:abstractNum w:abstractNumId="152">
    <w:nsid w:val="43D3BCD4"/>
    <w:multiLevelType w:val="hybridMultilevel"/>
    <w:lvl w:ilvl="0">
      <w:lvlJc w:val="left"/>
      <w:lvlText w:val="(%1)"/>
      <w:numFmt w:val="decimal"/>
      <w:start w:val="3"/>
    </w:lvl>
  </w:abstractNum>
  <w:abstractNum w:abstractNumId="153">
    <w:nsid w:val="4C2A7166"/>
    <w:multiLevelType w:val="hybridMultilevel"/>
    <w:lvl w:ilvl="0">
      <w:lvlJc w:val="left"/>
      <w:lvlText w:val="(%1)"/>
      <w:numFmt w:val="decimal"/>
      <w:start w:val="10"/>
    </w:lvl>
  </w:abstractNum>
  <w:abstractNum w:abstractNumId="154">
    <w:nsid w:val="2E534A82"/>
    <w:multiLevelType w:val="hybridMultilevel"/>
    <w:lvl w:ilvl="0">
      <w:lvlJc w:val="left"/>
      <w:lvlText w:val="(%1)"/>
      <w:numFmt w:val="decimal"/>
      <w:start w:val="23"/>
    </w:lvl>
  </w:abstractNum>
  <w:abstractNum w:abstractNumId="155">
    <w:nsid w:val="26F2D364"/>
    <w:multiLevelType w:val="hybridMultilevel"/>
    <w:lvl w:ilvl="0">
      <w:lvlJc w:val="left"/>
      <w:lvlText w:val="(%1)"/>
      <w:numFmt w:val="decimal"/>
      <w:start w:val="1"/>
    </w:lvl>
  </w:abstractNum>
  <w:abstractNum w:abstractNumId="156">
    <w:nsid w:val="71C1AF98"/>
    <w:multiLevelType w:val="hybridMultilevel"/>
    <w:lvl w:ilvl="0">
      <w:lvlJc w:val="left"/>
      <w:lvlText w:val="(%1)"/>
      <w:numFmt w:val="lowerLetter"/>
      <w:start w:val="1"/>
    </w:lvl>
  </w:abstractNum>
  <w:abstractNum w:abstractNumId="157">
    <w:nsid w:val="3D00B9D9"/>
    <w:multiLevelType w:val="hybridMultilevel"/>
    <w:lvl w:ilvl="0">
      <w:lvlJc w:val="left"/>
      <w:lvlText w:val="(%1)"/>
      <w:numFmt w:val="lowerLetter"/>
      <w:start w:val="2"/>
    </w:lvl>
  </w:abstractNum>
  <w:abstractNum w:abstractNumId="158">
    <w:nsid w:val="15BCABA8"/>
    <w:multiLevelType w:val="hybridMultilevel"/>
    <w:lvl w:ilvl="0">
      <w:lvlJc w:val="left"/>
      <w:lvlText w:val="(%1)"/>
      <w:numFmt w:val="lowerRoman"/>
      <w:start w:val="1"/>
    </w:lvl>
  </w:abstractNum>
  <w:abstractNum w:abstractNumId="159">
    <w:nsid w:val="4E0B9A87"/>
    <w:multiLevelType w:val="hybridMultilevel"/>
    <w:lvl w:ilvl="0">
      <w:lvlJc w:val="left"/>
      <w:lvlText w:val="(%1)"/>
      <w:numFmt w:val="lowerLetter"/>
      <w:start w:val="1"/>
    </w:lvl>
  </w:abstractNum>
  <w:abstractNum w:abstractNumId="160">
    <w:nsid w:val="434BAE75"/>
    <w:multiLevelType w:val="hybridMultilevel"/>
    <w:lvl w:ilvl="0">
      <w:lvlJc w:val="left"/>
      <w:lvlText w:val="(%1)"/>
      <w:numFmt w:val="lowerLetter"/>
      <w:start w:val="2"/>
    </w:lvl>
  </w:abstractNum>
  <w:abstractNum w:abstractNumId="161">
    <w:nsid w:val="4F38F265"/>
    <w:multiLevelType w:val="hybridMultilevel"/>
    <w:lvl w:ilvl="0">
      <w:lvlJc w:val="left"/>
      <w:lvlText w:val="(%1)"/>
      <w:numFmt w:val="lowerLetter"/>
      <w:start w:val="1"/>
    </w:lvl>
    <w:lvl w:ilvl="1">
      <w:lvlJc w:val="left"/>
      <w:lvlText w:val="(%2)"/>
      <w:numFmt w:val="decimal"/>
      <w:start w:val="1"/>
    </w:lvl>
  </w:abstractNum>
  <w:abstractNum w:abstractNumId="162">
    <w:nsid w:val="4C502870"/>
    <w:multiLevelType w:val="hybridMultilevel"/>
    <w:lvl w:ilvl="0">
      <w:lvlJc w:val="left"/>
      <w:lvlText w:val="%1"/>
      <w:numFmt w:val="lowerLetter"/>
      <w:start w:val="1"/>
    </w:lvl>
    <w:lvl w:ilvl="1">
      <w:lvlJc w:val="left"/>
      <w:lvlText w:val="(%2)"/>
      <w:numFmt w:val="decimal"/>
      <w:start w:val="2"/>
    </w:lvl>
  </w:abstractNum>
  <w:abstractNum w:abstractNumId="163">
    <w:nsid w:val="1DE8725A"/>
    <w:multiLevelType w:val="hybridMultilevel"/>
    <w:lvl w:ilvl="0">
      <w:lvlJc w:val="left"/>
      <w:lvlText w:val="(%1)"/>
      <w:numFmt w:val="lowerLetter"/>
      <w:start w:val="3"/>
    </w:lvl>
    <w:lvl w:ilvl="1">
      <w:lvlJc w:val="left"/>
      <w:lvlText w:val="%2"/>
      <w:numFmt w:val="decimal"/>
      <w:start w:val="1"/>
    </w:lvl>
  </w:abstractNum>
  <w:abstractNum w:abstractNumId="164">
    <w:nsid w:val="6A37288A"/>
    <w:multiLevelType w:val="hybridMultilevel"/>
    <w:lvl w:ilvl="0">
      <w:lvlJc w:val="left"/>
      <w:lvlText w:val="(%1)"/>
      <w:numFmt w:val="lowerLetter"/>
      <w:start w:val="1"/>
    </w:lvl>
  </w:abstractNum>
  <w:abstractNum w:abstractNumId="165">
    <w:nsid w:val="8F8B73F"/>
    <w:multiLevelType w:val="hybridMultilevel"/>
    <w:lvl w:ilvl="0">
      <w:lvlJc w:val="left"/>
      <w:lvlText w:val="%1"/>
      <w:numFmt w:val="lowerLetter"/>
      <w:start w:val="1"/>
    </w:lvl>
    <w:lvl w:ilvl="1">
      <w:lvlJc w:val="left"/>
      <w:lvlText w:val="(%2)"/>
      <w:numFmt w:val="lowerLetter"/>
      <w:start w:val="3"/>
    </w:lvl>
  </w:abstractNum>
  <w:abstractNum w:abstractNumId="166">
    <w:nsid w:val="CA6B462"/>
    <w:multiLevelType w:val="hybridMultilevel"/>
    <w:lvl w:ilvl="0">
      <w:lvlJc w:val="left"/>
      <w:lvlText w:val="(%1)"/>
      <w:numFmt w:val="lowerLetter"/>
      <w:start w:val="2"/>
    </w:lvl>
    <w:lvl w:ilvl="1">
      <w:lvlJc w:val="left"/>
      <w:lvlText w:val="(%2)"/>
      <w:numFmt w:val="lowerLetter"/>
      <w:start w:val="6"/>
    </w:lvl>
  </w:abstractNum>
  <w:abstractNum w:abstractNumId="167">
    <w:nsid w:val="763CB680"/>
    <w:multiLevelType w:val="hybridMultilevel"/>
    <w:lvl w:ilvl="0">
      <w:lvlJc w:val="left"/>
      <w:lvlText w:val="(%1)"/>
      <w:numFmt w:val="lowerLetter"/>
      <w:start w:val="7"/>
    </w:lvl>
  </w:abstractNum>
  <w:abstractNum w:abstractNumId="168">
    <w:nsid w:val="15B71329"/>
    <w:multiLevelType w:val="hybridMultilevel"/>
    <w:lvl w:ilvl="0">
      <w:lvlJc w:val="left"/>
      <w:lvlText w:val="(%1)"/>
      <w:numFmt w:val="lowerRoman"/>
      <w:start w:val="1"/>
    </w:lvl>
  </w:abstractNum>
  <w:abstractNum w:abstractNumId="169">
    <w:nsid w:val="3DA97044"/>
    <w:multiLevelType w:val="hybridMultilevel"/>
    <w:lvl w:ilvl="0">
      <w:lvlJc w:val="left"/>
      <w:lvlText w:val="(%1)"/>
      <w:numFmt w:val="lowerLetter"/>
      <w:start w:val="10"/>
    </w:lvl>
  </w:abstractNum>
  <w:abstractNum w:abstractNumId="170">
    <w:nsid w:val="1CDCE2DE"/>
    <w:multiLevelType w:val="hybridMultilevel"/>
    <w:lvl w:ilvl="0">
      <w:lvlJc w:val="left"/>
      <w:lvlText w:val="(%1)"/>
      <w:numFmt w:val="lowerLetter"/>
      <w:start w:val="1"/>
    </w:lvl>
    <w:lvl w:ilvl="1">
      <w:lvlJc w:val="left"/>
      <w:lvlText w:val="(%2)"/>
      <w:numFmt w:val="lowerRoman"/>
      <w:start w:val="1"/>
    </w:lvl>
  </w:abstractNum>
  <w:abstractNum w:abstractNumId="171">
    <w:nsid w:val="69D3947C"/>
    <w:multiLevelType w:val="hybridMultilevel"/>
    <w:lvl w:ilvl="0">
      <w:lvlJc w:val="left"/>
      <w:lvlText w:val="(%1)"/>
      <w:numFmt w:val="lowerRoman"/>
      <w:start w:val="2"/>
    </w:lvl>
  </w:abstractNum>
  <w:abstractNum w:abstractNumId="172">
    <w:nsid w:val="2539DFA5"/>
    <w:multiLevelType w:val="hybridMultilevel"/>
    <w:lvl w:ilvl="0">
      <w:lvlJc w:val="left"/>
      <w:lvlText w:val="(%1)"/>
      <w:numFmt w:val="lowerRoman"/>
      <w:start w:val="10"/>
    </w:lvl>
  </w:abstractNum>
  <w:abstractNum w:abstractNumId="173">
    <w:nsid w:val="2DB88089"/>
    <w:multiLevelType w:val="hybridMultilevel"/>
    <w:lvl w:ilvl="0">
      <w:lvlJc w:val="left"/>
      <w:lvlText w:val="(%1)"/>
      <w:numFmt w:val="decimal"/>
      <w:start w:val="1"/>
    </w:lvl>
  </w:abstractNum>
  <w:abstractNum w:abstractNumId="174">
    <w:nsid w:val="706B674E"/>
    <w:multiLevelType w:val="hybridMultilevel"/>
    <w:lvl w:ilvl="0">
      <w:lvlJc w:val="left"/>
      <w:lvlText w:val="(%1)"/>
      <w:numFmt w:val="decimal"/>
      <w:start w:val="3"/>
    </w:lvl>
    <w:lvl w:ilvl="1">
      <w:lvlJc w:val="left"/>
      <w:lvlText w:val="(%2)"/>
      <w:numFmt w:val="lowerRoman"/>
      <w:start w:val="1"/>
    </w:lvl>
  </w:abstractNum>
  <w:abstractNum w:abstractNumId="175">
    <w:nsid w:val="2C106A57"/>
    <w:multiLevelType w:val="hybridMultilevel"/>
    <w:lvl w:ilvl="0">
      <w:lvlJc w:val="left"/>
      <w:lvlText w:val="(%1)"/>
      <w:numFmt w:val="decimal"/>
      <w:start w:val="1"/>
    </w:lvl>
  </w:abstractNum>
  <w:abstractNum w:abstractNumId="176">
    <w:nsid w:val="684EED59"/>
    <w:multiLevelType w:val="hybridMultilevel"/>
    <w:lvl w:ilvl="0">
      <w:lvlJc w:val="left"/>
      <w:lvlText w:val="(%1)"/>
      <w:numFmt w:val="decimal"/>
      <w:start w:val="1"/>
    </w:lvl>
  </w:abstractNum>
  <w:abstractNum w:abstractNumId="177">
    <w:nsid w:val="545EE5D3"/>
    <w:multiLevelType w:val="hybridMultilevel"/>
    <w:lvl w:ilvl="0">
      <w:lvlJc w:val="left"/>
      <w:lvlText w:val="(%1)"/>
      <w:numFmt w:val="decimal"/>
      <w:start w:val="3"/>
    </w:lvl>
  </w:abstractNum>
  <w:abstractNum w:abstractNumId="178">
    <w:nsid w:val="4A66051"/>
    <w:multiLevelType w:val="hybridMultilevel"/>
    <w:lvl w:ilvl="0">
      <w:lvlJc w:val="left"/>
      <w:lvlText w:val="(%1)"/>
      <w:numFmt w:val="lowerRoman"/>
      <w:start w:val="1"/>
    </w:lvl>
  </w:abstractNum>
  <w:abstractNum w:abstractNumId="179">
    <w:nsid w:val="20F4BDAD"/>
    <w:multiLevelType w:val="hybridMultilevel"/>
    <w:lvl w:ilvl="0">
      <w:lvlJc w:val="left"/>
      <w:lvlText w:val="(%1)"/>
      <w:numFmt w:val="decimal"/>
      <w:start w:val="1"/>
    </w:lvl>
  </w:abstractNum>
  <w:abstractNum w:abstractNumId="180">
    <w:nsid w:val="639DEFAC"/>
    <w:multiLevelType w:val="hybridMultilevel"/>
    <w:lvl w:ilvl="0">
      <w:lvlJc w:val="left"/>
      <w:lvlText w:val="(%1)"/>
      <w:numFmt w:val="decimal"/>
      <w:start w:val="3"/>
    </w:lvl>
  </w:abstractNum>
  <w:abstractNum w:abstractNumId="181">
    <w:nsid w:val="501F9786"/>
    <w:multiLevelType w:val="hybridMultilevel"/>
    <w:lvl w:ilvl="0">
      <w:lvlJc w:val="left"/>
      <w:lvlText w:val="(%1)"/>
      <w:numFmt w:val="decimal"/>
      <w:start w:val="1"/>
    </w:lvl>
  </w:abstractNum>
  <w:abstractNum w:abstractNumId="182">
    <w:nsid w:val="6B057295"/>
    <w:multiLevelType w:val="hybridMultilevel"/>
    <w:lvl w:ilvl="0">
      <w:lvlJc w:val="left"/>
      <w:lvlText w:val="(%1)"/>
      <w:numFmt w:val="decimal"/>
      <w:start w:val="1"/>
    </w:lvl>
  </w:abstractNum>
  <w:abstractNum w:abstractNumId="183">
    <w:nsid w:val="2771AC80"/>
    <w:multiLevelType w:val="hybridMultilevel"/>
    <w:lvl w:ilvl="0">
      <w:lvlJc w:val="left"/>
      <w:lvlText w:val="(%1)"/>
      <w:numFmt w:val="lowerLetter"/>
      <w:start w:val="1"/>
    </w:lvl>
    <w:lvl w:ilvl="1">
      <w:lvlJc w:val="left"/>
      <w:lvlText w:val="(%2)"/>
      <w:numFmt w:val="decimal"/>
      <w:start w:val="1"/>
    </w:lvl>
  </w:abstractNum>
  <w:abstractNum w:abstractNumId="184">
    <w:nsid w:val="1C4A08EC"/>
    <w:multiLevelType w:val="hybridMultilevel"/>
    <w:lvl w:ilvl="0">
      <w:lvlJc w:val="left"/>
      <w:lvlText w:val="%1"/>
      <w:numFmt w:val="lowerLetter"/>
      <w:start w:val="1"/>
    </w:lvl>
    <w:lvl w:ilvl="1">
      <w:lvlJc w:val="left"/>
      <w:lvlText w:val="(%2)"/>
      <w:numFmt w:val="decimal"/>
      <w:start w:val="2"/>
    </w:lvl>
  </w:abstractNum>
  <w:abstractNum w:abstractNumId="185">
    <w:nsid w:val="1958BD17"/>
    <w:multiLevelType w:val="hybridMultilevel"/>
    <w:lvl w:ilvl="0">
      <w:lvlJc w:val="left"/>
      <w:lvlText w:val="(%1)"/>
      <w:numFmt w:val="lowerLetter"/>
      <w:start w:val="4"/>
    </w:lvl>
    <w:lvl w:ilvl="1">
      <w:lvlJc w:val="left"/>
      <w:lvlText w:val="%2"/>
      <w:numFmt w:val="decimal"/>
      <w:start w:val="1"/>
    </w:lvl>
  </w:abstractNum>
  <w:abstractNum w:abstractNumId="186">
    <w:nsid w:val="4E647FE4"/>
    <w:multiLevelType w:val="hybridMultilevel"/>
    <w:lvl w:ilvl="0">
      <w:lvlJc w:val="left"/>
      <w:lvlText w:val="(%1)"/>
      <w:numFmt w:val="decimal"/>
      <w:start w:val="1"/>
    </w:lvl>
  </w:abstractNum>
  <w:abstractNum w:abstractNumId="187">
    <w:nsid w:val="E0BB885"/>
    <w:multiLevelType w:val="hybridMultilevel"/>
    <w:lvl w:ilvl="0">
      <w:lvlJc w:val="left"/>
      <w:lvlText w:val="(%1)"/>
      <w:numFmt w:val="lowerLetter"/>
      <w:start w:val="1"/>
    </w:lvl>
  </w:abstractNum>
  <w:abstractNum w:abstractNumId="188">
    <w:nsid w:val="565976F1"/>
    <w:multiLevelType w:val="hybridMultilevel"/>
    <w:lvl w:ilvl="0">
      <w:lvlJc w:val="left"/>
      <w:lvlText w:val="%1"/>
      <w:numFmt w:val="lowerLetter"/>
      <w:start w:val="1"/>
    </w:lvl>
    <w:lvl w:ilvl="1">
      <w:lvlJc w:val="left"/>
      <w:lvlText w:val="(%2)"/>
      <w:numFmt w:val="lowerLetter"/>
      <w:start w:val="2"/>
    </w:lvl>
  </w:abstractNum>
  <w:abstractNum w:abstractNumId="189">
    <w:nsid w:val="64212B8C"/>
    <w:multiLevelType w:val="hybridMultilevel"/>
    <w:lvl w:ilvl="0">
      <w:lvlJc w:val="left"/>
      <w:lvlText w:val="(%1)"/>
      <w:numFmt w:val="lowerLetter"/>
      <w:start w:val="35"/>
    </w:lvl>
    <w:lvl w:ilvl="1">
      <w:lvlJc w:val="left"/>
      <w:lvlText w:val="(%2)"/>
      <w:numFmt w:val="lowerLetter"/>
      <w:start w:val="8"/>
    </w:lvl>
  </w:abstractNum>
  <w:abstractNum w:abstractNumId="190">
    <w:nsid w:val="5C17530C"/>
    <w:multiLevelType w:val="hybridMultilevel"/>
    <w:lvl w:ilvl="0">
      <w:lvlJc w:val="left"/>
      <w:lvlText w:val="(%1)"/>
      <w:numFmt w:val="decimal"/>
      <w:start w:val="1"/>
    </w:lvl>
  </w:abstractNum>
  <w:abstractNum w:abstractNumId="191">
    <w:nsid w:val="19A52566"/>
    <w:multiLevelType w:val="hybridMultilevel"/>
    <w:lvl w:ilvl="0">
      <w:lvlJc w:val="left"/>
      <w:lvlText w:val="(%1)"/>
      <w:numFmt w:val="lowerLetter"/>
      <w:start w:val="1"/>
    </w:lvl>
  </w:abstractNum>
  <w:abstractNum w:abstractNumId="192">
    <w:nsid w:val="335A1D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3">
    <w:nsid w:val="28677B7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9"/>
    </w:lvl>
  </w:abstractNum>
  <w:abstractNum w:abstractNumId="194">
    <w:nsid w:val="378D97C0"/>
    <w:multiLevelType w:val="hybridMultilevel"/>
    <w:lvl w:ilvl="0">
      <w:lvlJc w:val="left"/>
      <w:lvlText w:val="%1"/>
      <w:numFmt w:val="decimal"/>
      <w:start w:val="1"/>
    </w:lvl>
    <w:lvl w:ilvl="1">
      <w:lvlJc w:val="left"/>
      <w:lvlText w:val="(%2)"/>
      <w:numFmt w:val="lowerRoman"/>
      <w:start w:val="2"/>
    </w:lvl>
  </w:abstractNum>
  <w:abstractNum w:abstractNumId="195">
    <w:nsid w:val="1D91467C"/>
    <w:multiLevelType w:val="hybridMultilevel"/>
    <w:lvl w:ilvl="0">
      <w:lvlJc w:val="left"/>
      <w:lvlText w:val="(%1)"/>
      <w:numFmt w:val="decimal"/>
      <w:start w:val="2"/>
    </w:lvl>
    <w:lvl w:ilvl="1">
      <w:lvlJc w:val="left"/>
      <w:lvlText w:val="%2"/>
      <w:numFmt w:val="lowerRoman"/>
      <w:start w:val="1"/>
    </w:lvl>
  </w:abstractNum>
  <w:abstractNum w:abstractNumId="196">
    <w:nsid w:val="316032BB"/>
    <w:multiLevelType w:val="hybridMultilevel"/>
    <w:lvl w:ilvl="0">
      <w:lvlJc w:val="left"/>
      <w:lvlText w:val="(%1)"/>
      <w:numFmt w:val="decimal"/>
      <w:start w:val="10"/>
    </w:lvl>
  </w:abstractNum>
  <w:abstractNum w:abstractNumId="197">
    <w:nsid w:val="44344C22"/>
    <w:multiLevelType w:val="hybridMultilevel"/>
    <w:lvl w:ilvl="0">
      <w:lvlJc w:val="left"/>
      <w:lvlText w:val="(%1)"/>
      <w:numFmt w:val="lowerLetter"/>
      <w:start w:val="4"/>
    </w:lvl>
    <w:lvl w:ilvl="1">
      <w:lvlJc w:val="left"/>
      <w:lvlText w:val="(%2)"/>
      <w:numFmt w:val="decimal"/>
      <w:start w:val="1"/>
    </w:lvl>
  </w:abstractNum>
  <w:abstractNum w:abstractNumId="198">
    <w:nsid w:val="13CDFCF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99">
    <w:nsid w:val="471745E4"/>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9"/>
    </w:lvl>
  </w:abstractNum>
  <w:abstractNum w:abstractNumId="200">
    <w:nsid w:val="1DDBC66"/>
    <w:multiLevelType w:val="hybridMultilevel"/>
    <w:lvl w:ilvl="0">
      <w:lvlJc w:val="left"/>
      <w:lvlText w:val="(%1)"/>
      <w:numFmt w:val="lowerRoman"/>
      <w:start w:val="2"/>
    </w:lvl>
  </w:abstractNum>
  <w:abstractNum w:abstractNumId="201">
    <w:nsid w:val="30AADFDA"/>
    <w:multiLevelType w:val="hybridMultilevel"/>
    <w:lvl w:ilvl="0">
      <w:lvlJc w:val="left"/>
      <w:lvlText w:val="%1"/>
      <w:numFmt w:val="lowerLetter"/>
      <w:start w:val="1"/>
    </w:lvl>
    <w:lvl w:ilvl="1">
      <w:lvlJc w:val="left"/>
      <w:lvlText w:val="(%2)"/>
      <w:numFmt w:val="decimal"/>
      <w:start w:val="5"/>
    </w:lvl>
  </w:abstractNum>
  <w:abstractNum w:abstractNumId="202">
    <w:nsid w:val="30EADA61"/>
    <w:multiLevelType w:val="hybridMultilevel"/>
    <w:lvl w:ilvl="0">
      <w:lvlJc w:val="left"/>
      <w:lvlText w:val="(%1)"/>
      <w:numFmt w:val="lowerLetter"/>
      <w:start w:val="6"/>
    </w:lvl>
    <w:lvl w:ilvl="1">
      <w:lvlJc w:val="left"/>
      <w:lvlText w:val="(%2)"/>
      <w:numFmt w:val="decimal"/>
      <w:start w:val="1"/>
    </w:lvl>
  </w:abstractNum>
  <w:abstractNum w:abstractNumId="203">
    <w:nsid w:val="27179C0B"/>
    <w:multiLevelType w:val="hybridMultilevel"/>
    <w:lvl w:ilvl="0">
      <w:lvlJc w:val="left"/>
      <w:lvlText w:val="(%1)"/>
      <w:numFmt w:val="lowerLetter"/>
      <w:start w:val="1"/>
    </w:lvl>
    <w:lvl w:ilvl="1">
      <w:lvlJc w:val="left"/>
      <w:lvlText w:val="(%2)"/>
      <w:numFmt w:val="decimal"/>
      <w:start w:val="1"/>
    </w:lvl>
  </w:abstractNum>
  <w:abstractNum w:abstractNumId="204">
    <w:nsid w:val="5E636063"/>
    <w:multiLevelType w:val="hybridMultilevel"/>
    <w:lvl w:ilvl="0">
      <w:lvlJc w:val="left"/>
      <w:lvlText w:val="(%1)"/>
      <w:numFmt w:val="lowerLetter"/>
      <w:start w:val="5"/>
    </w:lvl>
  </w:abstractNum>
  <w:abstractNum w:abstractNumId="205">
    <w:nsid w:val="215641AF"/>
    <w:multiLevelType w:val="hybridMultilevel"/>
    <w:lvl w:ilvl="0">
      <w:lvlJc w:val="left"/>
      <w:lvlText w:val="(%1)"/>
      <w:numFmt w:val="lowerLetter"/>
      <w:start w:val="6"/>
    </w:lvl>
  </w:abstractNum>
  <w:abstractNum w:abstractNumId="206">
    <w:nsid w:val="53280662"/>
    <w:multiLevelType w:val="hybridMultilevel"/>
    <w:lvl w:ilvl="0">
      <w:lvlJc w:val="left"/>
      <w:lvlText w:val="(%1)"/>
      <w:numFmt w:val="lowerLetter"/>
      <w:start w:val="1"/>
    </w:lvl>
  </w:abstractNum>
  <w:abstractNum w:abstractNumId="207">
    <w:nsid w:val="46B24DBC"/>
    <w:multiLevelType w:val="hybridMultilevel"/>
    <w:lvl w:ilvl="0">
      <w:lvlJc w:val="left"/>
      <w:lvlText w:val="(%1)"/>
      <w:numFmt w:val="lowerLetter"/>
      <w:start w:val="3"/>
    </w:lvl>
  </w:abstractNum>
  <w:abstractNum w:abstractNumId="208">
    <w:nsid w:val="75B5278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09">
    <w:nsid w:val="57CE66B4"/>
    <w:multiLevelType w:val="hybridMultilevel"/>
    <w:lvl w:ilvl="0">
      <w:lvlJc w:val="left"/>
      <w:lvlText w:val="(%1)"/>
      <w:numFmt w:val="upperLetter"/>
      <w:start w:val="2"/>
    </w:lvl>
  </w:abstractNum>
  <w:abstractNum w:abstractNumId="210">
    <w:nsid w:val="67A70B6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1">
    <w:nsid w:val="5953172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12">
    <w:nsid w:val="27EDFE3A"/>
    <w:multiLevelType w:val="hybridMultilevel"/>
    <w:lvl w:ilvl="0">
      <w:lvlJc w:val="left"/>
      <w:lvlText w:val="(%1)"/>
      <w:numFmt w:val="decimal"/>
      <w:start w:val="1"/>
    </w:lvl>
  </w:abstractNum>
  <w:abstractNum w:abstractNumId="213">
    <w:nsid w:val="52AC7DFF"/>
    <w:multiLevelType w:val="hybridMultilevel"/>
    <w:lvl w:ilvl="0">
      <w:lvlJc w:val="left"/>
      <w:lvlText w:val="(%1)"/>
      <w:numFmt w:val="lowerLetter"/>
      <w:start w:val="1"/>
    </w:lvl>
  </w:abstractNum>
  <w:abstractNum w:abstractNumId="214">
    <w:nsid w:val="C4C3AF"/>
    <w:multiLevelType w:val="hybridMultilevel"/>
    <w:lvl w:ilvl="0">
      <w:lvlJc w:val="left"/>
      <w:lvlText w:val="(%1)"/>
      <w:numFmt w:val="lowerLetter"/>
      <w:start w:val="1"/>
    </w:lvl>
  </w:abstractNum>
  <w:abstractNum w:abstractNumId="215">
    <w:nsid w:val="44380727"/>
    <w:multiLevelType w:val="hybridMultilevel"/>
    <w:lvl w:ilvl="0">
      <w:lvlJc w:val="left"/>
      <w:lvlText w:val="(%1)"/>
      <w:numFmt w:val="lowerLetter"/>
      <w:start w:val="2"/>
    </w:lvl>
    <w:lvl w:ilvl="1">
      <w:lvlJc w:val="left"/>
      <w:lvlText w:val="(%2)"/>
      <w:numFmt w:val="lowerRoman"/>
      <w:start w:val="1"/>
    </w:lvl>
  </w:abstractNum>
  <w:abstractNum w:abstractNumId="216">
    <w:nsid w:val="6C053B16"/>
    <w:multiLevelType w:val="hybridMultilevel"/>
    <w:lvl w:ilvl="0">
      <w:lvlJc w:val="left"/>
      <w:lvlText w:val="(%1)"/>
      <w:numFmt w:val="lowerLetter"/>
      <w:start w:val="3"/>
    </w:lvl>
  </w:abstractNum>
  <w:abstractNum w:abstractNumId="217">
    <w:nsid w:val="4F294393"/>
    <w:multiLevelType w:val="hybridMultilevel"/>
    <w:lvl w:ilvl="0">
      <w:lvlJc w:val="left"/>
      <w:lvlText w:val="(%1)"/>
      <w:numFmt w:val="decimal"/>
      <w:start w:val="1"/>
    </w:lvl>
  </w:abstractNum>
  <w:abstractNum w:abstractNumId="218">
    <w:nsid w:val="5243BFAC"/>
    <w:multiLevelType w:val="hybridMultilevel"/>
    <w:lvl w:ilvl="0">
      <w:lvlJc w:val="left"/>
      <w:lvlText w:val="%1"/>
      <w:numFmt w:val="lowerLetter"/>
      <w:start w:val="1"/>
    </w:lvl>
    <w:lvl w:ilvl="1">
      <w:lvlJc w:val="left"/>
      <w:lvlText w:val="(%2)"/>
      <w:numFmt w:val="decimal"/>
      <w:start w:val="4"/>
    </w:lvl>
  </w:abstractNum>
  <w:abstractNum w:abstractNumId="219">
    <w:nsid w:val="425EB207"/>
    <w:multiLevelType w:val="hybridMultilevel"/>
    <w:lvl w:ilvl="0">
      <w:lvlJc w:val="left"/>
      <w:lvlText w:val="(%1)"/>
      <w:numFmt w:val="lowerLetter"/>
      <w:start w:val="2"/>
    </w:lvl>
    <w:lvl w:ilvl="1">
      <w:lvlJc w:val="left"/>
      <w:lvlText w:val="(%2)"/>
      <w:numFmt w:val="decimal"/>
      <w:start w:val="1"/>
    </w:lvl>
  </w:abstractNum>
  <w:abstractNum w:abstractNumId="220">
    <w:nsid w:val="334A6F1F"/>
    <w:multiLevelType w:val="hybridMultilevel"/>
    <w:lvl w:ilvl="0">
      <w:lvlJc w:val="left"/>
      <w:lvlText w:val="%1"/>
      <w:numFmt w:val="lowerLetter"/>
      <w:start w:val="1"/>
    </w:lvl>
    <w:lvl w:ilvl="1">
      <w:lvlJc w:val="left"/>
      <w:lvlText w:val="(%2)"/>
      <w:numFmt w:val="decimal"/>
      <w:start w:val="1"/>
    </w:lvl>
  </w:abstractNum>
  <w:abstractNum w:abstractNumId="221">
    <w:nsid w:val="2E5B12B8"/>
    <w:multiLevelType w:val="hybridMultilevel"/>
    <w:lvl w:ilvl="0">
      <w:lvlJc w:val="left"/>
      <w:lvlText w:val="(%1)"/>
      <w:numFmt w:val="lowerLetter"/>
      <w:start w:val="2"/>
    </w:lvl>
    <w:lvl w:ilvl="1">
      <w:lvlJc w:val="left"/>
      <w:lvlText w:val="(%2)"/>
      <w:numFmt w:val="decimal"/>
      <w:start w:val="2"/>
    </w:lvl>
  </w:abstractNum>
  <w:abstractNum w:abstractNumId="222">
    <w:nsid w:val="5C03D76D"/>
    <w:multiLevelType w:val="hybridMultilevel"/>
    <w:lvl w:ilvl="0">
      <w:lvlJc w:val="left"/>
      <w:lvlText w:val="(%1)"/>
      <w:numFmt w:val="decimal"/>
      <w:start w:val="1"/>
    </w:lvl>
  </w:abstractNum>
  <w:abstractNum w:abstractNumId="223">
    <w:nsid w:val="66A48D11"/>
    <w:multiLevelType w:val="hybridMultilevel"/>
    <w:lvl w:ilvl="0">
      <w:lvlJc w:val="left"/>
      <w:lvlText w:val="(%1)"/>
      <w:numFmt w:val="decimal"/>
      <w:start w:val="1"/>
    </w:lvl>
  </w:abstractNum>
  <w:abstractNum w:abstractNumId="224">
    <w:nsid w:val="56C28E34"/>
    <w:multiLevelType w:val="hybridMultilevel"/>
    <w:lvl w:ilvl="0">
      <w:lvlJc w:val="left"/>
      <w:lvlText w:val="(%1)"/>
      <w:numFmt w:val="decimal"/>
      <w:start w:val="1"/>
    </w:lvl>
  </w:abstractNum>
  <w:abstractNum w:abstractNumId="225">
    <w:nsid w:val="13916F2D"/>
    <w:multiLevelType w:val="hybridMultilevel"/>
    <w:lvl w:ilvl="0">
      <w:lvlJc w:val="left"/>
      <w:lvlText w:val="(%1)"/>
      <w:numFmt w:val="decimal"/>
      <w:start w:val="1"/>
    </w:lvl>
  </w:abstractNum>
  <w:abstractNum w:abstractNumId="226">
    <w:nsid w:val="435D38D"/>
    <w:multiLevelType w:val="hybridMultilevel"/>
    <w:lvl w:ilvl="0">
      <w:lvlJc w:val="left"/>
      <w:lvlText w:val="(%1)"/>
      <w:numFmt w:val="decimal"/>
      <w:start w:val="1"/>
    </w:lvl>
  </w:abstractNum>
  <w:abstractNum w:abstractNumId="227">
    <w:nsid w:val="822C0EF"/>
    <w:multiLevelType w:val="hybridMultilevel"/>
    <w:lvl w:ilvl="0">
      <w:lvlJc w:val="left"/>
      <w:lvlText w:val="(%1)"/>
      <w:numFmt w:val="decimal"/>
      <w:start w:val="1"/>
    </w:lvl>
  </w:abstractNum>
  <w:abstractNum w:abstractNumId="228">
    <w:nsid w:val="57C5BB4F"/>
    <w:multiLevelType w:val="hybridMultilevel"/>
    <w:lvl w:ilvl="0">
      <w:lvlJc w:val="left"/>
      <w:lvlText w:val="(%1)"/>
      <w:numFmt w:val="lowerLetter"/>
      <w:start w:val="2"/>
    </w:lvl>
  </w:abstractNum>
  <w:abstractNum w:abstractNumId="229">
    <w:nsid w:val="1803D089"/>
    <w:multiLevelType w:val="hybridMultilevel"/>
    <w:lvl w:ilvl="0">
      <w:lvlJc w:val="left"/>
      <w:lvlText w:val="(%1)"/>
      <w:numFmt w:val="lowerLetter"/>
      <w:start w:val="3"/>
    </w:lvl>
  </w:abstractNum>
  <w:abstractNum w:abstractNumId="230">
    <w:nsid w:val="4F3A06D4"/>
    <w:multiLevelType w:val="hybridMultilevel"/>
    <w:lvl w:ilvl="0">
      <w:lvlJc w:val="left"/>
      <w:lvlText w:val="(%1)"/>
      <w:numFmt w:val="lowerLetter"/>
      <w:start w:val="1"/>
    </w:lvl>
  </w:abstractNum>
  <w:abstractNum w:abstractNumId="231">
    <w:nsid w:val="59A377B6"/>
    <w:multiLevelType w:val="hybridMultilevel"/>
    <w:lvl w:ilvl="0">
      <w:lvlJc w:val="left"/>
      <w:lvlText w:val="(%1)"/>
      <w:numFmt w:val="lowerLetter"/>
      <w:start w:val="2"/>
    </w:lvl>
  </w:abstractNum>
  <w:abstractNum w:abstractNumId="232">
    <w:nsid w:val="48AEB063"/>
    <w:multiLevelType w:val="hybridMultilevel"/>
    <w:lvl w:ilvl="0">
      <w:lvlJc w:val="left"/>
      <w:lvlText w:val="%1"/>
      <w:numFmt w:val="lowerLetter"/>
      <w:start w:val="1"/>
    </w:lvl>
    <w:lvl w:ilvl="1">
      <w:lvlJc w:val="left"/>
      <w:lvlText w:val="(%2)"/>
      <w:numFmt w:val="lowerLetter"/>
      <w:start w:val="1"/>
    </w:lvl>
  </w:abstractNum>
  <w:abstractNum w:abstractNumId="233">
    <w:nsid w:val="24E135"/>
    <w:multiLevelType w:val="hybridMultilevel"/>
    <w:lvl w:ilvl="0">
      <w:lvlJc w:val="left"/>
      <w:lvlText w:val="(%1)"/>
      <w:numFmt w:val="lowerLetter"/>
      <w:start w:val="1"/>
    </w:lvl>
    <w:lvl w:ilvl="1">
      <w:lvlJc w:val="left"/>
      <w:lvlText w:val="%2"/>
      <w:numFmt w:val="lowerLetter"/>
      <w:start w:val="1"/>
    </w:lvl>
  </w:abstractNum>
  <w:abstractNum w:abstractNumId="234">
    <w:nsid w:val="BB13C1"/>
    <w:multiLevelType w:val="hybridMultilevel"/>
    <w:lvl w:ilvl="0">
      <w:lvlJc w:val="left"/>
      <w:lvlText w:val="%1"/>
      <w:numFmt w:val="lowerLetter"/>
      <w:start w:val="1"/>
    </w:lvl>
    <w:lvl w:ilvl="1">
      <w:lvlJc w:val="left"/>
      <w:lvlText w:val="(%2)"/>
      <w:numFmt w:val="decimal"/>
      <w:start w:val="1"/>
    </w:lvl>
  </w:abstractNum>
  <w:abstractNum w:abstractNumId="235">
    <w:nsid w:val="271210C7"/>
    <w:multiLevelType w:val="hybridMultilevel"/>
    <w:lvl w:ilvl="0">
      <w:lvlJc w:val="left"/>
      <w:lvlText w:val="(%1)"/>
      <w:numFmt w:val="lowerLetter"/>
      <w:start w:val="61"/>
    </w:lvl>
    <w:lvl w:ilvl="1">
      <w:lvlJc w:val="left"/>
      <w:lvlText w:val="(%2)"/>
      <w:numFmt w:val="decimal"/>
      <w:start w:val="2"/>
    </w:lvl>
  </w:abstractNum>
  <w:abstractNum w:abstractNumId="236">
    <w:nsid w:val="217B22E4"/>
    <w:multiLevelType w:val="hybridMultilevel"/>
    <w:lvl w:ilvl="0">
      <w:lvlJc w:val="left"/>
      <w:lvlText w:val="(%1)"/>
      <w:numFmt w:val="lowerLetter"/>
      <w:start w:val="25"/>
    </w:lvl>
    <w:lvl w:ilvl="1">
      <w:lvlJc w:val="left"/>
      <w:lvlText w:val="%2"/>
      <w:numFmt w:val="decimal"/>
      <w:start w:val="1"/>
    </w:lvl>
  </w:abstractNum>
  <w:abstractNum w:abstractNumId="237">
    <w:nsid w:val="53E31A24"/>
    <w:multiLevelType w:val="hybridMultilevel"/>
    <w:lvl w:ilvl="0">
      <w:lvlJc w:val="left"/>
      <w:lvlText w:val="(%1)"/>
      <w:numFmt w:val="decimal"/>
      <w:start w:val="3"/>
    </w:lvl>
  </w:abstractNum>
  <w:abstractNum w:abstractNumId="238">
    <w:nsid w:val="6DC45E83"/>
    <w:multiLevelType w:val="hybridMultilevel"/>
    <w:lvl w:ilvl="0">
      <w:lvlJc w:val="left"/>
      <w:lvlText w:val="(%1)"/>
      <w:numFmt w:val="decimal"/>
      <w:start w:val="6"/>
    </w:lvl>
  </w:abstractNum>
  <w:abstractNum w:abstractNumId="239">
    <w:nsid w:val="17304A67"/>
    <w:multiLevelType w:val="hybridMultilevel"/>
    <w:lvl w:ilvl="0">
      <w:lvlJc w:val="left"/>
      <w:lvlText w:val="(%1)"/>
      <w:numFmt w:val="decimal"/>
      <w:start w:val="1"/>
    </w:lvl>
  </w:abstractNum>
  <w:abstractNum w:abstractNumId="240">
    <w:nsid w:val="2BB180D8"/>
    <w:multiLevelType w:val="hybridMultilevel"/>
    <w:lvl w:ilvl="0">
      <w:lvlJc w:val="left"/>
      <w:lvlText w:val="(%1)"/>
      <w:numFmt w:val="decimal"/>
      <w:start w:val="1"/>
    </w:lvl>
  </w:abstractNum>
  <w:abstractNum w:abstractNumId="241">
    <w:nsid w:val="556B69ED"/>
    <w:multiLevelType w:val="hybridMultilevel"/>
    <w:lvl w:ilvl="0">
      <w:lvlJc w:val="left"/>
      <w:lvlText w:val="(%1)"/>
      <w:numFmt w:val="lowerLetter"/>
      <w:start w:val="1"/>
    </w:lvl>
  </w:abstractNum>
  <w:abstractNum w:abstractNumId="242">
    <w:nsid w:val="70836196"/>
    <w:multiLevelType w:val="hybridMultilevel"/>
    <w:lvl w:ilvl="0">
      <w:lvlJc w:val="left"/>
      <w:lvlText w:val="(%1)"/>
      <w:numFmt w:val="lowerLetter"/>
      <w:start w:val="1"/>
    </w:lvl>
  </w:abstractNum>
  <w:abstractNum w:abstractNumId="243">
    <w:nsid w:val="539F7F12"/>
    <w:multiLevelType w:val="hybridMultilevel"/>
    <w:lvl w:ilvl="0">
      <w:lvlJc w:val="left"/>
      <w:lvlText w:val="%1"/>
      <w:numFmt w:val="upperLetter"/>
      <w:start w:val="1"/>
    </w:lvl>
    <w:lvl w:ilvl="1">
      <w:lvlJc w:val="left"/>
      <w:lvlText w:val="(%2)"/>
      <w:numFmt w:val="lowerLetter"/>
      <w:start w:val="4"/>
    </w:lvl>
  </w:abstractNum>
  <w:abstractNum w:abstractNumId="244">
    <w:nsid w:val="2817E7EC"/>
    <w:multiLevelType w:val="hybridMultilevel"/>
    <w:lvl w:ilvl="0">
      <w:lvlJc w:val="left"/>
      <w:lvlText w:val="(%1)"/>
      <w:numFmt w:val="upperLetter"/>
      <w:start w:val="7"/>
    </w:lvl>
    <w:lvl w:ilvl="1">
      <w:lvlJc w:val="left"/>
      <w:lvlText w:val="(%2)"/>
      <w:numFmt w:val="lowerLetter"/>
      <w:start w:val="5"/>
    </w:lvl>
  </w:abstractNum>
  <w:abstractNum w:abstractNumId="245">
    <w:nsid w:val="71482545"/>
    <w:multiLevelType w:val="hybridMultilevel"/>
    <w:lvl w:ilvl="0">
      <w:lvlJc w:val="left"/>
      <w:lvlText w:val="(%1)"/>
      <w:numFmt w:val="lowerLetter"/>
      <w:start w:val="1"/>
    </w:lvl>
  </w:abstractNum>
  <w:abstractNum w:abstractNumId="246">
    <w:nsid w:val="17D78639"/>
    <w:multiLevelType w:val="hybridMultilevel"/>
    <w:lvl w:ilvl="0">
      <w:lvlJc w:val="left"/>
      <w:lvlText w:val="(%1)"/>
      <w:numFmt w:val="lowerLetter"/>
      <w:start w:val="1"/>
    </w:lvl>
    <w:lvl w:ilvl="1">
      <w:lvlJc w:val="left"/>
      <w:lvlText w:val="(%2)"/>
      <w:numFmt w:val="decimal"/>
      <w:start w:val="1"/>
    </w:lvl>
  </w:abstractNum>
  <w:abstractNum w:abstractNumId="247">
    <w:nsid w:val="141D2302"/>
    <w:multiLevelType w:val="hybridMultilevel"/>
    <w:lvl w:ilvl="0">
      <w:lvlJc w:val="left"/>
      <w:lvlText w:val="(%1)"/>
      <w:numFmt w:val="lowerLetter"/>
      <w:start w:val="2"/>
    </w:lvl>
  </w:abstractNum>
  <w:abstractNum w:abstractNumId="248">
    <w:nsid w:val="407168D8"/>
    <w:multiLevelType w:val="hybridMultilevel"/>
    <w:lvl w:ilvl="0">
      <w:lvlJc w:val="left"/>
      <w:lvlText w:val="(%1)"/>
      <w:numFmt w:val="lowerRoman"/>
      <w:start w:val="1"/>
    </w:lvl>
  </w:abstractNum>
  <w:abstractNum w:abstractNumId="249">
    <w:nsid w:val="6A1B45E5"/>
    <w:multiLevelType w:val="hybridMultilevel"/>
    <w:lvl w:ilvl="0">
      <w:lvlJc w:val="left"/>
      <w:lvlText w:val="(%1)"/>
      <w:numFmt w:val="decimal"/>
      <w:start w:val="1"/>
    </w:lvl>
  </w:abstractNum>
  <w:abstractNum w:abstractNumId="250">
    <w:nsid w:val="567BD5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2019-12-16T12:52:36Z</dcterms:created>
  <dcterms:modified xsi:type="dcterms:W3CDTF">2019-12-16T12:52:36Z</dcterms:modified>
</cp:coreProperties>
</file>