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957338.xml.htm"/>
      <w:bookmarkStart w:id="1" w:name="kswkform4_178895733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Miaritis Nick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SCOTTS MIRACLE-GRO COMPANY</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14111 SCOTTSLAWN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MARYSVILLE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43041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SCOTTS MIRACLE-GRO CO</w:t>
              </w:r>
            </w:hyperlink>
            <w:r>
              <w:rPr/>
              <w:t xml:space="preserve"> [ </w:t>
            </w:r>
            <w:r>
              <w:rPr>
                <w:rFonts w:ascii="Times;serif" w:hAnsi="Times;serif"/>
                <w:color w:val="0000FF"/>
                <w:sz w:val="24"/>
                <w:shd w:fill="FFFFFF" w:val="clear"/>
              </w:rPr>
              <w:t>SMG</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Brand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72</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DSU or RSU grants and become exercisable proportionately with the DSUs or RSUs to which they relate. Each dividend equivalent right is the economic equivalent of one common share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Kathy L. Uttley as attorney-in-fact for Nick Miaritis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3100" TargetMode="External"/><Relationship Id="rId5" Type="http://schemas.openxmlformats.org/officeDocument/2006/relationships/hyperlink" Target="http://www.sec.gov/cgi-bin/browse-edgar?action=getcompany&amp;CIK=00008255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619</Words>
  <Characters>3352</Characters>
  <CharactersWithSpaces>3898</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