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w:t>
      </w:r>
    </w:p>
    <w:p>
      <w:pPr>
        <w:pStyle w:val="TextBody"/>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April 1, 2023 </w:t>
      </w:r>
    </w:p>
    <w:p>
      <w:pPr>
        <w:pStyle w:val="TextBody"/>
        <w:spacing w:lineRule="auto" w:line="288" w:before="12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4" w:type="dxa"/>
            <w:tcBorders/>
            <w:shd w:fill="auto" w:val="clear"/>
            <w:vAlign w:val="center"/>
          </w:tcPr>
          <w:p>
            <w:pPr>
              <w:pStyle w:val="TableContents"/>
              <w:spacing w:before="0" w:after="283"/>
              <w:rPr>
                <w:sz w:val="4"/>
                <w:szCs w:val="4"/>
              </w:rPr>
            </w:pPr>
            <w:r>
              <w:rPr>
                <w:sz w:val="4"/>
                <w:szCs w:val="4"/>
              </w:rPr>
            </w:r>
          </w:p>
        </w:tc>
        <w:tc>
          <w:tcPr>
            <w:tcW w:w="3234" w:type="dxa"/>
            <w:tcBorders/>
            <w:shd w:fill="auto" w:val="clear"/>
            <w:vAlign w:val="center"/>
          </w:tcPr>
          <w:p>
            <w:pPr>
              <w:pStyle w:val="TableContents"/>
              <w:spacing w:before="0" w:after="283"/>
              <w:rPr>
                <w:sz w:val="4"/>
                <w:szCs w:val="4"/>
              </w:rPr>
            </w:pPr>
            <w:r>
              <w:rPr>
                <w:sz w:val="4"/>
                <w:szCs w:val="4"/>
              </w:rPr>
            </w:r>
          </w:p>
        </w:tc>
        <w:tc>
          <w:tcPr>
            <w:tcW w:w="32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lineRule="auto" w:line="288"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val="false"/>
          <w:color w:val="000000"/>
          <w:sz w:val="20"/>
        </w:rPr>
        <w:t>001-11593</w:t>
      </w:r>
      <w:r>
        <w:rPr>
          <w:color w:val="000000"/>
        </w:rPr>
        <w:t xml:space="preserv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 </w:t>
      </w:r>
    </w:p>
    <w:p>
      <w:pPr>
        <w:pStyle w:val="TextBody"/>
        <w:spacing w:lineRule="auto" w:line="288" w:before="100" w:after="283"/>
        <w:jc w:val="center"/>
        <w:rPr>
          <w:rFonts w:ascii="Times New Roman;sans-serif" w:hAnsi="Times New Roman;sans-serif"/>
          <w:b/>
          <w:color w:val="000000"/>
          <w:sz w:val="44"/>
        </w:rPr>
      </w:pPr>
      <w:r>
        <w:rPr>
          <w:rFonts w:ascii="Times New Roman;sans-serif" w:hAnsi="Times New Roman;sans-serif"/>
          <w:b/>
          <w:color w:val="000000"/>
          <w:sz w:val="44"/>
        </w:rPr>
        <w:t>The Scotts Miracle-Gro Company</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tbl>
      <w:tblPr>
        <w:tblW w:w="4179" w:type="dxa"/>
        <w:jc w:val="center"/>
        <w:tblInd w:w="0" w:type="dxa"/>
        <w:tblCellMar>
          <w:top w:w="28" w:type="dxa"/>
          <w:left w:w="28" w:type="dxa"/>
          <w:bottom w:w="28" w:type="dxa"/>
          <w:right w:w="28" w:type="dxa"/>
        </w:tblCellMar>
      </w:tblPr>
      <w:tblGrid>
        <w:gridCol w:w="437"/>
        <w:gridCol w:w="385"/>
        <w:gridCol w:w="385"/>
        <w:gridCol w:w="385"/>
        <w:gridCol w:w="385"/>
        <w:gridCol w:w="391"/>
        <w:gridCol w:w="109"/>
        <w:gridCol w:w="109"/>
        <w:gridCol w:w="109"/>
        <w:gridCol w:w="433"/>
        <w:gridCol w:w="433"/>
        <w:gridCol w:w="618"/>
      </w:tblGrid>
      <w:tr>
        <w:trPr/>
        <w:tc>
          <w:tcPr>
            <w:tcW w:w="437"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3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Ohio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31-1414921</w:t>
            </w:r>
          </w:p>
        </w:tc>
      </w:tr>
      <w:tr>
        <w:trPr/>
        <w:tc>
          <w:tcPr>
            <w:tcW w:w="236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14111 Scottslawn Road, Marysville, Ohio 43041 </w:t>
      </w:r>
    </w:p>
    <w:p>
      <w:pPr>
        <w:pStyle w:val="TextBody"/>
        <w:spacing w:lineRule="auto" w:line="288" w:before="0" w:after="0"/>
        <w:jc w:val="center"/>
        <w:rPr/>
      </w:pPr>
      <w:r>
        <w:rPr>
          <w:rFonts w:ascii="Times New Roman;sans-serif" w:hAnsi="Times New Roman;sans-serif"/>
          <w:b/>
          <w:color w:val="000000"/>
          <w:sz w:val="16"/>
        </w:rPr>
        <w:t>(Address of principal executive offices)</w:t>
      </w:r>
      <w:r>
        <w:rPr>
          <w:color w:val="000000"/>
        </w:rPr>
        <w:t xml:space="preserve"> </w:t>
      </w:r>
      <w:r>
        <w:rPr>
          <w:rFonts w:ascii="Times New Roman;sans-serif" w:hAnsi="Times New Roman;sans-serif"/>
          <w:b/>
          <w:color w:val="000000"/>
          <w:sz w:val="16"/>
        </w:rPr>
        <w:t>(Zip Code)</w:t>
      </w:r>
    </w:p>
    <w:p>
      <w:pPr>
        <w:pStyle w:val="TextBody"/>
        <w:spacing w:lineRule="auto" w:line="288" w:before="120" w:after="283"/>
        <w:jc w:val="center"/>
        <w:rPr/>
      </w:pPr>
      <w:r>
        <w:rPr>
          <w:rFonts w:ascii="Times New Roman;sans-serif" w:hAnsi="Times New Roman;sans-serif"/>
          <w:b w:val="false"/>
          <w:color w:val="000000"/>
          <w:sz w:val="20"/>
        </w:rPr>
        <w:t>(937</w:t>
      </w:r>
      <w:r>
        <w:rPr>
          <w:rFonts w:ascii="Times New Roman;sans-serif" w:hAnsi="Times New Roman;sans-serif"/>
          <w:b/>
          <w:color w:val="000000"/>
          <w:sz w:val="19"/>
        </w:rPr>
        <w:t xml:space="preserve">) </w:t>
      </w:r>
      <w:r>
        <w:rPr>
          <w:rFonts w:ascii="Times New Roman;sans-serif" w:hAnsi="Times New Roman;sans-serif"/>
          <w:b w:val="false"/>
          <w:color w:val="000000"/>
          <w:sz w:val="20"/>
        </w:rPr>
        <w:t>644-0011</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 </w:t>
      </w:r>
    </w:p>
    <w:p>
      <w:pPr>
        <w:pStyle w:val="TextBody"/>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(Former name, former address and former fiscal year, if changed since last report)</w:t>
      </w:r>
    </w:p>
    <w:p>
      <w:pPr>
        <w:pStyle w:val="TextBody"/>
        <w:spacing w:lineRule="auto" w:line="288" w:before="120" w:after="283"/>
        <w:jc w:val="center"/>
        <w:rPr>
          <w:rFonts w:ascii="Times New Roman;sans-serif" w:hAnsi="Times New Roman;sans-serif"/>
          <w:b/>
          <w:color w:val="000000"/>
          <w:sz w:val="19"/>
        </w:rPr>
      </w:pPr>
      <w:r>
        <w:rPr>
          <w:rFonts w:ascii="Times New Roman;sans-serif" w:hAnsi="Times New Roman;sans-serif"/>
          <w:b/>
          <w:color w:val="000000"/>
          <w:sz w:val="19"/>
        </w:rPr>
        <w:t>Securities registered pursuant to Section 12(b) of the Act:</w:t>
      </w:r>
    </w:p>
    <w:tbl>
      <w:tblPr>
        <w:tblW w:w="8391" w:type="dxa"/>
        <w:jc w:val="center"/>
        <w:tblInd w:w="0" w:type="dxa"/>
        <w:tblCellMar>
          <w:top w:w="28" w:type="dxa"/>
          <w:left w:w="28" w:type="dxa"/>
          <w:bottom w:w="28" w:type="dxa"/>
          <w:right w:w="28" w:type="dxa"/>
        </w:tblCellMar>
      </w:tblPr>
      <w:tblGrid>
        <w:gridCol w:w="1086"/>
        <w:gridCol w:w="957"/>
        <w:gridCol w:w="971"/>
        <w:gridCol w:w="109"/>
        <w:gridCol w:w="109"/>
        <w:gridCol w:w="109"/>
        <w:gridCol w:w="484"/>
        <w:gridCol w:w="484"/>
        <w:gridCol w:w="486"/>
        <w:gridCol w:w="109"/>
        <w:gridCol w:w="109"/>
        <w:gridCol w:w="109"/>
        <w:gridCol w:w="956"/>
        <w:gridCol w:w="956"/>
        <w:gridCol w:w="1357"/>
      </w:tblGrid>
      <w:tr>
        <w:trPr/>
        <w:tc>
          <w:tcPr>
            <w:tcW w:w="1086"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Shares, $0.01 stated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NYSE</w:t>
            </w:r>
          </w:p>
        </w:tc>
      </w:tr>
    </w:tbl>
    <w:p>
      <w:pPr>
        <w:pStyle w:val="TextBody"/>
        <w:spacing w:lineRule="auto" w:line="288" w:before="100" w:after="283"/>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spacing w:lineRule="auto" w:line="288" w:before="100" w:after="283"/>
        <w:jc w:val="both"/>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9"/>
        </w:rPr>
        <w:t>No  </w:t>
      </w:r>
      <w:r>
        <w:rPr>
          <w:color w:val="000000"/>
        </w:rPr>
        <w:t>☐ </w:t>
      </w:r>
    </w:p>
    <w:p>
      <w:pPr>
        <w:pStyle w:val="TextBody"/>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316" w:type="dxa"/>
        <w:jc w:val="center"/>
        <w:tblInd w:w="0" w:type="dxa"/>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shell company (as defined in Rule 12b-2 of the Exchange Act).  </w:t>
      </w:r>
    </w:p>
    <w:tbl>
      <w:tblPr>
        <w:tblW w:w="1466" w:type="dxa"/>
        <w:jc w:val="left"/>
        <w:tblInd w:w="0" w:type="dxa"/>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0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of May 5, 2023, there were 56,072,125 Common Shares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Table of Contents</w:t>
        </w:r>
      </w:hyperlink>
    </w:p>
    <w:tbl>
      <w:tblPr>
        <w:tblW w:w="10205" w:type="dxa"/>
        <w:jc w:val="center"/>
        <w:tblInd w:w="0" w:type="dxa"/>
        <w:tblCellMar>
          <w:top w:w="28" w:type="dxa"/>
          <w:left w:w="28" w:type="dxa"/>
          <w:bottom w:w="28" w:type="dxa"/>
          <w:right w:w="28" w:type="dxa"/>
        </w:tblCellMar>
      </w:tblPr>
      <w:tblGrid>
        <w:gridCol w:w="547"/>
        <w:gridCol w:w="479"/>
        <w:gridCol w:w="399"/>
        <w:gridCol w:w="2673"/>
        <w:gridCol w:w="2474"/>
        <w:gridCol w:w="2413"/>
        <w:gridCol w:w="386"/>
        <w:gridCol w:w="386"/>
        <w:gridCol w:w="448"/>
      </w:tblGrid>
      <w:tr>
        <w:trPr/>
        <w:tc>
          <w:tcPr>
            <w:tcW w:w="54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c>
          <w:tcPr>
            <w:tcW w:w="2413"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br/>
              <w:t>INDEX</w:t>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898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0">
              <w:r>
                <w:rPr>
                  <w:rStyle w:val="InternetLink"/>
                  <w:rFonts w:ascii="Times New Roman;sans-serif" w:hAnsi="Times New Roman;sans-serif"/>
                  <w:b w:val="false"/>
                  <w:strike w:val="false"/>
                  <w:dstrike w:val="false"/>
                  <w:color w:val="0000FF"/>
                  <w:sz w:val="20"/>
                  <w:u w:val="none"/>
                  <w:effect w:val="none"/>
                </w:rPr>
                <w:t>PART I. FINANCIAL INFORMATION:</w:t>
              </w:r>
            </w:hyperlink>
          </w:p>
        </w:tc>
        <w:tc>
          <w:tcPr>
            <w:tcW w:w="12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
              <w:r>
                <w:rPr>
                  <w:rStyle w:val="InternetLink"/>
                  <w:rFonts w:ascii="Times New Roman;sans-serif" w:hAnsi="Times New Roman;sans-serif"/>
                  <w:b w:val="false"/>
                  <w:strike w:val="false"/>
                  <w:dstrike w:val="false"/>
                  <w:color w:val="0000FF"/>
                  <w:sz w:val="20"/>
                  <w:u w:val="none"/>
                  <w:effect w:val="none"/>
                </w:rPr>
                <w:t>Item 1.</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
              <w:r>
                <w:rPr>
                  <w:rStyle w:val="InternetLink"/>
                  <w:rFonts w:ascii="Times New Roman;sans-serif" w:hAnsi="Times New Roman;sans-serif"/>
                  <w:b w:val="false"/>
                  <w:color w:val="0000FF"/>
                  <w:sz w:val="20"/>
                  <w:u w:val="single"/>
                </w:rPr>
                <w:t>Financial Statements (Unaudited)</w:t>
              </w:r>
            </w:hyperlink>
          </w:p>
        </w:tc>
        <w:tc>
          <w:tcPr>
            <w:tcW w:w="1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6">
              <w:r>
                <w:rPr>
                  <w:rStyle w:val="InternetLink"/>
                  <w:rFonts w:ascii="Times New Roman;sans-serif" w:hAnsi="Times New Roman;sans-serif"/>
                  <w:b w:val="false"/>
                  <w:color w:val="0000FF"/>
                  <w:sz w:val="20"/>
                  <w:u w:val="single"/>
                </w:rPr>
                <w:t>Condensed Consolidated Statements of Operations — Three and six months ended April 1, 2023 and April 2, 2022</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6">
              <w:r>
                <w:rPr>
                  <w:rStyle w:val="InternetLink"/>
                  <w:rFonts w:ascii="Times New Roman;sans-serif" w:hAnsi="Times New Roman;sans-serif"/>
                  <w:b w:val="false"/>
                  <w:color w:val="0000FF"/>
                  <w:sz w:val="20"/>
                  <w:u w:val="single"/>
                </w:rPr>
                <w:t>3</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9">
              <w:r>
                <w:rPr>
                  <w:rStyle w:val="InternetLink"/>
                  <w:rFonts w:ascii="Times New Roman;sans-serif" w:hAnsi="Times New Roman;sans-serif"/>
                  <w:b w:val="false"/>
                  <w:color w:val="0000FF"/>
                  <w:sz w:val="20"/>
                  <w:u w:val="single"/>
                </w:rPr>
                <w:t>Condensed Consolidated Statements of Comprehensive Income (Loss) — Three and six months ended April 1, 2023 and April 2, 2022</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9">
              <w:r>
                <w:rPr>
                  <w:rStyle w:val="InternetLink"/>
                  <w:rFonts w:ascii="Times New Roman;sans-serif" w:hAnsi="Times New Roman;sans-serif"/>
                  <w:b w:val="false"/>
                  <w:color w:val="0000FF"/>
                  <w:sz w:val="20"/>
                  <w:u w:val="single"/>
                </w:rPr>
                <w:t>4</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25">
              <w:r>
                <w:rPr>
                  <w:rStyle w:val="InternetLink"/>
                  <w:rFonts w:ascii="Times New Roman;sans-serif" w:hAnsi="Times New Roman;sans-serif"/>
                  <w:b w:val="false"/>
                  <w:color w:val="0000FF"/>
                  <w:sz w:val="20"/>
                  <w:u w:val="single"/>
                </w:rPr>
                <w:t>Condensed Consolidated Statements of Cash Flows — Six months ended April 1, 2023 and April 2, 2022</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25">
              <w:r>
                <w:rPr>
                  <w:rStyle w:val="InternetLink"/>
                  <w:rFonts w:ascii="Times New Roman;sans-serif" w:hAnsi="Times New Roman;sans-serif"/>
                  <w:b w:val="false"/>
                  <w:color w:val="0000FF"/>
                  <w:sz w:val="20"/>
                  <w:u w:val="single"/>
                </w:rPr>
                <w:t>5</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28">
              <w:r>
                <w:rPr>
                  <w:rStyle w:val="InternetLink"/>
                </w:rPr>
                <w:t xml:space="preserve">Condensed Consolidated Balance Sheets — </w:t>
              </w:r>
            </w:hyperlink>
            <w:hyperlink w:anchor="ic808e5ae47114eb6aad265c3c6ed2f7f_19">
              <w:r>
                <w:rPr>
                  <w:rStyle w:val="InternetLink"/>
                </w:rPr>
                <w:t xml:space="preserve">April 1, 2023, April 2, 2022 </w:t>
              </w:r>
            </w:hyperlink>
            <w:hyperlink w:anchor="ic808e5ae47114eb6aad265c3c6ed2f7f_28">
              <w:r>
                <w:rPr>
                  <w:rStyle w:val="InternetLink"/>
                </w:rPr>
                <w:t>and September 30, 2022</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28">
              <w:r>
                <w:rPr>
                  <w:rStyle w:val="InternetLink"/>
                  <w:rFonts w:ascii="Times New Roman;sans-serif" w:hAnsi="Times New Roman;sans-serif"/>
                  <w:b w:val="false"/>
                  <w:color w:val="0000FF"/>
                  <w:sz w:val="20"/>
                  <w:u w:val="single"/>
                </w:rPr>
                <w:t>6</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34">
              <w:r>
                <w:rPr>
                  <w:rStyle w:val="InternetLink"/>
                  <w:rFonts w:ascii="Times New Roman;sans-serif" w:hAnsi="Times New Roman;sans-serif"/>
                  <w:b w:val="false"/>
                  <w:color w:val="0000FF"/>
                  <w:sz w:val="20"/>
                  <w:u w:val="single"/>
                </w:rPr>
                <w:t>Notes to Condensed Consolidated Financial Statements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34">
              <w:r>
                <w:rPr>
                  <w:rStyle w:val="InternetLink"/>
                  <w:rFonts w:ascii="Times New Roman;sans-serif" w:hAnsi="Times New Roman;sans-serif"/>
                  <w:b w:val="false"/>
                  <w:color w:val="0000FF"/>
                  <w:sz w:val="20"/>
                  <w:u w:val="single"/>
                </w:rPr>
                <w:t>7</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97">
              <w:r>
                <w:rPr>
                  <w:rStyle w:val="InternetLink"/>
                  <w:rFonts w:ascii="Times New Roman;sans-serif" w:hAnsi="Times New Roman;sans-serif"/>
                  <w:b w:val="false"/>
                  <w:strike w:val="false"/>
                  <w:dstrike w:val="false"/>
                  <w:color w:val="0000FF"/>
                  <w:sz w:val="20"/>
                  <w:u w:val="none"/>
                  <w:effect w:val="none"/>
                </w:rPr>
                <w:t>Item 2.</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97">
              <w:r>
                <w:rPr>
                  <w:rStyle w:val="InternetLink"/>
                  <w:rFonts w:ascii="Times New Roman;sans-serif" w:hAnsi="Times New Roman;sans-serif"/>
                  <w:b w:val="false"/>
                  <w:color w:val="0000FF"/>
                  <w:sz w:val="20"/>
                  <w:u w:val="single"/>
                </w:rPr>
                <w:t>25</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18">
              <w:r>
                <w:rPr>
                  <w:rStyle w:val="InternetLink"/>
                  <w:rFonts w:ascii="Times New Roman;sans-serif" w:hAnsi="Times New Roman;sans-serif"/>
                  <w:b w:val="false"/>
                  <w:strike w:val="false"/>
                  <w:dstrike w:val="false"/>
                  <w:color w:val="0000FF"/>
                  <w:sz w:val="20"/>
                  <w:u w:val="none"/>
                  <w:effect w:val="none"/>
                </w:rPr>
                <w:t>Item 3.</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18">
              <w:r>
                <w:rPr>
                  <w:rStyle w:val="InternetLink"/>
                  <w:rFonts w:ascii="Times New Roman;sans-serif" w:hAnsi="Times New Roman;sans-serif"/>
                  <w:b w:val="false"/>
                  <w:color w:val="0000FF"/>
                  <w:sz w:val="20"/>
                  <w:u w:val="single"/>
                </w:rPr>
                <w:t>Quantitative and Qualitative Disclosures about Market Risk</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18">
              <w:r>
                <w:rPr>
                  <w:rStyle w:val="InternetLink"/>
                  <w:rFonts w:ascii="Times New Roman;sans-serif" w:hAnsi="Times New Roman;sans-serif"/>
                  <w:b w:val="false"/>
                  <w:color w:val="0000FF"/>
                  <w:sz w:val="20"/>
                  <w:u w:val="single"/>
                </w:rPr>
                <w:t>39</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21">
              <w:r>
                <w:rPr>
                  <w:rStyle w:val="InternetLink"/>
                  <w:rFonts w:ascii="Times New Roman;sans-serif" w:hAnsi="Times New Roman;sans-serif"/>
                  <w:b w:val="false"/>
                  <w:strike w:val="false"/>
                  <w:dstrike w:val="false"/>
                  <w:color w:val="0000FF"/>
                  <w:sz w:val="20"/>
                  <w:u w:val="none"/>
                  <w:effect w:val="none"/>
                </w:rPr>
                <w:t>Item 4.</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21">
              <w:r>
                <w:rPr>
                  <w:rStyle w:val="InternetLink"/>
                  <w:rFonts w:ascii="Times New Roman;sans-serif" w:hAnsi="Times New Roman;sans-serif"/>
                  <w:b w:val="false"/>
                  <w:color w:val="0000FF"/>
                  <w:sz w:val="20"/>
                  <w:u w:val="single"/>
                </w:rPr>
                <w:t>Controls and Procedures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21">
              <w:r>
                <w:rPr>
                  <w:rStyle w:val="InternetLink"/>
                  <w:rFonts w:ascii="Times New Roman;sans-serif" w:hAnsi="Times New Roman;sans-serif"/>
                  <w:b w:val="false"/>
                  <w:color w:val="0000FF"/>
                  <w:sz w:val="20"/>
                  <w:u w:val="single"/>
                </w:rPr>
                <w:t>39</w:t>
              </w:r>
            </w:hyperlink>
          </w:p>
        </w:tc>
      </w:tr>
      <w:tr>
        <w:trPr/>
        <w:tc>
          <w:tcPr>
            <w:tcW w:w="898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8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24">
              <w:r>
                <w:rPr>
                  <w:rStyle w:val="InternetLink"/>
                  <w:rFonts w:ascii="Times New Roman;sans-serif" w:hAnsi="Times New Roman;sans-serif"/>
                  <w:b w:val="false"/>
                  <w:strike w:val="false"/>
                  <w:dstrike w:val="false"/>
                  <w:color w:val="0000FF"/>
                  <w:sz w:val="20"/>
                  <w:u w:val="none"/>
                  <w:effect w:val="none"/>
                </w:rPr>
                <w:t>PART II. OTHER INFORMATION:</w:t>
              </w:r>
            </w:hyperlink>
          </w:p>
        </w:tc>
        <w:tc>
          <w:tcPr>
            <w:tcW w:w="1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27">
              <w:r>
                <w:rPr>
                  <w:rStyle w:val="InternetLink"/>
                  <w:rFonts w:ascii="Times New Roman;sans-serif" w:hAnsi="Times New Roman;sans-serif"/>
                  <w:b w:val="false"/>
                  <w:strike w:val="false"/>
                  <w:dstrike w:val="false"/>
                  <w:color w:val="0000FF"/>
                  <w:sz w:val="20"/>
                  <w:u w:val="none"/>
                  <w:effect w:val="none"/>
                </w:rPr>
                <w:t>Item 1.</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27">
              <w:r>
                <w:rPr>
                  <w:rStyle w:val="InternetLink"/>
                  <w:rFonts w:ascii="Times New Roman;sans-serif" w:hAnsi="Times New Roman;sans-serif"/>
                  <w:b w:val="false"/>
                  <w:color w:val="0000FF"/>
                  <w:sz w:val="20"/>
                  <w:u w:val="single"/>
                </w:rPr>
                <w:t>Legal Proceedings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27">
              <w:r>
                <w:rPr>
                  <w:rStyle w:val="InternetLink"/>
                  <w:rFonts w:ascii="Times New Roman;sans-serif" w:hAnsi="Times New Roman;sans-serif"/>
                  <w:b w:val="false"/>
                  <w:color w:val="0000FF"/>
                  <w:sz w:val="20"/>
                  <w:u w:val="single"/>
                </w:rPr>
                <w:t>40</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0">
              <w:r>
                <w:rPr>
                  <w:rStyle w:val="InternetLink"/>
                  <w:rFonts w:ascii="Times New Roman;sans-serif" w:hAnsi="Times New Roman;sans-serif"/>
                  <w:b w:val="false"/>
                  <w:strike w:val="false"/>
                  <w:dstrike w:val="false"/>
                  <w:color w:val="0000FF"/>
                  <w:sz w:val="20"/>
                  <w:u w:val="none"/>
                  <w:effect w:val="none"/>
                </w:rPr>
                <w:t>Item 1A.</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0">
              <w:r>
                <w:rPr>
                  <w:rStyle w:val="InternetLink"/>
                  <w:rFonts w:ascii="Times New Roman;sans-serif" w:hAnsi="Times New Roman;sans-serif"/>
                  <w:b w:val="false"/>
                  <w:color w:val="0000FF"/>
                  <w:sz w:val="20"/>
                  <w:u w:val="single"/>
                </w:rPr>
                <w:t>Risk Factors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30">
              <w:r>
                <w:rPr>
                  <w:rStyle w:val="InternetLink"/>
                  <w:rFonts w:ascii="Times New Roman;sans-serif" w:hAnsi="Times New Roman;sans-serif"/>
                  <w:b w:val="false"/>
                  <w:color w:val="0000FF"/>
                  <w:sz w:val="20"/>
                  <w:u w:val="single"/>
                </w:rPr>
                <w:t>40</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3">
              <w:r>
                <w:rPr>
                  <w:rStyle w:val="InternetLink"/>
                  <w:rFonts w:ascii="Times New Roman;sans-serif" w:hAnsi="Times New Roman;sans-serif"/>
                  <w:b w:val="false"/>
                  <w:strike w:val="false"/>
                  <w:dstrike w:val="false"/>
                  <w:color w:val="0000FF"/>
                  <w:sz w:val="20"/>
                  <w:u w:val="none"/>
                  <w:effect w:val="none"/>
                </w:rPr>
                <w:t>Item 2.</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3">
              <w:r>
                <w:rPr>
                  <w:rStyle w:val="InternetLink"/>
                  <w:rFonts w:ascii="Times New Roman;sans-serif" w:hAnsi="Times New Roman;sans-serif"/>
                  <w:b w:val="false"/>
                  <w:color w:val="0000FF"/>
                  <w:sz w:val="20"/>
                  <w:u w:val="single"/>
                </w:rPr>
                <w:t>Unregistered Sales of Equity Securities and Use of Proceeds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36">
              <w:r>
                <w:rPr>
                  <w:rStyle w:val="InternetLink"/>
                  <w:rFonts w:ascii="Times New Roman;sans-serif" w:hAnsi="Times New Roman;sans-serif"/>
                  <w:b w:val="false"/>
                  <w:color w:val="0000FF"/>
                  <w:sz w:val="20"/>
                  <w:u w:val="single"/>
                </w:rPr>
                <w:t>41</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6">
              <w:r>
                <w:rPr>
                  <w:rStyle w:val="InternetLink"/>
                  <w:rFonts w:ascii="Times New Roman;sans-serif" w:hAnsi="Times New Roman;sans-serif"/>
                  <w:b w:val="false"/>
                  <w:strike w:val="false"/>
                  <w:dstrike w:val="false"/>
                  <w:color w:val="0000FF"/>
                  <w:sz w:val="20"/>
                  <w:u w:val="none"/>
                  <w:effect w:val="none"/>
                </w:rPr>
                <w:t>Item 3.</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6">
              <w:r>
                <w:rPr>
                  <w:rStyle w:val="InternetLink"/>
                  <w:rFonts w:ascii="Times New Roman;sans-serif" w:hAnsi="Times New Roman;sans-serif"/>
                  <w:b w:val="false"/>
                  <w:color w:val="0000FF"/>
                  <w:sz w:val="20"/>
                  <w:u w:val="single"/>
                </w:rPr>
                <w:t>Defaults Upon Senior Securities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36">
              <w:r>
                <w:rPr>
                  <w:rStyle w:val="InternetLink"/>
                  <w:rFonts w:ascii="Times New Roman;sans-serif" w:hAnsi="Times New Roman;sans-serif"/>
                  <w:b w:val="false"/>
                  <w:color w:val="0000FF"/>
                  <w:sz w:val="20"/>
                  <w:u w:val="single"/>
                </w:rPr>
                <w:t>41</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9">
              <w:r>
                <w:rPr>
                  <w:rStyle w:val="InternetLink"/>
                  <w:rFonts w:ascii="Times New Roman;sans-serif" w:hAnsi="Times New Roman;sans-serif"/>
                  <w:b w:val="false"/>
                  <w:strike w:val="false"/>
                  <w:dstrike w:val="false"/>
                  <w:color w:val="0000FF"/>
                  <w:sz w:val="20"/>
                  <w:u w:val="none"/>
                  <w:effect w:val="none"/>
                </w:rPr>
                <w:t>Item 4.</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39">
              <w:r>
                <w:rPr>
                  <w:rStyle w:val="InternetLink"/>
                  <w:rFonts w:ascii="Times New Roman;sans-serif" w:hAnsi="Times New Roman;sans-serif"/>
                  <w:b w:val="false"/>
                  <w:color w:val="0000FF"/>
                  <w:sz w:val="20"/>
                  <w:u w:val="single"/>
                </w:rPr>
                <w:t>Mine Safety Disclosures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39">
              <w:r>
                <w:rPr>
                  <w:rStyle w:val="InternetLink"/>
                  <w:rFonts w:ascii="Times New Roman;sans-serif" w:hAnsi="Times New Roman;sans-serif"/>
                  <w:b w:val="false"/>
                  <w:color w:val="0000FF"/>
                  <w:sz w:val="20"/>
                  <w:u w:val="single"/>
                </w:rPr>
                <w:t>41</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42">
              <w:r>
                <w:rPr>
                  <w:rStyle w:val="InternetLink"/>
                  <w:rFonts w:ascii="Times New Roman;sans-serif" w:hAnsi="Times New Roman;sans-serif"/>
                  <w:b w:val="false"/>
                  <w:strike w:val="false"/>
                  <w:dstrike w:val="false"/>
                  <w:color w:val="0000FF"/>
                  <w:sz w:val="20"/>
                  <w:u w:val="none"/>
                  <w:effect w:val="none"/>
                </w:rPr>
                <w:t>Item 5.</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42">
              <w:r>
                <w:rPr>
                  <w:rStyle w:val="InternetLink"/>
                  <w:rFonts w:ascii="Times New Roman;sans-serif" w:hAnsi="Times New Roman;sans-serif"/>
                  <w:b w:val="false"/>
                  <w:color w:val="0000FF"/>
                  <w:sz w:val="20"/>
                  <w:u w:val="single"/>
                </w:rPr>
                <w:t>Other Information</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42">
              <w:r>
                <w:rPr>
                  <w:rStyle w:val="InternetLink"/>
                  <w:rFonts w:ascii="Times New Roman;sans-serif" w:hAnsi="Times New Roman;sans-serif"/>
                  <w:b w:val="false"/>
                  <w:color w:val="0000FF"/>
                  <w:sz w:val="20"/>
                  <w:u w:val="single"/>
                </w:rPr>
                <w:t>41</w:t>
              </w:r>
            </w:hyperlink>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45">
              <w:r>
                <w:rPr>
                  <w:rStyle w:val="InternetLink"/>
                  <w:rFonts w:ascii="Times New Roman;sans-serif" w:hAnsi="Times New Roman;sans-serif"/>
                  <w:b w:val="false"/>
                  <w:strike w:val="false"/>
                  <w:dstrike w:val="false"/>
                  <w:color w:val="0000FF"/>
                  <w:sz w:val="20"/>
                  <w:u w:val="none"/>
                  <w:effect w:val="none"/>
                </w:rPr>
                <w:t>Item 6.</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45">
              <w:r>
                <w:rPr>
                  <w:rStyle w:val="InternetLink"/>
                  <w:rFonts w:ascii="Times New Roman;sans-serif" w:hAnsi="Times New Roman;sans-serif"/>
                  <w:b w:val="false"/>
                  <w:color w:val="0000FF"/>
                  <w:sz w:val="20"/>
                  <w:u w:val="single"/>
                </w:rPr>
                <w:t>Exhibits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45">
              <w:r>
                <w:rPr>
                  <w:rStyle w:val="InternetLink"/>
                  <w:rFonts w:ascii="Times New Roman;sans-serif" w:hAnsi="Times New Roman;sans-serif"/>
                  <w:b w:val="false"/>
                  <w:color w:val="0000FF"/>
                  <w:sz w:val="20"/>
                  <w:u w:val="single"/>
                </w:rPr>
                <w:t>41</w:t>
              </w:r>
            </w:hyperlink>
          </w:p>
        </w:tc>
      </w:tr>
      <w:tr>
        <w:trPr/>
        <w:tc>
          <w:tcPr>
            <w:tcW w:w="898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48">
              <w:r>
                <w:rPr>
                  <w:rStyle w:val="InternetLink"/>
                  <w:rFonts w:ascii="Times New Roman;sans-serif" w:hAnsi="Times New Roman;sans-serif"/>
                  <w:b w:val="false"/>
                  <w:color w:val="0000FF"/>
                  <w:sz w:val="20"/>
                  <w:u w:val="single"/>
                </w:rPr>
                <w:t>Index to Exhibits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48">
              <w:r>
                <w:rPr>
                  <w:rStyle w:val="InternetLink"/>
                  <w:rFonts w:ascii="Times New Roman;sans-serif" w:hAnsi="Times New Roman;sans-serif"/>
                  <w:b w:val="false"/>
                  <w:color w:val="0000FF"/>
                  <w:sz w:val="20"/>
                  <w:u w:val="single"/>
                </w:rPr>
                <w:t>42</w:t>
              </w:r>
            </w:hyperlink>
          </w:p>
        </w:tc>
      </w:tr>
      <w:tr>
        <w:trPr/>
        <w:tc>
          <w:tcPr>
            <w:tcW w:w="898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151">
              <w:r>
                <w:rPr>
                  <w:rStyle w:val="InternetLink"/>
                  <w:rFonts w:ascii="Times New Roman;sans-serif" w:hAnsi="Times New Roman;sans-serif"/>
                  <w:b w:val="false"/>
                  <w:color w:val="0000FF"/>
                  <w:sz w:val="20"/>
                  <w:u w:val="single"/>
                </w:rPr>
                <w:t>Signatures</w:t>
              </w:r>
            </w:hyperlink>
          </w:p>
        </w:tc>
        <w:tc>
          <w:tcPr>
            <w:tcW w:w="12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808e5ae47114eb6aad265c3c6ed2f7f_151">
              <w:r>
                <w:rPr>
                  <w:rStyle w:val="InternetLink"/>
                  <w:rFonts w:ascii="Times New Roman;sans-serif" w:hAnsi="Times New Roman;sans-serif"/>
                  <w:b w:val="false"/>
                  <w:color w:val="0000FF"/>
                  <w:sz w:val="20"/>
                  <w:u w:val="single"/>
                </w:rPr>
                <w:t>43</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1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934"/>
        <w:gridCol w:w="1453"/>
        <w:gridCol w:w="144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934"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1867"/>
        <w:gridCol w:w="1611"/>
        <w:gridCol w:w="1625"/>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155"/>
      </w:tblGrid>
      <w:tr>
        <w:trPr/>
        <w:tc>
          <w:tcPr>
            <w:tcW w:w="1867"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510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derivative instruments, net of tax</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unrealized gains on derivative instruments to net income, net of tax</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securities, net of tax</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adjustments, net of tax</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03"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85" w:type="dxa"/>
        <w:jc w:val="center"/>
        <w:tblInd w:w="0" w:type="dxa"/>
        <w:tblCellMar>
          <w:top w:w="28" w:type="dxa"/>
          <w:left w:w="28" w:type="dxa"/>
          <w:bottom w:w="28" w:type="dxa"/>
          <w:right w:w="28" w:type="dxa"/>
        </w:tblCellMar>
      </w:tblPr>
      <w:tblGrid>
        <w:gridCol w:w="2289"/>
        <w:gridCol w:w="2010"/>
        <w:gridCol w:w="2016"/>
        <w:gridCol w:w="245"/>
        <w:gridCol w:w="595"/>
        <w:gridCol w:w="109"/>
        <w:gridCol w:w="109"/>
        <w:gridCol w:w="109"/>
        <w:gridCol w:w="109"/>
        <w:gridCol w:w="214"/>
        <w:gridCol w:w="626"/>
        <w:gridCol w:w="154"/>
      </w:tblGrid>
      <w:tr>
        <w:trPr/>
        <w:tc>
          <w:tcPr>
            <w:tcW w:w="2289"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201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operating activities:</w:t>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w:t>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items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long-lived assets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property, plant and equipment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loans receivable</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acquisitions, net of cash acquired</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net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and bank lines of credit and term loans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and bank lines of credit and term loans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Common Shares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exercise of stock options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net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millions, except per share data)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378"/>
        <w:gridCol w:w="1941"/>
        <w:gridCol w:w="1898"/>
        <w:gridCol w:w="211"/>
        <w:gridCol w:w="766"/>
        <w:gridCol w:w="109"/>
        <w:gridCol w:w="109"/>
        <w:gridCol w:w="109"/>
        <w:gridCol w:w="109"/>
        <w:gridCol w:w="211"/>
        <w:gridCol w:w="766"/>
        <w:gridCol w:w="109"/>
        <w:gridCol w:w="109"/>
        <w:gridCol w:w="109"/>
        <w:gridCol w:w="109"/>
        <w:gridCol w:w="216"/>
        <w:gridCol w:w="786"/>
        <w:gridCol w:w="160"/>
      </w:tblGrid>
      <w:tr>
        <w:trPr/>
        <w:tc>
          <w:tcPr>
            <w:tcW w:w="2378"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0205"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$22.2, $16.5 and $14.4, respectively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pledged</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$793.5, $764.9 and $777.9, respectively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and capital in excess of $0.01 stated value per share; shares outstanding of 56.0, 55.4 and 55.5, respectively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12.1, 12.8 and 12.8 shares, respectively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tbl>
      <w:tblPr>
        <w:tblW w:w="8698" w:type="dxa"/>
        <w:jc w:val="left"/>
        <w:tblInd w:w="0" w:type="dxa"/>
        <w:tblCellMar>
          <w:top w:w="28" w:type="dxa"/>
          <w:left w:w="28" w:type="dxa"/>
          <w:bottom w:w="28" w:type="dxa"/>
          <w:right w:w="28" w:type="dxa"/>
        </w:tblCellMar>
      </w:tblPr>
      <w:tblGrid>
        <w:gridCol w:w="310"/>
        <w:gridCol w:w="272"/>
        <w:gridCol w:w="274"/>
        <w:gridCol w:w="2488"/>
        <w:gridCol w:w="2488"/>
        <w:gridCol w:w="249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c>
          <w:tcPr>
            <w:tcW w:w="2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NOTES TO CONDENSED CONSOLIDATED FINANCIAL STATEMENTS (UNAUDITED)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Nature of Operations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North America consumer lawn and garden business is highly seasonal, with approximately 75% of its annual net sales occurring in the second and third fiscal quarters. The Company’s Hawthorne segment sales are also impacted by seasonal patterns for certain product categories due to the timing of outdoor growing in North America during the second and third fiscal quarters, and the timing of certain controlled agricultural lighting project sales during the third and fourth fiscal quarters.</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Organization and Basis of Presentation</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unaudited condensed consolidated financial statements for the three and six months ended April 1, 2023 and April 2, 2022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April 1, 2023 (this “Form 10-Q”) should be read in conjunction with Scotts Miracle-Gro’s Annual Report on Form 10-K for the fiscal year ended September 30, 2022 (the “2022 Annual Report”), which includes a complete set of footnote disclosures, including the Company’s significant accounting policies.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Condensed Consolidated Balance Sheet at September 30, 2022 has been derived from the Company’s audited Consolidated Balance Sheet at that date, but does not include all of the information and footnotes required by GAAP for complete financial statements. </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Long-Lived Assets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non-cash investing activities of $15.3 and $13.0 during the six months ended April 1, 2023 and April 2, 2022, respectively, representing unpaid liabilities to acquire property, plant and equipment.</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Statements of Cash Flows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was as follows: </w:t>
      </w:r>
    </w:p>
    <w:tbl>
      <w:tblPr>
        <w:tblW w:w="3699" w:type="dxa"/>
        <w:jc w:val="left"/>
        <w:tblInd w:w="0" w:type="dxa"/>
        <w:tblCellMar>
          <w:top w:w="28" w:type="dxa"/>
          <w:left w:w="28" w:type="dxa"/>
          <w:bottom w:w="28" w:type="dxa"/>
          <w:right w:w="28" w:type="dxa"/>
        </w:tblCellMar>
      </w:tblPr>
      <w:tblGrid>
        <w:gridCol w:w="603"/>
        <w:gridCol w:w="529"/>
        <w:gridCol w:w="533"/>
        <w:gridCol w:w="211"/>
        <w:gridCol w:w="511"/>
        <w:gridCol w:w="109"/>
        <w:gridCol w:w="109"/>
        <w:gridCol w:w="109"/>
        <w:gridCol w:w="109"/>
        <w:gridCol w:w="211"/>
        <w:gridCol w:w="511"/>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166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203" w:type="dxa"/>
            <w:gridSpan w:val="6"/>
            <w:tcBorders/>
            <w:shd w:fill="auto" w:val="clear"/>
          </w:tcPr>
          <w:p>
            <w:pPr>
              <w:pStyle w:val="TableContents"/>
              <w:spacing w:before="0" w:after="283"/>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for the six months ended April 1, 2023 was favorably impacted by extended payment terms with vendors for payments originally due in the final weeks of the second quarter of fiscal 2023 that were paid in the third quarter of fiscal 2023. The Company also received proceeds of $37.0 during the six months ended April 1, 2023 related to the payoff of seller financing that the Company provided in connection with a fiscal 2017 divestiture, which was classified as an investing activity in the Condensed Consolidated Statements of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NOTE 2. ACQUISITIONS AND INVESTMENTS </w:t>
      </w:r>
    </w:p>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Cyco</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2022, the Company’s Hawthorne segment completed the acquisition of substantially all of the assets of S.J. Enterprises PTY LTD, d.b.a. Cyco (“Cyco”), an Australia-based provider of premium nutrients, additives and growing media products for indoor growing sold mostly in the United States, for an estimated purchase price of $37.3. The purchase price includes contingent consideration, a non-cash investing activity, with an initial fair value of $3.1 and a maximum payout of $10.0, which will be paid by the Company based on the achievement of certain performance metrics through December 31, 2024. Prior to the transaction, the Company served as the exclusive distributor of Cyco’s products in the United States. The valuation of the acquired assets included (i) $1.3 of inventory, (ii) $10.5 of finite-lived identifiable intangible assets and (iii) $25.6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Luxx Lighting</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the Company’s Hawthorne segment completed the acquisition of substantially all of the assets of Luxx Lighting, Inc., a provider of lighting products for indoor growing. The purchase price was $213.2, a portion of which was paid by the issuance of 0.1 million common shares of Scotts Miracle-Gro (“Common Shares”), a non-cash investing and financing activity, with a fair value of $21.0 based on the share price at the time of payment. The valuation of the acquired assets included (i) $32.8 of inventory and accounts receivable, (ii) $5.7 of other current assets, (iii) $24.2 of current liabilities, (iv) $47.3 of finite-lived identifiable intangible assets and (v) $151.6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w:t>
      </w:r>
    </w:p>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True Liberty Bags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2021, the Company’s Hawthorne segment completed the acquisition of substantially all of the assets of True Liberty Bags, a leading provider of liners and storage solutions to dry and cure plant products, for $10.1. The valuation of the acquired assets included (i) $1.1 of inventory, (ii) $5.8 of finite-lived identifiable intangible assets and (iii) $3.2 of tax-deductible goodwill. Identifiable intangible assets included trade names and customer relationships with useful lives of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3. INVESTMENT IN UNCONSOLIDATED AFFILIATES</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2020, the Company acquired a 50% equity interest in Bonnie Plants, LLC, a joint venture with Alabama Farmers Cooperative, Inc. (“AFC”) focused on planting, growing, developing, distributing, marketing and selling live plants. During the three months ended December 31, 2022, the Company and AFC agreed to amend the joint venture agreement to allow AFC to make an additional equity contribution to Bonnie Plants, LLC, and, subsequent to this contribution by AFC, the Company now owns a 45% equity interest in Bonnie Plants, LLC. The Company’s interest is accounted for using the equity method of accounting, with the Company’s proportionate share of Bonnie Plants, LLC’s earnings reflected in the Condensed Consolidated Statements of Operations. During the three and six months ended April 1, 2023, the Company recorded equity in loss of unconsolidated affiliates associated with Bonnie Plants, LLC of $7.3 and $18.7, respectively, as compared to $6.5 and $13.8 during the three and six months ended April 2,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4. IMPAIRMENT, RESTRUCTURING AND OTHER</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8609" w:type="dxa"/>
        <w:jc w:val="left"/>
        <w:tblInd w:w="0" w:type="dxa"/>
        <w:tblCellMar>
          <w:top w:w="28" w:type="dxa"/>
          <w:left w:w="28" w:type="dxa"/>
          <w:bottom w:w="28" w:type="dxa"/>
          <w:right w:w="28" w:type="dxa"/>
        </w:tblCellMar>
      </w:tblPr>
      <w:tblGrid>
        <w:gridCol w:w="1543"/>
        <w:gridCol w:w="1356"/>
        <w:gridCol w:w="1360"/>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543"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414" w:type="dxa"/>
            <w:gridSpan w:val="18"/>
            <w:tcBorders/>
            <w:shd w:fill="auto" w:val="clea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liabilities associated with restructuring activities during the six months ended April 1, 2023:</w:t>
      </w:r>
    </w:p>
    <w:tbl>
      <w:tblPr>
        <w:tblW w:w="4266" w:type="dxa"/>
        <w:jc w:val="left"/>
        <w:tblInd w:w="0" w:type="dxa"/>
        <w:tblCellMar>
          <w:top w:w="28" w:type="dxa"/>
          <w:left w:w="28" w:type="dxa"/>
          <w:bottom w:w="28" w:type="dxa"/>
          <w:right w:w="28" w:type="dxa"/>
        </w:tblCellMar>
      </w:tblPr>
      <w:tblGrid>
        <w:gridCol w:w="1226"/>
        <w:gridCol w:w="1080"/>
        <w:gridCol w:w="1084"/>
        <w:gridCol w:w="211"/>
        <w:gridCol w:w="511"/>
        <w:gridCol w:w="154"/>
      </w:tblGrid>
      <w:tr>
        <w:trPr/>
        <w:tc>
          <w:tcPr>
            <w:tcW w:w="1226"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September 30,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April 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restructuring accruals include $9.7 that is classified as long-term. </w:t>
      </w:r>
    </w:p>
    <w:p>
      <w:pPr>
        <w:pStyle w:val="TextBody"/>
        <w:spacing w:lineRule="auto" w:line="288" w:before="160" w:after="283"/>
        <w:ind w:left="0" w:right="0" w:firstLine="450"/>
        <w:jc w:val="both"/>
        <w:rPr/>
      </w:pPr>
      <w:r>
        <w:rPr>
          <w:rFonts w:ascii="Times New Roman;sans-serif" w:hAnsi="Times New Roman;sans-serif"/>
          <w:b w:val="false"/>
          <w:color w:val="000000"/>
          <w:sz w:val="20"/>
        </w:rPr>
        <w:t>During fiscal 2022, the Company began implementing a series of Company-wide organizational changes and initiatives intended to create operational and management-level efficiencies. As part of this restructuring initiative, the Company is reducing the size of its supply chain network, reducing staffing levels and implementing other cost-reduction initiatives. During the second quarter of fiscal 2023, the Company accelerated the optimization of its Hawthorne supply chain network by announcing the closure of four additional distribution centers. In order to reduce on hand inventory to align with the optimized network capacity, the Company sold its non-core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branded fans business for $5.0 and commenced plans to accelerate the reduction of certain other Hawthorne inventory, primarily lighting, growing environments and hardware products. During the three and six months ended April 1, 2023, the Company incurred costs of $136.8 and $151.4, respectively, associated with this restructuring initiative primarily related to inventory write-down charges, employee termination benefits, facility closure costs and impairment of right-of-use assets and property, plant and equipment. The Company incurred costs of $0.2 and $1.2 in its U.S. Consumer segment and $118.5 and $127.0 in its Hawthorne segment in the “Cost of sales—impairment, restructuring and other” line in the Condensed Consolidated Statements of Operations during the three and six months ended April 1, 2023, respectively. The Company incurred costs of $0.1 and $0.3 in its U.S. Consumer segment, $17.1 and $18.2 in its Hawthorne segment, $0.1 and $0.2 in its Other segment and $0.8 and $4.5 at Corporate in the “Impairment, restructuring and other” line in the Condensed Consolidated Statements of Operations during the three and six months ended April 1, 2023, respectively. Costs incurred from the inception of this restructuring initiative through April 1, 2023 were $180.3 for the Hawthorne segment, $23.1 for the U.S. Consumer segment, $0.9 for the Other segment and $12.2 for Corporate.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5. INVENTORIES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for each of the periods presented:</w:t>
      </w:r>
    </w:p>
    <w:tbl>
      <w:tblPr>
        <w:tblW w:w="5467" w:type="dxa"/>
        <w:jc w:val="left"/>
        <w:tblInd w:w="0" w:type="dxa"/>
        <w:tblCellMar>
          <w:top w:w="28" w:type="dxa"/>
          <w:left w:w="28" w:type="dxa"/>
          <w:bottom w:w="28" w:type="dxa"/>
          <w:right w:w="28" w:type="dxa"/>
        </w:tblCellMar>
      </w:tblPr>
      <w:tblGrid>
        <w:gridCol w:w="559"/>
        <w:gridCol w:w="447"/>
        <w:gridCol w:w="450"/>
        <w:gridCol w:w="211"/>
        <w:gridCol w:w="766"/>
        <w:gridCol w:w="109"/>
        <w:gridCol w:w="109"/>
        <w:gridCol w:w="109"/>
        <w:gridCol w:w="109"/>
        <w:gridCol w:w="211"/>
        <w:gridCol w:w="766"/>
        <w:gridCol w:w="109"/>
        <w:gridCol w:w="109"/>
        <w:gridCol w:w="109"/>
        <w:gridCol w:w="109"/>
        <w:gridCol w:w="221"/>
        <w:gridCol w:w="803"/>
        <w:gridCol w:w="161"/>
      </w:tblGrid>
      <w:tr>
        <w:trPr/>
        <w:tc>
          <w:tcPr>
            <w:tcW w:w="55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45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2925" w:type="dxa"/>
            <w:gridSpan w:val="12"/>
            <w:tcBorders/>
            <w:shd w:fill="auto" w:val="clear"/>
          </w:tcPr>
          <w:p>
            <w:pPr>
              <w:pStyle w:val="TableContents"/>
              <w:spacing w:before="0" w:after="283"/>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6. MARKETING AGREEMENT</w:t>
      </w:r>
    </w:p>
    <w:p>
      <w:pPr>
        <w:pStyle w:val="TextBody"/>
        <w:spacing w:lineRule="auto" w:line="288" w:before="160" w:after="283"/>
        <w:ind w:left="0" w:right="0" w:firstLine="450"/>
        <w:jc w:val="both"/>
        <w:rPr/>
      </w:pPr>
      <w:r>
        <w:rPr>
          <w:rFonts w:ascii="Times New Roman;sans-serif" w:hAnsi="Times New Roman;sans-serif"/>
          <w:b w:val="false"/>
          <w:color w:val="000000"/>
          <w:sz w:val="20"/>
        </w:rPr>
        <w:t>The Scotts Company LLC (“Scotts LLC”) is the exclusive agent of Monsanto Company, a subsidiary of Bayer AG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business, subject to reduction pursuant to the Third Restated Agreement for any program year in which the Program EBIT does not equal or exceed $36.0.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Unless Monsanto terminates the Third Restated Agreement due to an event of default by the Company, termination rights under the Third Restated Agreement include the following:</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Company may terminate the Third Restated Agreement upon the insolvency or bankruptcy of Monsanto; </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the lawn and garden market (a “Brand Decommissioning Termination”); and</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Each party may terminate the Third Restated Agreement if Program EBIT falls below $50.0 and, in such case, no termination fee would be payable to either party.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elements of the net commission and reimbursements earned under the Third Restated Agreement and included in the “Net sales” line in the Condensed Consolidated Statements of Operations are as follows:</w:t>
      </w:r>
    </w:p>
    <w:tbl>
      <w:tblPr>
        <w:tblW w:w="9795" w:type="dxa"/>
        <w:jc w:val="left"/>
        <w:tblInd w:w="0" w:type="dxa"/>
        <w:tblCellMar>
          <w:top w:w="28" w:type="dxa"/>
          <w:left w:w="28" w:type="dxa"/>
          <w:bottom w:w="28" w:type="dxa"/>
          <w:right w:w="28" w:type="dxa"/>
        </w:tblCellMar>
      </w:tblPr>
      <w:tblGrid>
        <w:gridCol w:w="1973"/>
        <w:gridCol w:w="1732"/>
        <w:gridCol w:w="1740"/>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973"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519" w:type="dxa"/>
            <w:gridSpan w:val="18"/>
            <w:tcBorders/>
            <w:shd w:fill="auto" w:val="clea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commission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expenses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commission</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Reimbursements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net sales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7. DEBT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debt are as follows:</w:t>
      </w:r>
    </w:p>
    <w:tbl>
      <w:tblPr>
        <w:tblW w:w="7146" w:type="dxa"/>
        <w:jc w:val="left"/>
        <w:tblInd w:w="0" w:type="dxa"/>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09"/>
        <w:gridCol w:w="109"/>
        <w:gridCol w:w="109"/>
        <w:gridCol w:w="109"/>
        <w:gridCol w:w="221"/>
        <w:gridCol w:w="803"/>
        <w:gridCol w:w="161"/>
      </w:tblGrid>
      <w:tr>
        <w:trPr/>
        <w:tc>
          <w:tcPr>
            <w:tcW w:w="113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13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2925" w:type="dxa"/>
            <w:gridSpan w:val="12"/>
            <w:tcBorders/>
            <w:shd w:fill="auto" w:val="clea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the Company’s intellectual property.</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2022, the Company entered into Amendment No. 1 (the “Amendment”) to the Sixth A&amp;R Credit Agreement. The Amendment increases the maximum permitted leverage ratio for the quarterly leverage covenant until the earlier of (i) April 1, 2024 and (ii) subject to certain conditions specified in the Amendment, the termination by the Company of such increase (such period,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the Company’s quarterly-tested leverage ratio exceeds 4.75. Additionally, the Amendment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The Amendment also requires pro forma compliance with certain leverage levels specified in the Amendment with respect to the Company’s ability to consummate certain acquisitions and incur debt.</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April 1, 2023, the Company had letters of credit outstanding in the aggregate principal amount of $5.0 and had $852.5 of borrowing availability under the Sixth A&amp;R Credit Agreement. The weighted average interest rates on average borrowings under the credit facilities, excluding the impact of interest rate swaps, were 7.0% and 1.8% for the six months ended April 1, 2023 and April 2, 2022, respectively.</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Sixth A&amp;R Credit Agreement (“Adjusted EBITDA”). Pursuant to the Amendment, the maximum permitted leverage ratio is (i) 6.50 for the second and third quarters of fiscal 2023, (ii) 6.25 for the fourth quarter of fiscal 2023 and the first quarter of fiscal 2024, (iii) 5.50 for the second quarter of fiscal 2024, and (iv) 4.50 for the third quarter of fiscal 2024 and thereafter. The Company’s leverage ratio was 6.01 at April 1, 2023. The Sixth A&amp;R Credit Agreement also contains an affirmative covenant regarding the Company’s interest coverage ratio determined as of the end of each of its fiscal quarters. The interest coverage ratio is calculated as Adjusted EBITDA divided by interest expense, as described in the Sixth A&amp;R Credit Agreement, and excludes costs related to refinancings. The minimum required interest coverage ratio is 3.00. The Company’s interest coverage ratio was 3.66 for the twelve months ended April 1, 2023.</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April 1, 2023, the Company’s indebtedness under the Sixth A&amp;R Credit Agreement and Senior Notes was $3,192.5. The Company does not have sufficient cash on hand or available liquidity that can be utilized to repay these outstanding amounts in the event of default. </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 </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 which may be sold under the Receivables Facility is $400.0 and the commitment amount during the seasonal commitment period that began on February 24, 2023 and ends on June 16, 2023 is $160.0. The Receivables Facility expires on August 18, 2023.</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the sale of receivables under the Receivables Facility as short-term debt and continues to carry the receivables on its Condensed Consolidated Balance Sheets, primarily as a result of the Company’s requirement to repurchase receivables sold. As of April 1, 2023 and April 2, 2022, there were $380.0 and $400.0, respectively, in borrowings on receivables pledged as collateral under the Receivables Facility, and the carrying value of the receivables pledged as collateral was $422.2 and $444.5, respectively. </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April 1, 2023, April 2, 2022 and September 30, 2022 had a maximum total U.S. dollar equivalent notional amount of $800.0. On May 4, 2023, the Company executed $200.0 of fixed notional amount interest rate swap agreements with an average fixed rate of 3.36%, an effective date of June 7, 2023 and an expiration date of April 7, 2027. The notional amount, effective date, expiration date and rate of each of the swap agreements outstanding at April 1, 2023 are shown in the table below:</w:t>
      </w:r>
    </w:p>
    <w:tbl>
      <w:tblPr>
        <w:tblW w:w="4805" w:type="dxa"/>
        <w:jc w:val="left"/>
        <w:tblInd w:w="0" w:type="dxa"/>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Weighted Average Interest Rate</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interest rates on the Company’s debt, including the impact of interest rate swaps, were 5.3% and 3.4% for the six months ended April 1, 2023 and April 2,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8. EQUITY</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the changes in equity for each of the periods indicated:</w:t>
      </w:r>
    </w:p>
    <w:tbl>
      <w:tblPr>
        <w:tblW w:w="10205" w:type="dxa"/>
        <w:jc w:val="left"/>
        <w:tblInd w:w="0" w:type="dxa"/>
        <w:tblCellMar>
          <w:top w:w="28" w:type="dxa"/>
          <w:left w:w="28" w:type="dxa"/>
          <w:bottom w:w="28" w:type="dxa"/>
          <w:right w:w="28" w:type="dxa"/>
        </w:tblCellMar>
      </w:tblPr>
      <w:tblGrid>
        <w:gridCol w:w="1073"/>
        <w:gridCol w:w="907"/>
        <w:gridCol w:w="910"/>
        <w:gridCol w:w="236"/>
        <w:gridCol w:w="691"/>
        <w:gridCol w:w="122"/>
        <w:gridCol w:w="109"/>
        <w:gridCol w:w="109"/>
        <w:gridCol w:w="109"/>
        <w:gridCol w:w="211"/>
        <w:gridCol w:w="766"/>
        <w:gridCol w:w="109"/>
        <w:gridCol w:w="109"/>
        <w:gridCol w:w="109"/>
        <w:gridCol w:w="109"/>
        <w:gridCol w:w="211"/>
        <w:gridCol w:w="834"/>
        <w:gridCol w:w="109"/>
        <w:gridCol w:w="109"/>
        <w:gridCol w:w="109"/>
        <w:gridCol w:w="109"/>
        <w:gridCol w:w="283"/>
        <w:gridCol w:w="866"/>
        <w:gridCol w:w="148"/>
        <w:gridCol w:w="109"/>
        <w:gridCol w:w="109"/>
        <w:gridCol w:w="109"/>
        <w:gridCol w:w="109"/>
        <w:gridCol w:w="109"/>
        <w:gridCol w:w="109"/>
        <w:gridCol w:w="109"/>
        <w:gridCol w:w="211"/>
        <w:gridCol w:w="616"/>
        <w:gridCol w:w="158"/>
      </w:tblGrid>
      <w:tr>
        <w:trPr/>
        <w:tc>
          <w:tcPr>
            <w:tcW w:w="107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890" w:type="dxa"/>
            <w:gridSpan w:val="3"/>
            <w:tcBorders/>
            <w:shd w:fill="auto" w:val="clear"/>
            <w:vAlign w:val="center"/>
          </w:tcPr>
          <w:p>
            <w:pPr>
              <w:pStyle w:val="TableContents"/>
              <w:spacing w:before="0" w:after="283"/>
              <w:rPr>
                <w:sz w:val="4"/>
                <w:szCs w:val="4"/>
              </w:rPr>
            </w:pPr>
            <w:r>
              <w:rPr>
                <w:sz w:val="4"/>
                <w:szCs w:val="4"/>
              </w:rPr>
            </w:r>
          </w:p>
        </w:tc>
        <w:tc>
          <w:tcPr>
            <w:tcW w:w="1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047"/>
        <w:gridCol w:w="862"/>
        <w:gridCol w:w="864"/>
        <w:gridCol w:w="234"/>
        <w:gridCol w:w="685"/>
        <w:gridCol w:w="121"/>
        <w:gridCol w:w="109"/>
        <w:gridCol w:w="109"/>
        <w:gridCol w:w="109"/>
        <w:gridCol w:w="211"/>
        <w:gridCol w:w="766"/>
        <w:gridCol w:w="109"/>
        <w:gridCol w:w="109"/>
        <w:gridCol w:w="109"/>
        <w:gridCol w:w="109"/>
        <w:gridCol w:w="211"/>
        <w:gridCol w:w="830"/>
        <w:gridCol w:w="109"/>
        <w:gridCol w:w="109"/>
        <w:gridCol w:w="109"/>
        <w:gridCol w:w="109"/>
        <w:gridCol w:w="317"/>
        <w:gridCol w:w="793"/>
        <w:gridCol w:w="166"/>
        <w:gridCol w:w="109"/>
        <w:gridCol w:w="109"/>
        <w:gridCol w:w="109"/>
        <w:gridCol w:w="109"/>
        <w:gridCol w:w="109"/>
        <w:gridCol w:w="109"/>
        <w:gridCol w:w="109"/>
        <w:gridCol w:w="211"/>
        <w:gridCol w:w="766"/>
        <w:gridCol w:w="159"/>
      </w:tblGrid>
      <w:tr>
        <w:trPr/>
        <w:tc>
          <w:tcPr>
            <w:tcW w:w="1047"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br/>
              <w:t>and Capital in</w:t>
              <w:br/>
              <w:t>Excess of Stated</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2022</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($0.66 per share)</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purchases</w:t>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 issuances</w:t>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TextBody"/>
        <w:spacing w:before="160" w:after="283"/>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Accumulated Other Comprehensive Loss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(“AOCL”) by component were as follows for each of the periods indicated:</w:t>
      </w:r>
    </w:p>
    <w:tbl>
      <w:tblPr>
        <w:tblW w:w="10205" w:type="dxa"/>
        <w:jc w:val="left"/>
        <w:tblInd w:w="0" w:type="dxa"/>
        <w:tblCellMar>
          <w:top w:w="28" w:type="dxa"/>
          <w:left w:w="28" w:type="dxa"/>
          <w:bottom w:w="28" w:type="dxa"/>
          <w:right w:w="28" w:type="dxa"/>
        </w:tblCellMar>
      </w:tblPr>
      <w:tblGrid>
        <w:gridCol w:w="1070"/>
        <w:gridCol w:w="574"/>
        <w:gridCol w:w="578"/>
        <w:gridCol w:w="109"/>
        <w:gridCol w:w="109"/>
        <w:gridCol w:w="109"/>
        <w:gridCol w:w="284"/>
        <w:gridCol w:w="711"/>
        <w:gridCol w:w="149"/>
        <w:gridCol w:w="109"/>
        <w:gridCol w:w="109"/>
        <w:gridCol w:w="109"/>
        <w:gridCol w:w="288"/>
        <w:gridCol w:w="697"/>
        <w:gridCol w:w="150"/>
        <w:gridCol w:w="109"/>
        <w:gridCol w:w="109"/>
        <w:gridCol w:w="109"/>
        <w:gridCol w:w="245"/>
        <w:gridCol w:w="754"/>
        <w:gridCol w:w="126"/>
        <w:gridCol w:w="109"/>
        <w:gridCol w:w="109"/>
        <w:gridCol w:w="109"/>
        <w:gridCol w:w="375"/>
        <w:gridCol w:w="938"/>
        <w:gridCol w:w="196"/>
        <w:gridCol w:w="109"/>
        <w:gridCol w:w="109"/>
        <w:gridCol w:w="109"/>
        <w:gridCol w:w="302"/>
        <w:gridCol w:w="902"/>
        <w:gridCol w:w="231"/>
      </w:tblGrid>
      <w:tr>
        <w:trPr/>
        <w:tc>
          <w:tcPr>
            <w:tcW w:w="107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2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tbl>
      <w:tblPr>
        <w:tblW w:w="10205" w:type="dxa"/>
        <w:jc w:val="left"/>
        <w:tblInd w:w="0" w:type="dxa"/>
        <w:tblCellMar>
          <w:top w:w="28" w:type="dxa"/>
          <w:left w:w="28" w:type="dxa"/>
          <w:bottom w:w="28" w:type="dxa"/>
          <w:right w:w="28" w:type="dxa"/>
        </w:tblCellMar>
      </w:tblPr>
      <w:tblGrid>
        <w:gridCol w:w="1046"/>
        <w:gridCol w:w="587"/>
        <w:gridCol w:w="589"/>
        <w:gridCol w:w="109"/>
        <w:gridCol w:w="109"/>
        <w:gridCol w:w="109"/>
        <w:gridCol w:w="284"/>
        <w:gridCol w:w="711"/>
        <w:gridCol w:w="149"/>
        <w:gridCol w:w="109"/>
        <w:gridCol w:w="109"/>
        <w:gridCol w:w="109"/>
        <w:gridCol w:w="288"/>
        <w:gridCol w:w="697"/>
        <w:gridCol w:w="150"/>
        <w:gridCol w:w="109"/>
        <w:gridCol w:w="109"/>
        <w:gridCol w:w="109"/>
        <w:gridCol w:w="245"/>
        <w:gridCol w:w="754"/>
        <w:gridCol w:w="126"/>
        <w:gridCol w:w="109"/>
        <w:gridCol w:w="109"/>
        <w:gridCol w:w="109"/>
        <w:gridCol w:w="375"/>
        <w:gridCol w:w="938"/>
        <w:gridCol w:w="196"/>
        <w:gridCol w:w="109"/>
        <w:gridCol w:w="109"/>
        <w:gridCol w:w="109"/>
        <w:gridCol w:w="302"/>
        <w:gridCol w:w="902"/>
        <w:gridCol w:w="231"/>
      </w:tblGrid>
      <w:tr>
        <w:trPr/>
        <w:tc>
          <w:tcPr>
            <w:tcW w:w="1046"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2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br/>
              <w:t>Translation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Derivative Instruments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w:t>
              <w:br/>
              <w:t>On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w:t>
              <w:br/>
              <w:t>Benefit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 Repurchases</w:t>
      </w:r>
    </w:p>
    <w:p>
      <w:pPr>
        <w:pStyle w:val="TextBody"/>
        <w:spacing w:lineRule="auto" w:line="288" w:before="160" w:after="283"/>
        <w:ind w:left="0" w:right="0" w:firstLine="450"/>
        <w:jc w:val="both"/>
        <w:rPr/>
      </w:pPr>
      <w:r>
        <w:rPr>
          <w:rFonts w:ascii="Times New Roman;sans-serif" w:hAnsi="Times New Roman;sans-serif"/>
          <w:b w:val="false"/>
          <w:color w:val="000000"/>
          <w:sz w:val="20"/>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w:t>
      </w:r>
      <w:r>
        <w:rPr>
          <w:rFonts w:ascii="Times New Roman;sans-serif" w:hAnsi="Times New Roman;sans-serif"/>
          <w:b w:val="false"/>
          <w:color w:val="000000"/>
          <w:sz w:val="20"/>
          <w:highlight w:val="white"/>
        </w:rPr>
        <w:t xml:space="preserve">. During the </w:t>
      </w:r>
      <w:r>
        <w:rPr>
          <w:rFonts w:ascii="Times New Roman;sans-serif" w:hAnsi="Times New Roman;sans-serif"/>
          <w:b w:val="false"/>
          <w:color w:val="000000"/>
          <w:sz w:val="20"/>
        </w:rPr>
        <w:t xml:space="preserve">three and six </w:t>
      </w:r>
      <w:r>
        <w:rPr>
          <w:rFonts w:ascii="Times New Roman;sans-serif" w:hAnsi="Times New Roman;sans-serif"/>
          <w:b w:val="false"/>
          <w:color w:val="000000"/>
          <w:sz w:val="20"/>
          <w:highlight w:val="white"/>
        </w:rPr>
        <w:t xml:space="preserve">months ended April 2, 2022, Scotts Miracle-Gro repurchased 0.4 million and 1.1 million Common Shares under this share repurchase authorization for $50.0 and $175.0, respectively. Treasury share purchases also include cash paid to tax authorities to satisfy statutory income tax withholding obligations related to share-based compensation of $5.6 and $6.4 for the </w:t>
      </w:r>
      <w:r>
        <w:rPr>
          <w:rFonts w:ascii="Times New Roman;sans-serif" w:hAnsi="Times New Roman;sans-serif"/>
          <w:b w:val="false"/>
          <w:color w:val="000000"/>
          <w:sz w:val="20"/>
        </w:rPr>
        <w:t xml:space="preserve">three and six </w:t>
      </w:r>
      <w:r>
        <w:rPr>
          <w:rFonts w:ascii="Times New Roman;sans-serif" w:hAnsi="Times New Roman;sans-serif"/>
          <w:b w:val="false"/>
          <w:color w:val="000000"/>
          <w:sz w:val="20"/>
          <w:highlight w:val="white"/>
        </w:rPr>
        <w:t xml:space="preserve">months ended April 1, 2023, respectively, and $78.1 and $82.6 for the </w:t>
      </w:r>
      <w:r>
        <w:rPr>
          <w:rFonts w:ascii="Times New Roman;sans-serif" w:hAnsi="Times New Roman;sans-serif"/>
          <w:b w:val="false"/>
          <w:color w:val="000000"/>
          <w:sz w:val="20"/>
        </w:rPr>
        <w:t>three and six months ended April 2, 2022, respectively.</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Share-Based Awards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was as follows for each of the periods indicated:</w:t>
      </w:r>
    </w:p>
    <w:tbl>
      <w:tblPr>
        <w:tblW w:w="6960" w:type="dxa"/>
        <w:jc w:val="left"/>
        <w:tblInd w:w="0" w:type="dxa"/>
        <w:tblCellMar>
          <w:top w:w="28" w:type="dxa"/>
          <w:left w:w="28" w:type="dxa"/>
          <w:bottom w:w="28" w:type="dxa"/>
          <w:right w:w="28" w:type="dxa"/>
        </w:tblCellMar>
      </w:tblPr>
      <w:tblGrid>
        <w:gridCol w:w="946"/>
        <w:gridCol w:w="830"/>
        <w:gridCol w:w="83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4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6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2610"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519" w:type="dxa"/>
            <w:gridSpan w:val="18"/>
            <w:tcBorders/>
            <w:shd w:fill="auto" w:val="clea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benefit recognized</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stock-based awards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stock-based awards granted to employees and non-employee directors (including restricted stock units and deferred stock units) during the six months ended April 1, 2023 were as follows: </w:t>
      </w:r>
    </w:p>
    <w:tbl>
      <w:tblPr>
        <w:tblW w:w="6797" w:type="dxa"/>
        <w:jc w:val="left"/>
        <w:tblInd w:w="0" w:type="dxa"/>
        <w:tblCellMar>
          <w:top w:w="28" w:type="dxa"/>
          <w:left w:w="28" w:type="dxa"/>
          <w:bottom w:w="28" w:type="dxa"/>
          <w:right w:w="28" w:type="dxa"/>
        </w:tblCellMar>
      </w:tblPr>
      <w:tblGrid>
        <w:gridCol w:w="1304"/>
        <w:gridCol w:w="1146"/>
        <w:gridCol w:w="1149"/>
        <w:gridCol w:w="449"/>
        <w:gridCol w:w="451"/>
        <w:gridCol w:w="186"/>
        <w:gridCol w:w="109"/>
        <w:gridCol w:w="109"/>
        <w:gridCol w:w="109"/>
        <w:gridCol w:w="347"/>
        <w:gridCol w:w="1185"/>
        <w:gridCol w:w="253"/>
      </w:tblGrid>
      <w:tr>
        <w:trPr/>
        <w:tc>
          <w:tcPr>
            <w:tcW w:w="1304"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 Grant Date</w:t>
              <w:br/>
              <w:t>Fair Value per Unit</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433,880 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(113,547)</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April 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618,017 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pPr>
      <w:r>
        <w:rPr>
          <w:rFonts w:ascii="Times New Roman;sans-serif" w:hAnsi="Times New Roman;sans-serif"/>
          <w:b w:val="false"/>
          <w:color w:val="000000"/>
          <w:sz w:val="20"/>
        </w:rPr>
        <w:t xml:space="preserve">The weighted-average grant-date fair value of restricted stock-based awards granted during the six months ended </w:t>
      </w:r>
      <w:r>
        <w:rPr>
          <w:rFonts w:ascii="Times New Roman;sans-serif" w:hAnsi="Times New Roman;sans-serif"/>
          <w:b w:val="false"/>
          <w:color w:val="000000"/>
          <w:sz w:val="20"/>
          <w:highlight w:val="white"/>
        </w:rPr>
        <w:t>April 1, 2023</w:t>
      </w:r>
      <w:r>
        <w:rPr>
          <w:color w:val="000000"/>
        </w:rPr>
        <w:t xml:space="preserve"> </w:t>
      </w:r>
      <w:r>
        <w:rPr>
          <w:rFonts w:ascii="Times New Roman;sans-serif" w:hAnsi="Times New Roman;sans-serif"/>
          <w:b w:val="false"/>
          <w:color w:val="000000"/>
          <w:sz w:val="20"/>
        </w:rPr>
        <w:t>and April 2, 2022 was $59.54 and $134.00 per share, respectively. As of April 1, 2023, there was $23.0 of total unrecognized pre-tax compensation cost, net of estimated forfeitures, related to nonvested restricted stock-based awards that is expected to be recognized over a weighted-average period of 1.7 years. The total fair value of restricted stock-based awards vested was $8.9 for the six months ended April 1, 2023.</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Performance-based awards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award activity during the six months ended April 1, 2023 was as follows (based on target award amounts):</w:t>
      </w:r>
    </w:p>
    <w:tbl>
      <w:tblPr>
        <w:tblW w:w="6797" w:type="dxa"/>
        <w:jc w:val="left"/>
        <w:tblInd w:w="0" w:type="dxa"/>
        <w:tblCellMar>
          <w:top w:w="28" w:type="dxa"/>
          <w:left w:w="28" w:type="dxa"/>
          <w:bottom w:w="28" w:type="dxa"/>
          <w:right w:w="28" w:type="dxa"/>
        </w:tblCellMar>
      </w:tblPr>
      <w:tblGrid>
        <w:gridCol w:w="1304"/>
        <w:gridCol w:w="1146"/>
        <w:gridCol w:w="1149"/>
        <w:gridCol w:w="449"/>
        <w:gridCol w:w="451"/>
        <w:gridCol w:w="186"/>
        <w:gridCol w:w="109"/>
        <w:gridCol w:w="109"/>
        <w:gridCol w:w="109"/>
        <w:gridCol w:w="347"/>
        <w:gridCol w:w="1185"/>
        <w:gridCol w:w="253"/>
      </w:tblGrid>
      <w:tr>
        <w:trPr/>
        <w:tc>
          <w:tcPr>
            <w:tcW w:w="1304"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 Grant Date</w:t>
              <w:br/>
              <w:t>Fair Value per Unit</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682,797 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Vested </w:t>
            </w:r>
            <w:r>
              <w:rPr>
                <w:rFonts w:ascii="Times New Roman;sans-serif" w:hAnsi="Times New Roman;sans-serif"/>
                <w:b w:val="false"/>
                <w:color w:val="000000"/>
                <w:sz w:val="13"/>
              </w:rPr>
              <w:t>(a)</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(250,483)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April 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530,847 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Vested at a weighted average of 102% of the target performance share units granted.</w:t>
      </w:r>
    </w:p>
    <w:p>
      <w:pPr>
        <w:pStyle w:val="TextBody"/>
        <w:spacing w:lineRule="auto" w:line="288" w:before="160" w:after="283"/>
        <w:ind w:left="0" w:right="0" w:firstLine="450"/>
        <w:jc w:val="both"/>
        <w:rPr/>
      </w:pPr>
      <w:r>
        <w:rPr>
          <w:rFonts w:ascii="Times New Roman;sans-serif" w:hAnsi="Times New Roman;sans-serif"/>
          <w:b w:val="false"/>
          <w:color w:val="000000"/>
          <w:sz w:val="20"/>
        </w:rPr>
        <w:t xml:space="preserve">The weighted-average grant-date fair value of performance-based awards granted during the six months ended </w:t>
      </w:r>
      <w:r>
        <w:rPr>
          <w:rFonts w:ascii="Times New Roman;sans-serif" w:hAnsi="Times New Roman;sans-serif"/>
          <w:b w:val="false"/>
          <w:color w:val="000000"/>
          <w:sz w:val="20"/>
          <w:highlight w:val="white"/>
        </w:rPr>
        <w:t>April 1, 2023</w:t>
      </w:r>
      <w:r>
        <w:rPr>
          <w:color w:val="000000"/>
        </w:rPr>
        <w:t xml:space="preserve"> </w:t>
      </w:r>
      <w:r>
        <w:rPr>
          <w:rFonts w:ascii="Times New Roman;sans-serif" w:hAnsi="Times New Roman;sans-serif"/>
          <w:b w:val="false"/>
          <w:color w:val="000000"/>
          <w:sz w:val="20"/>
        </w:rPr>
        <w:t>and April 2, 2022 was $65.97 and $132.87 per share, respectively. As of April 1, 2023, there was $16.4 of total unrecognized pre-tax compensation cost, net of estimated forfeitures, related to nonvested performance-based awards that is expected to be recognized over a weighted-average period of 0.9 years. The total fair value of performance-based units vested was $17.5 for the six months ended April 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9. EARNINGS PER COMMON SHARE</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of the weighted average number of shares outstanding (in millions) used to calculate basic and diluted net income per Common Share:</w:t>
      </w:r>
    </w:p>
    <w:tbl>
      <w:tblPr>
        <w:tblW w:w="10205" w:type="dxa"/>
        <w:jc w:val="left"/>
        <w:tblInd w:w="0" w:type="dxa"/>
        <w:tblCellMar>
          <w:top w:w="28" w:type="dxa"/>
          <w:left w:w="28" w:type="dxa"/>
          <w:bottom w:w="28" w:type="dxa"/>
          <w:right w:w="28" w:type="dxa"/>
        </w:tblCellMar>
      </w:tblPr>
      <w:tblGrid>
        <w:gridCol w:w="2242"/>
        <w:gridCol w:w="1644"/>
        <w:gridCol w:w="165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6"/>
      </w:tblGrid>
      <w:tr>
        <w:trPr/>
        <w:tc>
          <w:tcPr>
            <w:tcW w:w="2242"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5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468" w:type="dxa"/>
            <w:gridSpan w:val="12"/>
            <w:tcBorders/>
            <w:shd w:fill="auto" w:val="clea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common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common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during the period plus dilutive potential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outstanding</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rates for the six months ended April 1, 2023 and April 2, 2022 were 19.5% and 22.0%, respectively. The decrease in the effective tax rate was driven by the combination of lower pretax income and favorable discrete items recognized during the three months ended December 31, 2022.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 </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2019. There are currently no ongoing audits with respect to the U.S. federal jurisdiction. With respect to the foreign jurisdictions, a German audit covering fiscal years 2018 through 2020 and a Canadian audit covering fiscal years 2020 through 2021 are in process. The Company is currently under examination by certain U.S. state and local tax authorities covering various periods from fiscal years 2017 through 2021. In addition to the aforementioned audits, certain other tax deficiency notices and refund claims for previous years remain unresolved.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11. CONTINGENCIES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Regulatory Matters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April 1, 2023, the Company had recorded liabilities of $2.4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condensed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12. DERIVATIVE INSTRUMENTS AND HEDGING ACTIVITIES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Exchange Rate Risk Management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$119.1, $184.9 and $178.6 at April 1, 2023, April 2, 2022 and September 30, 2022, respectively. Contracts outstanding at April 1, 2023 will mature over the next fiscal quarter. </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Risk Management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April 1, 2023, April 2, 2022 and September 30, 2022 had a maximum total U.S. dollar equivalent notional amount of $800.0. Refer to “NOTE 7. DEBT” for the terms of the swap agreements outstanding at April 1, 2023. Included in the AOCL balance at April 1, 2023 was a gain of $9.1 related to interest rate swap agreements that is expected to be reclassified to earnings during the next twelve months, consistent with the timing of the underlying hedged transactions.</w:t>
      </w:r>
    </w:p>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Commodity Price Risk Management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Included in the AOCL balance at April 1, 2023 was a loss of $4.9 related to commodity hedges that is expected to be reclassified to earnings during the next twelve months, consistent with the timing of the underlying hedged transactions.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outstanding commodity contracts that were entered into to hedge forecasted purchases:</w:t>
      </w:r>
    </w:p>
    <w:tbl>
      <w:tblPr>
        <w:tblW w:w="6814" w:type="dxa"/>
        <w:jc w:val="left"/>
        <w:tblInd w:w="0" w:type="dxa"/>
        <w:tblCellMar>
          <w:top w:w="28" w:type="dxa"/>
          <w:left w:w="28" w:type="dxa"/>
          <w:bottom w:w="28" w:type="dxa"/>
          <w:right w:w="28" w:type="dxa"/>
        </w:tblCellMar>
      </w:tblPr>
      <w:tblGrid>
        <w:gridCol w:w="385"/>
        <w:gridCol w:w="339"/>
        <w:gridCol w:w="340"/>
        <w:gridCol w:w="109"/>
        <w:gridCol w:w="109"/>
        <w:gridCol w:w="109"/>
        <w:gridCol w:w="522"/>
        <w:gridCol w:w="522"/>
        <w:gridCol w:w="531"/>
        <w:gridCol w:w="109"/>
        <w:gridCol w:w="109"/>
        <w:gridCol w:w="109"/>
        <w:gridCol w:w="522"/>
        <w:gridCol w:w="522"/>
        <w:gridCol w:w="531"/>
        <w:gridCol w:w="109"/>
        <w:gridCol w:w="109"/>
        <w:gridCol w:w="109"/>
        <w:gridCol w:w="473"/>
        <w:gridCol w:w="473"/>
        <w:gridCol w:w="673"/>
      </w:tblGrid>
      <w:tr>
        <w:trPr/>
        <w:tc>
          <w:tcPr>
            <w:tcW w:w="38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Commodity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Urea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tons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 tons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tons</w:t>
            </w:r>
          </w:p>
        </w:tc>
      </w:tr>
      <w:tr>
        <w:trPr/>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Diesel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2,394,000 gallons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4,452,000 gallons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3,150,000 gallons</w:t>
            </w:r>
          </w:p>
        </w:tc>
      </w:tr>
      <w:tr>
        <w:trPr/>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Heating Oil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1,260,000 gallons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2,016,000 gallons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1,218,000 gallons</w:t>
            </w:r>
          </w:p>
        </w:tc>
      </w:tr>
    </w:tbl>
    <w:p>
      <w:pPr>
        <w:pStyle w:val="TextBody"/>
        <w:spacing w:lineRule="auto" w:line="288" w:before="1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Fair Values of Derivative Instruments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instruments, which represent Level 2 fair value measurements, were as follows:</w:t>
      </w:r>
    </w:p>
    <w:tbl>
      <w:tblPr>
        <w:tblW w:w="10205" w:type="dxa"/>
        <w:jc w:val="left"/>
        <w:tblInd w:w="0" w:type="dxa"/>
        <w:tblCellMar>
          <w:top w:w="28" w:type="dxa"/>
          <w:left w:w="28" w:type="dxa"/>
          <w:bottom w:w="28" w:type="dxa"/>
          <w:right w:w="28" w:type="dxa"/>
        </w:tblCellMar>
      </w:tblPr>
      <w:tblGrid>
        <w:gridCol w:w="1316"/>
        <w:gridCol w:w="1156"/>
        <w:gridCol w:w="1160"/>
        <w:gridCol w:w="109"/>
        <w:gridCol w:w="109"/>
        <w:gridCol w:w="109"/>
        <w:gridCol w:w="824"/>
        <w:gridCol w:w="824"/>
        <w:gridCol w:w="825"/>
        <w:gridCol w:w="109"/>
        <w:gridCol w:w="109"/>
        <w:gridCol w:w="109"/>
        <w:gridCol w:w="211"/>
        <w:gridCol w:w="511"/>
        <w:gridCol w:w="109"/>
        <w:gridCol w:w="109"/>
        <w:gridCol w:w="109"/>
        <w:gridCol w:w="109"/>
        <w:gridCol w:w="211"/>
        <w:gridCol w:w="511"/>
        <w:gridCol w:w="109"/>
        <w:gridCol w:w="109"/>
        <w:gridCol w:w="109"/>
        <w:gridCol w:w="109"/>
        <w:gridCol w:w="270"/>
        <w:gridCol w:w="657"/>
        <w:gridCol w:w="203"/>
      </w:tblGrid>
      <w:tr>
        <w:trPr/>
        <w:tc>
          <w:tcPr>
            <w:tcW w:w="131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6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 / (Liabilities)</w:t>
            </w:r>
          </w:p>
        </w:tc>
      </w:tr>
      <w:tr>
        <w:trPr/>
        <w:tc>
          <w:tcPr>
            <w:tcW w:w="36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2615" w:type="dxa"/>
            <w:gridSpan w:val="12"/>
            <w:tcBorders/>
            <w:shd w:fill="auto" w:val="clear"/>
          </w:tcPr>
          <w:p>
            <w:pPr>
              <w:pStyle w:val="TableContents"/>
              <w:spacing w:before="0" w:after="283"/>
              <w:rPr>
                <w:sz w:val="4"/>
                <w:szCs w:val="4"/>
              </w:rPr>
            </w:pPr>
            <w:r>
              <w:rPr>
                <w:sz w:val="4"/>
                <w:szCs w:val="4"/>
              </w:rPr>
            </w:r>
          </w:p>
        </w:tc>
      </w:tr>
      <w:tr>
        <w:trPr/>
        <w:tc>
          <w:tcPr>
            <w:tcW w:w="36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Derivatives Not Designated as Hedging Instruments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6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The effect of derivative instruments on AOCL, net of tax, and the </w:t>
      </w:r>
      <w:r>
        <w:rPr>
          <w:rFonts w:ascii="Times New Roman;sans-serif" w:hAnsi="Times New Roman;sans-serif"/>
          <w:b w:val="false"/>
          <w:color w:val="000000"/>
          <w:sz w:val="20"/>
          <w:highlight w:val="white"/>
        </w:rPr>
        <w:t xml:space="preserve">Condensed </w:t>
      </w:r>
      <w:r>
        <w:rPr>
          <w:rFonts w:ascii="Times New Roman;sans-serif" w:hAnsi="Times New Roman;sans-serif"/>
          <w:b w:val="false"/>
          <w:color w:val="000000"/>
          <w:sz w:val="20"/>
        </w:rPr>
        <w:t>Consolidated Statements of Operations for each of the periods presented was as follows:</w:t>
      </w:r>
    </w:p>
    <w:tbl>
      <w:tblPr>
        <w:tblW w:w="8216" w:type="dxa"/>
        <w:jc w:val="left"/>
        <w:tblInd w:w="0" w:type="dxa"/>
        <w:tblCellMar>
          <w:top w:w="28" w:type="dxa"/>
          <w:left w:w="28" w:type="dxa"/>
          <w:bottom w:w="28" w:type="dxa"/>
          <w:right w:w="28" w:type="dxa"/>
        </w:tblCellMar>
      </w:tblPr>
      <w:tblGrid>
        <w:gridCol w:w="1302"/>
        <w:gridCol w:w="1145"/>
        <w:gridCol w:w="1152"/>
        <w:gridCol w:w="109"/>
        <w:gridCol w:w="109"/>
        <w:gridCol w:w="109"/>
        <w:gridCol w:w="211"/>
        <w:gridCol w:w="481"/>
        <w:gridCol w:w="109"/>
        <w:gridCol w:w="109"/>
        <w:gridCol w:w="109"/>
        <w:gridCol w:w="109"/>
        <w:gridCol w:w="211"/>
        <w:gridCol w:w="511"/>
        <w:gridCol w:w="109"/>
        <w:gridCol w:w="109"/>
        <w:gridCol w:w="109"/>
        <w:gridCol w:w="109"/>
        <w:gridCol w:w="211"/>
        <w:gridCol w:w="481"/>
        <w:gridCol w:w="109"/>
        <w:gridCol w:w="109"/>
        <w:gridCol w:w="109"/>
        <w:gridCol w:w="109"/>
        <w:gridCol w:w="211"/>
        <w:gridCol w:w="511"/>
        <w:gridCol w:w="154"/>
      </w:tblGrid>
      <w:tr>
        <w:trPr/>
        <w:tc>
          <w:tcPr>
            <w:tcW w:w="1302"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 Recognized in AOCL</w:t>
            </w:r>
          </w:p>
        </w:tc>
      </w:tr>
      <w:tr>
        <w:trPr/>
        <w:tc>
          <w:tcPr>
            <w:tcW w:w="35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489" w:type="dxa"/>
            <w:gridSpan w:val="18"/>
            <w:tcBorders/>
            <w:shd w:fill="auto" w:val="clear"/>
          </w:tcPr>
          <w:p>
            <w:pPr>
              <w:pStyle w:val="TableContents"/>
              <w:spacing w:before="0" w:after="283"/>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266"/>
        <w:gridCol w:w="1113"/>
        <w:gridCol w:w="1120"/>
        <w:gridCol w:w="109"/>
        <w:gridCol w:w="109"/>
        <w:gridCol w:w="109"/>
        <w:gridCol w:w="629"/>
        <w:gridCol w:w="622"/>
        <w:gridCol w:w="618"/>
        <w:gridCol w:w="109"/>
        <w:gridCol w:w="109"/>
        <w:gridCol w:w="109"/>
        <w:gridCol w:w="211"/>
        <w:gridCol w:w="406"/>
        <w:gridCol w:w="109"/>
        <w:gridCol w:w="109"/>
        <w:gridCol w:w="109"/>
        <w:gridCol w:w="109"/>
        <w:gridCol w:w="211"/>
        <w:gridCol w:w="478"/>
        <w:gridCol w:w="109"/>
        <w:gridCol w:w="109"/>
        <w:gridCol w:w="109"/>
        <w:gridCol w:w="109"/>
        <w:gridCol w:w="211"/>
        <w:gridCol w:w="511"/>
        <w:gridCol w:w="109"/>
        <w:gridCol w:w="109"/>
        <w:gridCol w:w="109"/>
        <w:gridCol w:w="109"/>
        <w:gridCol w:w="211"/>
        <w:gridCol w:w="478"/>
        <w:gridCol w:w="158"/>
      </w:tblGrid>
      <w:tr>
        <w:trPr/>
        <w:tc>
          <w:tcPr>
            <w:tcW w:w="1266"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Reclassified from</w:t>
              <w:br/>
              <w:t>AOCL into</w:t>
              <w:br/>
              <w:t>Statement of Operations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3"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4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8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86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457" w:type="dxa"/>
            <w:gridSpan w:val="18"/>
            <w:tcBorders/>
            <w:shd w:fill="auto" w:val="clear"/>
          </w:tcPr>
          <w:p>
            <w:pPr>
              <w:pStyle w:val="TableContents"/>
              <w:spacing w:before="0" w:after="283"/>
              <w:rPr>
                <w:sz w:val="4"/>
                <w:szCs w:val="4"/>
              </w:rPr>
            </w:pPr>
            <w:r>
              <w:rPr>
                <w:sz w:val="4"/>
                <w:szCs w:val="4"/>
              </w:rPr>
            </w:r>
          </w:p>
        </w:tc>
      </w:tr>
      <w:tr>
        <w:trPr/>
        <w:tc>
          <w:tcPr>
            <w:tcW w:w="3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191"/>
        <w:gridCol w:w="1026"/>
        <w:gridCol w:w="1029"/>
        <w:gridCol w:w="109"/>
        <w:gridCol w:w="109"/>
        <w:gridCol w:w="109"/>
        <w:gridCol w:w="679"/>
        <w:gridCol w:w="679"/>
        <w:gridCol w:w="681"/>
        <w:gridCol w:w="109"/>
        <w:gridCol w:w="109"/>
        <w:gridCol w:w="109"/>
        <w:gridCol w:w="211"/>
        <w:gridCol w:w="467"/>
        <w:gridCol w:w="109"/>
        <w:gridCol w:w="109"/>
        <w:gridCol w:w="109"/>
        <w:gridCol w:w="109"/>
        <w:gridCol w:w="211"/>
        <w:gridCol w:w="406"/>
        <w:gridCol w:w="109"/>
        <w:gridCol w:w="109"/>
        <w:gridCol w:w="109"/>
        <w:gridCol w:w="109"/>
        <w:gridCol w:w="211"/>
        <w:gridCol w:w="572"/>
        <w:gridCol w:w="109"/>
        <w:gridCol w:w="109"/>
        <w:gridCol w:w="109"/>
        <w:gridCol w:w="109"/>
        <w:gridCol w:w="211"/>
        <w:gridCol w:w="511"/>
        <w:gridCol w:w="158"/>
      </w:tblGrid>
      <w:tr>
        <w:trPr/>
        <w:tc>
          <w:tcPr>
            <w:tcW w:w="119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2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in</w:t>
              <w:br/>
              <w:t>Statement of Operations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2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203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8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203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7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7" w:type="dxa"/>
            <w:gridSpan w:val="3"/>
            <w:tcBorders/>
            <w:shd w:fill="auto" w:val="clear"/>
            <w:vAlign w:val="center"/>
          </w:tcPr>
          <w:p>
            <w:pPr>
              <w:pStyle w:val="TableContents"/>
              <w:spacing w:before="0" w:after="283"/>
              <w:rPr>
                <w:sz w:val="4"/>
                <w:szCs w:val="4"/>
              </w:rPr>
            </w:pPr>
            <w:r>
              <w:rPr>
                <w:sz w:val="4"/>
                <w:szCs w:val="4"/>
              </w:rPr>
            </w:r>
          </w:p>
        </w:tc>
        <w:tc>
          <w:tcPr>
            <w:tcW w:w="3479" w:type="dxa"/>
            <w:gridSpan w:val="18"/>
            <w:tcBorders/>
            <w:shd w:fill="auto" w:val="clear"/>
          </w:tcPr>
          <w:p>
            <w:pPr>
              <w:pStyle w:val="TableContents"/>
              <w:spacing w:before="0" w:after="283"/>
              <w:rPr>
                <w:sz w:val="4"/>
                <w:szCs w:val="4"/>
              </w:rPr>
            </w:pPr>
            <w:r>
              <w:rPr>
                <w:sz w:val="4"/>
                <w:szCs w:val="4"/>
              </w:rPr>
            </w:r>
          </w:p>
        </w:tc>
      </w:tr>
      <w:tr>
        <w:trPr/>
        <w:tc>
          <w:tcPr>
            <w:tcW w:w="3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13. FAIR VALUE MEASUREMENTS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the Company’s assets and liabilities for which disclosure of fair value is required:</w:t>
      </w:r>
    </w:p>
    <w:p>
      <w:pPr>
        <w:pStyle w:val="TextBody"/>
        <w:spacing w:lineRule="auto" w:line="288" w:before="0" w:after="0"/>
        <w:ind w:left="0" w:right="0" w:firstLine="45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784"/>
        <w:gridCol w:w="577"/>
        <w:gridCol w:w="579"/>
        <w:gridCol w:w="109"/>
        <w:gridCol w:w="109"/>
        <w:gridCol w:w="109"/>
        <w:gridCol w:w="286"/>
        <w:gridCol w:w="286"/>
        <w:gridCol w:w="287"/>
        <w:gridCol w:w="109"/>
        <w:gridCol w:w="109"/>
        <w:gridCol w:w="109"/>
        <w:gridCol w:w="226"/>
        <w:gridCol w:w="436"/>
        <w:gridCol w:w="119"/>
        <w:gridCol w:w="109"/>
        <w:gridCol w:w="109"/>
        <w:gridCol w:w="109"/>
        <w:gridCol w:w="243"/>
        <w:gridCol w:w="467"/>
        <w:gridCol w:w="126"/>
        <w:gridCol w:w="109"/>
        <w:gridCol w:w="109"/>
        <w:gridCol w:w="109"/>
        <w:gridCol w:w="261"/>
        <w:gridCol w:w="505"/>
        <w:gridCol w:w="119"/>
        <w:gridCol w:w="109"/>
        <w:gridCol w:w="109"/>
        <w:gridCol w:w="109"/>
        <w:gridCol w:w="262"/>
        <w:gridCol w:w="504"/>
        <w:gridCol w:w="126"/>
        <w:gridCol w:w="109"/>
        <w:gridCol w:w="109"/>
        <w:gridCol w:w="109"/>
        <w:gridCol w:w="211"/>
        <w:gridCol w:w="511"/>
        <w:gridCol w:w="109"/>
        <w:gridCol w:w="109"/>
        <w:gridCol w:w="109"/>
        <w:gridCol w:w="109"/>
        <w:gridCol w:w="213"/>
        <w:gridCol w:w="517"/>
        <w:gridCol w:w="162"/>
      </w:tblGrid>
      <w:tr>
        <w:trPr/>
        <w:tc>
          <w:tcPr>
            <w:tcW w:w="78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Hierarchy</w:t>
              <w:b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in non-qualified retirement plan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revolving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term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Level 3 convertible debt investments carried at fair value are presented below. There were no transfers into or out of Level 3.</w:t>
      </w:r>
    </w:p>
    <w:tbl>
      <w:tblPr>
        <w:tblW w:w="9404" w:type="dxa"/>
        <w:jc w:val="left"/>
        <w:tblInd w:w="0" w:type="dxa"/>
        <w:tblCellMar>
          <w:top w:w="28" w:type="dxa"/>
          <w:left w:w="28" w:type="dxa"/>
          <w:bottom w:w="28" w:type="dxa"/>
          <w:right w:w="28" w:type="dxa"/>
        </w:tblCellMar>
      </w:tblPr>
      <w:tblGrid>
        <w:gridCol w:w="1716"/>
        <w:gridCol w:w="1509"/>
        <w:gridCol w:w="1514"/>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16"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included in net earnings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(losses) included in OCI</w:t>
            </w:r>
          </w:p>
        </w:tc>
        <w:tc>
          <w:tcPr>
            <w:tcW w:w="8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convertible debt investments was $224.0, $195.1, and $222.1 at April 1, 2023, April 2, 2022, and September 30, 2022, respectively. At April 1, 2023, April 2, 2022, and September 30, 2022, gross unrealized losses on convertible debt investments were $139.2, $2.8, and $105.1 respectively. These investments have been in a continuous unrealized loss position for greater than 12 months as of April 1, 2023. The decline in fair value of the convertible debt investments is related to a decline in the value of the underlying conversion options and is not reflective of a credit risk associated with the notes. The Company believes it will recover its cost basis in the convertible debt securities and that the Company has the ability to hold the securities until they recover in value and had no intent to sell or convert them at April 1, 2023. At April 1, 2023, the period until scheduled maturity of the Company’s convertible debt investments was between 4.4 years and 6.5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14. LEASES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April 1, 2023, the Company had entered into operating leases that were yet to commence with a combined total expected lease liability of $50.3. From time to time, the Company will sublease portions of its facilities, resulting in sublease income. Sublease income and the related cash flows were not material to the condensed consolidated financial statements for the three and six months ended April 1, 2023 and April 2, 2022.</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April 1, 2023, the Company’s residual value guarantee would have approximated $3.9.</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was as follows:</w:t>
      </w:r>
    </w:p>
    <w:tbl>
      <w:tblPr>
        <w:tblW w:w="9317" w:type="dxa"/>
        <w:jc w:val="left"/>
        <w:tblInd w:w="0" w:type="dxa"/>
        <w:tblCellMar>
          <w:top w:w="28" w:type="dxa"/>
          <w:left w:w="28" w:type="dxa"/>
          <w:bottom w:w="28" w:type="dxa"/>
          <w:right w:w="28" w:type="dxa"/>
        </w:tblCellMar>
      </w:tblPr>
      <w:tblGrid>
        <w:gridCol w:w="859"/>
        <w:gridCol w:w="753"/>
        <w:gridCol w:w="757"/>
        <w:gridCol w:w="969"/>
        <w:gridCol w:w="969"/>
        <w:gridCol w:w="972"/>
        <w:gridCol w:w="109"/>
        <w:gridCol w:w="109"/>
        <w:gridCol w:w="109"/>
        <w:gridCol w:w="211"/>
        <w:gridCol w:w="616"/>
        <w:gridCol w:w="109"/>
        <w:gridCol w:w="109"/>
        <w:gridCol w:w="109"/>
        <w:gridCol w:w="109"/>
        <w:gridCol w:w="211"/>
        <w:gridCol w:w="616"/>
        <w:gridCol w:w="109"/>
        <w:gridCol w:w="109"/>
        <w:gridCol w:w="109"/>
        <w:gridCol w:w="109"/>
        <w:gridCol w:w="255"/>
        <w:gridCol w:w="744"/>
        <w:gridCol w:w="186"/>
      </w:tblGrid>
      <w:tr>
        <w:trPr/>
        <w:tc>
          <w:tcPr>
            <w:tcW w:w="85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2369" w:type="dxa"/>
            <w:gridSpan w:val="3"/>
            <w:tcBorders/>
            <w:shd w:fill="auto" w:val="clear"/>
            <w:vAlign w:val="center"/>
          </w:tcPr>
          <w:p>
            <w:pPr>
              <w:pStyle w:val="TableContents"/>
              <w:spacing w:before="0" w:after="283"/>
              <w:rPr>
                <w:sz w:val="4"/>
                <w:szCs w:val="4"/>
              </w:rPr>
            </w:pPr>
            <w:r>
              <w:rPr>
                <w:sz w:val="4"/>
                <w:szCs w:val="4"/>
              </w:rPr>
            </w:r>
          </w:p>
        </w:tc>
        <w:tc>
          <w:tcPr>
            <w:tcW w:w="29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775" w:type="dxa"/>
            <w:gridSpan w:val="12"/>
            <w:tcBorders/>
            <w:shd w:fill="auto" w:val="clea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cost were as follows:</w:t>
      </w:r>
    </w:p>
    <w:tbl>
      <w:tblPr>
        <w:tblW w:w="7259" w:type="dxa"/>
        <w:jc w:val="left"/>
        <w:tblInd w:w="0" w:type="dxa"/>
        <w:tblCellMar>
          <w:top w:w="28" w:type="dxa"/>
          <w:left w:w="28" w:type="dxa"/>
          <w:bottom w:w="28" w:type="dxa"/>
          <w:right w:w="28" w:type="dxa"/>
        </w:tblCellMar>
      </w:tblPr>
      <w:tblGrid>
        <w:gridCol w:w="1053"/>
        <w:gridCol w:w="925"/>
        <w:gridCol w:w="93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2361" w:type="dxa"/>
            <w:gridSpan w:val="12"/>
            <w:tcBorders/>
            <w:shd w:fill="auto" w:val="clea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(a)Operating lease cost includes amortization of right-of-use assets of $23.8 and $42.8 for the three and six months ended April 1, 2023, respectively, and $19.3 and $36.9 for the three and six months ended April 2, 2022, respectively. Short-term lease expense is excluded from operating lease cost and is not material.</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the Company’s leases were as follows:</w:t>
      </w:r>
    </w:p>
    <w:tbl>
      <w:tblPr>
        <w:tblW w:w="8889" w:type="dxa"/>
        <w:jc w:val="left"/>
        <w:tblInd w:w="0" w:type="dxa"/>
        <w:tblCellMar>
          <w:top w:w="28" w:type="dxa"/>
          <w:left w:w="28" w:type="dxa"/>
          <w:bottom w:w="28" w:type="dxa"/>
          <w:right w:w="28" w:type="dxa"/>
        </w:tblCellMar>
      </w:tblPr>
      <w:tblGrid>
        <w:gridCol w:w="2196"/>
        <w:gridCol w:w="1927"/>
        <w:gridCol w:w="1937"/>
        <w:gridCol w:w="109"/>
        <w:gridCol w:w="109"/>
        <w:gridCol w:w="121"/>
        <w:gridCol w:w="121"/>
        <w:gridCol w:w="121"/>
        <w:gridCol w:w="121"/>
        <w:gridCol w:w="234"/>
        <w:gridCol w:w="569"/>
        <w:gridCol w:w="121"/>
        <w:gridCol w:w="109"/>
        <w:gridCol w:w="109"/>
        <w:gridCol w:w="109"/>
        <w:gridCol w:w="211"/>
        <w:gridCol w:w="511"/>
        <w:gridCol w:w="154"/>
      </w:tblGrid>
      <w:tr>
        <w:trPr/>
        <w:tc>
          <w:tcPr>
            <w:tcW w:w="2196"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1203" w:type="dxa"/>
            <w:gridSpan w:val="6"/>
            <w:tcBorders/>
            <w:shd w:fill="auto" w:val="clear"/>
          </w:tcPr>
          <w:p>
            <w:pPr>
              <w:pStyle w:val="TableContents"/>
              <w:spacing w:before="0" w:after="283"/>
              <w:rPr>
                <w:sz w:val="4"/>
                <w:szCs w:val="4"/>
              </w:rPr>
            </w:pPr>
            <w:r>
              <w:rPr>
                <w:sz w:val="4"/>
                <w:szCs w:val="4"/>
              </w:rPr>
            </w:r>
          </w:p>
        </w:tc>
      </w:tr>
      <w:tr>
        <w:trPr/>
        <w:tc>
          <w:tcPr>
            <w:tcW w:w="6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9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and discount rate for the Company’s leases were as follows:</w:t>
      </w:r>
    </w:p>
    <w:tbl>
      <w:tblPr>
        <w:tblW w:w="7806" w:type="dxa"/>
        <w:jc w:val="left"/>
        <w:tblInd w:w="0" w:type="dxa"/>
        <w:tblCellMar>
          <w:top w:w="28" w:type="dxa"/>
          <w:left w:w="28" w:type="dxa"/>
          <w:bottom w:w="28" w:type="dxa"/>
          <w:right w:w="28" w:type="dxa"/>
        </w:tblCellMar>
      </w:tblPr>
      <w:tblGrid>
        <w:gridCol w:w="1603"/>
        <w:gridCol w:w="1408"/>
        <w:gridCol w:w="1413"/>
        <w:gridCol w:w="203"/>
        <w:gridCol w:w="203"/>
        <w:gridCol w:w="366"/>
        <w:gridCol w:w="109"/>
        <w:gridCol w:w="109"/>
        <w:gridCol w:w="109"/>
        <w:gridCol w:w="203"/>
        <w:gridCol w:w="203"/>
        <w:gridCol w:w="366"/>
        <w:gridCol w:w="109"/>
        <w:gridCol w:w="109"/>
        <w:gridCol w:w="109"/>
        <w:gridCol w:w="240"/>
        <w:gridCol w:w="240"/>
        <w:gridCol w:w="704"/>
      </w:tblGrid>
      <w:tr>
        <w:trPr/>
        <w:tc>
          <w:tcPr>
            <w:tcW w:w="160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7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4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the Company’s leases as of April 1, 2023 were as follows:</w:t>
      </w:r>
    </w:p>
    <w:tbl>
      <w:tblPr>
        <w:tblW w:w="5662" w:type="dxa"/>
        <w:jc w:val="left"/>
        <w:tblInd w:w="0" w:type="dxa"/>
        <w:tblCellMar>
          <w:top w:w="28" w:type="dxa"/>
          <w:left w:w="28" w:type="dxa"/>
          <w:bottom w:w="28" w:type="dxa"/>
          <w:right w:w="28" w:type="dxa"/>
        </w:tblCellMar>
      </w:tblPr>
      <w:tblGrid>
        <w:gridCol w:w="872"/>
        <w:gridCol w:w="767"/>
        <w:gridCol w:w="775"/>
        <w:gridCol w:w="109"/>
        <w:gridCol w:w="109"/>
        <w:gridCol w:w="109"/>
        <w:gridCol w:w="307"/>
        <w:gridCol w:w="898"/>
        <w:gridCol w:w="159"/>
        <w:gridCol w:w="109"/>
        <w:gridCol w:w="109"/>
        <w:gridCol w:w="109"/>
        <w:gridCol w:w="296"/>
        <w:gridCol w:w="718"/>
        <w:gridCol w:w="216"/>
      </w:tblGrid>
      <w:tr>
        <w:trPr/>
        <w:tc>
          <w:tcPr>
            <w:tcW w:w="87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NOTE 15. SEGMENT INFORMATION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financial information for the Company’s reportable segments for the periods indicated:</w:t>
      </w:r>
    </w:p>
    <w:tbl>
      <w:tblPr>
        <w:tblW w:w="8954" w:type="dxa"/>
        <w:jc w:val="left"/>
        <w:tblInd w:w="0" w:type="dxa"/>
        <w:tblCellMar>
          <w:top w:w="28" w:type="dxa"/>
          <w:left w:w="28" w:type="dxa"/>
          <w:bottom w:w="28" w:type="dxa"/>
          <w:right w:w="28" w:type="dxa"/>
        </w:tblCellMar>
      </w:tblPr>
      <w:tblGrid>
        <w:gridCol w:w="1296"/>
        <w:gridCol w:w="1135"/>
        <w:gridCol w:w="115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96"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4284" w:type="dxa"/>
            <w:gridSpan w:val="18"/>
            <w:tcBorders/>
            <w:shd w:fill="auto" w:val="clea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 (Loss):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tbl>
      <w:tblPr>
        <w:tblW w:w="9868" w:type="dxa"/>
        <w:jc w:val="left"/>
        <w:tblInd w:w="0" w:type="dxa"/>
        <w:tblCellMar>
          <w:top w:w="28" w:type="dxa"/>
          <w:left w:w="28" w:type="dxa"/>
          <w:bottom w:w="28" w:type="dxa"/>
          <w:right w:w="28" w:type="dxa"/>
        </w:tblCellMar>
      </w:tblPr>
      <w:tblGrid>
        <w:gridCol w:w="310"/>
        <w:gridCol w:w="272"/>
        <w:gridCol w:w="274"/>
        <w:gridCol w:w="2878"/>
        <w:gridCol w:w="2878"/>
        <w:gridCol w:w="2884"/>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 (UNAUDITED) — (Continued)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product category for the periods indicated:</w:t>
      </w:r>
    </w:p>
    <w:tbl>
      <w:tblPr>
        <w:tblW w:w="8699" w:type="dxa"/>
        <w:jc w:val="left"/>
        <w:tblInd w:w="0" w:type="dxa"/>
        <w:tblCellMar>
          <w:top w:w="28" w:type="dxa"/>
          <w:left w:w="28" w:type="dxa"/>
          <w:bottom w:w="28" w:type="dxa"/>
          <w:right w:w="28" w:type="dxa"/>
        </w:tblCellMar>
      </w:tblPr>
      <w:tblGrid>
        <w:gridCol w:w="1204"/>
        <w:gridCol w:w="1059"/>
        <w:gridCol w:w="1066"/>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04"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32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4284" w:type="dxa"/>
            <w:gridSpan w:val="18"/>
            <w:tcBorders/>
            <w:shd w:fill="auto" w:val="clea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 and mulch</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Lighting</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Nutrients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environments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hardware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 and controls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geographic area for the periods indicated:</w:t>
      </w:r>
    </w:p>
    <w:tbl>
      <w:tblPr>
        <w:tblW w:w="6570" w:type="dxa"/>
        <w:jc w:val="left"/>
        <w:tblInd w:w="0" w:type="dxa"/>
        <w:tblCellMar>
          <w:top w:w="28" w:type="dxa"/>
          <w:left w:w="28" w:type="dxa"/>
          <w:bottom w:w="28" w:type="dxa"/>
          <w:right w:w="28" w:type="dxa"/>
        </w:tblCellMar>
      </w:tblPr>
      <w:tblGrid>
        <w:gridCol w:w="435"/>
        <w:gridCol w:w="380"/>
        <w:gridCol w:w="38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4284" w:type="dxa"/>
            <w:gridSpan w:val="18"/>
            <w:tcBorders/>
            <w:shd w:fill="auto" w:val="clea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Management’s Discussion and Analysis (“MD&amp;A”) is to provide an understanding of our financial condition and results of operations by focusing on changes in certain key measures from year-to-year. This MD&amp;A includes the following sections: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Results of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Segment results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Liquidity and capital resources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matters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Critical accounting policies and estimates</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should be read in conjunction with “Management’s Discussion and Analysis of Financial Condition and Results of Operations” included in Scotts Miracle-Gro’s Annual Report on Form 10-K for the fiscal year ended September 30, 2022 (the “2022 Annual Report”) and our condensed consolidated financial statements included in this Quarterly Report on Form 10-Q.</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 </w:t>
      </w:r>
    </w:p>
    <w:p>
      <w:pPr>
        <w:pStyle w:val="TextBody"/>
        <w:spacing w:lineRule="auto" w:line="288" w:before="100" w:after="283"/>
        <w:ind w:left="0" w:right="0" w:firstLine="495"/>
        <w:jc w:val="both"/>
        <w:rPr/>
      </w:pPr>
      <w:r>
        <w:rPr>
          <w:rFonts w:ascii="Times New Roman;sans-serif" w:hAnsi="Times New Roman;sans-serif"/>
          <w:b w:val="false"/>
          <w:color w:val="000000"/>
          <w:sz w:val="20"/>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lawn fertilizer and Scotts® grass seed products; Miracle-Gro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soil, plant food and gardening products;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herbicide and pesticide products; and Tomcat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rodent control and animal repellent products. We also have a presence in similar branded consumer products in China. We are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spacing w:lineRule="auto" w:line="288" w:before="100" w:after="283"/>
        <w:ind w:left="0" w:right="0" w:firstLine="495"/>
        <w:jc w:val="both"/>
        <w:rPr/>
      </w:pPr>
      <w:r>
        <w:rPr>
          <w:rFonts w:ascii="Times New Roman;sans-serif" w:hAnsi="Times New Roman;sans-serif"/>
          <w:b w:val="false"/>
          <w:color w:val="000000"/>
          <w:sz w:val="20"/>
        </w:rPr>
        <w:t>Through our Hawthorne segment, we are a leading manufacturer, marketer and distributor of lighting, nutrients, growing media, growing environments and hardware products for indoor and hydroponic gardening. Our key brands include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w:t>
      </w:r>
      <w:r>
        <w:rPr>
          <w:rFonts w:ascii="Times New Roman;sans-serif" w:hAnsi="Times New Roman;sans-serif"/>
          <w:b w:val="false"/>
          <w:color w:val="000000"/>
          <w:sz w:val="20"/>
        </w:rPr>
        <w:t>, Can-Filters</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HydroLogic™.</w:t>
      </w:r>
    </w:p>
    <w:p>
      <w:pPr>
        <w:pStyle w:val="TextBody"/>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seasonal nature of the consumer lawn and garden business, for our U.S. Consumer and Other segments, significant portions of our products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tbl>
      <w:tblPr>
        <w:tblW w:w="4925" w:type="dxa"/>
        <w:jc w:val="left"/>
        <w:tblInd w:w="0" w:type="dxa"/>
        <w:tblCellMar>
          <w:top w:w="28" w:type="dxa"/>
          <w:left w:w="28" w:type="dxa"/>
          <w:bottom w:w="28" w:type="dxa"/>
          <w:right w:w="28" w:type="dxa"/>
        </w:tblCellMar>
      </w:tblPr>
      <w:tblGrid>
        <w:gridCol w:w="494"/>
        <w:gridCol w:w="433"/>
        <w:gridCol w:w="437"/>
        <w:gridCol w:w="255"/>
        <w:gridCol w:w="256"/>
        <w:gridCol w:w="364"/>
        <w:gridCol w:w="146"/>
        <w:gridCol w:w="146"/>
        <w:gridCol w:w="146"/>
        <w:gridCol w:w="255"/>
        <w:gridCol w:w="256"/>
        <w:gridCol w:w="364"/>
        <w:gridCol w:w="146"/>
        <w:gridCol w:w="146"/>
        <w:gridCol w:w="146"/>
        <w:gridCol w:w="255"/>
        <w:gridCol w:w="256"/>
        <w:gridCol w:w="424"/>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56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Net Sales from Continuing </w:t>
              <w:br/>
              <w:t>Operations by Quarter</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Events </w:t>
      </w:r>
    </w:p>
    <w:p>
      <w:pPr>
        <w:pStyle w:val="TextBody"/>
        <w:spacing w:lineRule="auto" w:line="288" w:before="100" w:after="283"/>
        <w:ind w:left="0" w:right="0" w:firstLine="450"/>
        <w:jc w:val="both"/>
        <w:rPr/>
      </w:pPr>
      <w:r>
        <w:rPr>
          <w:rFonts w:ascii="Times New Roman;sans-serif" w:hAnsi="Times New Roman;sans-serif"/>
          <w:b w:val="false"/>
          <w:color w:val="000000"/>
          <w:sz w:val="20"/>
        </w:rPr>
        <w:t>During fiscal 2022, we began implementing a series of Company-wide organizational changes and initiatives intended to create operational and management-level efficiencies. As part of this restructuring initiative, we are reducing the size of our supply chain network, reducing staffing levels and implementing other cost-reduction initiatives. During the second quarter of fiscal 2023, we accelerated the optimization of our Hawthorne supply chain network by announcing the closure of four additional distribution centers. In order to reduce on hand inventory to align with the optimized network capacity, we sold our non-core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branded fans business for $5.0 and commenced plans to accelerate the reduction of certain other Hawthorne inventory, primarily lighting, growing environments and hardware products. The acceleration of these actions has resulted in earlier than planned savings related to our restructuring efforts. As a result of our continued focus on cost control and optimization efforts, we now expect to deliver run-rate annualized savings of at least $200.0 versus our original goal of $185.0. We expect to substantially complete the remaining actions required to achieve the expected savings by the end of fiscal 2023. The benefits of the restructuring program are expected to result in improvements in both gross margin rates and SG&amp;A. During the three and six months ended April 1, 2023, we incurred costs of $118.7 and $128.3, respectively, in the “Cost of sales—impairment, restructuring and other” line in the Condensed Consolidated Statements of Operations and $18.1 and $23.2, respectively, in the “Impairment, restructuring and other” line in the Condensed Consolidated Statements of Operations associated with this restructuring initiative primarily related to inventory write-down charges, employee termination benefits, facility closure costs and impairment of right-of-use assets and property, plant and equipment. Costs incurred from the inception of this restructuring initiative through April 1, 2023 were $216.5.</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sales volume decreased for the three and six months ended April 1, 2023 compared to the three and six months ended April 2, 2022 as a result of continued challenges in the hydroponic industry attributable to an oversupply of cannabis, which significantly decreased cannabis wholesale prices and indoor and outdoor cannabis cultivation. The oversupply has been driven by increased licensing activity across the U.S., significant capital investment in the cannabis production marketplace over the past several years and the market impacts of the COVID-19 pandemic.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pStyle w:val="TextBody"/>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April 1, 2023, we continued to experience the impacts of cost inflation resulting in persistently high manufacturing and logistics costs as well as volatile commodity costs, due in part to the negative impact of the war in Ukraine on the global economy. The higher costs required us to implement material price increases across our business in fiscal 2022 and 2023. An inflationary environment marked by higher manufacturing and logistics costs, volatile commodity costs and higher interest rates is expected to continue through fiscal 2023. The impact that these trends will continue to have on our operational and financial performance will depend on future developments, including inflationary and macroeconomic conditions and their impact on consumer behavior, which are difficult to predict considering the rapidly evolving landscape.</w:t>
      </w:r>
    </w:p>
    <w:p>
      <w:pPr>
        <w:pStyle w:val="TextBody"/>
        <w:spacing w:before="100" w:after="283"/>
        <w:ind w:left="0" w:right="0" w:firstLine="495"/>
        <w:jc w:val="both"/>
        <w:rPr/>
      </w:pPr>
      <w:r>
        <w:rPr/>
      </w:r>
    </w:p>
    <w:p>
      <w:pPr>
        <w:pStyle w:val="TextBody"/>
        <w:spacing w:before="100" w:after="283"/>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three months ended April 1, 2023 and April 2, 2022:</w:t>
      </w:r>
    </w:p>
    <w:tbl>
      <w:tblPr>
        <w:tblW w:w="9537" w:type="dxa"/>
        <w:jc w:val="left"/>
        <w:tblInd w:w="0" w:type="dxa"/>
        <w:tblCellMar>
          <w:top w:w="28" w:type="dxa"/>
          <w:left w:w="28" w:type="dxa"/>
          <w:bottom w:w="28" w:type="dxa"/>
          <w:right w:w="28" w:type="dxa"/>
        </w:tblCellMar>
      </w:tblPr>
      <w:tblGrid>
        <w:gridCol w:w="1539"/>
        <w:gridCol w:w="1345"/>
        <w:gridCol w:w="136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39"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spacing w:before="0" w:after="0"/>
        <w:jc w:val="both"/>
        <w:rPr/>
      </w:pPr>
      <w:r>
        <w:rPr/>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 for the six months ended April 1, 2023 and April 2, 2022:</w:t>
      </w:r>
    </w:p>
    <w:tbl>
      <w:tblPr>
        <w:tblW w:w="9537" w:type="dxa"/>
        <w:jc w:val="left"/>
        <w:tblInd w:w="0" w:type="dxa"/>
        <w:tblCellMar>
          <w:top w:w="28" w:type="dxa"/>
          <w:left w:w="28" w:type="dxa"/>
          <w:bottom w:w="28" w:type="dxa"/>
          <w:right w:w="28" w:type="dxa"/>
        </w:tblCellMar>
      </w:tblPr>
      <w:tblGrid>
        <w:gridCol w:w="1539"/>
        <w:gridCol w:w="1345"/>
        <w:gridCol w:w="1360"/>
        <w:gridCol w:w="211"/>
        <w:gridCol w:w="766"/>
        <w:gridCol w:w="109"/>
        <w:gridCol w:w="109"/>
        <w:gridCol w:w="109"/>
        <w:gridCol w:w="109"/>
        <w:gridCol w:w="308"/>
        <w:gridCol w:w="308"/>
        <w:gridCol w:w="427"/>
        <w:gridCol w:w="109"/>
        <w:gridCol w:w="109"/>
        <w:gridCol w:w="109"/>
        <w:gridCol w:w="211"/>
        <w:gridCol w:w="766"/>
        <w:gridCol w:w="109"/>
        <w:gridCol w:w="109"/>
        <w:gridCol w:w="109"/>
        <w:gridCol w:w="109"/>
        <w:gridCol w:w="308"/>
        <w:gridCol w:w="308"/>
        <w:gridCol w:w="481"/>
      </w:tblGrid>
      <w:tr>
        <w:trPr/>
        <w:tc>
          <w:tcPr>
            <w:tcW w:w="1539"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Net Sales</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sum of the components may not equal due to rounding.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for the three months ended April 1, 2023 were $1,531.5, a decrease of 8.8% from net sales of $1,678.4 for the three months ended April 2, 2022. Net sales for the six months ended April 1, 2023 were $2,058.1, a decrease of 8.3% from net sales of $2,244.3 for the six months ended April 2, 2022. Factors contributing to the change in net sales are outlined in the following table:</w:t>
      </w:r>
    </w:p>
    <w:tbl>
      <w:tblPr>
        <w:tblW w:w="5380" w:type="dxa"/>
        <w:jc w:val="left"/>
        <w:tblInd w:w="0" w:type="dxa"/>
        <w:tblCellMar>
          <w:top w:w="28" w:type="dxa"/>
          <w:left w:w="28" w:type="dxa"/>
          <w:bottom w:w="28" w:type="dxa"/>
          <w:right w:w="28" w:type="dxa"/>
        </w:tblCellMar>
      </w:tblPr>
      <w:tblGrid>
        <w:gridCol w:w="721"/>
        <w:gridCol w:w="635"/>
        <w:gridCol w:w="638"/>
        <w:gridCol w:w="355"/>
        <w:gridCol w:w="355"/>
        <w:gridCol w:w="894"/>
        <w:gridCol w:w="109"/>
        <w:gridCol w:w="109"/>
        <w:gridCol w:w="109"/>
        <w:gridCol w:w="297"/>
        <w:gridCol w:w="297"/>
        <w:gridCol w:w="861"/>
      </w:tblGrid>
      <w:tr>
        <w:trPr/>
        <w:tc>
          <w:tcPr>
            <w:tcW w:w="72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Volume and mix</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8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8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8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8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net sales</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the three and six months ended April 1, 2023 as compared to the three and six months ended April 2, 2022 was primarily driven by:</w:t>
      </w:r>
    </w:p>
    <w:p>
      <w:pPr>
        <w:pStyle w:val="TextBody"/>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decreased sales volume driven by hardware, lighting, nutrients, growing media and growing environments products in our Hawthorne segment; lawn care, soils, mulch and controls products in our U.S. Consumer segment; and decreased sales volume in our Other segment,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unfavorable impact of foreign exchange rates as a result of the strengthening of the U.S. dollar relative to the euro and the Canadian dollar; </w:t>
      </w:r>
    </w:p>
    <w:p>
      <w:pPr>
        <w:pStyle w:val="TextBody"/>
        <w:spacing w:lineRule="auto" w:line="288" w:before="120" w:after="283"/>
        <w:ind w:left="0" w:right="0" w:hanging="360"/>
        <w:jc w:val="both"/>
        <w:rPr/>
      </w:pPr>
      <w:r>
        <w:rPr>
          <w:color w:val="333333"/>
        </w:rPr>
        <w:t>•</w:t>
      </w:r>
      <w:r>
        <w:rPr>
          <w:rFonts w:ascii="Times New Roman;sans-serif" w:hAnsi="Times New Roman;sans-serif"/>
          <w:b w:val="false"/>
          <w:color w:val="000000"/>
          <w:sz w:val="20"/>
        </w:rPr>
        <w:t>partially offset by increased pricing in our U.S. Consumer, Hawthorne and Other segments.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major components of cost of sales for the periods indicated:</w:t>
      </w:r>
    </w:p>
    <w:tbl>
      <w:tblPr>
        <w:tblW w:w="9915" w:type="dxa"/>
        <w:jc w:val="left"/>
        <w:tblInd w:w="0" w:type="dxa"/>
        <w:tblCellMar>
          <w:top w:w="28" w:type="dxa"/>
          <w:left w:w="28" w:type="dxa"/>
          <w:bottom w:w="28" w:type="dxa"/>
          <w:right w:w="28" w:type="dxa"/>
        </w:tblCellMar>
      </w:tblPr>
      <w:tblGrid>
        <w:gridCol w:w="1643"/>
        <w:gridCol w:w="1444"/>
        <w:gridCol w:w="1458"/>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643"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warehousing</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labor and overhead</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Factors contributing to the change in cost of sales are outlined in the following table:</w:t>
      </w:r>
    </w:p>
    <w:tbl>
      <w:tblPr>
        <w:tblW w:w="7930" w:type="dxa"/>
        <w:jc w:val="left"/>
        <w:tblInd w:w="0" w:type="dxa"/>
        <w:tblCellMar>
          <w:top w:w="28" w:type="dxa"/>
          <w:left w:w="28" w:type="dxa"/>
          <w:bottom w:w="28" w:type="dxa"/>
          <w:right w:w="28" w:type="dxa"/>
        </w:tblCellMar>
      </w:tblPr>
      <w:tblGrid>
        <w:gridCol w:w="1647"/>
        <w:gridCol w:w="1446"/>
        <w:gridCol w:w="1451"/>
        <w:gridCol w:w="335"/>
        <w:gridCol w:w="1097"/>
        <w:gridCol w:w="173"/>
        <w:gridCol w:w="109"/>
        <w:gridCol w:w="109"/>
        <w:gridCol w:w="109"/>
        <w:gridCol w:w="290"/>
        <w:gridCol w:w="952"/>
        <w:gridCol w:w="212"/>
      </w:tblGrid>
      <w:tr>
        <w:trPr/>
        <w:tc>
          <w:tcPr>
            <w:tcW w:w="1647"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 changes</w:t>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cost of sales</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60" w:after="283"/>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pPr>
      <w:r>
        <w:rPr>
          <w:rFonts w:ascii="Times New Roman;sans-serif" w:hAnsi="Times New Roman;sans-serif"/>
          <w:b w:val="false"/>
          <w:color w:val="000000"/>
          <w:sz w:val="20"/>
        </w:rPr>
        <w:t>The increase in cost of sales for the three and six months ended April 1, 2023 as compared to the three and six months ended April 2, 2022 was primarily driven by:</w:t>
      </w:r>
      <w:r>
        <w:rPr>
          <w:color w:val="000000"/>
        </w:rPr>
        <w:t>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impairment, restructuring and other charges;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material costs in our U.S. Consumer and Hawthorne segments;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manufacturing costs, primarily labor, included within “volume, mix and other” in our U.S. Consumer, Hawthorne and Other segments;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costs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lower sales volume in our U.S. Consumer, Hawthorne and Other segments;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favorable impact of foreign exchange rates as a result of the strengthening of the U.S. dollar relative to the euro and the Canadian dollar.</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our gross margin rate was 26.9% and 35.1% for the three months ended April 1, 2023 and April 2, 2022, respectively, and was 24.7% and 31.5% for the six months ended April 1, 2023 and April 2, 2022, respectively. Factors contributing to the change in gross margin rate are outlined in the following table:</w:t>
      </w:r>
    </w:p>
    <w:tbl>
      <w:tblPr>
        <w:tblW w:w="7151" w:type="dxa"/>
        <w:jc w:val="left"/>
        <w:tblInd w:w="0" w:type="dxa"/>
        <w:tblCellMar>
          <w:top w:w="28" w:type="dxa"/>
          <w:left w:w="28" w:type="dxa"/>
          <w:bottom w:w="28" w:type="dxa"/>
          <w:right w:w="28" w:type="dxa"/>
        </w:tblCellMar>
      </w:tblPr>
      <w:tblGrid>
        <w:gridCol w:w="1365"/>
        <w:gridCol w:w="1198"/>
        <w:gridCol w:w="1202"/>
        <w:gridCol w:w="355"/>
        <w:gridCol w:w="355"/>
        <w:gridCol w:w="894"/>
        <w:gridCol w:w="109"/>
        <w:gridCol w:w="109"/>
        <w:gridCol w:w="109"/>
        <w:gridCol w:w="297"/>
        <w:gridCol w:w="297"/>
        <w:gridCol w:w="861"/>
      </w:tblGrid>
      <w:tr>
        <w:trPr/>
        <w:tc>
          <w:tcPr>
            <w:tcW w:w="1365"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costs</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8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8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8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commissions and reimbursements</w:t>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8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8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8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gross margin rate</w:t>
            </w:r>
          </w:p>
        </w:tc>
        <w:tc>
          <w:tcPr>
            <w:tcW w:w="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ind w:left="0" w:right="0" w:firstLine="450"/>
        <w:jc w:val="both"/>
        <w:rPr/>
      </w:pPr>
      <w:r>
        <w:rPr>
          <w:rFonts w:ascii="Times New Roman;sans-serif" w:hAnsi="Times New Roman;sans-serif"/>
          <w:b w:val="false"/>
          <w:color w:val="000000"/>
          <w:sz w:val="20"/>
        </w:rPr>
        <w:t>The decrease in gross margin rate for the three and six months ended April 1, 2023 as compared to the three and six months ended April 2, 2022 was primarily driven by:</w:t>
      </w:r>
      <w:r>
        <w:rPr>
          <w:color w:val="000000"/>
        </w:rPr>
        <w:t>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impairment, restructuring and other charges;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material costs in our U.S. Consumer and Hawthorne segments;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manufacturing costs, primarily labor, included within “volume, mix and other” in our U.S. Consumer, Hawthorne and Other segments;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unfavorable leverage of fixed costs driven by lower sales and production volume in our U.S Consumer, Hawthorne and Other segments; </w:t>
      </w:r>
    </w:p>
    <w:p>
      <w:pPr>
        <w:pStyle w:val="TextBody"/>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partially offset by increased pricing in our U.S. Consumer, Hawthorne and Other segments;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selling, general and administrative expenses (“SG&amp;A”) for the periods indicated:</w:t>
      </w:r>
    </w:p>
    <w:tbl>
      <w:tblPr>
        <w:tblW w:w="8190" w:type="dxa"/>
        <w:jc w:val="left"/>
        <w:tblInd w:w="0" w:type="dxa"/>
        <w:tblCellMar>
          <w:top w:w="28" w:type="dxa"/>
          <w:left w:w="28" w:type="dxa"/>
          <w:bottom w:w="28" w:type="dxa"/>
          <w:right w:w="28" w:type="dxa"/>
        </w:tblCellMar>
      </w:tblPr>
      <w:tblGrid>
        <w:gridCol w:w="1237"/>
        <w:gridCol w:w="1088"/>
        <w:gridCol w:w="109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7"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SG&amp;A decreased $18.4, or 9.0%, during the three months ended April 1, 2023 compared to the three months ended April 2, 2022. Advertising expense increased $12.1, or 24.6%, during the three months ended April 1, 2023 driven by the timing of media spending in our U.S. Consumer segment. Share-based compensation expense, which excludes certain advertising expenses paid for in Common Shares, increased $12.7, or 79.9%, driven by short-term variable incentive compensation that was provided to employees as share-based awards for fiscal 2023 in lieu of a cash-based program. Amortization expense decreased $3.2, or 36.0%, during the three months ended April 1, 2023 driven by the impairment of certain Hawthorne segment intangible assets during fiscal 2022. Other SG&amp;A and research and development costs decreased by a combined $40.0, or 30.6%, during the three months ended April 1, 2023 due to reductions in staffing levels and other cost-reduction initiatives.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SG&amp;A decreased $43.9, or 12.2%, during the six months ended April 1, 2023 compared to the six months ended April 2, 2022. Advertising expense increased $11.4, or 16.9%, during the six months ended April 1, 2023 driven by the timing of media spending in our U.S. Consumer segment. Share-based compensation expense, which excludes certain advertising expenses paid for in Common Shares, increased $24.2, or 104.3%, driven by short-term variable incentive compensation that was provided to employees as share-based awards for fiscal 2023 in lieu of a cash-based program. Amortization expense decreased $3.5, or 21.5%, during the six months ended April 1, 2023 driven by the impairment of certain Hawthorne segment intangible assets during fiscal 2022. Other SG&amp;A and research and development costs decreased by a combined $76.0, or 30.2%, during the six months ended April 1, 2023 driven by reductions in staffing levels and other cost-reduction initiatives.</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Restructuring and Other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tbl>
      <w:tblPr>
        <w:tblW w:w="8609" w:type="dxa"/>
        <w:jc w:val="left"/>
        <w:tblInd w:w="0" w:type="dxa"/>
        <w:tblCellMar>
          <w:top w:w="28" w:type="dxa"/>
          <w:left w:w="28" w:type="dxa"/>
          <w:bottom w:w="28" w:type="dxa"/>
          <w:right w:w="28" w:type="dxa"/>
        </w:tblCellMar>
      </w:tblPr>
      <w:tblGrid>
        <w:gridCol w:w="1543"/>
        <w:gridCol w:w="1356"/>
        <w:gridCol w:w="1360"/>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543"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pPr>
      <w:r>
        <w:rPr>
          <w:rFonts w:ascii="Times New Roman;sans-serif" w:hAnsi="Times New Roman;sans-serif"/>
          <w:b w:val="false"/>
          <w:color w:val="000000"/>
          <w:sz w:val="20"/>
        </w:rPr>
        <w:t>During fiscal 2022, we began implementing a series of Company-wide organizational changes and initiatives intended to create operational and management-level efficiencies. As part of this restructuring initiative, we are reducing the size of our supply chain network, reducing staffing levels and implementing other cost-reduction initiatives. During the second quarter of fiscal 2023, we accelerated the optimization of our Hawthorne supply chain network by announcing the closure of four additional distribution centers. In order to reduce on hand inventory to align with the optimized network capacity, we sold our non-core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branded fans business for $5.0 and commenced plans to accelerate the reduction of certain other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Hawthorne inventory, primarily lighting, growing environments and hardware products. During the three and six months ended April 1, 2023, we incurred costs of $136.8 and $151.4, respectively, associated with this restructuring initiative primarily related to inventory write-down charges, employee termination benefits, facility closure costs and impairment of right-of-use assets and property, plant and equipment. We incurred costs of $0.2 and $1.2 in our U.S. Consumer segment and $118.5 and $127.0 in our Hawthorne segment in the “Cost of sales—impairment, restructuring and other” line in the Condensed Consolidated Statements of Operations during the three and six months ended April 1, 2023, respectively. We incurred costs of $0.1 and $0.3 in our U.S. Consumer segment, $17.1 and $18.2 in our Hawthorne segment, $0.1 and $0.2 in our Other segment and $0.8 and $4.5 at Corporate in the “Impairment, restructuring and other” line in the Condensed Consolidated Statements of Operations during the three and six months ended April 1, 2023, respectively. Costs incurred from the inception of this restructuring initiative through April 1, 2023 were $180.3 for our Hawthorne segment, $23.1 for our U.S. Consumer segment, $0.9 for our Other segment and $12.2 for Corporate. We continue to evaluate additional network and organizational changes, which, if executed, may result in additional restructuring charges in future periods.</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is comprised of activities such as royalty income from the licensing of certain of our brand names and foreign exchange transaction gains and losses. Other income was $1.6 and $4.3 for the three months ended April 1, 2023 and April 2, 2022, respectively; and was $1.0 and $6.0 for the six months ended April 1, 2023 and April 2, 2022, respectively. The decrease was primarily due to foreign exchange transaction gains and losses as well as gains on the sale of long-lived assets during the second quarter of fiscal 2022.</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from Operations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was $206.2 for the three months ended April 1, 2023, a decrease of 46.8% compared to $387.9 for the three months ended April 2, 2022; and was $164.4 for the six months ended April 1, 2023, a decrease of 53.4% compared to $352.5 for the six months ended April 2, 2022. The decrease was primarily due to lower net sales, a decrease in gross margin rate, higher impairment, restructuring and other charges and lower other income, partially offset by lower SG&amp;A. </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Equity in Loss of Unconsolidated Affiliates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 associated with Bonnie Plants, LLC was $7.3 and $6.5 for the three months ended April 1, 2023 and April 2, 2022, respectively; and was $18.7 and $13.8 for the six months ended April 1, 2023 and April 2, 2022, respectively. We anticipated a net loss for Bonnie Plants, LLC for the six months ended April 1, 2023 due to the seasonal nature of its business, in which sales are heavily weighted to the spring and summer selling periods during our third fiscal quarter.</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$48.3 for the three months ended April 1, 2023, an increase of 70.7% compared to $28.3 for the three months ended April 2, 2022. The increase was driven by higher average borrowings of $70.2 and an increase in our weighted average interest rate, net of the impact of interest rate swaps, of 210 basis points. The increase in average borrowings was due to inventory production, capital expenditures, acquisition activity and repurchases of our Common Shares. The increase in our weighted average interest rate was primarily driven by higher borrowing rates on the Sixth A&amp;R Credit Agreement.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$91.0 for the six months ended April 1, 2023, an increase of 74.7% compared to $52.1 for the six months ended April 2, 2022. The increase was driven by higher average borrowings of $363.1 and an increase in our weighted average interest rate, net of the impact of interest rate swaps, of 190 basis points. The increase in average borrowings was due to inventory production, capital expenditures, acquisition activity and repurchases of our Common Shares. The increase in our weighted average interest rate was primarily driven by higher borrowing rates on the Sixth A&amp;R Credit Agreement.</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rates for the six months ended April 1, 2023 and April 2, 2022 were 19.5% and 22.0%, respectively. The decrease in the effective tax rate was driven by the combination of lower pretax income and favorable discrete items recognized during the three months ended December 31, 2022. We expect the full year fiscal 2023 effective tax rate to be higher than the effective tax rate for the six months ended April 1, 2023 due to a more significant impact of deductibility limitations on certain employee compensation and lower excess tax benefits related to share-based compensation.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circumstances change during the course of the fiscal year. There can be no assurance that the effective tax rate estimated for interim financial reporting purposes will approximate the effective tax rate determined at fiscal year-end.</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was $109.4, or $1.94 per diluted share, for the three months ended April 1, 2023 compared to $276.5, or $4.94 per diluted share, for the three months ended April 2, 2022. The decrease was driven by lower net sales, a decrease in gross margin rate, higher impairment, restructuring and other charges, lower other income, higher equity in loss of unconsolidated affiliates, higher interest expense and lower other non-operating income, partially offset by lower SG&amp;A.</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net income per common share calculation for the three months ended April 1, 2023 were 56.5 million, which included dilutive potential Common Shares of 0.5 million. Diluted average common shares used in the diluted net income per common share calculation for the three months ended April 2, 2022 were 56.0 million, which included dilutive potential Common Shares of 0.5 million. The increase in diluted average common shares was primarily the result of the exercise and issuance of share-based compensation awards.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was $44.7, or $0.80 per diluted share, for the six months ended April 1, 2023 compared to $226.4, or $4.02 per diluted share, for the six months ended April 2, 2022. The decrease was driven by lower net sales, a decrease in gross margin rate, higher impairment, restructuring and other charges, lower other income, higher equity in loss of unconsolidated affiliates, higher interest expense and lower other non-operating income, partially offset by lower SG&amp;A.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net income per common share calculation for the six months ended April 1, 2023 were 56.1 million, which included dilutive potential Common Shares of 0.3 million. Diluted average common shares used in the diluted net income per common share calculation for the six months ended April 2, 2022 were 56.3 million, which included dilutive potential Common Shares of 0.8 million. The decrease in diluted average common shares was primarily the result of Common Share repurchase activity partially offset by the exercise and issuance of share-based compensation awards.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by segment:</w:t>
      </w:r>
    </w:p>
    <w:tbl>
      <w:tblPr>
        <w:tblW w:w="6690" w:type="dxa"/>
        <w:jc w:val="left"/>
        <w:tblInd w:w="0" w:type="dxa"/>
        <w:tblCellMar>
          <w:top w:w="28" w:type="dxa"/>
          <w:left w:w="28" w:type="dxa"/>
          <w:bottom w:w="28" w:type="dxa"/>
          <w:right w:w="28" w:type="dxa"/>
        </w:tblCellMar>
      </w:tblPr>
      <w:tblGrid>
        <w:gridCol w:w="477"/>
        <w:gridCol w:w="420"/>
        <w:gridCol w:w="423"/>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Segment Profit (Loss) as well as a reconciliation to income before income taxes, the most directly comparable GAAP measure:</w:t>
      </w:r>
    </w:p>
    <w:tbl>
      <w:tblPr>
        <w:tblW w:w="8354" w:type="dxa"/>
        <w:jc w:val="left"/>
        <w:tblInd w:w="0" w:type="dxa"/>
        <w:tblCellMar>
          <w:top w:w="28" w:type="dxa"/>
          <w:left w:w="28" w:type="dxa"/>
          <w:bottom w:w="28" w:type="dxa"/>
          <w:right w:w="28" w:type="dxa"/>
        </w:tblCellMar>
      </w:tblPr>
      <w:tblGrid>
        <w:gridCol w:w="1296"/>
        <w:gridCol w:w="1140"/>
        <w:gridCol w:w="114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9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 (Non-GAAP)</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U.S. Consumer</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net sales were $1,357.4 in the second quarter of fiscal 2023, a decrease of 1.6% from second quarter of fiscal 2022 net sales of $1,379.8; and were $1,726.3 for the first six months of fiscal 2023, an increase of 0.2% from the first six months of fiscal 2022 net sales of $1,722.2. For the second quarter of fiscal 2023, the decrease was driven by lower sales volume of 10.4%, partially offset by increased pricing of 8.7%. For the six months ended April 1, 2023, the increase was driven by increased pricing of 9.6%, partially offset by lower sales volume of 9.4%. The decrease in sales volume for the three and six months ended April 1, 2023 was driven by lawn care, soils, mulch and controls products.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Profit was $397.4 in the second quarter of fiscal 2023, a decrease of 7.3% from the second quarter of fiscal 2022 Segment Profit of $428.9; and Segment Profit was $428.7 for the first six months of fiscal 2023, a decrease of 2.5% from the first six months of fiscal 2022 Segment Profit of $439.6. For the three and six months ended April 1, 2023, the decrease was primarily due to lower net sales and a lower gross margin rate, partially offset by lower SG&amp;A. </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Hawthorne</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net sales were $92.7 in the second quarter of fiscal 2023, a decrease of 54.2% from second quarter of fiscal 2022 net sales of $202.6; and were $224.2 for the first six months of fiscal 2023, a decrease of 43.0% from the first six months of fiscal 2022 net sales of $393.2. For the second quarter of fiscal 2023, the decrease was driven by lower sales volume and unfavorable foreign exchange rates of 59.9% and 0.2%, respectively, partially offset by increased pricing and acquisitions of 5.7% and 0.1%, respectively. For the six months ended April 1, 2023, the decrease was driven by lower sales volume and unfavorable foreign exchange rates of 48.3% and 1.3%, respectively, partially offset by increased pricing and acquisitions of 5.1% and 1.5%, respectively. The decrease in sales volume for the three and six months ended April 1, 2023 was driven by hardware, lighting, nutrients, growing media and growing environments products.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Hawthorne Segment Loss was $16.8 in the second quarter of fiscal 2023 as compared to Segment Profit of $3.3 for the second quarter of fiscal 2022; and Segment Loss was $33.0 for the first six months of fiscal 2023 as compared to Segment Loss of $2.0 for the first six months of fiscal 2022. For the three and six months ended April 1, 2023, the change was driven by lower net sales and a lower gross margin rate, partially offset by lower SG&amp;A. </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net sales were $81.4 in the second quarter of fiscal 2023, a decrease of 15.2% from the second quarter of fiscal 2022 net sales of $96.0; and were $107.6 for the first six months of fiscal 2023, a decrease of 16.5% from the first six months of fiscal 2022 net sales of $128.9. For the second quarter of fiscal 2023, the decrease was driven by lower sales volume and unfavorable foreign exchange rates of 11.1% and 5.9%, respectively, partially offset by increased pricing of 1.8%. For the six months ended April 1, 2023, the decrease was driven by lower sales volume and unfavorable foreign exchange rates of 17.8% and 5.7%, respectively, partially offset by increased pricing of 6.9%.</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Segment Profit was $14.6 in the second quarter of fiscal 2023, an increase of 39.0% from the second quarter of fiscal 2022 Segment Profit of $10.5; and Segment Profit was $16.0 for the first six months of fiscal 2023, an increase of 35.6% from the first six months of fiscal 2022 Segment Profit of $11.8. For the three and six months ended April 1, 2023, the increase was driven by a higher gross margin rate and lower SG&amp;A, partially offset by lower net sales. </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expenses were $42.1 in the second quarter of fiscal 2023, an increase of 7.7% from the second quarter of fiscal 2022 expenses of $39.1; and were $74.0 for the first six months of fiscal 2023, an increase of 5.0% from the first six months of fiscal 2022 expenses of $70.5. For the three and six months ended April 1, 2023, the increase was primarily driven by higher share-based compensation expense and lower other income, partially offset by reductions in staffing levels and other cost-reduction initiatives.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activities:</w:t>
      </w:r>
    </w:p>
    <w:tbl>
      <w:tblPr>
        <w:tblW w:w="6008" w:type="dxa"/>
        <w:jc w:val="left"/>
        <w:tblInd w:w="0" w:type="dxa"/>
        <w:tblCellMar>
          <w:top w:w="28" w:type="dxa"/>
          <w:left w:w="28" w:type="dxa"/>
          <w:bottom w:w="28" w:type="dxa"/>
          <w:right w:w="28" w:type="dxa"/>
        </w:tblCellMar>
      </w:tblPr>
      <w:tblGrid>
        <w:gridCol w:w="1253"/>
        <w:gridCol w:w="1104"/>
        <w:gridCol w:w="1107"/>
        <w:gridCol w:w="211"/>
        <w:gridCol w:w="691"/>
        <w:gridCol w:w="109"/>
        <w:gridCol w:w="109"/>
        <w:gridCol w:w="109"/>
        <w:gridCol w:w="109"/>
        <w:gridCol w:w="211"/>
        <w:gridCol w:w="841"/>
        <w:gridCol w:w="154"/>
      </w:tblGrid>
      <w:tr>
        <w:trPr/>
        <w:tc>
          <w:tcPr>
            <w:tcW w:w="1253"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r>
      <w:tr>
        <w:trPr/>
        <w:tc>
          <w:tcPr>
            <w:tcW w:w="3464"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533" w:type="dxa"/>
            <w:gridSpan w:val="6"/>
            <w:tcBorders/>
            <w:shd w:fill="auto" w:val="clea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totaled $566.9 for the six months ended April 1, 2023 as compared to $1,142.6 for the six months ended April 2, 2022. This decrease was driven by lower inventory production, accounts payable timing, lower short-term variable cash incentive compensation payouts and higher income tax refunds received, partially offset by lower income from operations, higher accounts receivable, higher interest payments and higher payments associated with restructuring activities. Higher accounts receivable is driven by the timing of sales. Accounts payable timing is driven by lower inventory production and the favorable impact of extended payment terms with vendors for payments originally due in the final weeks of the second quarter of fiscal 2023 that were paid in the third quarter of fiscal 2023. </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60" w:after="283"/>
        <w:ind w:left="0" w:right="0" w:firstLine="450"/>
        <w:jc w:val="both"/>
        <w:rPr/>
      </w:pPr>
      <w:r>
        <w:rPr>
          <w:rFonts w:ascii="Times New Roman;sans-serif" w:hAnsi="Times New Roman;sans-serif"/>
          <w:b w:val="false"/>
          <w:color w:val="000000"/>
          <w:sz w:val="20"/>
        </w:rPr>
        <w:t>Cash used in investing activities totaled $20.6 for the six months ended April 1, 2023 as compared to $255.8 for the six months ended April 2, 2022. Cash used for investments in property, plant and equipment during the first six months of fiscal 2023 and 2022 was $51.8 and $66.0, respectively. We also received proceeds of $37.0 during the six months ended April 1, 2023 related to the payoff of seller financing that we provided in connection with a fiscal 2017 divestiture. In addition, we had other investing cash outflows of $6.5 during the six months ended April 1, 2023, comprised of cash outflows associated with currency forward contracts partially offset by proceeds from the sale of the Hurricane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branded fans business. During the six months ended April 2, 2022, we completed the acquisitions of Luxx Lighting, Inc. and True Liberty Bags in exchange for cash payments of $202.8, as well as the issuance of 0.1 million Common Shares, a non-cash investing and financing activity, with a fair value of $21.0 based on the share price at the time of payment. In addition, we received proceeds from the sale of long-lived assets of $8.5 and received $4.5 associated with currency forward contracts during the six months ended April 2, 2022. </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60" w:after="283"/>
        <w:ind w:left="0" w:right="0" w:firstLine="450"/>
        <w:jc w:val="both"/>
        <w:rPr/>
      </w:pPr>
      <w:r>
        <w:rPr>
          <w:rFonts w:ascii="Times New Roman;sans-serif" w:hAnsi="Times New Roman;sans-serif"/>
          <w:b w:val="false"/>
          <w:color w:val="000000"/>
          <w:sz w:val="20"/>
        </w:rPr>
        <w:t xml:space="preserve">Cash provided by financing activities totaled $525.3 for the six months ended April 1, 2023 as compared to $1,171.3 for the six months ended April 2, 2022. During the six months ended April 1, 2023, we had net borrowings under our credit facilities of $609.4 and paid dividends of $74.9. During the six months ended April 2, 2022, we had net borrowings under our credit facilities of $1,513.5, paid dividends of $93.2 and repurchased Common Shares for $256.4 (which includes </w:t>
      </w:r>
      <w:r>
        <w:rPr>
          <w:rFonts w:ascii="Times New Roman;sans-serif" w:hAnsi="Times New Roman;sans-serif"/>
          <w:b w:val="false"/>
          <w:color w:val="000000"/>
          <w:sz w:val="20"/>
          <w:highlight w:val="white"/>
        </w:rPr>
        <w:t>cash paid to tax authorities to satisfy statutory income tax withholding obligations related to share-based compensation)</w:t>
      </w:r>
      <w:r>
        <w:rPr>
          <w:rFonts w:ascii="Times New Roman;sans-serif" w:hAnsi="Times New Roman;sans-serif"/>
          <w:b w:val="false"/>
          <w:color w:val="000000"/>
          <w:sz w:val="20"/>
        </w:rPr>
        <w:t>.</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spacing w:lineRule="auto" w:line="288" w:before="160" w:after="283"/>
        <w:ind w:left="0" w:right="0" w:firstLine="450"/>
        <w:jc w:val="both"/>
        <w:rPr/>
      </w:pPr>
      <w:r>
        <w:rPr>
          <w:rFonts w:ascii="Times New Roman;sans-serif" w:hAnsi="Times New Roman;sans-serif"/>
          <w:b w:val="false"/>
          <w:color w:val="000000"/>
          <w:sz w:val="20"/>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w:t>
      </w:r>
      <w:r>
        <w:rPr>
          <w:rFonts w:ascii="Times New Roman;sans-serif" w:hAnsi="Times New Roman;sans-serif"/>
          <w:b w:val="false"/>
          <w:color w:val="000000"/>
          <w:sz w:val="20"/>
          <w:highlight w:val="white"/>
        </w:rPr>
        <w:t xml:space="preserve">. During the </w:t>
      </w:r>
      <w:r>
        <w:rPr>
          <w:rFonts w:ascii="Times New Roman;sans-serif" w:hAnsi="Times New Roman;sans-serif"/>
          <w:b w:val="false"/>
          <w:color w:val="000000"/>
          <w:sz w:val="20"/>
        </w:rPr>
        <w:t xml:space="preserve">three and six </w:t>
      </w:r>
      <w:r>
        <w:rPr>
          <w:rFonts w:ascii="Times New Roman;sans-serif" w:hAnsi="Times New Roman;sans-serif"/>
          <w:b w:val="false"/>
          <w:color w:val="000000"/>
          <w:sz w:val="20"/>
          <w:highlight w:val="white"/>
        </w:rPr>
        <w:t xml:space="preserve">months ended April 2, 2022, Scotts Miracle-Gro repurchased 0.4 million and 1.1 million Common Shares under this share repurchase authorization for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pPr>
      <w:r>
        <w:rPr>
          <w:rFonts w:ascii="Times New Roman;sans-serif" w:hAnsi="Times New Roman;sans-serif"/>
          <w:b w:val="false"/>
          <w:color w:val="000000"/>
          <w:sz w:val="20"/>
          <w:highlight w:val="white"/>
        </w:rPr>
        <w:t xml:space="preserve">$50.0 and $175.0, respectively. Treasury share purchases also include cash paid to tax authorities to satisfy statutory income tax withholding obligations related to share-based compensation of $5.6 and $6.4 for the </w:t>
      </w:r>
      <w:r>
        <w:rPr>
          <w:rFonts w:ascii="Times New Roman;sans-serif" w:hAnsi="Times New Roman;sans-serif"/>
          <w:b w:val="false"/>
          <w:color w:val="000000"/>
          <w:sz w:val="20"/>
        </w:rPr>
        <w:t xml:space="preserve">three and six </w:t>
      </w:r>
      <w:r>
        <w:rPr>
          <w:rFonts w:ascii="Times New Roman;sans-serif" w:hAnsi="Times New Roman;sans-serif"/>
          <w:b w:val="false"/>
          <w:color w:val="000000"/>
          <w:sz w:val="20"/>
          <w:highlight w:val="white"/>
        </w:rPr>
        <w:t xml:space="preserve">months ended April 1, 2023, respectively, and $78.1 and $82.6 for the </w:t>
      </w:r>
      <w:r>
        <w:rPr>
          <w:rFonts w:ascii="Times New Roman;sans-serif" w:hAnsi="Times New Roman;sans-serif"/>
          <w:b w:val="false"/>
          <w:color w:val="000000"/>
          <w:sz w:val="20"/>
        </w:rPr>
        <w:t>three and six months ended April 2, 2022, respectively.</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were held in cash depository accounts with major financial institutions around the world or invested in high-quality, short-term liquid investments having original maturities of three months or less. The cash and cash equivalents balances of $25.0, $17.1 and $86.8 as of April 1, 2023, April 2, 2022 and September 30, 2022, respectively, included $15.1, $4.0 and $4.2, respectively, held by controlled foreign corporations. As of April 1, 2023, we maintain our assertion of indefinite reinvestment of the earnings of all material foreign subsidiaries.</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Borrowing Agreements</w:t>
      </w:r>
    </w:p>
    <w:p>
      <w:pPr>
        <w:pStyle w:val="TextBody"/>
        <w:spacing w:lineRule="auto" w:line="288" w:before="160" w:after="283"/>
        <w:ind w:left="0" w:right="0" w:firstLine="180"/>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our intellectual property.</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2022, we entered into the Amendment to the Sixth A&amp;R Credit Agreement. The Amendment increases the maximum permitted leverage ratio for the quarterly leverage covenant during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our quarterly-tested leverage ratio exceeds 4.75. Additionally, the Amendment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The Amendment also requires pro forma compliance with certain leverage levels specified in the Amendment with respect to our ability to consummate certain acquisitions and incur debt.</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April 1, 2023, we had letters of credit outstanding in the aggregate principal amount of $5.0 and had $852.5 of borrowing availability under the Sixth A&amp;R Credit Agreement. The weighted average interest rates on average borrowings under the credit facilities, excluding the impact of interest rate swaps, were 7.0% and 1.8% for the six months ended April 1, 2023 and April 2, 2022, respectively.</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our leverage ratio determined as of the end of each of our fiscal quarters calculated as average total indebtedness, divided by Adjusted EBITDA. Pursuant to the Amendment, the maximum permitted leverage ratio is (i) 6.50 for the second and third quarters of fiscal 2023, (ii) 6.25 for the fourth quarter of fiscal 2023 and the first quarter of fiscal 2024, (iii) 5.50 for the second quarter of fiscal 2024, and (iv) 4.50 for the third quarter of fiscal 2024 and thereafter. Our leverage ratio was 6.01 at April 1, 2023. The Sixth A&amp;R Credit Agreement also contains an affirmative covenant regarding our interest coverage ratio determined as of the end of each of our fiscal quarters. The interest coverage ratio is calculated as Adjusted EBITDA divided by interest expense, as described in the Sixth A&amp;R Credit Agreement, and excludes costs related to refinancings. The minimum required interest coverage ratio is 3.00. Our interest coverage ratio was 3.66 for the twelve months ended April 1, 2023.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April 1, 2023, our indebtedness under the Sixth A&amp;R Credit Agreement and Senior Notes was $3,192.5. We do not have sufficient cash on hand or available liquidity that can be utilized to repay these outstanding amounts in the event of default. </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pStyle w:val="TextBody"/>
        <w:spacing w:lineRule="auto" w:line="288" w:before="160" w:after="283"/>
        <w:ind w:left="0" w:right="0" w:firstLine="180"/>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spacing w:lineRule="auto" w:line="288" w:before="160" w:after="283"/>
        <w:ind w:left="0" w:right="0" w:firstLine="180"/>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a Receivables Facility, under which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 which may be sold under the Receivables Facility is $400.0 and the commitment amount during the seasonal commitment period that began on February 24, 2023 and ends on June 16, 2023 is $160.0. The Receivables Facility expires on August 18, 2023.</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the sale of receivables under the Receivables Facility as short-term debt and continue to carry the receivables on our Condensed Consolidated Balance Sheets, primarily as a result of our requirement to repurchase receivables sold. As of April 1, 2023 and April 2, 2022, there were $380.0 and $400.0, respectively, in borrowings on receivables pledged as collateral under the Receivables Facility, and the carrying value of the receivables pledged as collateral was $422.2 and $444.5, respectively.</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April 1, 2023, April 2, 2022 and September 30, 2022 had a maximum total U.S. dollar equivalent notional amount of $800.0. On May 4, 2023, we executed $200.0 of fixed notional amount interest rate swap agreements with an average fixed rate of 3.36%, an effective date of June 7, 2023 and an expiration date of April 7, 2027. The notional amount, effective date, expiration date and rate of each of the swap agreements outstanding at April 1, 2023 are shown in the table below:</w:t>
      </w:r>
    </w:p>
    <w:tbl>
      <w:tblPr>
        <w:tblW w:w="4805" w:type="dxa"/>
        <w:jc w:val="left"/>
        <w:tblInd w:w="0" w:type="dxa"/>
        <w:tblCellMar>
          <w:top w:w="28" w:type="dxa"/>
          <w:left w:w="28" w:type="dxa"/>
          <w:bottom w:w="28" w:type="dxa"/>
          <w:right w:w="28" w:type="dxa"/>
        </w:tblCellMar>
      </w:tblPr>
      <w:tblGrid>
        <w:gridCol w:w="348"/>
        <w:gridCol w:w="305"/>
        <w:gridCol w:w="307"/>
        <w:gridCol w:w="109"/>
        <w:gridCol w:w="109"/>
        <w:gridCol w:w="109"/>
        <w:gridCol w:w="354"/>
        <w:gridCol w:w="354"/>
        <w:gridCol w:w="356"/>
        <w:gridCol w:w="109"/>
        <w:gridCol w:w="109"/>
        <w:gridCol w:w="109"/>
        <w:gridCol w:w="319"/>
        <w:gridCol w:w="319"/>
        <w:gridCol w:w="321"/>
        <w:gridCol w:w="109"/>
        <w:gridCol w:w="109"/>
        <w:gridCol w:w="109"/>
        <w:gridCol w:w="255"/>
        <w:gridCol w:w="256"/>
        <w:gridCol w:w="330"/>
      </w:tblGrid>
      <w:tr>
        <w:trPr/>
        <w:tc>
          <w:tcPr>
            <w:tcW w:w="3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3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(a)The effective date refers to the date on which interest payments are first hedged by the applicable swap agreement.</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(b)Notional amount adjusts in accordance with a specified seasonal schedule. This represents the maximum notional amount at any point in time.</w:t>
      </w:r>
    </w:p>
    <w:p>
      <w:pPr>
        <w:pStyle w:val="TextBody"/>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Availability and Use of Cash</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2022 Annual Report, under “ITEM 1A. RISK FACTORS — Risks Related to Our M&amp;A, Lending and Financing Activities — Our indebtedness could limit our flexibility and adversely affect our financial condition.”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ind w:left="0" w:right="0" w:firstLine="180"/>
        <w:rPr>
          <w:rFonts w:ascii="Times New Roman;sans-serif" w:hAnsi="Times New Roman;sans-serif"/>
          <w:b/>
          <w:i/>
          <w:color w:val="000000"/>
          <w:sz w:val="20"/>
          <w:u w:val="single"/>
        </w:rPr>
      </w:pPr>
      <w:r>
        <w:rPr>
          <w:rFonts w:ascii="Times New Roman;sans-serif" w:hAnsi="Times New Roman;sans-serif"/>
          <w:b/>
          <w:i/>
          <w:color w:val="000000"/>
          <w:sz w:val="20"/>
          <w:u w:val="single"/>
        </w:rPr>
        <w:t>Financial Disclosures About Guarantors and Issuers of Guaranteed Securities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W w:w="4780" w:type="dxa"/>
        <w:jc w:val="left"/>
        <w:tblInd w:w="0" w:type="dxa"/>
        <w:tblCellMar>
          <w:top w:w="28" w:type="dxa"/>
          <w:left w:w="28" w:type="dxa"/>
          <w:bottom w:w="28" w:type="dxa"/>
          <w:right w:w="28" w:type="dxa"/>
        </w:tblCellMar>
      </w:tblPr>
      <w:tblGrid>
        <w:gridCol w:w="710"/>
        <w:gridCol w:w="625"/>
        <w:gridCol w:w="630"/>
        <w:gridCol w:w="211"/>
        <w:gridCol w:w="766"/>
        <w:gridCol w:w="109"/>
        <w:gridCol w:w="109"/>
        <w:gridCol w:w="109"/>
        <w:gridCol w:w="109"/>
        <w:gridCol w:w="221"/>
        <w:gridCol w:w="804"/>
        <w:gridCol w:w="114"/>
        <w:gridCol w:w="109"/>
        <w:gridCol w:w="154"/>
      </w:tblGrid>
      <w:tr>
        <w:trPr/>
        <w:tc>
          <w:tcPr>
            <w:tcW w:w="71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liabilities </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amounts due from Non-Guarantor subsidiaries of $56.0 and $46.7, respectively.</w:t>
      </w:r>
    </w:p>
    <w:tbl>
      <w:tblPr>
        <w:tblW w:w="4646" w:type="dxa"/>
        <w:jc w:val="left"/>
        <w:tblInd w:w="0" w:type="dxa"/>
        <w:tblCellMar>
          <w:top w:w="28" w:type="dxa"/>
          <w:left w:w="28" w:type="dxa"/>
          <w:bottom w:w="28" w:type="dxa"/>
          <w:right w:w="28" w:type="dxa"/>
        </w:tblCellMar>
      </w:tblPr>
      <w:tblGrid>
        <w:gridCol w:w="624"/>
        <w:gridCol w:w="547"/>
        <w:gridCol w:w="553"/>
        <w:gridCol w:w="274"/>
        <w:gridCol w:w="995"/>
        <w:gridCol w:w="141"/>
        <w:gridCol w:w="109"/>
        <w:gridCol w:w="109"/>
        <w:gridCol w:w="109"/>
        <w:gridCol w:w="221"/>
        <w:gridCol w:w="803"/>
        <w:gridCol w:w="161"/>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724"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1512" w:type="dxa"/>
            <w:gridSpan w:val="6"/>
            <w:tcBorders/>
            <w:shd w:fill="auto" w:val="clea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2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(a)</w:t>
            </w:r>
          </w:p>
        </w:tc>
        <w:tc>
          <w:tcPr>
            <w:tcW w:w="12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intercompany income (expense) from Non-Guarantor subsidiaries of $(11.2) and $14.1,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Judicial and Administrative Proceedings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tbl>
      <w:tblPr>
        <w:tblW w:w="5068" w:type="dxa"/>
        <w:jc w:val="left"/>
        <w:tblInd w:w="0" w:type="dxa"/>
        <w:tblCellMar>
          <w:top w:w="28" w:type="dxa"/>
          <w:left w:w="28" w:type="dxa"/>
          <w:bottom w:w="28" w:type="dxa"/>
          <w:right w:w="28" w:type="dxa"/>
        </w:tblCellMar>
      </w:tblPr>
      <w:tblGrid>
        <w:gridCol w:w="310"/>
        <w:gridCol w:w="272"/>
        <w:gridCol w:w="274"/>
        <w:gridCol w:w="1279"/>
        <w:gridCol w:w="1279"/>
        <w:gridCol w:w="1282"/>
        <w:gridCol w:w="109"/>
        <w:gridCol w:w="109"/>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c808e5ae47114eb6aad265c3c6ed2f7f_7">
              <w:r>
                <w:rPr>
                  <w:rStyle w:val="InternetLink"/>
                  <w:rFonts w:ascii="Times New Roman;sans-serif" w:hAnsi="Times New Roman;sans-serif"/>
                  <w:b w:val="false"/>
                  <w:color w:val="FFFFFF"/>
                  <w:sz w:val="20"/>
                  <w:u w:val="single"/>
                </w:rPr>
                <w:t>Contents</w:t>
              </w:r>
            </w:hyperlink>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2022 Annual Report, under “ITEM 1. BUSINESS — Regulatory Considerations” and “ITEM 3. LEGAL PROCEEDINGS.”</w:t>
      </w: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risks have not changed materially from those disclosed in the 2022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the participation of the principal executive officer and principal financial officer of the Registrant, the Registrant’s management has evaluated the effectiveness of the Registrant’s disclosure controls and procedures (as defined in Rule 13a-15(e) under the Exchange Act,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April 1, 2023.</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were no changes in the Registrant’s internal control over financial reporting (as defined in Rule 13a-15(f) under the Exchange Act) that occurred during the Registrant’s fiscal quarter ended April 1, 2023 that have materially affected, or are reasonably likely to materially affect, the Registrant’s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Contents</w:t>
        </w:r>
      </w:hyperlink>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 is made to the legal proceedings that have been previously disclosed in Part I, Item 3 of the 2022 Annual Report. There have been no material developments to the pending legal proceedings set forth therein. </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risk factors, as of April 1, 2023, have not materially changed from those described in Part I, Item 1A of the 2022 Annual Report.</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the exhibits hereto and the information incorporated by reference herein, contains “forward-looking statements” within the meaning of Section 27A of the Securities Act of 1933, as amended, and Section 21E of the Exchange Act,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contained in this Quarterly Report on Form 10-Q are predictions only and actual results could differ materially from management’s expectations due to a variety of factors, including those described in “ITEM 1A. RISK FACTORS” in the 2022 Annual Report. All forward-looking statements attributable to us or persons working on our behalf are expressly qualified in their entirety by such risk factors.</w:t>
      </w:r>
    </w:p>
    <w:p>
      <w:pPr>
        <w:pStyle w:val="TextBody"/>
        <w:spacing w:lineRule="auto" w:line="288" w:before="160" w:after="283"/>
        <w:ind w:left="0" w:right="0" w:firstLine="450"/>
        <w:jc w:val="both"/>
        <w:rPr/>
      </w:pPr>
      <w:r>
        <w:rPr>
          <w:rFonts w:ascii="Times New Roman;sans-serif" w:hAnsi="Times New Roman;sans-serif"/>
          <w:b w:val="false"/>
          <w:color w:val="000000"/>
          <w:sz w:val="20"/>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Contents</w:t>
        </w:r>
      </w:hyperlink>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On June 8, 2022, the Company entered into the Amendment to the Sixth A&amp;R Credit Agreement, which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million per fiscal year and (ii) other dividends, distributions or other restricted payments in an aggregate amount not to exceed $25.0 million. The Amendment also requires pro forma compliance with certain leverage levels specified in the Amendment with respect to the Company’s ability to consummate certain acquisitions and incur debt. </w:t>
      </w:r>
    </w:p>
    <w:p>
      <w:pPr>
        <w:pStyle w:val="TextBody"/>
        <w:spacing w:lineRule="auto" w:line="288" w:before="160" w:after="283"/>
        <w:ind w:left="0" w:right="0" w:firstLine="450"/>
        <w:jc w:val="both"/>
        <w:rPr/>
      </w:pPr>
      <w:r>
        <w:rPr>
          <w:rFonts w:ascii="Times New Roman;sans-serif" w:hAnsi="Times New Roman;sans-serif"/>
          <w:b w:val="false"/>
          <w:color w:val="000000"/>
          <w:sz w:val="20"/>
        </w:rPr>
        <w:t>The following table shows the purchases of Common Shares made by or on behalf of Scotts Miracle-Gro or any “affiliated purchaser” (as defined in Rule 10b-18(a)(3) under the Exchange Act, as amended) of Scotts Miracle-Gro for each of the three fiscal months in the quarter ended April 1, 2023:</w:t>
      </w:r>
      <w:r>
        <w:rPr>
          <w:color w:val="000000"/>
        </w:rPr>
        <w:t> </w:t>
      </w:r>
    </w:p>
    <w:tbl>
      <w:tblPr>
        <w:tblW w:w="10205" w:type="dxa"/>
        <w:jc w:val="left"/>
        <w:tblInd w:w="0" w:type="dxa"/>
        <w:tblCellMar>
          <w:top w:w="28" w:type="dxa"/>
          <w:left w:w="28" w:type="dxa"/>
          <w:bottom w:w="28" w:type="dxa"/>
          <w:right w:w="28" w:type="dxa"/>
        </w:tblCellMar>
      </w:tblPr>
      <w:tblGrid>
        <w:gridCol w:w="1081"/>
        <w:gridCol w:w="938"/>
        <w:gridCol w:w="956"/>
        <w:gridCol w:w="440"/>
        <w:gridCol w:w="440"/>
        <w:gridCol w:w="441"/>
        <w:gridCol w:w="109"/>
        <w:gridCol w:w="109"/>
        <w:gridCol w:w="109"/>
        <w:gridCol w:w="322"/>
        <w:gridCol w:w="916"/>
        <w:gridCol w:w="181"/>
        <w:gridCol w:w="109"/>
        <w:gridCol w:w="109"/>
        <w:gridCol w:w="109"/>
        <w:gridCol w:w="520"/>
        <w:gridCol w:w="520"/>
        <w:gridCol w:w="521"/>
        <w:gridCol w:w="109"/>
        <w:gridCol w:w="109"/>
        <w:gridCol w:w="109"/>
        <w:gridCol w:w="271"/>
        <w:gridCol w:w="1459"/>
        <w:gridCol w:w="218"/>
      </w:tblGrid>
      <w:tr>
        <w:trPr/>
        <w:tc>
          <w:tcPr>
            <w:tcW w:w="108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w:t>
              <w:br/>
              <w:t>Paid per </w:t>
              <w:br/>
              <w:t>Common Share(2)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Common Shares</w:t>
              <w:br/>
              <w:t>Purchased as</w:t>
              <w:br/>
              <w:t>Part of Publicly</w:t>
              <w:br/>
              <w:t>Announced Plans or</w:t>
              <w:br/>
              <w:t>Programs(3)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br/>
              <w:t>Value of Common Shares</w:t>
              <w:br/>
              <w:t>That May Yet be</w:t>
              <w:br/>
              <w:t>Purchased Under the</w:t>
              <w:br/>
              <w:t>Plans or Programs(3)</w:t>
            </w:r>
          </w:p>
        </w:tc>
      </w:tr>
      <w:tr>
        <w:trPr/>
        <w:tc>
          <w:tcPr>
            <w:tcW w:w="2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 through January 28, 2023</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461,912,353 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29, 2023 through February 25, 2023</w:t>
            </w:r>
          </w:p>
        </w:tc>
        <w:tc>
          <w:tcPr>
            <w:tcW w:w="8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461,912,353 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26, 2023 through April 1, 2023</w:t>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2,749 </w:t>
            </w:r>
          </w:p>
        </w:tc>
        <w:tc>
          <w:tcPr>
            <w:tcW w:w="4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of the Common Shares purchased during the second quarter of fiscal 2023 were purchased in open market transactions. The Common Shares purchased during the quarter consisted of 2,749 Common Shares purchased by the trustee of the rabbi trust established by the Company as permitted pursuant to the terms of The Scotts Company LLC Executive Retirement Plan.</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Common Share is calculated on a settlement basis and includes commissions.</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333333"/>
          <w:sz w:val="20"/>
        </w:rPr>
        <w:t>(3)</w:t>
      </w:r>
      <w:r>
        <w:rPr>
          <w:rFonts w:ascii="Times New Roman;sans-serif" w:hAnsi="Times New Roman;sans-serif"/>
          <w:b w:val="false"/>
          <w:color w:val="000000"/>
          <w:sz w:val="20"/>
        </w:rPr>
        <w:t>On February 6, 2020, the Company announced a repurchase program allowing for repurchases of up to $750.0 million of Common Shares from April 30, 2020 through March 25, 2023. As of the date of this Form 10-Q, the Company does not have an active repurchase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76"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Exhibits at page 42 for a list of the exhibits included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APRIL 1, 2023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INDEX TO EXHIBITS</w:t>
      </w:r>
    </w:p>
    <w:tbl>
      <w:tblPr>
        <w:tblW w:w="10205" w:type="dxa"/>
        <w:jc w:val="center"/>
        <w:tblInd w:w="0" w:type="dxa"/>
        <w:tblCellMar>
          <w:top w:w="28" w:type="dxa"/>
          <w:left w:w="28" w:type="dxa"/>
          <w:bottom w:w="28" w:type="dxa"/>
          <w:right w:w="28" w:type="dxa"/>
        </w:tblCellMar>
      </w:tblPr>
      <w:tblGrid>
        <w:gridCol w:w="282"/>
        <w:gridCol w:w="248"/>
        <w:gridCol w:w="250"/>
        <w:gridCol w:w="109"/>
        <w:gridCol w:w="109"/>
        <w:gridCol w:w="109"/>
        <w:gridCol w:w="1533"/>
        <w:gridCol w:w="1376"/>
        <w:gridCol w:w="1391"/>
        <w:gridCol w:w="109"/>
        <w:gridCol w:w="109"/>
        <w:gridCol w:w="109"/>
        <w:gridCol w:w="175"/>
        <w:gridCol w:w="175"/>
        <w:gridCol w:w="176"/>
        <w:gridCol w:w="131"/>
        <w:gridCol w:w="131"/>
        <w:gridCol w:w="131"/>
        <w:gridCol w:w="240"/>
        <w:gridCol w:w="240"/>
        <w:gridCol w:w="241"/>
        <w:gridCol w:w="131"/>
        <w:gridCol w:w="131"/>
        <w:gridCol w:w="131"/>
        <w:gridCol w:w="450"/>
        <w:gridCol w:w="302"/>
        <w:gridCol w:w="304"/>
        <w:gridCol w:w="109"/>
        <w:gridCol w:w="109"/>
        <w:gridCol w:w="109"/>
        <w:gridCol w:w="305"/>
        <w:gridCol w:w="305"/>
        <w:gridCol w:w="445"/>
      </w:tblGrid>
      <w:tr>
        <w:trPr/>
        <w:tc>
          <w:tcPr>
            <w:tcW w:w="2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15"/>
            <w:tcBorders/>
            <w:shd w:fill="auto" w:val="clear"/>
            <w:tcMar>
              <w:top w:w="0" w:type="dxa"/>
              <w:left w:w="0" w:type="dxa"/>
              <w:bottom w:w="0" w:type="dxa"/>
              <w:right w:w="0" w:type="dxa"/>
            </w:tcMar>
            <w:vAlign w:val="center"/>
          </w:tcPr>
          <w:p>
            <w:pPr>
              <w:pStyle w:val="TableContents"/>
              <w:spacing w:before="0" w:after="283"/>
              <w:jc w:val="center"/>
              <w:rPr/>
            </w:pPr>
            <w:r>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20"/>
                  <w:u w:val="single"/>
                </w:rPr>
                <w:t>The Scotts Miracle-Gro Company Long-Term Incentive Plan (Effective as of January 23,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Form of Non-Employee Director Special Restricted Stock Unit Award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Form of Performance Unit Award Agreement which may be made under The Scotts Miracle-Gro Long-Term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21smg20230401.htm">
              <w:r>
                <w:rPr>
                  <w:rStyle w:val="InternetLink"/>
                  <w:rFonts w:ascii="Times New Roman;sans-serif" w:hAnsi="Times New Roman;sans-serif"/>
                  <w:b w:val="false"/>
                  <w:color w:val="0000FF"/>
                  <w:sz w:val="20"/>
                  <w:u w:val="single"/>
                </w:rPr>
                <w:t>Subsidiaries of The Scotts Miracle-Gro Company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22smg20230401.htm">
              <w:r>
                <w:rPr>
                  <w:rStyle w:val="InternetLink"/>
                  <w:rFonts w:ascii="Times New Roman;sans-serif" w:hAnsi="Times New Roman;sans-serif"/>
                  <w:b w:val="false"/>
                  <w:color w:val="0000FF"/>
                  <w:sz w:val="20"/>
                  <w:u w:val="single"/>
                </w:rPr>
                <w:t>Guarantor Subsidiaries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smg20230401.htm">
              <w:r>
                <w:rPr>
                  <w:rStyle w:val="InternetLink"/>
                  <w:rFonts w:ascii="Times New Roman;sans-serif" w:hAnsi="Times New Roman;sans-serif"/>
                  <w:b w:val="false"/>
                  <w:color w:val="0000FF"/>
                  <w:sz w:val="20"/>
                  <w:u w:val="single"/>
                </w:rPr>
                <w:t>Rule 13a-14(a)/15d-14(a) Certifications (Principal Executive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smg20230401.htm">
              <w:r>
                <w:rPr>
                  <w:rStyle w:val="InternetLink"/>
                  <w:rFonts w:ascii="Times New Roman;sans-serif" w:hAnsi="Times New Roman;sans-serif"/>
                  <w:b w:val="false"/>
                  <w:color w:val="0000FF"/>
                  <w:sz w:val="20"/>
                  <w:u w:val="single"/>
                </w:rPr>
                <w:t>Rule 13a-14(a)/15d-14(a) Certifications (Principal Financial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smg20230401.htm">
              <w:r>
                <w:rPr>
                  <w:rStyle w:val="InternetLink"/>
                  <w:rFonts w:ascii="Times New Roman;sans-serif" w:hAnsi="Times New Roman;sans-serif"/>
                  <w:b w:val="false"/>
                  <w:color w:val="0000FF"/>
                  <w:sz w:val="20"/>
                  <w:u w:val="single"/>
                </w:rPr>
                <w:t>Section 1350 Certifications (Principal Executive Officer and Principal Financial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c808e5ae47114eb6aad265c3c6ed2f7f_7">
        <w:r>
          <w:rPr>
            <w:rStyle w:val="InternetLink"/>
            <w:rFonts w:ascii="Times New Roman;sans-serif" w:hAnsi="Times New Roman;sans-serif"/>
            <w:b w:val="false"/>
            <w:color w:val="FFFFFF"/>
            <w:sz w:val="20"/>
            <w:u w:val="single"/>
          </w:rPr>
          <w:t>Contents</w:t>
        </w:r>
      </w:hyperlink>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7001" w:type="dxa"/>
        <w:jc w:val="left"/>
        <w:tblInd w:w="0" w:type="dxa"/>
        <w:tblCellMar>
          <w:top w:w="28" w:type="dxa"/>
          <w:left w:w="28" w:type="dxa"/>
          <w:bottom w:w="28" w:type="dxa"/>
          <w:right w:w="28" w:type="dxa"/>
        </w:tblCellMar>
      </w:tblPr>
      <w:tblGrid>
        <w:gridCol w:w="629"/>
        <w:gridCol w:w="554"/>
        <w:gridCol w:w="557"/>
        <w:gridCol w:w="109"/>
        <w:gridCol w:w="109"/>
        <w:gridCol w:w="109"/>
        <w:gridCol w:w="1443"/>
        <w:gridCol w:w="1443"/>
        <w:gridCol w:w="2048"/>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 AND INDIRECT SUBSIDIARIES OF</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Directly owned subsidiaries, as of April 1, 2023, are located at the left margin, each subsidiary tier thereunder is indented. Subsidiaries are listed under the names of their respective parent entities. Unless otherwise noted, the subsidiaries are wholly-owned.</w:t>
      </w:r>
    </w:p>
    <w:tbl>
      <w:tblPr>
        <w:tblW w:w="8246" w:type="dxa"/>
        <w:jc w:val="left"/>
        <w:tblInd w:w="0" w:type="dxa"/>
        <w:tblCellMar>
          <w:top w:w="28" w:type="dxa"/>
          <w:left w:w="28" w:type="dxa"/>
          <w:bottom w:w="28" w:type="dxa"/>
          <w:right w:w="28" w:type="dxa"/>
        </w:tblCellMar>
      </w:tblPr>
      <w:tblGrid>
        <w:gridCol w:w="1728"/>
        <w:gridCol w:w="1530"/>
        <w:gridCol w:w="1541"/>
        <w:gridCol w:w="109"/>
        <w:gridCol w:w="109"/>
        <w:gridCol w:w="109"/>
        <w:gridCol w:w="912"/>
        <w:gridCol w:w="912"/>
        <w:gridCol w:w="1296"/>
      </w:tblGrid>
      <w:tr>
        <w:trPr/>
        <w:tc>
          <w:tcPr>
            <w:tcW w:w="1728"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4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Swiss Farms Products,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Scotts Temecula Operations,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Global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Bonnie Plants, LLC</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Miracle-Gro Lawn Products,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Oregon Research Station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Scotts Servicios, S.A. de C.V.</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Scotts Servicios, S.A. de C.V.2</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Miracle-Gro Tecnología &amp; Servicios, S de R.L. de C.V.</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AeroGrow International,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Hyponex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Rod McLellan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The Hawthorne Gardening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Hawthorne Hydroponics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Hawthorne Gardening B.V.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Gavita International B.V.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Hawthorne Lighting B.V.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Agrolux Canada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Agrolux Nederland B.V.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Hawthorne Canada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HGCI,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6839" w:type="dxa"/>
        <w:jc w:val="left"/>
        <w:tblInd w:w="0" w:type="dxa"/>
        <w:tblCellMar>
          <w:top w:w="28" w:type="dxa"/>
          <w:left w:w="28" w:type="dxa"/>
          <w:bottom w:w="28" w:type="dxa"/>
          <w:right w:w="28" w:type="dxa"/>
        </w:tblCellMar>
      </w:tblPr>
      <w:tblGrid>
        <w:gridCol w:w="2191"/>
        <w:gridCol w:w="1926"/>
        <w:gridCol w:w="2722"/>
      </w:tblGrid>
      <w:tr>
        <w:trPr/>
        <w:tc>
          <w:tcPr>
            <w:tcW w:w="2191"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68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Scotts Live Goods Holdings, Inc.’s ownership is 50.0%.</w:t>
            </w:r>
          </w:p>
          <w:p>
            <w:pPr>
              <w:pStyle w:val="TableContents"/>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Scotts Professional Products Co. owns 50% and Scotts Products Co. owns 50.0%.</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097" w:type="dxa"/>
        <w:jc w:val="center"/>
        <w:tblInd w:w="0" w:type="dxa"/>
        <w:tblCellMar>
          <w:top w:w="28" w:type="dxa"/>
          <w:left w:w="28" w:type="dxa"/>
          <w:bottom w:w="28" w:type="dxa"/>
          <w:right w:w="28" w:type="dxa"/>
        </w:tblCellMar>
      </w:tblPr>
      <w:tblGrid>
        <w:gridCol w:w="1178"/>
        <w:gridCol w:w="1032"/>
        <w:gridCol w:w="1045"/>
        <w:gridCol w:w="109"/>
        <w:gridCol w:w="109"/>
        <w:gridCol w:w="109"/>
        <w:gridCol w:w="440"/>
        <w:gridCol w:w="440"/>
        <w:gridCol w:w="635"/>
      </w:tblGrid>
      <w:tr>
        <w:trPr/>
        <w:tc>
          <w:tcPr>
            <w:tcW w:w="1178"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Scotts-Sierra Investments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2565"/>
              <w:jc w:val="left"/>
              <w:rPr>
                <w:color w:val="000000"/>
              </w:rPr>
            </w:pPr>
            <w:r>
              <w:rPr>
                <w:color w:val="000000"/>
              </w:rPr>
              <w:t>     </w:t>
            </w:r>
            <w:r>
              <w:rPr>
                <w:rFonts w:ascii="Times New Roman;sans-serif" w:hAnsi="Times New Roman;sans-serif"/>
                <w:b w:val="false"/>
                <w:color w:val="000000"/>
                <w:sz w:val="20"/>
              </w:rPr>
              <w:t>Scotts Sierra (China) Co.,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Scotts Canada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Laketon Peat Moss Inc.</w:t>
            </w:r>
            <w:r>
              <w:rPr>
                <w:rFonts w:ascii="Times New Roman;sans-serif" w:hAnsi="Times New Roman;sans-serif"/>
                <w:b w:val="false"/>
                <w:color w:val="000000"/>
                <w:sz w:val="13"/>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Scotts de Mexico SA de CV</w:t>
            </w:r>
            <w:r>
              <w:rPr>
                <w:rFonts w:ascii="Times New Roman;sans-serif" w:hAnsi="Times New Roman;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SMG Germany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r>
              <w:rPr>
                <w:rFonts w:ascii="Times New Roman;sans-serif" w:hAnsi="Times New Roman;sans-serif"/>
                <w:b w:val="false"/>
                <w:color w:val="000000"/>
                <w:sz w:val="20"/>
              </w:rPr>
              <w:t>SMG Gardening (UK)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Times New Roman;sans-serif" w:hAnsi="Times New Roman;sans-serif"/>
                <w:b w:val="false"/>
                <w:color w:val="000000"/>
                <w:sz w:val="20"/>
              </w:rPr>
              <w:t>The Scotts Miracle-Gro Foundation</w:t>
            </w:r>
            <w:r>
              <w:rPr>
                <w:rFonts w:ascii="Times New Roman;sans-serif" w:hAnsi="Times New Roman;sans-serif"/>
                <w:b w:val="false"/>
                <w:color w:val="000000"/>
                <w:sz w:val="13"/>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8444" w:type="dxa"/>
        <w:jc w:val="left"/>
        <w:tblInd w:w="0" w:type="dxa"/>
        <w:tblCellMar>
          <w:top w:w="28" w:type="dxa"/>
          <w:left w:w="28" w:type="dxa"/>
          <w:bottom w:w="28" w:type="dxa"/>
          <w:right w:w="28" w:type="dxa"/>
        </w:tblCellMar>
      </w:tblPr>
      <w:tblGrid>
        <w:gridCol w:w="2706"/>
        <w:gridCol w:w="2378"/>
        <w:gridCol w:w="3360"/>
      </w:tblGrid>
      <w:tr>
        <w:trPr/>
        <w:tc>
          <w:tcPr>
            <w:tcW w:w="2706" w:type="dxa"/>
            <w:tcBorders/>
            <w:shd w:fill="auto" w:val="clear"/>
            <w:vAlign w:val="center"/>
          </w:tcPr>
          <w:p>
            <w:pPr>
              <w:pStyle w:val="TableContents"/>
              <w:spacing w:before="0" w:after="283"/>
              <w:rPr>
                <w:sz w:val="4"/>
                <w:szCs w:val="4"/>
              </w:rPr>
            </w:pPr>
            <w:r>
              <w:rPr>
                <w:sz w:val="4"/>
                <w:szCs w:val="4"/>
              </w:rPr>
            </w:r>
          </w:p>
        </w:tc>
        <w:tc>
          <w:tcPr>
            <w:tcW w:w="2378" w:type="dxa"/>
            <w:tcBorders/>
            <w:shd w:fill="auto" w:val="clear"/>
            <w:vAlign w:val="center"/>
          </w:tcPr>
          <w:p>
            <w:pPr>
              <w:pStyle w:val="TableContents"/>
              <w:spacing w:before="0" w:after="283"/>
              <w:rPr>
                <w:sz w:val="4"/>
                <w:szCs w:val="4"/>
              </w:rPr>
            </w:pPr>
            <w:r>
              <w:rPr>
                <w:sz w:val="4"/>
                <w:szCs w:val="4"/>
              </w:rPr>
            </w:r>
          </w:p>
        </w:tc>
        <w:tc>
          <w:tcPr>
            <w:tcW w:w="3360" w:type="dxa"/>
            <w:tcBorders/>
            <w:shd w:fill="auto" w:val="clear"/>
            <w:vAlign w:val="center"/>
          </w:tcPr>
          <w:p>
            <w:pPr>
              <w:pStyle w:val="TableContents"/>
              <w:spacing w:before="0" w:after="283"/>
              <w:rPr>
                <w:sz w:val="4"/>
                <w:szCs w:val="4"/>
              </w:rPr>
            </w:pPr>
            <w:r>
              <w:rPr>
                <w:sz w:val="4"/>
                <w:szCs w:val="4"/>
              </w:rPr>
            </w:r>
          </w:p>
        </w:tc>
      </w:tr>
      <w:tr>
        <w:trPr/>
        <w:tc>
          <w:tcPr>
            <w:tcW w:w="8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84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Scotts Canada Ltd.'s ownership is 50.0%.</w:t>
            </w:r>
          </w:p>
          <w:p>
            <w:pPr>
              <w:pStyle w:val="TableContents"/>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The Scotts Company LLC owns 0.5% and Scotts-Sierra Investments LLC owns the remaining 99.5%.</w:t>
            </w:r>
          </w:p>
          <w:p>
            <w:pPr>
              <w:pStyle w:val="TableContents"/>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The Scotts Miracle-Gro Foundation is a 501(c)(3) corporation.</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spacing w:before="0" w:after="200"/>
        <w:jc w:val="right"/>
        <w:rPr/>
      </w:pPr>
      <w:r>
        <w:rPr/>
      </w:r>
    </w:p>
    <w:p>
      <w:pPr>
        <w:pStyle w:val="TextBody"/>
        <w:spacing w:lineRule="auto" w:line="288" w:before="0" w:after="0"/>
        <w:jc w:val="center"/>
        <w:rPr>
          <w:rFonts w:ascii="Times New Roman;sans-serif" w:hAnsi="Times New Roman;sans-serif"/>
          <w:b w:val="false"/>
          <w:color w:val="333333"/>
          <w:sz w:val="20"/>
          <w:highlight w:val="white"/>
        </w:rPr>
      </w:pPr>
      <w:r>
        <w:rPr>
          <w:rFonts w:ascii="Times New Roman;sans-serif" w:hAnsi="Times New Roman;sans-serif"/>
          <w:b w:val="false"/>
          <w:color w:val="333333"/>
          <w:sz w:val="20"/>
          <w:highlight w:val="white"/>
        </w:rPr>
        <w:t>LIST OF GUARANTOR SUBSIDIARIES</w:t>
      </w:r>
    </w:p>
    <w:p>
      <w:pPr>
        <w:pStyle w:val="TextBody"/>
        <w:spacing w:before="0" w:after="200"/>
        <w:jc w:val="center"/>
        <w:rPr/>
      </w:pPr>
      <w:r>
        <w:rPr/>
      </w:r>
    </w:p>
    <w:p>
      <w:pPr>
        <w:pStyle w:val="TextBody"/>
        <w:spacing w:lineRule="auto" w:line="288" w:before="0" w:after="200"/>
        <w:rPr>
          <w:rFonts w:ascii="Times New Roman;sans-serif" w:hAnsi="Times New Roman;sans-serif"/>
          <w:b w:val="false"/>
          <w:color w:val="333333"/>
          <w:sz w:val="20"/>
        </w:rPr>
      </w:pPr>
      <w:r>
        <w:rPr>
          <w:rFonts w:ascii="Times New Roman;sans-serif" w:hAnsi="Times New Roman;sans-serif"/>
          <w:b w:val="false"/>
          <w:color w:val="333333"/>
          <w:sz w:val="20"/>
        </w:rPr>
        <w:t>The following subsidiaries of The Scotts Miracle-Gro Company (the "Company") were, as of April 1, 2023, guarantors of the Company's 5.250% Senior Notes due 2026, 4.500% Senior Notes due 2029, 4.000% Senior Notes due 2031 and 4.375% Senior Notes due 2032:</w:t>
      </w:r>
    </w:p>
    <w:tbl>
      <w:tblPr>
        <w:tblW w:w="6971" w:type="dxa"/>
        <w:jc w:val="left"/>
        <w:tblInd w:w="0" w:type="dxa"/>
        <w:tblCellMar>
          <w:top w:w="28" w:type="dxa"/>
          <w:left w:w="28" w:type="dxa"/>
          <w:bottom w:w="28" w:type="dxa"/>
          <w:right w:w="28" w:type="dxa"/>
        </w:tblCellMar>
      </w:tblPr>
      <w:tblGrid>
        <w:gridCol w:w="1277"/>
        <w:gridCol w:w="1122"/>
        <w:gridCol w:w="1125"/>
        <w:gridCol w:w="109"/>
        <w:gridCol w:w="109"/>
        <w:gridCol w:w="109"/>
        <w:gridCol w:w="912"/>
        <w:gridCol w:w="912"/>
        <w:gridCol w:w="1296"/>
      </w:tblGrid>
      <w:tr>
        <w:trPr/>
        <w:tc>
          <w:tcPr>
            <w:tcW w:w="127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GUARANTOR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3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AeroGrow International,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 Hydroponics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HGCI,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Hyponex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Miracle-Gro Lawn Products,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McLellan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Scotts-Sierra Investments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Temecula Operations,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Farms Products,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Gardening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spacing w:before="0" w:after="2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James Hagedorn,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April 1,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597" w:type="dxa"/>
        <w:jc w:val="left"/>
        <w:tblInd w:w="0" w:type="dxa"/>
        <w:tblCellMar>
          <w:top w:w="28" w:type="dxa"/>
          <w:left w:w="28" w:type="dxa"/>
          <w:bottom w:w="28" w:type="dxa"/>
          <w:right w:w="28" w:type="dxa"/>
        </w:tblCellMar>
      </w:tblPr>
      <w:tblGrid>
        <w:gridCol w:w="629"/>
        <w:gridCol w:w="554"/>
        <w:gridCol w:w="557"/>
        <w:gridCol w:w="109"/>
        <w:gridCol w:w="109"/>
        <w:gridCol w:w="109"/>
        <w:gridCol w:w="134"/>
        <w:gridCol w:w="134"/>
        <w:gridCol w:w="136"/>
        <w:gridCol w:w="109"/>
        <w:gridCol w:w="109"/>
        <w:gridCol w:w="109"/>
        <w:gridCol w:w="1404"/>
        <w:gridCol w:w="1404"/>
        <w:gridCol w:w="1991"/>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and Chairman of the Board</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Matthew E. Garth,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Scotts Miracle-Gro Company for the fiscal quarter ended April 1, 2023;</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733" w:type="dxa"/>
        <w:jc w:val="left"/>
        <w:tblInd w:w="0" w:type="dxa"/>
        <w:tblCellMar>
          <w:top w:w="28" w:type="dxa"/>
          <w:left w:w="28" w:type="dxa"/>
          <w:bottom w:w="28" w:type="dxa"/>
          <w:right w:w="28" w:type="dxa"/>
        </w:tblCellMar>
      </w:tblPr>
      <w:tblGrid>
        <w:gridCol w:w="629"/>
        <w:gridCol w:w="554"/>
        <w:gridCol w:w="557"/>
        <w:gridCol w:w="109"/>
        <w:gridCol w:w="109"/>
        <w:gridCol w:w="109"/>
        <w:gridCol w:w="134"/>
        <w:gridCol w:w="134"/>
        <w:gridCol w:w="136"/>
        <w:gridCol w:w="109"/>
        <w:gridCol w:w="109"/>
        <w:gridCol w:w="109"/>
        <w:gridCol w:w="1441"/>
        <w:gridCol w:w="1441"/>
        <w:gridCol w:w="205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205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Scotts Miracle-Gro Company (the “Company”) for the fiscal quarter ended April 1, 2023 as filed with the Securities and Exchange Commission on the date hereof (the “Report”), the undersigned James Hagedorn, Chief Executive Officer and Chairman of the Board of the Company, and Matthew E. Garth, Executive Vice President and Chief Financial Officer of the Company, certify, pursuant to Section 1350 of Chapter 63 of Title 18 of the United States Code, as adopted pursuant to Section 906 of the Sarbanes-Oxley Act of 2002, that, to the best of their knowledge:</w:t>
      </w:r>
    </w:p>
    <w:p>
      <w:pPr>
        <w:pStyle w:val="TextBody"/>
        <w:spacing w:lineRule="auto" w:line="288" w:before="0" w:after="0"/>
        <w:rPr>
          <w:color w:val="000000"/>
        </w:rPr>
      </w:pPr>
      <w:r>
        <w:rPr>
          <w:color w:val="000000"/>
        </w:rPr>
        <w:t>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of the Securities Exchange Act of 1934; and</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consolidated financial condition and results of operations of the Company and its subsidiaries.</w:t>
      </w:r>
    </w:p>
    <w:tbl>
      <w:tblPr>
        <w:tblW w:w="10205" w:type="dxa"/>
        <w:jc w:val="left"/>
        <w:tblInd w:w="0" w:type="dxa"/>
        <w:tblCellMar>
          <w:top w:w="28" w:type="dxa"/>
          <w:left w:w="28" w:type="dxa"/>
          <w:bottom w:w="28" w:type="dxa"/>
          <w:right w:w="28" w:type="dxa"/>
        </w:tblCellMar>
      </w:tblPr>
      <w:tblGrid>
        <w:gridCol w:w="124"/>
        <w:gridCol w:w="109"/>
        <w:gridCol w:w="109"/>
        <w:gridCol w:w="1507"/>
        <w:gridCol w:w="1507"/>
        <w:gridCol w:w="1512"/>
        <w:gridCol w:w="109"/>
        <w:gridCol w:w="109"/>
        <w:gridCol w:w="109"/>
        <w:gridCol w:w="109"/>
        <w:gridCol w:w="109"/>
        <w:gridCol w:w="109"/>
        <w:gridCol w:w="1371"/>
        <w:gridCol w:w="1364"/>
        <w:gridCol w:w="19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and Chairman of the Board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r>
    </w:tbl>
    <w:p>
      <w:pPr>
        <w:pStyle w:val="TextBody"/>
        <w:spacing w:lineRule="auto" w:line="288" w:before="0" w:after="0"/>
        <w:ind w:left="0" w:right="0" w:hanging="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25542/000144398423000023/smg2023-01x278xkxexhibit101.htm" TargetMode="External"/><Relationship Id="rId3" Type="http://schemas.openxmlformats.org/officeDocument/2006/relationships/hyperlink" Target="http://www.sec.gov/Archives/edgar/data/825542/000144398423000023/smg2023-01x278xkxexhibit102.htm" TargetMode="External"/><Relationship Id="rId4" Type="http://schemas.openxmlformats.org/officeDocument/2006/relationships/hyperlink" Target="http://www.sec.gov/Archives/edgar/data/825542/000154638023000004/exhibit101smg202302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23055</Words>
  <CharactersWithSpaces>147929</CharactersWithSpaces>
  <Paragraphs>3420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