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945627.xml.htm"/>
      <w:bookmarkStart w:id="1" w:name="kswkform4_178594562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Hagedorn Christopher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THE SCOTTS MIRACLE-GRO COMPANY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14111 SCOTTSLAWN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MARYSVILLE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43041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SCOTTS MIRACLE-GRO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SMG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Chief Strategy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3"/>
        <w:gridCol w:w="903"/>
        <w:gridCol w:w="773"/>
        <w:gridCol w:w="573"/>
        <w:gridCol w:w="370"/>
        <w:gridCol w:w="829"/>
        <w:gridCol w:w="440"/>
        <w:gridCol w:w="747"/>
        <w:gridCol w:w="1439"/>
        <w:gridCol w:w="981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3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1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3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3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3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</w:p>
        </w:tc>
        <w:tc>
          <w:tcPr>
            <w:tcW w:w="3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3.837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56.55</w:t>
            </w:r>
          </w:p>
        </w:tc>
        <w:tc>
          <w:tcPr>
            <w:tcW w:w="14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57,551.8654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Kathy L. Uttley as attorney-in-fact for Christopher J. Hagedorn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75124" TargetMode="External"/><Relationship Id="rId5" Type="http://schemas.openxmlformats.org/officeDocument/2006/relationships/hyperlink" Target="http://www.sec.gov/cgi-bin/browse-edgar?action=getcompany&amp;CIK=000082554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576</Words>
  <Characters>3152</Characters>
  <CharactersWithSpaces>3659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