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2"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44"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w:t>
      </w:r>
    </w:p>
    <w:p>
      <w:pPr>
        <w:spacing w:after="0" w:line="16"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25"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April 28, 2025 (April 28, 2025)</w:t>
      </w:r>
    </w:p>
    <w:p>
      <w:pPr>
        <w:spacing w:after="0" w:line="32"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The Scotts Miracle-Gro Company</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ind w:left="4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w:t>
      </w:r>
    </w:p>
    <w:p>
      <w:pPr>
        <w:spacing w:after="0" w:line="93" w:lineRule="exact"/>
        <w:rPr>
          <w:sz w:val="24"/>
          <w:szCs w:val="24"/>
          <w:color w:val="auto"/>
        </w:rPr>
      </w:pPr>
    </w:p>
    <w:tbl>
      <w:tblPr>
        <w:tblLayout w:type="fixed"/>
        <w:tblInd w:w="520" w:type="dxa"/>
        <w:tblCellMar>
          <w:top w:w="0" w:type="dxa"/>
          <w:left w:w="0" w:type="dxa"/>
          <w:bottom w:w="0" w:type="dxa"/>
          <w:right w:w="0" w:type="dxa"/>
        </w:tblCellMar>
      </w:tblPr>
      <w:tr>
        <w:trPr>
          <w:trHeight w:val="234"/>
        </w:trPr>
        <w:tc>
          <w:tcPr>
            <w:tcW w:w="334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9"/>
              </w:rPr>
              <w:t>Ohio</w:t>
            </w:r>
          </w:p>
        </w:tc>
        <w:tc>
          <w:tcPr>
            <w:tcW w:w="2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001-11593</w:t>
            </w:r>
          </w:p>
        </w:tc>
        <w:tc>
          <w:tcPr>
            <w:tcW w:w="1460" w:type="dxa"/>
            <w:vAlign w:val="bottom"/>
          </w:tcPr>
          <w:p>
            <w:pPr>
              <w:spacing w:after="0"/>
              <w:rPr>
                <w:sz w:val="20"/>
                <w:szCs w:val="20"/>
                <w:color w:val="auto"/>
              </w:rPr>
            </w:pPr>
          </w:p>
        </w:tc>
        <w:tc>
          <w:tcPr>
            <w:tcW w:w="226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rPr>
              <w:t>31-1414921</w:t>
            </w:r>
          </w:p>
        </w:tc>
      </w:tr>
      <w:tr>
        <w:trPr>
          <w:trHeight w:val="229"/>
        </w:trPr>
        <w:tc>
          <w:tcPr>
            <w:tcW w:w="334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4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(Commission</w:t>
            </w:r>
          </w:p>
        </w:tc>
        <w:tc>
          <w:tcPr>
            <w:tcW w:w="1460" w:type="dxa"/>
            <w:vAlign w:val="bottom"/>
          </w:tcPr>
          <w:p>
            <w:pPr>
              <w:spacing w:after="0"/>
              <w:rPr>
                <w:sz w:val="19"/>
                <w:szCs w:val="19"/>
                <w:color w:val="auto"/>
              </w:rPr>
            </w:pPr>
          </w:p>
        </w:tc>
        <w:tc>
          <w:tcPr>
            <w:tcW w:w="226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34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24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File Number)</w:t>
            </w:r>
          </w:p>
        </w:tc>
        <w:tc>
          <w:tcPr>
            <w:tcW w:w="1460" w:type="dxa"/>
            <w:vAlign w:val="bottom"/>
          </w:tcPr>
          <w:p>
            <w:pPr>
              <w:spacing w:after="0"/>
              <w:rPr>
                <w:sz w:val="20"/>
                <w:szCs w:val="20"/>
                <w:color w:val="auto"/>
              </w:rPr>
            </w:pPr>
          </w:p>
        </w:tc>
        <w:tc>
          <w:tcPr>
            <w:tcW w:w="226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46"/>
        </w:trPr>
        <w:tc>
          <w:tcPr>
            <w:tcW w:w="334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8"/>
              </w:rPr>
              <w:t>14111 Scottslawn Road</w:t>
            </w:r>
          </w:p>
        </w:tc>
        <w:tc>
          <w:tcPr>
            <w:tcW w:w="244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Marysville</w:t>
            </w:r>
          </w:p>
        </w:tc>
        <w:tc>
          <w:tcPr>
            <w:tcW w:w="14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Ohio</w:t>
            </w:r>
          </w:p>
        </w:tc>
        <w:tc>
          <w:tcPr>
            <w:tcW w:w="22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43041</w:t>
            </w:r>
          </w:p>
        </w:tc>
      </w:tr>
      <w:tr>
        <w:trPr>
          <w:trHeight w:val="234"/>
        </w:trPr>
        <w:tc>
          <w:tcPr>
            <w:tcW w:w="33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(937) 644-0011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w:t>
      </w:r>
    </w:p>
    <w:p>
      <w:pPr>
        <w:spacing w:after="0" w:line="244"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0" w:lineRule="exact"/>
        <w:rPr>
          <w:rFonts w:ascii="MS PGothic" w:cs="MS PGothic" w:eastAsia="MS PGothic" w:hAnsi="MS PGothic"/>
          <w:sz w:val="22"/>
          <w:szCs w:val="22"/>
          <w:color w:val="auto"/>
        </w:rPr>
      </w:pPr>
    </w:p>
    <w:p>
      <w:pPr>
        <w:ind w:left="420" w:hanging="412"/>
        <w:spacing w:after="0" w:line="237" w:lineRule="auto"/>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50" w:lineRule="exact"/>
        <w:rPr>
          <w:rFonts w:ascii="MS PGothic" w:cs="MS PGothic" w:eastAsia="MS PGothic" w:hAnsi="MS PGothic"/>
          <w:sz w:val="22"/>
          <w:szCs w:val="22"/>
          <w:color w:val="auto"/>
        </w:rPr>
      </w:pPr>
    </w:p>
    <w:p>
      <w:pPr>
        <w:ind w:left="420" w:hanging="412"/>
        <w:spacing w:after="0"/>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50" w:lineRule="exact"/>
        <w:rPr>
          <w:rFonts w:ascii="MS PGothic" w:cs="MS PGothic" w:eastAsia="MS PGothic" w:hAnsi="MS PGothic"/>
          <w:sz w:val="22"/>
          <w:szCs w:val="22"/>
          <w:color w:val="auto"/>
        </w:rPr>
      </w:pPr>
    </w:p>
    <w:p>
      <w:pPr>
        <w:ind w:left="420" w:hanging="412"/>
        <w:spacing w:after="0" w:line="237" w:lineRule="auto"/>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1168" w:right="339" w:bottom="1440" w:gutter="0" w:footer="0" w:header="0"/>
        </w:sectPr>
      </w:pPr>
    </w:p>
    <w:p>
      <w:pPr>
        <w:spacing w:after="0" w:line="158" w:lineRule="exact"/>
        <w:rPr>
          <w:sz w:val="24"/>
          <w:szCs w:val="24"/>
          <w:color w:val="auto"/>
        </w:rPr>
      </w:pPr>
    </w:p>
    <w:p>
      <w:pPr>
        <w:jc w:val="center"/>
        <w:ind w:left="22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7" w:lineRule="exact"/>
        <w:rPr>
          <w:sz w:val="24"/>
          <w:szCs w:val="24"/>
          <w:color w:val="auto"/>
        </w:rPr>
      </w:pPr>
    </w:p>
    <w:p>
      <w:pPr>
        <w:jc w:val="center"/>
        <w:ind w:left="220"/>
        <w:spacing w:after="0"/>
        <w:rPr>
          <w:sz w:val="20"/>
          <w:szCs w:val="20"/>
          <w:color w:val="auto"/>
        </w:rPr>
      </w:pPr>
      <w:r>
        <w:rPr>
          <w:rFonts w:ascii="Times New Roman" w:cs="Times New Roman" w:eastAsia="Times New Roman" w:hAnsi="Times New Roman"/>
          <w:sz w:val="17"/>
          <w:szCs w:val="17"/>
          <w:color w:val="auto"/>
        </w:rPr>
        <w:t>Common Shares, $0.01 stated value</w:t>
      </w:r>
    </w:p>
    <w:p>
      <w:pPr>
        <w:spacing w:after="0" w:line="20" w:lineRule="exact"/>
        <w:rPr>
          <w:sz w:val="24"/>
          <w:szCs w:val="24"/>
          <w:color w:val="auto"/>
        </w:rPr>
      </w:pPr>
      <w:r>
        <w:rPr>
          <w:sz w:val="24"/>
          <w:szCs w:val="24"/>
          <w:color w:val="auto"/>
        </w:rPr>
        <w:br w:type="column"/>
      </w:r>
    </w:p>
    <w:p>
      <w:pPr>
        <w:spacing w:after="0" w:line="138"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7"/>
          <w:szCs w:val="17"/>
          <w:color w:val="auto"/>
        </w:rPr>
        <w:t>Trading Symbol(s)</w:t>
      </w:r>
    </w:p>
    <w:p>
      <w:pPr>
        <w:spacing w:after="0" w:line="3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SMG</w:t>
      </w:r>
    </w:p>
    <w:p>
      <w:pPr>
        <w:spacing w:after="0" w:line="20" w:lineRule="exact"/>
        <w:rPr>
          <w:sz w:val="24"/>
          <w:szCs w:val="24"/>
          <w:color w:val="auto"/>
        </w:rPr>
      </w:pPr>
      <w:r>
        <w:rPr>
          <w:sz w:val="24"/>
          <w:szCs w:val="24"/>
          <w:color w:val="auto"/>
        </w:rPr>
        <w:br w:type="column"/>
      </w:r>
    </w:p>
    <w:p>
      <w:pPr>
        <w:spacing w:after="0" w:line="138"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Name of each exchange on which registered</w:t>
      </w:r>
    </w:p>
    <w:p>
      <w:pPr>
        <w:spacing w:after="0" w:line="39"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NYSE</w:t>
      </w:r>
    </w:p>
    <w:p>
      <w:pPr>
        <w:spacing w:after="0" w:line="200" w:lineRule="exact"/>
        <w:rPr>
          <w:sz w:val="24"/>
          <w:szCs w:val="24"/>
          <w:color w:val="auto"/>
        </w:rPr>
      </w:pPr>
    </w:p>
    <w:p>
      <w:pPr>
        <w:sectPr>
          <w:pgSz w:w="11900" w:h="16838" w:orient="portrait"/>
          <w:cols w:equalWidth="0" w:num="3">
            <w:col w:w="4000" w:space="720"/>
            <w:col w:w="1880" w:space="720"/>
            <w:col w:w="3920"/>
          </w:cols>
          <w:pgMar w:left="320" w:top="1168" w:right="339" w:bottom="1440" w:gutter="0" w:footer="0" w:header="0"/>
          <w:type w:val="continuous"/>
        </w:sectPr>
      </w:pPr>
    </w:p>
    <w:p>
      <w:pPr>
        <w:spacing w:after="0" w:line="142" w:lineRule="exact"/>
        <w:rPr>
          <w:sz w:val="24"/>
          <w:szCs w:val="24"/>
          <w:color w:val="auto"/>
        </w:rPr>
      </w:pPr>
    </w:p>
    <w:p>
      <w:pPr>
        <w:ind w:right="5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188595</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154305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16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2.02. Results of Operations and Financial Condition.</w:t>
      </w:r>
    </w:p>
    <w:p>
      <w:pPr>
        <w:spacing w:after="0" w:line="270" w:lineRule="exact"/>
        <w:rPr>
          <w:sz w:val="20"/>
          <w:szCs w:val="20"/>
          <w:color w:val="auto"/>
        </w:rPr>
      </w:pPr>
    </w:p>
    <w:p>
      <w:pPr>
        <w:ind w:right="220" w:firstLine="656"/>
        <w:spacing w:after="0" w:line="297" w:lineRule="auto"/>
        <w:rPr>
          <w:sz w:val="20"/>
          <w:szCs w:val="20"/>
          <w:color w:val="auto"/>
        </w:rPr>
      </w:pPr>
      <w:r>
        <w:rPr>
          <w:rFonts w:ascii="Times New Roman" w:cs="Times New Roman" w:eastAsia="Times New Roman" w:hAnsi="Times New Roman"/>
          <w:sz w:val="18"/>
          <w:szCs w:val="18"/>
          <w:color w:val="auto"/>
        </w:rPr>
        <w:t>On April 28, 2025, the Company issued a news release reporting, among other things, preliminary information regarding its financial results for the three and six months ended March 29, 2025 and clarifying certain statements made by the Company’s Chairman and CEO during an April 25 appearance on CNBC Mad Money. A copy of the news release is filed herewith as Exhibit 99.1 and is incorporated herein by reference.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9.01. Financial Statements and Exhibits.</w:t>
      </w:r>
    </w:p>
    <w:p>
      <w:pPr>
        <w:spacing w:after="0" w:line="175" w:lineRule="exact"/>
        <w:rPr>
          <w:sz w:val="20"/>
          <w:szCs w:val="20"/>
          <w:color w:val="auto"/>
        </w:rPr>
      </w:pPr>
    </w:p>
    <w:p>
      <w:pPr>
        <w:ind w:right="7800" w:firstLine="8"/>
        <w:spacing w:after="0" w:line="438" w:lineRule="auto"/>
        <w:tabs>
          <w:tab w:leader="none" w:pos="2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Financial statements of businesses acquired: </w:t>
      </w:r>
      <w:r>
        <w:rPr>
          <w:rFonts w:ascii="Times New Roman" w:cs="Times New Roman" w:eastAsia="Times New Roman" w:hAnsi="Times New Roman"/>
          <w:sz w:val="18"/>
          <w:szCs w:val="18"/>
          <w:color w:val="auto"/>
        </w:rPr>
        <w:t>Not applicable.</w:t>
      </w: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forma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71" w:lineRule="exact"/>
        <w:rPr>
          <w:sz w:val="20"/>
          <w:szCs w:val="20"/>
          <w:color w:val="auto"/>
        </w:rPr>
      </w:pPr>
    </w:p>
    <w:p>
      <w:pPr>
        <w:ind w:right="8960" w:firstLine="8"/>
        <w:spacing w:after="0" w:line="438" w:lineRule="auto"/>
        <w:tabs>
          <w:tab w:leader="none" w:pos="2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Shell company transactions: </w:t>
      </w:r>
      <w:r>
        <w:rPr>
          <w:rFonts w:ascii="Times New Roman" w:cs="Times New Roman" w:eastAsia="Times New Roman" w:hAnsi="Times New Roman"/>
          <w:sz w:val="18"/>
          <w:szCs w:val="18"/>
          <w:color w:val="auto"/>
        </w:rPr>
        <w:t>Not applicable.</w:t>
      </w: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760" w:type="dxa"/>
            <w:vAlign w:val="bottom"/>
          </w:tcPr>
          <w:p>
            <w:pPr>
              <w:spacing w:after="0"/>
              <w:rPr>
                <w:sz w:val="17"/>
                <w:szCs w:val="17"/>
                <w:color w:val="auto"/>
              </w:rPr>
            </w:pPr>
          </w:p>
        </w:tc>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r>
      <w:tr>
        <w:trPr>
          <w:trHeight w:val="264"/>
        </w:trPr>
        <w:tc>
          <w:tcPr>
            <w:tcW w:w="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99.1</w:t>
            </w:r>
          </w:p>
        </w:tc>
        <w:tc>
          <w:tcPr>
            <w:tcW w:w="760" w:type="dxa"/>
            <w:vAlign w:val="bottom"/>
          </w:tcPr>
          <w:p>
            <w:pPr>
              <w:spacing w:after="0"/>
              <w:rPr>
                <w:sz w:val="22"/>
                <w:szCs w:val="22"/>
                <w:color w:val="auto"/>
              </w:rPr>
            </w:pPr>
          </w:p>
        </w:tc>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News Release issued by The Scotts Miracle-Gro Company on April 28, 2025</w:t>
            </w:r>
          </w:p>
        </w:tc>
      </w:tr>
      <w:tr>
        <w:trPr>
          <w:trHeight w:val="310"/>
        </w:trPr>
        <w:tc>
          <w:tcPr>
            <w:tcW w:w="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760" w:type="dxa"/>
            <w:vAlign w:val="bottom"/>
          </w:tcPr>
          <w:p>
            <w:pPr>
              <w:spacing w:after="0"/>
              <w:rPr>
                <w:sz w:val="24"/>
                <w:szCs w:val="24"/>
                <w:color w:val="auto"/>
              </w:rPr>
            </w:pPr>
          </w:p>
        </w:tc>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851"/>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560" w:type="dxa"/>
            <w:vAlign w:val="bottom"/>
            <w:gridSpan w:val="2"/>
          </w:tcPr>
          <w:p>
            <w:pPr>
              <w:jc w:val="right"/>
              <w:ind w:right="5580"/>
              <w:spacing w:after="0"/>
              <w:rPr>
                <w:sz w:val="20"/>
                <w:szCs w:val="20"/>
                <w:color w:val="auto"/>
              </w:rPr>
            </w:pPr>
            <w:r>
              <w:rPr>
                <w:rFonts w:ascii="Times New Roman" w:cs="Times New Roman" w:eastAsia="Times New Roman" w:hAnsi="Times New Roman"/>
                <w:sz w:val="18"/>
                <w:szCs w:val="18"/>
                <w:color w:val="auto"/>
              </w:rPr>
              <w:t>2</w:t>
            </w:r>
          </w:p>
        </w:tc>
      </w:tr>
      <w:tr>
        <w:trPr>
          <w:trHeight w:val="115"/>
        </w:trPr>
        <w:tc>
          <w:tcPr>
            <w:tcW w:w="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SCOTTS MIRACLE-GRO COMPANY</w:t>
            </w:r>
          </w:p>
        </w:tc>
      </w:tr>
      <w:tr>
        <w:trPr>
          <w:trHeight w:val="48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Dated: April 28, 2025</w:t>
            </w:r>
          </w:p>
        </w:tc>
        <w:tc>
          <w:tcPr>
            <w:tcW w:w="720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By:   /s/ DIMITER TODOROV</w:t>
            </w:r>
          </w:p>
        </w:tc>
      </w:tr>
      <w:tr>
        <w:trPr>
          <w:trHeight w:val="218"/>
        </w:trPr>
        <w:tc>
          <w:tcPr>
            <w:tcW w:w="29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Printed Name: Dimiter Todorov</w:t>
            </w:r>
          </w:p>
        </w:tc>
      </w:tr>
      <w:tr>
        <w:trPr>
          <w:trHeight w:val="180"/>
        </w:trPr>
        <w:tc>
          <w:tcPr>
            <w:tcW w:w="2960" w:type="dxa"/>
            <w:vAlign w:val="bottom"/>
          </w:tcPr>
          <w:p>
            <w:pPr>
              <w:spacing w:after="0"/>
              <w:rPr>
                <w:sz w:val="15"/>
                <w:szCs w:val="15"/>
                <w:color w:val="auto"/>
              </w:rPr>
            </w:pPr>
          </w:p>
        </w:tc>
        <w:tc>
          <w:tcPr>
            <w:tcW w:w="7200" w:type="dxa"/>
            <w:vAlign w:val="bottom"/>
            <w:gridSpan w:val="2"/>
          </w:tcPr>
          <w:p>
            <w:pPr>
              <w:ind w:left="1400"/>
              <w:spacing w:after="0" w:line="181" w:lineRule="exact"/>
              <w:rPr>
                <w:sz w:val="20"/>
                <w:szCs w:val="20"/>
                <w:color w:val="auto"/>
              </w:rPr>
            </w:pPr>
            <w:r>
              <w:rPr>
                <w:rFonts w:ascii="Times New Roman" w:cs="Times New Roman" w:eastAsia="Times New Roman" w:hAnsi="Times New Roman"/>
                <w:sz w:val="18"/>
                <w:szCs w:val="18"/>
                <w:color w:val="auto"/>
              </w:rPr>
              <w:t>Title:  Executive  Vice  President,  Chief  Legal  Officer  &amp;  Corporate</w:t>
            </w:r>
          </w:p>
        </w:tc>
      </w:tr>
      <w:tr>
        <w:trPr>
          <w:trHeight w:val="234"/>
        </w:trPr>
        <w:tc>
          <w:tcPr>
            <w:tcW w:w="29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 w:name="page4"/>
    <w:bookmarkEnd w:id="3"/>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56"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Current Report on Form 8-K</w:t>
      </w:r>
    </w:p>
    <w:p>
      <w:pPr>
        <w:spacing w:after="0" w:line="27"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Dated April 28, 2025</w:t>
      </w:r>
    </w:p>
    <w:p>
      <w:pPr>
        <w:spacing w:after="0" w:line="9"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The Scotts Miracle-Gro Company</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760" w:type="dxa"/>
            <w:vAlign w:val="bottom"/>
          </w:tcPr>
          <w:p>
            <w:pPr>
              <w:spacing w:after="0"/>
              <w:rPr>
                <w:sz w:val="17"/>
                <w:szCs w:val="17"/>
                <w:color w:val="auto"/>
              </w:rPr>
            </w:pPr>
          </w:p>
        </w:tc>
        <w:tc>
          <w:tcPr>
            <w:tcW w:w="5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60" w:type="dxa"/>
            <w:vAlign w:val="bottom"/>
          </w:tcPr>
          <w:p>
            <w:pPr>
              <w:spacing w:after="0"/>
              <w:rPr>
                <w:sz w:val="19"/>
                <w:szCs w:val="19"/>
                <w:color w:val="auto"/>
              </w:rPr>
            </w:pPr>
          </w:p>
        </w:tc>
        <w:tc>
          <w:tcPr>
            <w:tcW w:w="5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News Release issued by The Scotts Miracle-Gro Company on April 28, 2025</w:t>
            </w:r>
          </w:p>
        </w:tc>
      </w:tr>
      <w:tr>
        <w:trPr>
          <w:trHeight w:val="20"/>
        </w:trPr>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54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31"/>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60" w:type="dxa"/>
            <w:vAlign w:val="bottom"/>
          </w:tcPr>
          <w:p>
            <w:pPr>
              <w:spacing w:after="0"/>
              <w:rPr>
                <w:sz w:val="24"/>
                <w:szCs w:val="24"/>
                <w:color w:val="auto"/>
              </w:rPr>
            </w:pPr>
          </w:p>
        </w:tc>
        <w:tc>
          <w:tcPr>
            <w:tcW w:w="57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r>
        <w:trPr>
          <w:trHeight w:val="918"/>
        </w:trPr>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540" w:type="dxa"/>
            <w:vAlign w:val="bottom"/>
            <w:gridSpan w:val="2"/>
          </w:tcPr>
          <w:p>
            <w:pPr>
              <w:jc w:val="right"/>
              <w:ind w:right="156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4"/>
                <w:szCs w:val="24"/>
                <w:color w:val="auto"/>
              </w:rPr>
            </w:pPr>
          </w:p>
        </w:tc>
      </w:tr>
    </w:tbl>
    <w:p>
      <w:pPr>
        <w:sectPr>
          <w:pgSz w:w="11900" w:h="16838" w:orient="portrait"/>
          <w:cols w:equalWidth="0" w:num="1">
            <w:col w:w="10099"/>
          </w:cols>
          <w:pgMar w:left="360" w:top="887"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u w:val="single" w:color="auto"/>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b w:val="1"/>
          <w:bCs w:val="1"/>
          <w:i w:val="1"/>
          <w:iCs w:val="1"/>
          <w:color w:val="auto"/>
        </w:rPr>
        <w:t>The Scotts Miracle-Gro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ScottsMiracle-Gro CEO Reports Strong POS Unit Gains During</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CNBC Mad Money Appearance</w:t>
      </w:r>
    </w:p>
    <w:p>
      <w:pPr>
        <w:spacing w:after="0" w:line="22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MARYSVILLE, Ohio, April 28, 2025 – The Scotts Miracle-Gro Company (NYSE: SMG), the world’s leading marketer of branded consumer lawn and garden products as well as a leader in indoor and hydroponic growing products, reported that Chairman and CEO Jim Hagedorn announced during an April 25 appearance on CNBC Mad Money that the Company is driving strong consumer takeaway in the run-up to the peak lawn and garden season.</w:t>
      </w:r>
    </w:p>
    <w:p>
      <w:pPr>
        <w:spacing w:after="0" w:line="20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Hagedorn confirmed that the Company has realized strong POS unit growth through joint promotion and consumer activation programs with retailers. During his appearance, Hagedorn initially indicated sales were up double digits for the first half of the fiscal year then explained that POS units actually are up double digits. The Company is reaffirming that POS units have increased double digits through the first half.</w:t>
      </w:r>
    </w:p>
    <w:p>
      <w:pPr>
        <w:spacing w:after="0" w:line="21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2D1E23"/>
        </w:rPr>
        <w:t>The Company will disclose financial results, including sales, for the second quarter and first half of the fiscal year on Wednesday, April 30, prior to the opening of the U.S. financial markets. The Company will host a video presentation via webcast at 9 a.m. ET followed by an audio question-and-answer session.</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inquiries: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 Chelton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w:t>
      </w:r>
    </w:p>
    <w:p>
      <w:pPr>
        <w:spacing w:after="0" w:line="234" w:lineRule="auto"/>
        <w:rPr>
          <w:sz w:val="20"/>
          <w:szCs w:val="20"/>
          <w:color w:val="auto"/>
        </w:rPr>
      </w:pPr>
      <w:r>
        <w:rPr>
          <w:rFonts w:ascii="Times New Roman" w:cs="Times New Roman" w:eastAsia="Times New Roman" w:hAnsi="Times New Roman"/>
          <w:sz w:val="18"/>
          <w:szCs w:val="18"/>
          <w:color w:val="auto"/>
        </w:rPr>
        <w:t>Treasury, Tax and Investor Relations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brad.chelton@scotts.com</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(937) 309-2503</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media inquiries: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Tom Matthews</w:t>
      </w:r>
    </w:p>
    <w:p>
      <w:pPr>
        <w:spacing w:after="0" w:line="234" w:lineRule="auto"/>
        <w:rPr>
          <w:sz w:val="20"/>
          <w:szCs w:val="20"/>
          <w:color w:val="auto"/>
        </w:rPr>
      </w:pPr>
      <w:r>
        <w:rPr>
          <w:rFonts w:ascii="Times New Roman" w:cs="Times New Roman" w:eastAsia="Times New Roman" w:hAnsi="Times New Roman"/>
          <w:sz w:val="18"/>
          <w:szCs w:val="18"/>
          <w:color w:val="auto"/>
        </w:rPr>
        <w:t>Chief Communications Officer</w:t>
      </w:r>
    </w:p>
    <w:p>
      <w:pPr>
        <w:spacing w:after="0" w:line="235" w:lineRule="auto"/>
        <w:rPr>
          <w:sz w:val="20"/>
          <w:szCs w:val="20"/>
          <w:color w:val="auto"/>
        </w:rPr>
      </w:pPr>
      <w:r>
        <w:rPr>
          <w:rFonts w:ascii="Times New Roman" w:cs="Times New Roman" w:eastAsia="Times New Roman" w:hAnsi="Times New Roman"/>
          <w:sz w:val="18"/>
          <w:szCs w:val="18"/>
          <w:color w:val="auto"/>
        </w:rPr>
        <w:t>tom.matthews@scotts.com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(937) 844-3864</w:t>
      </w:r>
    </w:p>
    <w:sectPr>
      <w:pgSz w:w="11900" w:h="16838" w:orient="portrait"/>
      <w:cols w:equalWidth="0" w:num="1">
        <w:col w:w="11240"/>
      </w:cols>
      <w:pgMar w:left="320" w:top="1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2025-04-28T07:10:10Z</dcterms:created>
  <dcterms:modified xsi:type="dcterms:W3CDTF">2025-04-28T07:10:10Z</dcterms:modified>
</cp:coreProperties>
</file>