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7" w:lineRule="exact"/>
        <w:rPr>
          <w:sz w:val="24"/>
          <w:szCs w:val="24"/>
          <w:color w:val="auto"/>
        </w:rPr>
      </w:pPr>
    </w:p>
    <w:p>
      <w:pPr>
        <w:ind w:left="440" w:right="3020" w:hanging="405"/>
        <w:spacing w:after="0" w:line="308" w:lineRule="auto"/>
        <w:tabs>
          <w:tab w:leader="none" w:pos="4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September 30, 2016</w:t>
      </w: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gridSpan w:val="2"/>
          </w:tcPr>
          <w:p>
            <w:pPr>
              <w:ind w:left="100"/>
              <w:spacing w:after="0"/>
              <w:rPr>
                <w:sz w:val="20"/>
                <w:szCs w:val="20"/>
                <w:color w:val="auto"/>
              </w:rPr>
            </w:pPr>
            <w:r>
              <w:rPr>
                <w:rFonts w:ascii="Arial" w:cs="Arial" w:eastAsia="Arial" w:hAnsi="Arial"/>
                <w:sz w:val="16"/>
                <w:szCs w:val="16"/>
                <w:b w:val="1"/>
                <w:bCs w:val="1"/>
                <w:color w:val="auto"/>
                <w:w w:val="96"/>
              </w:rPr>
              <w:t>For the transition period from</w:t>
            </w:r>
          </w:p>
        </w:tc>
        <w:tc>
          <w:tcPr>
            <w:tcW w:w="1740" w:type="dxa"/>
            <w:vAlign w:val="bottom"/>
            <w:gridSpan w:val="2"/>
          </w:tcPr>
          <w:p>
            <w:pPr>
              <w:ind w:left="800"/>
              <w:spacing w:after="0"/>
              <w:rPr>
                <w:sz w:val="20"/>
                <w:szCs w:val="20"/>
                <w:color w:val="auto"/>
              </w:rPr>
            </w:pPr>
            <w:r>
              <w:rPr>
                <w:rFonts w:ascii="Arial" w:cs="Arial" w:eastAsia="Arial" w:hAnsi="Arial"/>
                <w:sz w:val="16"/>
                <w:szCs w:val="16"/>
                <w:b w:val="1"/>
                <w:bCs w:val="1"/>
                <w:color w:val="auto"/>
              </w:rPr>
              <w:t>to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3"/>
        </w:trPr>
        <w:tc>
          <w:tcPr>
            <w:tcW w:w="1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91"/>
              </w:rPr>
              <w:t>Commission file number 1-11593</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65"/>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60" w:type="dxa"/>
            <w:vAlign w:val="bottom"/>
            <w:gridSpan w:val="5"/>
          </w:tcPr>
          <w:p>
            <w:pPr>
              <w:jc w:val="right"/>
              <w:ind w:right="421"/>
              <w:spacing w:after="0" w:line="165" w:lineRule="exact"/>
              <w:rPr>
                <w:sz w:val="20"/>
                <w:szCs w:val="20"/>
                <w:color w:val="auto"/>
              </w:rPr>
            </w:pPr>
            <w:r>
              <w:rPr>
                <w:rFonts w:ascii="Arial" w:cs="Arial" w:eastAsia="Arial" w:hAnsi="Arial"/>
                <w:sz w:val="16"/>
                <w:szCs w:val="16"/>
                <w:color w:val="auto"/>
              </w:rPr>
              <w:t>______________________________________________________________</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3"/>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60" w:type="dxa"/>
            <w:vAlign w:val="bottom"/>
            <w:gridSpan w:val="5"/>
          </w:tcPr>
          <w:p>
            <w:pPr>
              <w:jc w:val="center"/>
              <w:ind w:left="16"/>
              <w:spacing w:after="0"/>
              <w:rPr>
                <w:sz w:val="20"/>
                <w:szCs w:val="20"/>
                <w:color w:val="auto"/>
              </w:rPr>
            </w:pPr>
            <w:r>
              <w:rPr>
                <w:rFonts w:ascii="Arial" w:cs="Arial" w:eastAsia="Arial" w:hAnsi="Arial"/>
                <w:sz w:val="40"/>
                <w:szCs w:val="40"/>
                <w:b w:val="1"/>
                <w:bCs w:val="1"/>
                <w:color w:val="auto"/>
                <w:w w:val="90"/>
              </w:rPr>
              <w:t>The Scotts Miracle-Gro Company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4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51"/>
        </w:trPr>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2"/>
          </w:tcPr>
          <w:p>
            <w:pPr>
              <w:jc w:val="center"/>
              <w:ind w:right="1159"/>
              <w:spacing w:after="0"/>
              <w:rPr>
                <w:sz w:val="20"/>
                <w:szCs w:val="20"/>
                <w:color w:val="auto"/>
              </w:rPr>
            </w:pPr>
            <w:r>
              <w:rPr>
                <w:rFonts w:ascii="Arial" w:cs="Arial" w:eastAsia="Arial" w:hAnsi="Arial"/>
                <w:sz w:val="16"/>
                <w:szCs w:val="16"/>
                <w:b w:val="1"/>
                <w:bCs w:val="1"/>
                <w:color w:val="auto"/>
                <w:w w:val="93"/>
              </w:rPr>
              <w:t>Ohio</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31-1414921</w:t>
            </w:r>
          </w:p>
        </w:tc>
        <w:tc>
          <w:tcPr>
            <w:tcW w:w="980" w:type="dxa"/>
            <w:vAlign w:val="bottom"/>
          </w:tcPr>
          <w:p>
            <w:pPr>
              <w:spacing w:after="0"/>
              <w:rPr>
                <w:sz w:val="24"/>
                <w:szCs w:val="24"/>
                <w:color w:val="auto"/>
              </w:rPr>
            </w:pP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28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gridSpan w:val="4"/>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28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49"/>
        </w:trPr>
        <w:tc>
          <w:tcPr>
            <w:tcW w:w="4020" w:type="dxa"/>
            <w:vAlign w:val="bottom"/>
            <w:gridSpan w:val="4"/>
          </w:tcPr>
          <w:p>
            <w:pPr>
              <w:jc w:val="center"/>
              <w:ind w:left="961"/>
              <w:spacing w:after="0"/>
              <w:rPr>
                <w:sz w:val="20"/>
                <w:szCs w:val="20"/>
                <w:color w:val="auto"/>
              </w:rPr>
            </w:pPr>
            <w:r>
              <w:rPr>
                <w:rFonts w:ascii="Arial" w:cs="Arial" w:eastAsia="Arial" w:hAnsi="Arial"/>
                <w:sz w:val="16"/>
                <w:szCs w:val="16"/>
                <w:b w:val="1"/>
                <w:bCs w:val="1"/>
                <w:color w:val="auto"/>
                <w:w w:val="88"/>
              </w:rPr>
              <w:t>14111 Scottslawn Road,</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4020" w:type="dxa"/>
            <w:vAlign w:val="bottom"/>
            <w:gridSpan w:val="4"/>
          </w:tcPr>
          <w:p>
            <w:pPr>
              <w:jc w:val="center"/>
              <w:ind w:left="941"/>
              <w:spacing w:after="0"/>
              <w:rPr>
                <w:sz w:val="20"/>
                <w:szCs w:val="20"/>
                <w:color w:val="auto"/>
              </w:rPr>
            </w:pPr>
            <w:r>
              <w:rPr>
                <w:rFonts w:ascii="Arial" w:cs="Arial" w:eastAsia="Arial" w:hAnsi="Arial"/>
                <w:sz w:val="16"/>
                <w:szCs w:val="16"/>
                <w:b w:val="1"/>
                <w:bCs w:val="1"/>
                <w:color w:val="auto"/>
                <w:w w:val="94"/>
              </w:rPr>
              <w:t>Marysville, Ohio</w:t>
            </w:r>
          </w:p>
        </w:tc>
        <w:tc>
          <w:tcPr>
            <w:tcW w:w="2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43041</w:t>
            </w:r>
          </w:p>
        </w:tc>
        <w:tc>
          <w:tcPr>
            <w:tcW w:w="980" w:type="dxa"/>
            <w:vAlign w:val="bottom"/>
          </w:tcPr>
          <w:p>
            <w:pPr>
              <w:spacing w:after="0"/>
              <w:rPr>
                <w:sz w:val="18"/>
                <w:szCs w:val="18"/>
                <w:color w:val="auto"/>
              </w:rPr>
            </w:pPr>
          </w:p>
        </w:tc>
      </w:tr>
      <w:tr>
        <w:trPr>
          <w:trHeight w:val="222"/>
        </w:trPr>
        <w:tc>
          <w:tcPr>
            <w:tcW w:w="4020" w:type="dxa"/>
            <w:vAlign w:val="bottom"/>
            <w:gridSpan w:val="4"/>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980" w:type="dxa"/>
            <w:vAlign w:val="bottom"/>
          </w:tcPr>
          <w:p>
            <w:pPr>
              <w:spacing w:after="0"/>
              <w:rPr>
                <w:sz w:val="19"/>
                <w:szCs w:val="19"/>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89"/>
              </w:rPr>
              <w:t>Registrant’s telephone number, including area code: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937-644-0011</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90"/>
        </w:trPr>
        <w:tc>
          <w:tcPr>
            <w:tcW w:w="1940" w:type="dxa"/>
            <w:vAlign w:val="bottom"/>
          </w:tcPr>
          <w:p>
            <w:pPr>
              <w:spacing w:after="0"/>
              <w:rPr>
                <w:sz w:val="24"/>
                <w:szCs w:val="24"/>
                <w:color w:val="auto"/>
              </w:rPr>
            </w:pPr>
          </w:p>
        </w:tc>
        <w:tc>
          <w:tcPr>
            <w:tcW w:w="2080" w:type="dxa"/>
            <w:vAlign w:val="bottom"/>
            <w:gridSpan w:val="3"/>
          </w:tcPr>
          <w:p>
            <w:pPr>
              <w:jc w:val="center"/>
              <w:ind w:right="839"/>
              <w:spacing w:after="0"/>
              <w:rPr>
                <w:sz w:val="20"/>
                <w:szCs w:val="20"/>
                <w:color w:val="auto"/>
              </w:rPr>
            </w:pPr>
            <w:r>
              <w:rPr>
                <w:rFonts w:ascii="Arial" w:cs="Arial" w:eastAsia="Arial" w:hAnsi="Arial"/>
                <w:sz w:val="14"/>
                <w:szCs w:val="14"/>
                <w:b w:val="1"/>
                <w:bCs w:val="1"/>
                <w:color w:val="auto"/>
                <w:w w:val="93"/>
              </w:rPr>
              <w:t>Title of Each Class</w:t>
            </w:r>
          </w:p>
        </w:tc>
        <w:tc>
          <w:tcPr>
            <w:tcW w:w="2800" w:type="dxa"/>
            <w:vAlign w:val="bottom"/>
          </w:tcPr>
          <w:p>
            <w:pPr>
              <w:spacing w:after="0"/>
              <w:rPr>
                <w:sz w:val="24"/>
                <w:szCs w:val="24"/>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20" w:type="dxa"/>
            <w:vAlign w:val="bottom"/>
            <w:gridSpan w:val="4"/>
            <w:shd w:val="clear" w:color="auto" w:fill="000000"/>
          </w:tcPr>
          <w:p>
            <w:pPr>
              <w:spacing w:after="0" w:line="20" w:lineRule="exact"/>
              <w:rPr>
                <w:sz w:val="1"/>
                <w:szCs w:val="1"/>
                <w:color w:val="auto"/>
              </w:rPr>
            </w:pPr>
          </w:p>
        </w:tc>
      </w:tr>
      <w:tr>
        <w:trPr>
          <w:trHeight w:val="264"/>
        </w:trPr>
        <w:tc>
          <w:tcPr>
            <w:tcW w:w="4020" w:type="dxa"/>
            <w:vAlign w:val="bottom"/>
            <w:gridSpan w:val="4"/>
          </w:tcPr>
          <w:p>
            <w:pPr>
              <w:jc w:val="center"/>
              <w:ind w:left="961"/>
              <w:spacing w:after="0"/>
              <w:rPr>
                <w:sz w:val="20"/>
                <w:szCs w:val="20"/>
                <w:color w:val="auto"/>
              </w:rPr>
            </w:pPr>
            <w:r>
              <w:rPr>
                <w:rFonts w:ascii="Arial" w:cs="Arial" w:eastAsia="Arial" w:hAnsi="Arial"/>
                <w:sz w:val="18"/>
                <w:szCs w:val="18"/>
                <w:color w:val="auto"/>
                <w:w w:val="90"/>
              </w:rPr>
              <w:t>Common Shares, without par value</w:t>
            </w:r>
          </w:p>
        </w:tc>
        <w:tc>
          <w:tcPr>
            <w:tcW w:w="2800" w:type="dxa"/>
            <w:vAlign w:val="bottom"/>
          </w:tcPr>
          <w:p>
            <w:pPr>
              <w:spacing w:after="0"/>
              <w:rPr>
                <w:sz w:val="22"/>
                <w:szCs w:val="22"/>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02"/>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gridSpan w:val="3"/>
          </w:tcPr>
          <w:p>
            <w:pPr>
              <w:jc w:val="center"/>
              <w:ind w:right="24"/>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3"/>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944"/>
              <w:spacing w:after="0"/>
              <w:rPr>
                <w:sz w:val="20"/>
                <w:szCs w:val="20"/>
                <w:color w:val="auto"/>
              </w:rPr>
            </w:pPr>
            <w:r>
              <w:rPr>
                <w:rFonts w:ascii="Arial" w:cs="Arial" w:eastAsia="Arial" w:hAnsi="Arial"/>
                <w:sz w:val="16"/>
                <w:szCs w:val="16"/>
                <w:b w:val="1"/>
                <w:bCs w:val="1"/>
                <w:color w:val="auto"/>
                <w:w w:val="89"/>
              </w:rPr>
              <w:t>None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60" w:type="dxa"/>
            <w:vAlign w:val="bottom"/>
            <w:gridSpan w:val="5"/>
          </w:tcPr>
          <w:p>
            <w:pPr>
              <w:jc w:val="center"/>
              <w:spacing w:after="0"/>
              <w:rPr>
                <w:sz w:val="20"/>
                <w:szCs w:val="20"/>
                <w:color w:val="auto"/>
              </w:rPr>
            </w:pPr>
            <w:r>
              <w:rPr>
                <w:rFonts w:ascii="Arial" w:cs="Arial" w:eastAsia="Arial" w:hAnsi="Arial"/>
                <w:sz w:val="16"/>
                <w:szCs w:val="16"/>
                <w:color w:val="auto"/>
                <w:w w:val="91"/>
              </w:rPr>
              <w:t>______________________________________________________________</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15"/>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80" w:type="dxa"/>
            <w:vAlign w:val="bottom"/>
          </w:tcPr>
          <w:p>
            <w:pPr>
              <w:jc w:val="right"/>
              <w:ind w:right="41"/>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320" w:type="dxa"/>
            <w:vAlign w:val="bottom"/>
          </w:tcPr>
          <w:p>
            <w:pPr>
              <w:ind w:left="40"/>
              <w:spacing w:after="0"/>
              <w:rPr>
                <w:sz w:val="20"/>
                <w:szCs w:val="20"/>
                <w:color w:val="auto"/>
              </w:rPr>
            </w:pPr>
            <w:r>
              <w:rPr>
                <w:rFonts w:ascii="Arial" w:cs="Arial" w:eastAsia="Arial" w:hAnsi="Arial"/>
                <w:sz w:val="16"/>
                <w:szCs w:val="16"/>
                <w:color w:val="auto"/>
              </w:rPr>
              <w:t>No</w:t>
            </w:r>
          </w:p>
        </w:tc>
        <w:tc>
          <w:tcPr>
            <w:tcW w:w="980" w:type="dxa"/>
            <w:vAlign w:val="bottom"/>
          </w:tcPr>
          <w:p>
            <w:pPr>
              <w:spacing w:after="0"/>
              <w:rPr>
                <w:sz w:val="20"/>
                <w:szCs w:val="20"/>
                <w:color w:val="auto"/>
              </w:rPr>
            </w:pPr>
            <w:r>
              <w:rPr>
                <w:rFonts w:ascii="Arial" w:cs="Arial" w:eastAsia="Arial" w:hAnsi="Arial"/>
                <w:sz w:val="16"/>
                <w:szCs w:val="16"/>
                <w:color w:val="auto"/>
              </w:rPr>
              <w:t>o</w:t>
            </w:r>
          </w:p>
        </w:tc>
      </w:tr>
      <w:tr>
        <w:trPr>
          <w:trHeight w:val="29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580" w:type="dxa"/>
            <w:vAlign w:val="bottom"/>
          </w:tcPr>
          <w:p>
            <w:pPr>
              <w:jc w:val="right"/>
              <w:spacing w:after="0"/>
              <w:rPr>
                <w:sz w:val="20"/>
                <w:szCs w:val="20"/>
                <w:color w:val="auto"/>
              </w:rPr>
            </w:pPr>
            <w:r>
              <w:rPr>
                <w:rFonts w:ascii="Arial" w:cs="Arial" w:eastAsia="Arial" w:hAnsi="Arial"/>
                <w:sz w:val="16"/>
                <w:szCs w:val="16"/>
                <w:color w:val="auto"/>
              </w:rPr>
              <w:t>Yes o</w:t>
            </w:r>
          </w:p>
        </w:tc>
        <w:tc>
          <w:tcPr>
            <w:tcW w:w="320" w:type="dxa"/>
            <w:vAlign w:val="bottom"/>
          </w:tcPr>
          <w:p>
            <w:pPr>
              <w:ind w:left="120"/>
              <w:spacing w:after="0"/>
              <w:rPr>
                <w:sz w:val="20"/>
                <w:szCs w:val="20"/>
                <w:color w:val="auto"/>
              </w:rPr>
            </w:pPr>
            <w:r>
              <w:rPr>
                <w:rFonts w:ascii="Arial" w:cs="Arial" w:eastAsia="Arial" w:hAnsi="Arial"/>
                <w:sz w:val="16"/>
                <w:szCs w:val="16"/>
                <w:color w:val="auto"/>
                <w:w w:val="87"/>
              </w:rPr>
              <w:t>No</w:t>
            </w:r>
          </w:p>
        </w:tc>
        <w:tc>
          <w:tcPr>
            <w:tcW w:w="9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324"/>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41" w:lineRule="exact"/>
        <w:rPr>
          <w:sz w:val="24"/>
          <w:szCs w:val="24"/>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54"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2180" w:space="720"/>
            <w:col w:w="3960" w:space="720"/>
            <w:col w:w="3020" w:space="720"/>
            <w:col w:w="100"/>
          </w:cols>
          <w:pgMar w:left="240" w:top="954"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2" w:lineRule="exact"/>
        <w:rPr>
          <w:sz w:val="24"/>
          <w:szCs w:val="24"/>
          <w:color w:val="auto"/>
        </w:rPr>
      </w:pPr>
    </w:p>
    <w:p>
      <w:pPr>
        <w:sectPr>
          <w:pgSz w:w="11900" w:h="16838" w:orient="portrait"/>
          <w:cols w:equalWidth="0" w:num="4">
            <w:col w:w="2180" w:space="720"/>
            <w:col w:w="3960" w:space="720"/>
            <w:col w:w="3020" w:space="720"/>
            <w:col w:w="100"/>
          </w:cols>
          <w:pgMar w:left="240" w:top="954" w:right="23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4">
            <w:col w:w="7020" w:space="160"/>
            <w:col w:w="380" w:space="180"/>
            <w:col w:w="180" w:space="80"/>
            <w:col w:w="3420"/>
          </w:cols>
          <w:pgMar w:left="240" w:top="954" w:right="239" w:bottom="1440" w:gutter="0" w:footer="0" w:header="0"/>
          <w:type w:val="continuous"/>
        </w:sectPr>
      </w:pPr>
    </w:p>
    <w:p>
      <w:pPr>
        <w:ind w:firstLine="324"/>
        <w:spacing w:after="0" w:line="310" w:lineRule="auto"/>
        <w:rPr>
          <w:sz w:val="20"/>
          <w:szCs w:val="20"/>
          <w:color w:val="auto"/>
        </w:rPr>
      </w:pPr>
      <w:r>
        <w:rPr>
          <w:rFonts w:ascii="Arial" w:cs="Arial" w:eastAsia="Arial" w:hAnsi="Arial"/>
          <w:sz w:val="15"/>
          <w:szCs w:val="15"/>
          <w:color w:val="auto"/>
        </w:rPr>
        <w:t>The aggregate market value of Common Shares (the only common equity of the registrant) held by non-affiliates (for this purpose, executive officers and directors of the registrant are considered affiliates) as of April 2, 2016 (the last business day of the most recently completed second quarter) was approximately $3,300,118,585.</w:t>
      </w:r>
    </w:p>
    <w:p>
      <w:pPr>
        <w:spacing w:after="0" w:line="4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There were 60,086,416 Common Shares of the registrant outstanding as of November 18, 2016.</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______________________________________________________________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Portions of the definitive Proxy Statement for the registrant’s 2017 Annual Meeting of Shareholders are incorporated by reference into Part III of this Annual Report on Form 10-K. Such Proxy Statement will be filed with the Securities and Exchange Commission within 120 days of the registrant’s fiscal year ended September 30, 2016.</w:t>
      </w:r>
    </w:p>
    <w:p>
      <w:pPr>
        <w:sectPr>
          <w:pgSz w:w="11900" w:h="16838" w:orient="portrait"/>
          <w:cols w:equalWidth="0" w:num="1">
            <w:col w:w="11420"/>
          </w:cols>
          <w:pgMar w:left="240" w:top="95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2016 (“fiscal 2016”). For additional information on recent business developments, see “ITEM 7. MANAGEMENT’S DISCUSSION AND ANALYSIS OF FINANCIAL CONDITION AND RESULTS OF OPERATIONS” of this Annual Report on Form 10-K.</w:t>
      </w:r>
    </w:p>
    <w:p>
      <w:pPr>
        <w:spacing w:after="0" w:line="13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6"/>
          <w:szCs w:val="16"/>
          <w:color w:val="auto"/>
        </w:rPr>
        <w:t>We are a leading manufacturer and marketer of branded consumer lawn and garden products. Our products are marketed under some of the most recognized brand names in the industry. In North America, key brands include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and grass seed products; Miracle-Gro</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LiquaFeed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gardening and landscape products; and Ortho</w:t>
      </w:r>
      <w:r>
        <w:rPr>
          <w:rFonts w:ascii="Arial" w:cs="Arial" w:eastAsia="Arial" w:hAnsi="Arial"/>
          <w:sz w:val="22"/>
          <w:szCs w:val="22"/>
          <w:color w:val="auto"/>
          <w:vertAlign w:val="superscript"/>
        </w:rPr>
        <w:t>®</w:t>
      </w:r>
      <w:r>
        <w:rPr>
          <w:rFonts w:ascii="Arial" w:cs="Arial" w:eastAsia="Arial" w:hAnsi="Arial"/>
          <w:sz w:val="16"/>
          <w:szCs w:val="16"/>
          <w:color w:val="auto"/>
        </w:rPr>
        <w:t>, Roundup</w:t>
      </w:r>
      <w:r>
        <w:rPr>
          <w:rFonts w:ascii="Arial" w:cs="Arial" w:eastAsia="Arial" w:hAnsi="Arial"/>
          <w:sz w:val="22"/>
          <w:szCs w:val="22"/>
          <w:color w:val="auto"/>
          <w:vertAlign w:val="superscript"/>
        </w:rPr>
        <w:t>®2</w:t>
      </w:r>
      <w:r>
        <w:rPr>
          <w:rFonts w:ascii="Arial" w:cs="Arial" w:eastAsia="Arial" w:hAnsi="Arial"/>
          <w:sz w:val="11"/>
          <w:szCs w:val="11"/>
          <w:color w:val="auto"/>
        </w:rPr>
        <w:t>,</w:t>
      </w:r>
      <w:r>
        <w:rPr>
          <w:rFonts w:ascii="Arial" w:cs="Arial" w:eastAsia="Arial" w:hAnsi="Arial"/>
          <w:sz w:val="16"/>
          <w:szCs w:val="16"/>
          <w:color w:val="auto"/>
        </w:rPr>
        <w:t xml:space="preserve"> Home Defense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branded insect control, weed control and rodent control products. In the United Kingdom, key brands include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plant fertilizers; Roundup</w:t>
      </w:r>
      <w:r>
        <w:rPr>
          <w:rFonts w:ascii="Arial" w:cs="Arial" w:eastAsia="Arial" w:hAnsi="Arial"/>
          <w:sz w:val="22"/>
          <w:szCs w:val="22"/>
          <w:color w:val="auto"/>
          <w:vertAlign w:val="superscript"/>
        </w:rPr>
        <w:t>®2</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herbicides; EverGreen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lawn fertilizers; and Levington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gardening and landscape products. Other significant brands in Europe include Roundup</w:t>
      </w:r>
      <w:r>
        <w:rPr>
          <w:rFonts w:ascii="Arial" w:cs="Arial" w:eastAsia="Arial" w:hAnsi="Arial"/>
          <w:sz w:val="22"/>
          <w:szCs w:val="22"/>
          <w:color w:val="auto"/>
          <w:vertAlign w:val="superscript"/>
        </w:rPr>
        <w:t>®2</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Fertiligène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France; Roundup</w:t>
      </w:r>
      <w:r>
        <w:rPr>
          <w:rFonts w:ascii="Arial" w:cs="Arial" w:eastAsia="Arial" w:hAnsi="Arial"/>
          <w:sz w:val="22"/>
          <w:szCs w:val="22"/>
          <w:color w:val="auto"/>
          <w:vertAlign w:val="superscript"/>
        </w:rPr>
        <w:t>®2</w:t>
      </w:r>
      <w:r>
        <w:rPr>
          <w:rFonts w:ascii="Arial" w:cs="Arial" w:eastAsia="Arial" w:hAnsi="Arial"/>
          <w:sz w:val="16"/>
          <w:szCs w:val="16"/>
          <w:color w:val="auto"/>
        </w:rPr>
        <w:t>, Celaflor</w:t>
      </w:r>
      <w:r>
        <w:rPr>
          <w:rFonts w:ascii="Arial" w:cs="Arial" w:eastAsia="Arial" w:hAnsi="Arial"/>
          <w:sz w:val="22"/>
          <w:szCs w:val="22"/>
          <w:color w:val="auto"/>
          <w:vertAlign w:val="superscript"/>
        </w:rPr>
        <w:t>®</w:t>
      </w:r>
      <w:r>
        <w:rPr>
          <w:rFonts w:ascii="Arial" w:cs="Arial" w:eastAsia="Arial" w:hAnsi="Arial"/>
          <w:sz w:val="16"/>
          <w:szCs w:val="16"/>
          <w:color w:val="auto"/>
        </w:rPr>
        <w:t>, Nexa Lotte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Germany and Austria; and Roundup</w:t>
      </w:r>
      <w:r>
        <w:rPr>
          <w:rFonts w:ascii="Arial" w:cs="Arial" w:eastAsia="Arial" w:hAnsi="Arial"/>
          <w:sz w:val="22"/>
          <w:szCs w:val="22"/>
          <w:color w:val="auto"/>
          <w:vertAlign w:val="superscript"/>
        </w:rPr>
        <w:t>®2</w:t>
      </w:r>
      <w:r>
        <w:rPr>
          <w:rFonts w:ascii="Arial" w:cs="Arial" w:eastAsia="Arial" w:hAnsi="Arial"/>
          <w:sz w:val="16"/>
          <w:szCs w:val="16"/>
          <w:color w:val="auto"/>
        </w:rPr>
        <w:t>, ASEF</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Substral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Belgium, the Netherlands and Luxembourg. We are the exclusive agent of the Monsanto Company (“Monsanto”)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products in Australia, the Far East and Latin America. In addition, with our recent acquisitions of Gavita Holdings B.V. (“Gavita”), General Hydroponics, Inc. (“General Hydroponics”) and Bio-Organic Solutions, Inc. (“Vermicrop”), and control of AeroGrow International, Inc. (“AeroGrow”), we are a leading producer of liquid plant food products, growing media, advanced indoor garden and lighting systems and accessories for hydroponic gardening. Prior to April 13, 2016, we operated the Scotts LawnService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We now participate in the residential and commercial lawn care, tree and shrub care and pest control services segment in the United States and Canada through our interest in the TruGreen Joint Venture.</w:t>
      </w:r>
    </w:p>
    <w:p>
      <w:pPr>
        <w:spacing w:after="0" w:line="14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6"/>
          <w:szCs w:val="16"/>
          <w:color w:val="auto"/>
        </w:rPr>
        <w:t>Scotts Miracle-Gro, an Ohio corporation, traces its heritage back to a company founded by O.M. Scott in Marysville, Ohio in 1868. In the mid-1900s, we became widely known for the development of quality lawn fertilizers and grass seeds that led to the creation of a new industry-consumer lawn care. In the 1990s, we significantly expanded our product offering with three powerful leading brands in the U.S. home lawn and garden industry. First, in fiscal 1995, through a merger with Stern’s Miracle-Gro Products, Inc., which was founded by Horace Hagedorn and Otto Stern in Long Island, New York in 1951, we acquired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 industry leader in water-soluble garden plant foods. Second and third, in 1998, we acquired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 the United States and obtained exclusive rights to market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within the United States and other contractually specified countries, thereby adding industry-leading weed, pest and disease control products to our portfolio. Today, we believe that Scotts</w:t>
      </w:r>
      <w:r>
        <w:rPr>
          <w:rFonts w:ascii="Arial" w:cs="Arial" w:eastAsia="Arial" w:hAnsi="Arial"/>
          <w:sz w:val="22"/>
          <w:szCs w:val="22"/>
          <w:color w:val="auto"/>
          <w:vertAlign w:val="superscript"/>
        </w:rPr>
        <w:t>®</w:t>
      </w:r>
      <w:r>
        <w:rPr>
          <w:rFonts w:ascii="Arial" w:cs="Arial" w:eastAsia="Arial" w:hAnsi="Arial"/>
          <w:sz w:val="16"/>
          <w:szCs w:val="16"/>
          <w:color w:val="auto"/>
        </w:rPr>
        <w:t>, Turf Builder</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are the most widely recognized brands in the consumer lawn and garden industry in the United States.</w:t>
      </w:r>
    </w:p>
    <w:p>
      <w:pPr>
        <w:spacing w:after="0" w:line="2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Our strategy is focused on (i) growing our core branded business, primarily in North America where we can leverage our competitive advantages in emerging areas of growth including organics, hydroponics, live goods, water positive landscapes, and internet-enabled technology, (ii) maximizing the value of non-core-assets including the divestiture of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exploring alternatives in Europe, and (iii) cash flow including near-term investments that will drive long-term growth, a natural mid-term shift to integration of acquired businesses, and a long-term plan to return increasing amounts of cash to shareholders.</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56" w:lineRule="exact"/>
        <w:rPr>
          <w:sz w:val="20"/>
          <w:szCs w:val="20"/>
          <w:color w:val="auto"/>
        </w:rPr>
      </w:pPr>
    </w:p>
    <w:p>
      <w:pPr>
        <w:ind w:left="180" w:hanging="145"/>
        <w:spacing w:after="0"/>
        <w:tabs>
          <w:tab w:leader="none" w:pos="18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Osmocote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Everris International B.V., a subsidiary of Israel Chemicals Ltd.</w:t>
      </w:r>
    </w:p>
    <w:p>
      <w:pPr>
        <w:ind w:left="5660" w:right="2940" w:hanging="5625"/>
        <w:spacing w:after="0" w:line="224" w:lineRule="auto"/>
        <w:tabs>
          <w:tab w:leader="none" w:pos="179"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Monsanto Technology LLC, a company affiliated with Monsanto Company. 2</w:t>
      </w:r>
    </w:p>
    <w:p>
      <w:pPr>
        <w:sectPr>
          <w:pgSz w:w="11900" w:h="16838" w:orient="portrait"/>
          <w:cols w:equalWidth="0" w:num="1">
            <w:col w:w="11420"/>
          </w:cols>
          <w:pgMar w:left="240" w:top="85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Business Segments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17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Consumer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This division of reportable segments is consistent with how the segments report to and are managed by our Chief Executive Officer (the chief operating decision-maker of the Company). Financial information about these segments for each of the three fiscal years ended September 30, 2016, 2015 and 2014 is presented in “NOTE 22. SEGMENT INFORMATION” of the Notes to Consolidated Financial Statements included in this Annual Report on Form 10-K.</w:t>
      </w:r>
    </w:p>
    <w:p>
      <w:pPr>
        <w:spacing w:after="0" w:line="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a result of the completion of the Company’s contribution of the SLS Business to the TruGreen Joint Venture on April 13, 2016,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for further discussion. Prior to being reported as discontinued operations, the SLS Business was included as its own reportable segment. Refer to “NOTE 22. SEGMENT INFORMATION” for discussion of the Company’s new reportable segments identified effective in the second quarter of fiscal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reportable segments, we manufacture, market and sell consumer lawn and garden products in the following categories:</w:t>
      </w:r>
    </w:p>
    <w:p>
      <w:pPr>
        <w:spacing w:after="0" w:line="171" w:lineRule="exact"/>
        <w:rPr>
          <w:sz w:val="20"/>
          <w:szCs w:val="20"/>
          <w:color w:val="auto"/>
        </w:rPr>
      </w:pPr>
    </w:p>
    <w:p>
      <w:pPr>
        <w:jc w:val="both"/>
        <w:ind w:firstLine="878"/>
        <w:spacing w:after="0" w:line="210" w:lineRule="auto"/>
        <w:rPr>
          <w:sz w:val="20"/>
          <w:szCs w:val="20"/>
          <w:color w:val="auto"/>
        </w:rPr>
      </w:pPr>
      <w:r>
        <w:rPr>
          <w:rFonts w:ascii="Arial" w:cs="Arial" w:eastAsia="Arial" w:hAnsi="Arial"/>
          <w:sz w:val="17"/>
          <w:szCs w:val="17"/>
          <w:i w:val="1"/>
          <w:iCs w:val="1"/>
          <w:color w:val="auto"/>
        </w:rPr>
        <w:t xml:space="preserve">Lawn Care: </w:t>
      </w:r>
      <w:r>
        <w:rPr>
          <w:rFonts w:ascii="Arial" w:cs="Arial" w:eastAsia="Arial" w:hAnsi="Arial"/>
          <w:sz w:val="17"/>
          <w:szCs w:val="17"/>
          <w:color w:val="auto"/>
        </w:rPr>
        <w:t>The lawn care category is designed to help consumers obtain and enjoy the lawn they want. In the United States and Canada,</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within this category include lawn fertilizer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grass seed products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Turf Builder</w:t>
      </w:r>
      <w:r>
        <w:rPr>
          <w:rFonts w:ascii="Arial" w:cs="Arial" w:eastAsia="Arial" w:hAnsi="Arial"/>
          <w:sz w:val="24"/>
          <w:szCs w:val="24"/>
          <w:color w:val="auto"/>
          <w:vertAlign w:val="superscript"/>
        </w:rPr>
        <w:t>®</w:t>
      </w:r>
      <w:r>
        <w:rPr>
          <w:rFonts w:ascii="Arial" w:cs="Arial" w:eastAsia="Arial" w:hAnsi="Arial"/>
          <w:sz w:val="17"/>
          <w:szCs w:val="17"/>
          <w:color w:val="auto"/>
        </w:rPr>
        <w:t>, EZ Seed</w:t>
      </w:r>
      <w:r>
        <w:rPr>
          <w:rFonts w:ascii="Arial" w:cs="Arial" w:eastAsia="Arial" w:hAnsi="Arial"/>
          <w:sz w:val="24"/>
          <w:szCs w:val="24"/>
          <w:color w:val="auto"/>
          <w:vertAlign w:val="superscript"/>
        </w:rPr>
        <w:t>®</w:t>
      </w:r>
      <w:r>
        <w:rPr>
          <w:rFonts w:ascii="Arial" w:cs="Arial" w:eastAsia="Arial" w:hAnsi="Arial"/>
          <w:sz w:val="17"/>
          <w:szCs w:val="17"/>
          <w:color w:val="auto"/>
        </w:rPr>
        <w:t>, Water Smart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PatchMaster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lawn-related weed, pest and disease control products primarily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sub-brands such as GrubEx</w:t>
      </w:r>
      <w:r>
        <w:rPr>
          <w:rFonts w:ascii="Arial" w:cs="Arial" w:eastAsia="Arial" w:hAnsi="Arial"/>
          <w:sz w:val="24"/>
          <w:szCs w:val="24"/>
          <w:color w:val="auto"/>
          <w:vertAlign w:val="superscript"/>
        </w:rPr>
        <w:t>®</w:t>
      </w:r>
      <w:r>
        <w:rPr>
          <w:rFonts w:ascii="Arial" w:cs="Arial" w:eastAsia="Arial" w:hAnsi="Arial"/>
          <w:sz w:val="17"/>
          <w:szCs w:val="17"/>
          <w:color w:val="auto"/>
        </w:rPr>
        <w:t>. A similar range of products is marketed in Europe and Australia under a variety of brands such as EverGreen</w:t>
      </w:r>
      <w:r>
        <w:rPr>
          <w:rFonts w:ascii="Arial" w:cs="Arial" w:eastAsia="Arial" w:hAnsi="Arial"/>
          <w:sz w:val="24"/>
          <w:szCs w:val="24"/>
          <w:color w:val="auto"/>
          <w:vertAlign w:val="superscript"/>
        </w:rPr>
        <w:t>®</w:t>
      </w:r>
      <w:r>
        <w:rPr>
          <w:rFonts w:ascii="Arial" w:cs="Arial" w:eastAsia="Arial" w:hAnsi="Arial"/>
          <w:sz w:val="17"/>
          <w:szCs w:val="17"/>
          <w:color w:val="auto"/>
        </w:rPr>
        <w:t>, Fertiligène</w:t>
      </w:r>
      <w:r>
        <w:rPr>
          <w:rFonts w:ascii="Arial" w:cs="Arial" w:eastAsia="Arial" w:hAnsi="Arial"/>
          <w:sz w:val="24"/>
          <w:szCs w:val="24"/>
          <w:color w:val="auto"/>
          <w:vertAlign w:val="superscript"/>
        </w:rPr>
        <w:t>®</w:t>
      </w:r>
      <w:r>
        <w:rPr>
          <w:rFonts w:ascii="Arial" w:cs="Arial" w:eastAsia="Arial" w:hAnsi="Arial"/>
          <w:sz w:val="17"/>
          <w:szCs w:val="17"/>
          <w:color w:val="auto"/>
        </w:rPr>
        <w:t>, Substral</w:t>
      </w:r>
      <w:r>
        <w:rPr>
          <w:rFonts w:ascii="Arial" w:cs="Arial" w:eastAsia="Arial" w:hAnsi="Arial"/>
          <w:sz w:val="24"/>
          <w:szCs w:val="24"/>
          <w:color w:val="auto"/>
          <w:vertAlign w:val="superscript"/>
        </w:rPr>
        <w:t>®</w:t>
      </w:r>
      <w:r>
        <w:rPr>
          <w:rFonts w:ascii="Arial" w:cs="Arial" w:eastAsia="Arial" w:hAnsi="Arial"/>
          <w:sz w:val="17"/>
          <w:szCs w:val="17"/>
          <w:color w:val="auto"/>
        </w:rPr>
        <w:t>, Miracle-Gro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Patch Magic</w:t>
      </w:r>
      <w:r>
        <w:rPr>
          <w:rFonts w:ascii="Arial" w:cs="Arial" w:eastAsia="Arial" w:hAnsi="Arial"/>
          <w:sz w:val="24"/>
          <w:szCs w:val="24"/>
          <w:color w:val="auto"/>
          <w:vertAlign w:val="superscript"/>
        </w:rPr>
        <w:t>®</w:t>
      </w:r>
      <w:r>
        <w:rPr>
          <w:rFonts w:ascii="Arial" w:cs="Arial" w:eastAsia="Arial" w:hAnsi="Arial"/>
          <w:sz w:val="17"/>
          <w:szCs w:val="17"/>
          <w:color w:val="auto"/>
        </w:rPr>
        <w:t>, Weedol</w:t>
      </w:r>
      <w:r>
        <w:rPr>
          <w:rFonts w:ascii="Arial" w:cs="Arial" w:eastAsia="Arial" w:hAnsi="Arial"/>
          <w:sz w:val="24"/>
          <w:szCs w:val="24"/>
          <w:color w:val="auto"/>
          <w:vertAlign w:val="superscript"/>
        </w:rPr>
        <w:t>®</w:t>
      </w:r>
      <w:r>
        <w:rPr>
          <w:rFonts w:ascii="Arial" w:cs="Arial" w:eastAsia="Arial" w:hAnsi="Arial"/>
          <w:sz w:val="17"/>
          <w:szCs w:val="17"/>
          <w:color w:val="auto"/>
        </w:rPr>
        <w:t>, Pathclear</w:t>
      </w:r>
      <w:r>
        <w:rPr>
          <w:rFonts w:ascii="Arial" w:cs="Arial" w:eastAsia="Arial" w:hAnsi="Arial"/>
          <w:sz w:val="24"/>
          <w:szCs w:val="24"/>
          <w:color w:val="auto"/>
          <w:vertAlign w:val="superscript"/>
        </w:rPr>
        <w:t>®</w:t>
      </w:r>
      <w:r>
        <w:rPr>
          <w:rFonts w:ascii="Arial" w:cs="Arial" w:eastAsia="Arial" w:hAnsi="Arial"/>
          <w:sz w:val="17"/>
          <w:szCs w:val="17"/>
          <w:color w:val="auto"/>
        </w:rPr>
        <w:t>, KB</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Celaflor</w:t>
      </w:r>
      <w:r>
        <w:rPr>
          <w:rFonts w:ascii="Arial" w:cs="Arial" w:eastAsia="Arial" w:hAnsi="Arial"/>
          <w:sz w:val="24"/>
          <w:szCs w:val="24"/>
          <w:color w:val="auto"/>
          <w:vertAlign w:val="superscript"/>
        </w:rPr>
        <w:t>®</w:t>
      </w:r>
      <w:r>
        <w:rPr>
          <w:rFonts w:ascii="Arial" w:cs="Arial" w:eastAsia="Arial" w:hAnsi="Arial"/>
          <w:sz w:val="17"/>
          <w:szCs w:val="17"/>
          <w:color w:val="auto"/>
        </w:rPr>
        <w:t>. The lawn care category also includes spreaders and other durables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 including Turf Builder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EdgeGuard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Snap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spreaders and Handy Green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II handheld spreaders. In addition, we market outdoor cleaners under the Scotts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OxiClean</w:t>
      </w:r>
      <w:r>
        <w:rPr>
          <w:rFonts w:ascii="Arial" w:cs="Arial" w:eastAsia="Arial" w:hAnsi="Arial"/>
          <w:sz w:val="24"/>
          <w:szCs w:val="24"/>
          <w:color w:val="auto"/>
          <w:vertAlign w:val="superscript"/>
        </w:rPr>
        <w:t>TM3</w:t>
      </w:r>
      <w:r>
        <w:rPr>
          <w:rFonts w:ascii="Arial" w:cs="Arial" w:eastAsia="Arial" w:hAnsi="Arial"/>
          <w:sz w:val="17"/>
          <w:szCs w:val="17"/>
          <w:color w:val="auto"/>
        </w:rPr>
        <w:t xml:space="preserve"> brand name.</w:t>
      </w:r>
    </w:p>
    <w:p>
      <w:pPr>
        <w:spacing w:after="0" w:line="55" w:lineRule="exact"/>
        <w:rPr>
          <w:sz w:val="20"/>
          <w:szCs w:val="20"/>
          <w:color w:val="auto"/>
        </w:rPr>
      </w:pPr>
    </w:p>
    <w:p>
      <w:pPr>
        <w:jc w:val="both"/>
        <w:ind w:firstLine="878"/>
        <w:spacing w:after="0" w:line="233" w:lineRule="auto"/>
        <w:rPr>
          <w:sz w:val="20"/>
          <w:szCs w:val="20"/>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w:t>
      </w:r>
      <w:r>
        <w:rPr>
          <w:rFonts w:ascii="Arial" w:cs="Arial" w:eastAsia="Arial" w:hAnsi="Arial"/>
          <w:sz w:val="16"/>
          <w:szCs w:val="16"/>
          <w:i w:val="1"/>
          <w:iCs w:val="1"/>
          <w:color w:val="auto"/>
        </w:rPr>
        <w:t xml:space="preserve"> </w:t>
      </w:r>
      <w:r>
        <w:rPr>
          <w:rFonts w:ascii="Arial" w:cs="Arial" w:eastAsia="Arial" w:hAnsi="Arial"/>
          <w:sz w:val="16"/>
          <w:szCs w:val="16"/>
          <w:color w:val="auto"/>
        </w:rPr>
        <w:t>and beautify landscaped areas. This category also includes our recent entry into hydroponic, i.e., soil less, gardening. In the United States, products within this category include a complete line of water-soluble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sub-brands such as LiquaFeed</w:t>
      </w:r>
      <w:r>
        <w:rPr>
          <w:rFonts w:ascii="Arial" w:cs="Arial" w:eastAsia="Arial" w:hAnsi="Arial"/>
          <w:sz w:val="22"/>
          <w:szCs w:val="22"/>
          <w:color w:val="auto"/>
          <w:vertAlign w:val="superscript"/>
        </w:rPr>
        <w:t>®</w:t>
      </w:r>
      <w:r>
        <w:rPr>
          <w:rFonts w:ascii="Arial" w:cs="Arial" w:eastAsia="Arial" w:hAnsi="Arial"/>
          <w:sz w:val="16"/>
          <w:szCs w:val="16"/>
          <w:color w:val="auto"/>
        </w:rPr>
        <w:t>, continuous-release plant foods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Osmocote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and sub-brands of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such as Shake ‘N Feed</w:t>
      </w:r>
      <w:r>
        <w:rPr>
          <w:rFonts w:ascii="Arial" w:cs="Arial" w:eastAsia="Arial" w:hAnsi="Arial"/>
          <w:sz w:val="22"/>
          <w:szCs w:val="22"/>
          <w:color w:val="auto"/>
          <w:vertAlign w:val="superscript"/>
        </w:rPr>
        <w:t>®</w:t>
      </w:r>
      <w:r>
        <w:rPr>
          <w:rFonts w:ascii="Arial" w:cs="Arial" w:eastAsia="Arial" w:hAnsi="Arial"/>
          <w:sz w:val="16"/>
          <w:szCs w:val="16"/>
          <w:color w:val="auto"/>
        </w:rPr>
        <w:t>; potting mixes and garden soils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Hyponex</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SuperSoil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mulch and decorative groundcover products under the Scotts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including the sub-brands Nature Scapes</w:t>
      </w:r>
      <w:r>
        <w:rPr>
          <w:rFonts w:ascii="Arial" w:cs="Arial" w:eastAsia="Arial" w:hAnsi="Arial"/>
          <w:sz w:val="22"/>
          <w:szCs w:val="22"/>
          <w:color w:val="auto"/>
          <w:vertAlign w:val="superscript"/>
        </w:rPr>
        <w:t>®</w:t>
      </w:r>
      <w:r>
        <w:rPr>
          <w:rFonts w:ascii="Arial" w:cs="Arial" w:eastAsia="Arial" w:hAnsi="Arial"/>
          <w:sz w:val="16"/>
          <w:szCs w:val="16"/>
          <w:color w:val="auto"/>
        </w:rPr>
        <w:t>, Earthgro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Hyponex</w:t>
      </w:r>
      <w:r>
        <w:rPr>
          <w:rFonts w:ascii="Arial" w:cs="Arial" w:eastAsia="Arial" w:hAnsi="Arial"/>
          <w:sz w:val="22"/>
          <w:szCs w:val="22"/>
          <w:color w:val="auto"/>
          <w:vertAlign w:val="superscript"/>
        </w:rPr>
        <w:t>®</w:t>
      </w:r>
      <w:r>
        <w:rPr>
          <w:rFonts w:ascii="Arial" w:cs="Arial" w:eastAsia="Arial" w:hAnsi="Arial"/>
          <w:sz w:val="16"/>
          <w:szCs w:val="16"/>
          <w:color w:val="auto"/>
        </w:rPr>
        <w:t>; plant-related pest and disease control products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organic garden products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Organic Choice</w:t>
      </w:r>
      <w:r>
        <w:rPr>
          <w:rFonts w:ascii="Arial" w:cs="Arial" w:eastAsia="Arial" w:hAnsi="Arial"/>
          <w:sz w:val="22"/>
          <w:szCs w:val="22"/>
          <w:color w:val="auto"/>
          <w:vertAlign w:val="superscript"/>
        </w:rPr>
        <w:t>®</w:t>
      </w:r>
      <w:r>
        <w:rPr>
          <w:rFonts w:ascii="Arial" w:cs="Arial" w:eastAsia="Arial" w:hAnsi="Arial"/>
          <w:sz w:val="16"/>
          <w:szCs w:val="16"/>
          <w:color w:val="auto"/>
        </w:rPr>
        <w:t>, Nature’s Care</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Whitney Farms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EcoScraps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live goods and seeding solutions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and Gro-ables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and hydroponic gardening products under the General Hydroponics</w:t>
      </w:r>
      <w:r>
        <w:rPr>
          <w:rFonts w:ascii="Arial" w:cs="Arial" w:eastAsia="Arial" w:hAnsi="Arial"/>
          <w:sz w:val="22"/>
          <w:szCs w:val="22"/>
          <w:color w:val="auto"/>
          <w:vertAlign w:val="superscript"/>
        </w:rPr>
        <w:t>®</w:t>
      </w:r>
      <w:r>
        <w:rPr>
          <w:rFonts w:ascii="Arial" w:cs="Arial" w:eastAsia="Arial" w:hAnsi="Arial"/>
          <w:sz w:val="16"/>
          <w:szCs w:val="16"/>
          <w:color w:val="auto"/>
        </w:rPr>
        <w:t>, Gavita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AeroGarden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Internationally, similar products are marketed under the Miracle-Gro</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Substral</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Celaflor</w:t>
      </w:r>
      <w:r>
        <w:rPr>
          <w:rFonts w:ascii="Arial" w:cs="Arial" w:eastAsia="Arial" w:hAnsi="Arial"/>
          <w:sz w:val="22"/>
          <w:szCs w:val="22"/>
          <w:color w:val="auto"/>
          <w:vertAlign w:val="superscript"/>
        </w:rPr>
        <w:t>®</w:t>
      </w:r>
      <w:r>
        <w:rPr>
          <w:rFonts w:ascii="Arial" w:cs="Arial" w:eastAsia="Arial" w:hAnsi="Arial"/>
          <w:sz w:val="16"/>
          <w:szCs w:val="16"/>
          <w:color w:val="auto"/>
        </w:rPr>
        <w:t>, ASEF</w:t>
      </w:r>
      <w:r>
        <w:rPr>
          <w:rFonts w:ascii="Arial" w:cs="Arial" w:eastAsia="Arial" w:hAnsi="Arial"/>
          <w:sz w:val="22"/>
          <w:szCs w:val="22"/>
          <w:color w:val="auto"/>
          <w:vertAlign w:val="superscript"/>
        </w:rPr>
        <w:t>®</w:t>
      </w:r>
      <w:r>
        <w:rPr>
          <w:rFonts w:ascii="Arial" w:cs="Arial" w:eastAsia="Arial" w:hAnsi="Arial"/>
          <w:sz w:val="16"/>
          <w:szCs w:val="16"/>
          <w:color w:val="auto"/>
        </w:rPr>
        <w:t>, Scotts</w:t>
      </w:r>
      <w:r>
        <w:rPr>
          <w:rFonts w:ascii="Arial" w:cs="Arial" w:eastAsia="Arial" w:hAnsi="Arial"/>
          <w:sz w:val="22"/>
          <w:szCs w:val="22"/>
          <w:color w:val="auto"/>
          <w:vertAlign w:val="superscript"/>
        </w:rPr>
        <w:t>®</w:t>
      </w:r>
      <w:r>
        <w:rPr>
          <w:rFonts w:ascii="Arial" w:cs="Arial" w:eastAsia="Arial" w:hAnsi="Arial"/>
          <w:sz w:val="16"/>
          <w:szCs w:val="16"/>
          <w:color w:val="auto"/>
        </w:rPr>
        <w:t>, Scotts EcoSense</w:t>
      </w:r>
      <w:r>
        <w:rPr>
          <w:rFonts w:ascii="Arial" w:cs="Arial" w:eastAsia="Arial" w:hAnsi="Arial"/>
          <w:sz w:val="22"/>
          <w:szCs w:val="22"/>
          <w:color w:val="auto"/>
          <w:vertAlign w:val="superscript"/>
        </w:rPr>
        <w:t>®</w:t>
      </w:r>
      <w:r>
        <w:rPr>
          <w:rFonts w:ascii="Arial" w:cs="Arial" w:eastAsia="Arial" w:hAnsi="Arial"/>
          <w:sz w:val="16"/>
          <w:szCs w:val="16"/>
          <w:color w:val="auto"/>
        </w:rPr>
        <w:t>, Naturen</w:t>
      </w:r>
      <w:r>
        <w:rPr>
          <w:rFonts w:ascii="Arial" w:cs="Arial" w:eastAsia="Arial" w:hAnsi="Arial"/>
          <w:sz w:val="22"/>
          <w:szCs w:val="22"/>
          <w:color w:val="auto"/>
          <w:vertAlign w:val="superscript"/>
        </w:rPr>
        <w:t>®</w:t>
      </w:r>
      <w:r>
        <w:rPr>
          <w:rFonts w:ascii="Arial" w:cs="Arial" w:eastAsia="Arial" w:hAnsi="Arial"/>
          <w:sz w:val="16"/>
          <w:szCs w:val="16"/>
          <w:color w:val="auto"/>
        </w:rPr>
        <w:t>, Miracle-Gro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Organic Choice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Fafard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 the second quarter of fiscal 2016, we entered into a Marketing, R&amp;D and Ancillary Services Agreement (the “Services Agreement”) and a Term Loan Agreement (the “Term Loan Agreement”) with Bonnie Plants, Inc. (“Bonnie”) and its sole shareholder, Alabama Farmers Cooperative, Inc. (“AFC”), pursuant to which we provide financing and certain services to Bonnie’s business of planting, growing, developing, manufacturing, distributing, marketing, and selling to retail stores throughout the United States live plants, plant food, fertilizer and potting soil (the “Bonnie Business”). See “Acquisitions and Divestitures”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OxiClean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a registered trademark of Church &amp; Dwight Co., Inc.</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94" w:right="239" w:bottom="1440" w:gutter="0" w:footer="0" w:header="0"/>
        </w:sectPr>
      </w:pPr>
    </w:p>
    <w:bookmarkStart w:id="3" w:name="page4"/>
    <w:bookmarkEnd w:id="3"/>
    <w:p>
      <w:pPr>
        <w:jc w:val="both"/>
        <w:ind w:firstLine="878"/>
        <w:spacing w:after="0" w:line="239" w:lineRule="auto"/>
        <w:rPr>
          <w:sz w:val="20"/>
          <w:szCs w:val="20"/>
          <w:color w:val="auto"/>
        </w:rPr>
      </w:pPr>
      <w:r>
        <w:rPr>
          <w:rFonts w:ascii="Arial" w:cs="Arial" w:eastAsia="Arial" w:hAnsi="Arial"/>
          <w:sz w:val="16"/>
          <w:szCs w:val="16"/>
          <w:i w:val="1"/>
          <w:iCs w:val="1"/>
          <w:color w:val="auto"/>
        </w:rPr>
        <w:t xml:space="preserve">Controls: </w:t>
      </w:r>
      <w:r>
        <w:rPr>
          <w:rFonts w:ascii="Arial" w:cs="Arial" w:eastAsia="Arial" w:hAnsi="Arial"/>
          <w:sz w:val="16"/>
          <w:szCs w:val="16"/>
          <w:color w:val="auto"/>
        </w:rPr>
        <w:t>The controls category is designed to help consumers protect their homes from pests and maintain external home areas.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insect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 including Ortho Max</w:t>
      </w:r>
      <w:r>
        <w:rPr>
          <w:rFonts w:ascii="Arial" w:cs="Arial" w:eastAsia="Arial" w:hAnsi="Arial"/>
          <w:sz w:val="22"/>
          <w:szCs w:val="22"/>
          <w:color w:val="auto"/>
          <w:vertAlign w:val="superscript"/>
        </w:rPr>
        <w:t>®</w:t>
      </w:r>
      <w:r>
        <w:rPr>
          <w:rFonts w:ascii="Arial" w:cs="Arial" w:eastAsia="Arial" w:hAnsi="Arial"/>
          <w:sz w:val="16"/>
          <w:szCs w:val="16"/>
          <w:color w:val="auto"/>
        </w:rPr>
        <w:t>, Home Defense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Bug B Gon Max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sub-brands; rodent control products are marketed under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selective weed control products are marketed under the Ortho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Weed B Gon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sub-brand; and non-selective weed control products are marketed under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Groundclear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names. Internationally, products within this category are marketed under the Nexa Lotte</w:t>
      </w:r>
      <w:r>
        <w:rPr>
          <w:rFonts w:ascii="Arial" w:cs="Arial" w:eastAsia="Arial" w:hAnsi="Arial"/>
          <w:sz w:val="22"/>
          <w:szCs w:val="22"/>
          <w:color w:val="auto"/>
          <w:vertAlign w:val="superscript"/>
        </w:rPr>
        <w:t>®</w:t>
      </w:r>
      <w:r>
        <w:rPr>
          <w:rFonts w:ascii="Arial" w:cs="Arial" w:eastAsia="Arial" w:hAnsi="Arial"/>
          <w:sz w:val="16"/>
          <w:szCs w:val="16"/>
          <w:color w:val="auto"/>
        </w:rPr>
        <w:t>, Fertiligène</w:t>
      </w:r>
      <w:r>
        <w:rPr>
          <w:rFonts w:ascii="Arial" w:cs="Arial" w:eastAsia="Arial" w:hAnsi="Arial"/>
          <w:sz w:val="22"/>
          <w:szCs w:val="22"/>
          <w:color w:val="auto"/>
          <w:vertAlign w:val="superscript"/>
        </w:rPr>
        <w:t>®</w:t>
      </w:r>
      <w:r>
        <w:rPr>
          <w:rFonts w:ascii="Arial" w:cs="Arial" w:eastAsia="Arial" w:hAnsi="Arial"/>
          <w:sz w:val="16"/>
          <w:szCs w:val="16"/>
          <w:color w:val="auto"/>
        </w:rPr>
        <w:t>, KB</w:t>
      </w:r>
      <w:r>
        <w:rPr>
          <w:rFonts w:ascii="Arial" w:cs="Arial" w:eastAsia="Arial" w:hAnsi="Arial"/>
          <w:sz w:val="22"/>
          <w:szCs w:val="22"/>
          <w:color w:val="auto"/>
          <w:vertAlign w:val="superscript"/>
        </w:rPr>
        <w:t>®</w:t>
      </w:r>
      <w:r>
        <w:rPr>
          <w:rFonts w:ascii="Arial" w:cs="Arial" w:eastAsia="Arial" w:hAnsi="Arial"/>
          <w:sz w:val="16"/>
          <w:szCs w:val="16"/>
          <w:color w:val="auto"/>
        </w:rPr>
        <w:t>, Home Defence</w:t>
      </w:r>
      <w:r>
        <w:rPr>
          <w:rFonts w:ascii="Arial" w:cs="Arial" w:eastAsia="Arial" w:hAnsi="Arial"/>
          <w:sz w:val="22"/>
          <w:szCs w:val="22"/>
          <w:color w:val="auto"/>
          <w:vertAlign w:val="superscript"/>
        </w:rPr>
        <w:t>®</w:t>
      </w:r>
      <w:r>
        <w:rPr>
          <w:rFonts w:ascii="Arial" w:cs="Arial" w:eastAsia="Arial" w:hAnsi="Arial"/>
          <w:sz w:val="16"/>
          <w:szCs w:val="16"/>
          <w:color w:val="auto"/>
        </w:rPr>
        <w:t>, Home Defense</w:t>
      </w:r>
      <w:r>
        <w:rPr>
          <w:rFonts w:ascii="Arial" w:cs="Arial" w:eastAsia="Arial" w:hAnsi="Arial"/>
          <w:sz w:val="22"/>
          <w:szCs w:val="22"/>
          <w:color w:val="auto"/>
          <w:vertAlign w:val="superscript"/>
        </w:rPr>
        <w:t>®</w:t>
      </w:r>
      <w:r>
        <w:rPr>
          <w:rFonts w:ascii="Arial" w:cs="Arial" w:eastAsia="Arial" w:hAnsi="Arial"/>
          <w:sz w:val="16"/>
          <w:szCs w:val="16"/>
          <w:color w:val="auto"/>
        </w:rPr>
        <w:t>, Weedol</w:t>
      </w:r>
      <w:r>
        <w:rPr>
          <w:rFonts w:ascii="Arial" w:cs="Arial" w:eastAsia="Arial" w:hAnsi="Arial"/>
          <w:sz w:val="22"/>
          <w:szCs w:val="22"/>
          <w:color w:val="auto"/>
          <w:vertAlign w:val="superscript"/>
        </w:rPr>
        <w:t>®</w:t>
      </w:r>
      <w:r>
        <w:rPr>
          <w:rFonts w:ascii="Arial" w:cs="Arial" w:eastAsia="Arial" w:hAnsi="Arial"/>
          <w:sz w:val="16"/>
          <w:szCs w:val="16"/>
          <w:color w:val="auto"/>
        </w:rPr>
        <w:t>, Pathclear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5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6"/>
          <w:szCs w:val="16"/>
          <w:color w:val="auto"/>
        </w:rPr>
        <w:t>Since 1998, we have served as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in the consumer lawn and garden market within the United States and other specified countries, including Australia, Austria, Belgium, Canada, France, Germany, the Netherlands and the United Kingdom. In 2015, the territories were expanded to include all countries other than Japan and those subject to a comprehensive U.S. trade embargo or certain other embargoes and trade restrictions.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We provide manufacturing conversion services (in North America), distribution and logistics, and selling and marketing support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We also entered into a lawn and garden brand extension agreement during 2015, providing us the ability to extend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globally into other categories of lawn and garden beyond non-selective weed control. Monsanto continues to own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and provides significant oversight of the brand. In addition, Monsanto continues to own and operate the agricultural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For additional details regarding the Marketing Agreement, see “ITEM 1A. RISK FACTORS — In the event of termination of the Marketing Agreement for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we would lose a substantial source of future earnings and overhead expense absorption” of this Annual Report on Form 10-K and “NOTE 6. MARKETING AGREEMENT” of the Notes to Consolidated Financial Statements included in this Annual Report on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3, 2016, the Company, through its subsidiary The Hawthorne Gardening Company, completed the acquisition of American Agritech, L.L.C., d/b/a Botanicare, an Arizona-based leading producer of plant nutrients, plant supplements and growing systems used for hydroponic gardening for an estimated purchase price of $90.0 million.</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On May 26, 2016, our wholly-owned subsidiary, The Hawthorne Gardening Company, acquired majority control and a 75% economic interest in Gavita for $136.2 million. Gavita’s former ownership group retained a 25% noncontrolling interest in Gavita consisting of ownership of 5% of the outstanding shares of Gavita and a loan with interest payable based on distributions by Gavita. Gavita, which is based in the Netherlands, is a leading producer and marketer of indoor lighting used in the greenhouse and hydroponic markets, predominately in the United States and Europe. This transaction provides the Company’s Other segment with a presence in the lighting category of indoor and urban gardening, which is a part of the Company’s long-term growth strategy.</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the third quarter of fiscal 2016, the Company completed an acquisition to expand its Canadian growing media operations for an estimated purchase price of $33.9 million.</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second quarter of fiscal 2016, the Company entered into the Services Agreement and the Term Loan Agreement with Bonnie and AFC providing for the Company’s participation in the Bonnie Business. The Term Loan Agreement provides a loan from the Company to AFC, with Bonnie as guarantor, in the amount of $72.0 million with a fixed coupon rate of 6.95% (the “Term Loan”). Under the Services Agreement, the Company provides marketing, research and development and certain ancillary services to the Bonnie Business for a commission fee based on the profits of the Bonnie Business and the reimbursement of certain costs.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May 15, 2015, we amended our Marketing Agreement with Monsanto and entered into a lawn and garden brand extension agreement, and a commercialization and technology agreement with Monsanto. We paid Monsanto $300.0 million in consideration for these agreements on August 14, 2015, using borrowings under our credit facility. These agreements provide us with the following significant rights:</w:t>
      </w:r>
    </w:p>
    <w:p>
      <w:pPr>
        <w:spacing w:after="0" w:line="100"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extend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globally into other categories of lawn and garden beyond non-selective weed control;</w:t>
      </w:r>
    </w:p>
    <w:p>
      <w:pPr>
        <w:spacing w:after="0" w:line="63" w:lineRule="exact"/>
        <w:rPr>
          <w:rFonts w:ascii="Arial" w:cs="Arial" w:eastAsia="Arial" w:hAnsi="Arial"/>
          <w:sz w:val="18"/>
          <w:szCs w:val="18"/>
          <w:color w:val="auto"/>
        </w:rPr>
      </w:pPr>
    </w:p>
    <w:p>
      <w:pPr>
        <w:ind w:left="820" w:hanging="326"/>
        <w:spacing w:after="0" w:line="227"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opportunity to introduce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into territories not included in the original Marketing Agreement, including China and Latin America. Only Japan and countries with U.S. trade embargoes are excluded from the Marketing Agreement;</w:t>
      </w:r>
    </w:p>
    <w:p>
      <w:pPr>
        <w:spacing w:after="0" w:line="121" w:lineRule="exact"/>
        <w:rPr>
          <w:rFonts w:ascii="Arial" w:cs="Arial" w:eastAsia="Arial" w:hAnsi="Arial"/>
          <w:sz w:val="17"/>
          <w:szCs w:val="17"/>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opportunity to propose changes to product formulations if deemed necessary to grow and/or protect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4" w:name="page5"/>
    <w:bookmarkEnd w:id="4"/>
    <w:p>
      <w:pPr>
        <w:ind w:left="820" w:hanging="326"/>
        <w:spacing w:after="0" w:line="21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right of first offer and a right of last look in the event Monsanto were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and a credit to the purchase price in an amount equal to the then applicable termination fee in the event we make a bid in connection with such a sale;</w:t>
      </w:r>
    </w:p>
    <w:p>
      <w:pPr>
        <w:spacing w:after="0" w:line="12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“first look” related to Monsanto’s innovation pipeline that would provide Scotts Miracle-Gro with access to new technology and products that may be commercialized in the residential lawn and garden marketplace;</w:t>
      </w:r>
    </w:p>
    <w:p>
      <w:pPr>
        <w:spacing w:after="0" w:line="89" w:lineRule="exact"/>
        <w:rPr>
          <w:rFonts w:ascii="Arial" w:cs="Arial" w:eastAsia="Arial" w:hAnsi="Arial"/>
          <w:sz w:val="18"/>
          <w:szCs w:val="18"/>
          <w:color w:val="auto"/>
        </w:rPr>
      </w:pPr>
    </w:p>
    <w:p>
      <w:pPr>
        <w:jc w:val="both"/>
        <w:ind w:left="820" w:hanging="326"/>
        <w:spacing w:after="0" w:line="281"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enhancements of our rights in connection with the termination of the Marketing Agreement, including increasing the termination fee payable thereunder, eliminating certain of Monsanto’s termination rights and delaying the effectiveness of a termination in connection with a change of control of Monsanto or a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 five years after the notice of termination; and</w:t>
      </w:r>
    </w:p>
    <w:p>
      <w:pPr>
        <w:spacing w:after="0" w:line="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expanded ability for us to transfer, and thereby monetize, our rights as marketing agent to a third party (1) with respect to (a) the North America territories and (b) one or more other included markets for up to three other assignments and (2) in connection with a change of control of Scotts Miracle-Gro.</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March 30, 2015, the Company acquired the assets of General Hydroponics and Vermicrop for $120.0 million and $15.0 million, respectively. The Vermicrop purchase price was paid in common shares of Scotts Miracle-Gro (“Common Shares”) based on the average share price at the time of payment. This transaction provides the Company’s Other segment with an additional entry in the indoor and urban gardening category, which is a part of the Company’s long-term growth strategy. General Hydroponics and Vermicrop are leading producers of liquid plant food products, growing media and accessories for hydroponic gardening.</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30, 2014, our wholly-owned subsidiary, Scotts Canada Ltd., acquired Fafard &amp; Brothers Ltd. (“Fafard”) for $59.8 million. In continuous operation since 1940 and based in Saint-Bonaventure, Quebec, Canada, Fafard is a producer of peat moss and growing media products for consumer and professional markets including peat-based and bark-based mixes, composts and premium soils. Fafard serves customers primarily across Ontario, Quebec, New Brunswick and the eastern United States.</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fourth quarter of the fiscal year ended September 30, 2014 (“fiscal 2014”), as a reflection of our increased control of the operations of AeroGrow gained through a working capital loan made by the Company, we consolidated AeroGrow’s financial results into that of the Company. AeroGrow is a developer, marketer, direct-seller, and wholesaler of advanced indoor garden systems designed for consumer use in gardening, and home and office décor markets. AeroGrow operates primarily in the United States and Canada, as well as select countries in Europe, Asia and Australia.</w:t>
      </w:r>
    </w:p>
    <w:p>
      <w:pPr>
        <w:spacing w:after="0" w:line="19" w:lineRule="exact"/>
        <w:rPr>
          <w:sz w:val="20"/>
          <w:szCs w:val="20"/>
          <w:color w:val="auto"/>
        </w:rPr>
      </w:pPr>
    </w:p>
    <w:p>
      <w:pPr>
        <w:jc w:val="both"/>
        <w:ind w:firstLine="432"/>
        <w:spacing w:after="0" w:line="197" w:lineRule="auto"/>
        <w:rPr>
          <w:sz w:val="20"/>
          <w:szCs w:val="20"/>
          <w:color w:val="auto"/>
        </w:rPr>
      </w:pPr>
      <w:r>
        <w:rPr>
          <w:rFonts w:ascii="Arial" w:cs="Arial" w:eastAsia="Arial" w:hAnsi="Arial"/>
          <w:sz w:val="18"/>
          <w:szCs w:val="18"/>
          <w:color w:val="auto"/>
        </w:rPr>
        <w:t>On October 14, 2013, we acquired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rodent control business from Bell Laboratories, Inc., located in Madison, Wisconsin, for $60.0 million in an all-cash transaction. The acquisition included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and other intellectual property, as well as a long-term partnership to bring innovative technologies to the consumer rodent control market.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consumer products are sold at home centers, mass retailers, and grocery, drug and general merchandise stores across the United States, Canada, Europe and Australia.</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over the past five years, we have completed several smaller acquisitions within our controls and growing media businesses.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past five years, we have completed several divestitures, the largest of which was our April 13, 2016 contribution of the SLS Business to the TruGreen Joint Venture in exchange for a minority equity interest of 30% in the TruGreen Joint Venture. In the fourth quarter of the fiscal year ended September 30, 2012 (“fiscal 2012”), we completed the wind down of our professional grass seed business. In the second quarter of fiscal 2014, we completed the sale of our wild bird food business in the United States and Canada for $4.1 million in cash and $1.0 million in earn-out payments. We have classified our results of operations for all periods presented in this Annual Report on Form 10-K to reflect these businesses as discontinued operations during the applicable periods. See “NOTE 2. DISCONTINUED OPERATIONS” of the Notes to Consolidated Financial Statements included in this Annual Report on Form 10-K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sell our consumer products primarily to home centers, mass merchandisers, warehouse clubs, large hardware chains, independent hardware stores, nurseries, garden centers, food and drug stores, and indoor gardening and hydroponic stores through both a direct sales force and our network of brokers and distributors. In addition, during fiscal 2016, we employed approximately 3,300 full-time and seasonal in-store associates within the United States to help our retail partners merchandise their lawn and garden departments directly to consumers of our products.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shipments to customers are made via common carriers or through distributors in the United States and through a network of public warehouses and distributors in Europe. We primarily utilize third parties to manage the key distribution centers for our consumer business in North America, which are strategically located across the United States and Canada.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89" w:right="239" w:bottom="1440" w:gutter="0" w:footer="0" w:header="0"/>
        </w:sectPr>
      </w:pPr>
    </w:p>
    <w:bookmarkStart w:id="5" w:name="page6"/>
    <w:bookmarkEnd w:id="5"/>
    <w:p>
      <w:pPr>
        <w:jc w:val="both"/>
        <w:ind w:right="20"/>
        <w:spacing w:after="0" w:line="308" w:lineRule="auto"/>
        <w:rPr>
          <w:sz w:val="20"/>
          <w:szCs w:val="20"/>
          <w:color w:val="auto"/>
        </w:rPr>
      </w:pPr>
      <w:r>
        <w:rPr>
          <w:rFonts w:ascii="Arial" w:cs="Arial" w:eastAsia="Arial" w:hAnsi="Arial"/>
          <w:sz w:val="17"/>
          <w:szCs w:val="17"/>
          <w:color w:val="auto"/>
        </w:rPr>
        <w:t>distribution centers for our consumer business internationally are located in the United Kingdom, France, Germany, Austria and Australia and are also managed by third-party logistics providers. Growing media products are generally shipped direct-to-store without passing through a distribution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season to secure pre-determined prices. We also hedge certain commodities, particularly diesel, gasoline and urea, to improve cost predictability and control. Sufficient raw materials were available during fiscal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7"/>
          <w:szCs w:val="17"/>
          <w:color w:val="auto"/>
        </w:rPr>
        <w:t>We consider our trademarks, patents and licenses to be key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24"/>
          <w:szCs w:val="24"/>
          <w:color w:val="auto"/>
          <w:vertAlign w:val="superscript"/>
        </w:rPr>
        <w:t>®</w:t>
      </w:r>
      <w:r>
        <w:rPr>
          <w:rFonts w:ascii="Arial" w:cs="Arial" w:eastAsia="Arial" w:hAnsi="Arial"/>
          <w:sz w:val="17"/>
          <w:szCs w:val="17"/>
          <w:color w:val="auto"/>
        </w:rPr>
        <w:t>, Miracle-Gro</w:t>
      </w:r>
      <w:r>
        <w:rPr>
          <w:rFonts w:ascii="Arial" w:cs="Arial" w:eastAsia="Arial" w:hAnsi="Arial"/>
          <w:sz w:val="24"/>
          <w:szCs w:val="24"/>
          <w:color w:val="auto"/>
          <w:vertAlign w:val="superscript"/>
        </w:rPr>
        <w:t>®</w:t>
      </w:r>
      <w:r>
        <w:rPr>
          <w:rFonts w:ascii="Arial" w:cs="Arial" w:eastAsia="Arial" w:hAnsi="Arial"/>
          <w:sz w:val="17"/>
          <w:szCs w:val="17"/>
          <w:color w:val="auto"/>
        </w:rPr>
        <w:t>, Ortho</w:t>
      </w:r>
      <w:r>
        <w:rPr>
          <w:rFonts w:ascii="Arial" w:cs="Arial" w:eastAsia="Arial" w:hAnsi="Arial"/>
          <w:sz w:val="24"/>
          <w:szCs w:val="24"/>
          <w:color w:val="auto"/>
          <w:vertAlign w:val="superscript"/>
        </w:rPr>
        <w:t>®</w:t>
      </w:r>
      <w:r>
        <w:rPr>
          <w:rFonts w:ascii="Arial" w:cs="Arial" w:eastAsia="Arial" w:hAnsi="Arial"/>
          <w:sz w:val="17"/>
          <w:szCs w:val="17"/>
          <w:color w:val="auto"/>
        </w:rPr>
        <w:t>, Tomcat</w:t>
      </w:r>
      <w:r>
        <w:rPr>
          <w:rFonts w:ascii="Arial" w:cs="Arial" w:eastAsia="Arial" w:hAnsi="Arial"/>
          <w:sz w:val="24"/>
          <w:szCs w:val="24"/>
          <w:color w:val="auto"/>
          <w:vertAlign w:val="superscript"/>
        </w:rPr>
        <w:t>®</w:t>
      </w:r>
      <w:r>
        <w:rPr>
          <w:rFonts w:ascii="Arial" w:cs="Arial" w:eastAsia="Arial" w:hAnsi="Arial"/>
          <w:sz w:val="17"/>
          <w:szCs w:val="17"/>
          <w:color w:val="auto"/>
        </w:rPr>
        <w:t>, Hyponex</w:t>
      </w:r>
      <w:r>
        <w:rPr>
          <w:rFonts w:ascii="Arial" w:cs="Arial" w:eastAsia="Arial" w:hAnsi="Arial"/>
          <w:sz w:val="24"/>
          <w:szCs w:val="24"/>
          <w:color w:val="auto"/>
          <w:vertAlign w:val="superscript"/>
        </w:rPr>
        <w:t>®</w:t>
      </w:r>
      <w:r>
        <w:rPr>
          <w:rFonts w:ascii="Arial" w:cs="Arial" w:eastAsia="Arial" w:hAnsi="Arial"/>
          <w:sz w:val="17"/>
          <w:szCs w:val="17"/>
          <w:color w:val="auto"/>
        </w:rPr>
        <w:t>, Earthgro</w:t>
      </w:r>
      <w:r>
        <w:rPr>
          <w:rFonts w:ascii="Arial" w:cs="Arial" w:eastAsia="Arial" w:hAnsi="Arial"/>
          <w:sz w:val="24"/>
          <w:szCs w:val="24"/>
          <w:color w:val="auto"/>
          <w:vertAlign w:val="superscript"/>
        </w:rPr>
        <w:t>®</w:t>
      </w:r>
      <w:r>
        <w:rPr>
          <w:rFonts w:ascii="Arial" w:cs="Arial" w:eastAsia="Arial" w:hAnsi="Arial"/>
          <w:sz w:val="17"/>
          <w:szCs w:val="17"/>
          <w:color w:val="auto"/>
        </w:rPr>
        <w:t>, General Hydroponics</w:t>
      </w:r>
      <w:r>
        <w:rPr>
          <w:rFonts w:ascii="Arial" w:cs="Arial" w:eastAsia="Arial" w:hAnsi="Arial"/>
          <w:sz w:val="24"/>
          <w:szCs w:val="24"/>
          <w:color w:val="auto"/>
          <w:vertAlign w:val="superscript"/>
        </w:rPr>
        <w:t>®</w:t>
      </w:r>
      <w:r>
        <w:rPr>
          <w:rFonts w:ascii="Arial" w:cs="Arial" w:eastAsia="Arial" w:hAnsi="Arial"/>
          <w:sz w:val="17"/>
          <w:szCs w:val="17"/>
          <w:color w:val="auto"/>
        </w:rPr>
        <w:t>, Vermicrop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Gavita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names and logos, as well as a number of product trademarks, including Turf Builder</w:t>
      </w:r>
      <w:r>
        <w:rPr>
          <w:rFonts w:ascii="Arial" w:cs="Arial" w:eastAsia="Arial" w:hAnsi="Arial"/>
          <w:sz w:val="24"/>
          <w:szCs w:val="24"/>
          <w:color w:val="auto"/>
          <w:vertAlign w:val="superscript"/>
        </w:rPr>
        <w:t>®</w:t>
      </w:r>
      <w:r>
        <w:rPr>
          <w:rFonts w:ascii="Arial" w:cs="Arial" w:eastAsia="Arial" w:hAnsi="Arial"/>
          <w:sz w:val="17"/>
          <w:szCs w:val="17"/>
          <w:color w:val="auto"/>
        </w:rPr>
        <w:t>, EZ Seed</w:t>
      </w:r>
      <w:r>
        <w:rPr>
          <w:rFonts w:ascii="Arial" w:cs="Arial" w:eastAsia="Arial" w:hAnsi="Arial"/>
          <w:sz w:val="24"/>
          <w:szCs w:val="24"/>
          <w:color w:val="auto"/>
          <w:vertAlign w:val="superscript"/>
        </w:rPr>
        <w:t>®</w:t>
      </w:r>
      <w:r>
        <w:rPr>
          <w:rFonts w:ascii="Arial" w:cs="Arial" w:eastAsia="Arial" w:hAnsi="Arial"/>
          <w:sz w:val="17"/>
          <w:szCs w:val="17"/>
          <w:color w:val="auto"/>
        </w:rPr>
        <w:t>, Snap</w:t>
      </w:r>
      <w:r>
        <w:rPr>
          <w:rFonts w:ascii="Arial" w:cs="Arial" w:eastAsia="Arial" w:hAnsi="Arial"/>
          <w:sz w:val="24"/>
          <w:szCs w:val="24"/>
          <w:color w:val="auto"/>
          <w:vertAlign w:val="superscript"/>
        </w:rPr>
        <w:t>®</w:t>
      </w:r>
      <w:r>
        <w:rPr>
          <w:rFonts w:ascii="Arial" w:cs="Arial" w:eastAsia="Arial" w:hAnsi="Arial"/>
          <w:sz w:val="17"/>
          <w:szCs w:val="17"/>
          <w:color w:val="auto"/>
        </w:rPr>
        <w:t>, Organic Choice</w:t>
      </w:r>
      <w:r>
        <w:rPr>
          <w:rFonts w:ascii="Arial" w:cs="Arial" w:eastAsia="Arial" w:hAnsi="Arial"/>
          <w:sz w:val="24"/>
          <w:szCs w:val="24"/>
          <w:color w:val="auto"/>
          <w:vertAlign w:val="superscript"/>
        </w:rPr>
        <w:t>®</w:t>
      </w:r>
      <w:r>
        <w:rPr>
          <w:rFonts w:ascii="Arial" w:cs="Arial" w:eastAsia="Arial" w:hAnsi="Arial"/>
          <w:sz w:val="17"/>
          <w:szCs w:val="17"/>
          <w:color w:val="auto"/>
        </w:rPr>
        <w:t>, Nature’s Care</w:t>
      </w:r>
      <w:r>
        <w:rPr>
          <w:rFonts w:ascii="Arial" w:cs="Arial" w:eastAsia="Arial" w:hAnsi="Arial"/>
          <w:sz w:val="24"/>
          <w:szCs w:val="24"/>
          <w:color w:val="auto"/>
          <w:vertAlign w:val="superscript"/>
        </w:rPr>
        <w:t>®</w:t>
      </w:r>
      <w:r>
        <w:rPr>
          <w:rFonts w:ascii="Arial" w:cs="Arial" w:eastAsia="Arial" w:hAnsi="Arial"/>
          <w:sz w:val="17"/>
          <w:szCs w:val="17"/>
          <w:color w:val="auto"/>
        </w:rPr>
        <w:t>, Home Defense Max</w:t>
      </w:r>
      <w:r>
        <w:rPr>
          <w:rFonts w:ascii="Arial" w:cs="Arial" w:eastAsia="Arial" w:hAnsi="Arial"/>
          <w:sz w:val="24"/>
          <w:szCs w:val="24"/>
          <w:color w:val="auto"/>
          <w:vertAlign w:val="superscript"/>
        </w:rPr>
        <w:t>®</w:t>
      </w:r>
      <w:r>
        <w:rPr>
          <w:rFonts w:ascii="Arial" w:cs="Arial" w:eastAsia="Arial" w:hAnsi="Arial"/>
          <w:sz w:val="17"/>
          <w:szCs w:val="17"/>
          <w:color w:val="auto"/>
        </w:rPr>
        <w:t>, Nature Scapes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Weed B Gon Max</w:t>
      </w:r>
      <w:r>
        <w:rPr>
          <w:rFonts w:ascii="Arial" w:cs="Arial" w:eastAsia="Arial" w:hAnsi="Arial"/>
          <w:sz w:val="24"/>
          <w:szCs w:val="24"/>
          <w:color w:val="auto"/>
          <w:vertAlign w:val="superscript"/>
        </w:rPr>
        <w:t>®</w:t>
      </w:r>
      <w:r>
        <w:rPr>
          <w:rFonts w:ascii="Arial" w:cs="Arial" w:eastAsia="Arial" w:hAnsi="Arial"/>
          <w:sz w:val="17"/>
          <w:szCs w:val="17"/>
          <w:color w:val="auto"/>
        </w:rPr>
        <w:t>, are registered in the United States and/or internationally and are considered material to our business.</w:t>
      </w:r>
    </w:p>
    <w:p>
      <w:pPr>
        <w:spacing w:after="0" w:line="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we actively develop and maintain an extensive portfolio of utility and design patents covering subject matters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either of our business segments or the business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business is highly seasonal, with more than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food and drug stores, and indoor gardening and hydroponic stores. Our three largest customers are Home Depot, Lowe’s and Walmart, which are reported within the U.S. Consumer segment and are the only customers that individually represent more than 10% of reported consolidated net sales. For additional details regarding significant customers, see “ITEM 1A. RISK FACTORS — Because of the concentration of our sales to a small number of retail customers, the loss of one or more of, or a significant reduction in orders from, our top customers could adversely affect our financial results” of this Annual Report on Form 10-K and “NOTE 20. CONCENTRATIONS OF CREDIT RISK” of the Notes to Consolidated Financial Statements included in this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markets in which we sell our products are highly competitive. We compete primarily on the basis of product innovation, product quality, product performance, value, brand strength, supply chain competency, field sales support, in-store sales support, the strength of our relationships with major retailers and advertising.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6" w:name="page7"/>
    <w:bookmarkEnd w:id="6"/>
    <w:p>
      <w:pPr>
        <w:jc w:val="both"/>
        <w:ind w:firstLine="432"/>
        <w:spacing w:after="0" w:line="259" w:lineRule="auto"/>
        <w:rPr>
          <w:sz w:val="20"/>
          <w:szCs w:val="20"/>
          <w:color w:val="auto"/>
        </w:rPr>
      </w:pPr>
      <w:r>
        <w:rPr>
          <w:rFonts w:ascii="Arial" w:cs="Arial" w:eastAsia="Arial" w:hAnsi="Arial"/>
          <w:sz w:val="18"/>
          <w:szCs w:val="18"/>
          <w:color w:val="auto"/>
        </w:rPr>
        <w:t>In the U.S. lawn and garden, pest control and indoor gardening and hydroponic markets, our products compete against private-label as well as branded products. Primary competitors include Spectrum Brands Holdings, Inc., Bayer AG, Central Garden &amp; Pet Company, Enforcer Products, Inc., Kellogg Garden Products, Oldcastle Retail, Inc., Lebanon Seaboard Corporation, Reckitt Benckiser, FoxFarm and Advanced Nutrients. In addition, we face competition from smaller regional competitors who operate in many of the areas where we compete.</w:t>
      </w:r>
    </w:p>
    <w:p>
      <w:pPr>
        <w:spacing w:after="0" w:line="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Internationally, we face strong competition in the lawn and garden market, particularly in Europe, Australia and Canada. Our competitors include Compo AcquiCo SARL, Bayer AG, Westland Horticulture Ltd, Neudorff, Yates, Premier Tech and a variety of local companies including private label brands.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$45.5 million, $44.4 million and $46.0 million in fiscal 2016, fiscal 2015 and fiscal 2014, respectively, including product registration costs of $14.3 million, $13.0 million and $12.5 million, respectively. In addition to the benefits of our own research and development, we actively seek ways to leverage the research and development activities of our suppliers and other business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Local, state, federal and foreign laws and regulations affect the manufacture, sale, distribution and application of our products in several ways. For example, in the United States, all products containing pesticides must comply with the Federal Insecticide, Fungicide, and Rodenticide Act of 1947, as amended (“FIFRA”), and most require registration with the U.S. Environmental Protection Agency (the “U.S. EPA”) and similar state agencies before they can be sold or distributed. Fertilizer and growing media products are subject to state and foreign labeling regulations. In addition to the regulations already described, federal, state and foreign agencies regulate the disposal, transport, handling and storage of waste, remediation of contaminated sites, air and water discharges from our facilities, and workplace health and safety. Our grass seed products are regulated by the Federal Seed Act and various state regulations.</w:t>
      </w:r>
    </w:p>
    <w:p>
      <w:pPr>
        <w:spacing w:after="0" w:line="1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more information regarding how compliance with local, state, federal and foreign laws and regulations may affect us, see “ITEM 1A. RISK FACTORS — Compliance with environmental and other public health regulations or changes in such regulations or regulatory enforcement priorities could increase our costs of doing business or limit our ability to market all of our products” of this Annual Report on Form 10-K.</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2016, $4.0 million was accrued for such environmental matters. During fiscal 2016, fiscal 2015 and fiscal 2014, we expensed $0.4 million, $0.6 million and $3.1 million, respectively, for such environmental matters. We had no material capital expenditures during the last three fiscal years related to environmental or regulatory matters.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September 30, 2016, we employed approximately 5,100 employees. During peak sales and production periods, we employ approximately 6,500 employees, including seasonal and temporary labor. These numbers do not include approximately 2,040 employees we lease to Outdoor Home Services Holdings LLC as part of an employee leasing agreement entered into in connection with the contribution of the SLS Business to the TruGreen Joint Venture.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international revenues and long-lived assets, see “NOTE 22. SEGMENT INFORMATION” of the Notes to Consolidated Financial Statements included in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 The SEC maintains a website that contains electronic filings by Scotts Miracle-Gro and other issuers at www.sec.gov. In addition, the public may read and copy any materials Scotts Miracle-Gro files with the SEC at the SEC’s Public Reference Room at 100 F Street, N.E., Washington, D.C. 20549. The public may obtain information on the operation of the Public Reference Room by calling the SEC at 1-800-SEC-0330.</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2016 Annual Report to Shareholders (our “2016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Forward-looking statements contained in this Annual Report on Form 10-K and our 2016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that we make in this Annual Report on Form 10-K and our 2016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1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Local, state, federal and foreign laws and regulations relating to environmental matters affect us in several ways. In the United States, all products containing pesticides must comply with FIFRA and most must be registered with the U.S. EPA and 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94"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2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among other things, ban the use of certain ingredients or require (i) that only certified or professional users apply the product, (ii) that certain products be used only on certain types of locations, (iii) users to post notices on properties to which products have been or will be applied,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3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5" w:right="23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1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Certain of our products may be purchased for use in new and emerging industries that are subject to inconsistent and rapidly changing laws and regulations and consumer perception.</w:t>
      </w:r>
    </w:p>
    <w:p>
      <w:pPr>
        <w:spacing w:after="0" w:line="11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Certain of our products may be purchased for use in new and emerging industries that may not grow or achieve market acceptance as rapidly as we expect. The demand for such products may be negatively impacted if these industries grow more slowly than we expect. In addition, certain of our products, including, for example, our hydroponic gardening products, may be purchased for use in industries or segments that are subject to inconsistent and rapidly changing laws and regulations with evolving consumer perceptions. The demand for such products may be negatively impacted if the laws, regulations and consumer perceptions applicable to such industries evolve in a manner that adversely affects the industries. We cannot predict the nature of any future laws, regulations, administrative policies and consumer perceptions applicable to the industries in which our products are used, nor can we determine what effect, if any, such additional laws, regulations, administrative policies and consumer perceptions could have on our business.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98"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2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ongoing investment in new product lines and products and technologies is inherently risky, and could disrupt our ongoing businesses.</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8" w:right="239" w:bottom="1440" w:gutter="0" w:footer="0" w:header="0"/>
        </w:sectPr>
      </w:pPr>
    </w:p>
    <w:bookmarkStart w:id="11" w:name="page12"/>
    <w:bookmarkEnd w:id="11"/>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top three retail customers together accounted for 61% of our fiscal 2016 net sales and 56% of our outstanding accounts receivable as of September 30, 2016. The loss of, or reduction in orders from, our top three 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8" w:right="239" w:bottom="1440" w:gutter="0" w:footer="0" w:header="0"/>
        </w:sectPr>
      </w:pPr>
    </w:p>
    <w:bookmarkStart w:id="12" w:name="page13"/>
    <w:bookmarkEnd w:id="12"/>
    <w:p>
      <w:pPr>
        <w:jc w:val="both"/>
        <w:ind w:firstLine="432"/>
        <w:spacing w:after="0" w:line="277"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2016, we had $1,316.1 million of debt. Our inability to meet restrictive financial and non-financial covenants associated with that debt could adversely affect our financial condition.</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ability to make payments on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ensure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credit facility and the indenture governing our 6.000% Senior Notes due 2023 (the “6.000% Senior Notes”) contain restrictive covenants and cross-default provisions. In addition, our credit facility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Subject to compliance with certain covenants under our credit facility and the indenture governing the 6.000% Senior Notes, we may incur additional debt in the future. If we incur additional debt, the risks described above could intensify.</w:t>
      </w:r>
    </w:p>
    <w:p>
      <w:pPr>
        <w:spacing w:after="0" w:line="19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our 6.000% Senior Notes.</w:t>
      </w:r>
    </w:p>
    <w:p>
      <w:pPr>
        <w:spacing w:after="0" w:line="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NRSROs rate the 6.000%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6.000% Senior Notes or placing us on a watch list for possible future downgrading could increase our cost of financing, limit our access to the capital markets and have an adverse effect on the market price of the 6.000% Senior Notes.</w:t>
      </w:r>
    </w:p>
    <w:p>
      <w:pPr>
        <w:spacing w:after="0" w:line="2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2016, sales outside of the United States accounted for 18% of our total net sales. Accordingly, we are subject to risks associated with operating in foreign countries, including:</w:t>
      </w:r>
    </w:p>
    <w:p>
      <w:pPr>
        <w:spacing w:after="0" w:line="127" w:lineRule="exact"/>
        <w:rPr>
          <w:sz w:val="20"/>
          <w:szCs w:val="20"/>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35" w:right="239" w:bottom="1440" w:gutter="0" w:footer="0" w:header="0"/>
        </w:sectPr>
      </w:pPr>
    </w:p>
    <w:bookmarkStart w:id="13" w:name="page14"/>
    <w:bookmarkEnd w:id="13"/>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71" w:lineRule="exact"/>
        <w:rPr>
          <w:rFonts w:ascii="Arial" w:cs="Arial" w:eastAsia="Arial" w:hAnsi="Arial"/>
          <w:sz w:val="18"/>
          <w:szCs w:val="18"/>
          <w:color w:val="auto"/>
        </w:rPr>
      </w:pPr>
    </w:p>
    <w:p>
      <w:pPr>
        <w:ind w:left="1140" w:hanging="646"/>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and cash flows in the future.</w:t>
      </w:r>
    </w:p>
    <w:p>
      <w:pPr>
        <w:spacing w:after="0" w:line="20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1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17"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and results of operations.</w:t>
      </w:r>
    </w:p>
    <w:p>
      <w:pPr>
        <w:spacing w:after="0" w:line="220" w:lineRule="exact"/>
        <w:rPr>
          <w:sz w:val="20"/>
          <w:szCs w:val="20"/>
          <w:color w:val="auto"/>
        </w:rPr>
      </w:pPr>
    </w:p>
    <w:p>
      <w:pPr>
        <w:jc w:val="both"/>
        <w:ind w:right="20" w:firstLine="243"/>
        <w:spacing w:after="0" w:line="216"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68"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a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but would have to pay a termination fee to the Company. In the event the Marketing Agreement terminates, we would lose all, or a substantial portion, of the significant source of earnings and overhead expense absorption the Marketing Agreement provides.</w:t>
      </w:r>
    </w:p>
    <w:p>
      <w:pPr>
        <w:spacing w:after="0" w:line="7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additional information regarding the Marketing Agreement, see “NOTE 6. MARKETING AGREEMENT” of the Notes to Consolidated Financial Statements included in this Annual Report on Form 10-K.</w:t>
      </w:r>
    </w:p>
    <w:p>
      <w:pPr>
        <w:spacing w:after="0" w:line="19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3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18, 2016.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19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2016, we increased the amount of our quarterly cash dividend by 6% to $0.50 per share and increased the current share repurchase authorization by $500 million. The total remaining share repurchase authorization as of September 30, 2016 is $854.3 million.</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35" w:right="239" w:bottom="1440" w:gutter="0" w:footer="0" w:header="0"/>
        </w:sectPr>
      </w:pPr>
    </w:p>
    <w:bookmarkStart w:id="15" w:name="page16"/>
    <w:bookmarkEnd w:id="15"/>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187"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22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170" w:lineRule="exact"/>
        <w:rPr>
          <w:rFonts w:ascii="Arial" w:cs="Arial" w:eastAsia="Arial" w:hAnsi="Arial"/>
          <w:sz w:val="18"/>
          <w:szCs w:val="18"/>
          <w:color w:val="auto"/>
        </w:rPr>
      </w:pPr>
    </w:p>
    <w:p>
      <w:pPr>
        <w:jc w:val="both"/>
        <w:ind w:left="820" w:right="20" w:hanging="407"/>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181"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170" w:lineRule="exact"/>
        <w:rPr>
          <w:rFonts w:ascii="Arial" w:cs="Arial" w:eastAsia="Arial" w:hAnsi="Arial"/>
          <w:sz w:val="18"/>
          <w:szCs w:val="18"/>
          <w:color w:val="auto"/>
        </w:rPr>
      </w:pPr>
    </w:p>
    <w:p>
      <w:pPr>
        <w:ind w:left="820" w:hanging="407"/>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46" w:lineRule="exact"/>
        <w:rPr>
          <w:rFonts w:ascii="Arial" w:cs="Arial" w:eastAsia="Arial" w:hAnsi="Arial"/>
          <w:sz w:val="17"/>
          <w:szCs w:val="17"/>
          <w:color w:val="auto"/>
        </w:rPr>
      </w:pPr>
    </w:p>
    <w:p>
      <w:pPr>
        <w:ind w:left="8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the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98" w:right="239" w:bottom="1440" w:gutter="0" w:footer="0" w:header="0"/>
        </w:sectPr>
      </w:pPr>
    </w:p>
    <w:bookmarkStart w:id="16" w:name="page17"/>
    <w:bookmarkEnd w:id="16"/>
    <w:p>
      <w:pPr>
        <w:jc w:val="both"/>
        <w:ind w:firstLine="243"/>
        <w:spacing w:after="0" w:line="33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(see the discussion of Legal Proceedings in Part I, Item 3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headquarters are located in Marysville, Ohio, where we own approximately 706 acres of land and lease approximately 24 acres of land. We lease property in Ecully, France which serves as the headquarters of our European operations. In addition, we own and lease numerous industrial, commercial and office properties located in North America, Europe, Australia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52 owned properties and 97 leased properties. These properties are located in the following countries:</w:t>
      </w:r>
    </w:p>
    <w:p>
      <w:pPr>
        <w:spacing w:after="0" w:line="38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810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Owned</w:t>
            </w:r>
          </w:p>
        </w:tc>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Leased</w:t>
            </w:r>
          </w:p>
        </w:tc>
      </w:tr>
      <w:tr>
        <w:trPr>
          <w:trHeight w:val="27"/>
        </w:trPr>
        <w:tc>
          <w:tcPr>
            <w:tcW w:w="8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7"/>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70"/>
        </w:trPr>
        <w:tc>
          <w:tcPr>
            <w:tcW w:w="81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5"/>
                <w:szCs w:val="25"/>
                <w:color w:val="auto"/>
                <w:vertAlign w:val="superscript"/>
              </w:rPr>
              <w:t>(1)</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57"/>
        </w:trPr>
        <w:tc>
          <w:tcPr>
            <w:tcW w:w="8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97</w:t>
            </w: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ind w:left="420"/>
        <w:spacing w:after="0"/>
        <w:rPr>
          <w:sz w:val="20"/>
          <w:szCs w:val="20"/>
          <w:color w:val="auto"/>
        </w:rPr>
      </w:pPr>
      <w:r>
        <w:rPr>
          <w:rFonts w:ascii="Arial" w:cs="Arial" w:eastAsia="Arial" w:hAnsi="Arial"/>
          <w:sz w:val="18"/>
          <w:szCs w:val="18"/>
          <w:color w:val="auto"/>
        </w:rPr>
        <w:t>(1) - “Rest of world” includes Australia, Austria, Belgium, China, Germany, Mexico, the Netherlands, Norway and Poland</w:t>
      </w:r>
    </w:p>
    <w:p>
      <w:pPr>
        <w:spacing w:after="0" w:line="15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own or lease 72 manufacturing properties, four distribution properties and two research and development properties in the United States. We own or lease nine manufacturing properties in the United Kingdom, twenty manufacturing properties in Canada, two manufacturing properties in France, two manufacturing properties in Australia, one manufacturing property in the Netherlands, and one manufacturing property in China. We also lease one distribution property and own one research and development property in the United Kingdom, lease one distribution property in Mexico, lease one research and development property in Canada, and lease one research and development property in France. Most of the manufacturing properties, which include growing media properties and peat harvesting properties, have production lines, warehouses, offices and field processing areas.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9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 xml:space="preserve">ITEM 3.  </w:t>
      </w:r>
      <w:r>
        <w:rPr>
          <w:rFonts w:ascii="Arial" w:cs="Arial" w:eastAsia="Arial" w:hAnsi="Arial"/>
          <w:sz w:val="18"/>
          <w:szCs w:val="18"/>
          <w:b w:val="1"/>
          <w:bCs w:val="1"/>
          <w:i w:val="1"/>
          <w:iCs w:val="1"/>
          <w:u w:val="single" w:color="auto"/>
          <w:color w:val="auto"/>
        </w:rPr>
        <w:t>LEGAL PROCEEDINGS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reserves, in the aggregate, are adequate; however, there can be no assurance that the final resolution of these matters will not have a material effect on our financial condition, results of operations or cash flows.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The cases vary, but complaints in these cases generally seek unspecified monetary damages (actual, compensatory, consequential and punitive) from multiple defendants. We believe that the claims against us are without merit and are vigorously defending against them. It is not currently possible to reasonably estimate a probable loss, if any, associated with the cases and, accordingly, no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adverse effect on our financial condition, results of operations or cash flows.</w:t>
      </w:r>
    </w:p>
    <w:p>
      <w:pPr>
        <w:spacing w:after="0" w:line="12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we, along with our Chief Executive Officer, have been named as defendants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and our Chief Executive Officer dispute the plaintiffs’ assertions and intend to vigorously defend the consolidated action. At this point in the proceedings, it is not currently possible to reasonably estimate a probable loss, if any, associated with the action and, accordingly, no reserves have been recorded in our consolidated financial statements with respect to the action. There can be no assurance that this action, whether as a result of an adverse outcome or as a result of significant defense costs, will not have a material adverse effect on our financial condition, results of operations or cash flows.</w:t>
      </w:r>
    </w:p>
    <w:p>
      <w:pPr>
        <w:spacing w:after="0" w:line="1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have a material adverse effect on our financial condition, results of operations or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ITEM 4. </w:t>
      </w:r>
      <w:r>
        <w:rPr>
          <w:rFonts w:ascii="Arial" w:cs="Arial" w:eastAsia="Arial" w:hAnsi="Arial"/>
          <w:sz w:val="18"/>
          <w:szCs w:val="18"/>
          <w:b w:val="1"/>
          <w:bCs w:val="1"/>
          <w:i w:val="1"/>
          <w:iCs w:val="1"/>
          <w:u w:val="single" w:color="auto"/>
          <w:color w:val="auto"/>
        </w:rPr>
        <w:t>MINE SAFETY DISCLOSURE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executive officers of Scotts Miracle-Gro, their positions and, as of November 18, 2016, their ages and years with Scotts Miracle-Gro (and its predecessors)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Age</w:t>
            </w:r>
          </w:p>
        </w:tc>
        <w:tc>
          <w:tcPr>
            <w:tcW w:w="120" w:type="dxa"/>
            <w:vAlign w:val="bottom"/>
            <w:vMerge w:val="restart"/>
          </w:tcPr>
          <w:p>
            <w:pPr>
              <w:spacing w:after="0"/>
              <w:rPr>
                <w:sz w:val="14"/>
                <w:szCs w:val="14"/>
                <w:color w:val="auto"/>
              </w:rPr>
            </w:pPr>
          </w:p>
        </w:tc>
        <w:tc>
          <w:tcPr>
            <w:tcW w:w="672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Hagedorn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C. Lukemire</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R. Coleman</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Ivan C. Smith</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General Counsel, Corporate Secretary and Chief Compliance</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Denise S. Stump</w:t>
            </w: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1"/>
                <w:szCs w:val="21"/>
                <w:color w:val="auto"/>
              </w:rPr>
            </w:pPr>
          </w:p>
        </w:tc>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Executive officers serve at the discretion of the Board of Directors of Scotts Miracle-Gro and pursuant to executive severance agreements or other arrangements.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50"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171"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and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He also served as President of Scotts Miracle-Gro (or its predecessor) from October 2015 until February 2016, from November 2006 until October 2008 and from April 2000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134" w:lineRule="exact"/>
        <w:rPr>
          <w:sz w:val="20"/>
          <w:szCs w:val="20"/>
          <w:color w:val="auto"/>
        </w:rPr>
      </w:pPr>
    </w:p>
    <w:p>
      <w:pPr>
        <w:jc w:val="both"/>
        <w:ind w:firstLine="891"/>
        <w:spacing w:after="0" w:line="276" w:lineRule="auto"/>
        <w:rPr>
          <w:sz w:val="20"/>
          <w:szCs w:val="20"/>
          <w:color w:val="auto"/>
        </w:rPr>
      </w:pPr>
      <w:r>
        <w:rPr>
          <w:rFonts w:ascii="Arial" w:cs="Arial" w:eastAsia="Arial" w:hAnsi="Arial"/>
          <w:sz w:val="17"/>
          <w:szCs w:val="17"/>
          <w:i w:val="1"/>
          <w:iCs w:val="1"/>
          <w:color w:val="auto"/>
        </w:rPr>
        <w:t xml:space="preserve">Mr. Lukemire </w:t>
      </w:r>
      <w:r>
        <w:rPr>
          <w:rFonts w:ascii="Arial" w:cs="Arial" w:eastAsia="Arial" w:hAnsi="Arial"/>
          <w:sz w:val="17"/>
          <w:szCs w:val="17"/>
          <w:color w:val="auto"/>
        </w:rPr>
        <w:t>was named President and Chief Operating Officer of Scotts Miracle-Gro in February 2016. He served as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Operating Officer of Scotts Miracle-Gro from December 2014 until February 2016. Prior to this appointment, Mr. Lukemire had served as Executive Vice President, North American Operations of Scotts Miracle-Gro from April 2014 until December 2014, as Executive Vice President, Business Execution of Scotts Miracle-Gro from May 2013 until April 2014 and as President, U.S. Consumer Regions of Scotts Miracle-Gro from October 2011 until May 2013. Prior to October 2011, he had served as Regional President for the Southeast region since May 2009.</w:t>
      </w:r>
    </w:p>
    <w:p>
      <w:pPr>
        <w:spacing w:after="0" w:line="119" w:lineRule="exact"/>
        <w:rPr>
          <w:sz w:val="20"/>
          <w:szCs w:val="20"/>
          <w:color w:val="auto"/>
        </w:rPr>
      </w:pPr>
    </w:p>
    <w:p>
      <w:pPr>
        <w:jc w:val="both"/>
        <w:ind w:firstLine="891"/>
        <w:spacing w:after="0" w:line="257" w:lineRule="auto"/>
        <w:rPr>
          <w:sz w:val="20"/>
          <w:szCs w:val="20"/>
          <w:color w:val="auto"/>
        </w:rPr>
      </w:pPr>
      <w:r>
        <w:rPr>
          <w:rFonts w:ascii="Arial" w:cs="Arial" w:eastAsia="Arial" w:hAnsi="Arial"/>
          <w:sz w:val="18"/>
          <w:szCs w:val="18"/>
          <w:i w:val="1"/>
          <w:iCs w:val="1"/>
          <w:color w:val="auto"/>
        </w:rPr>
        <w:t xml:space="preserve">Mr. Coleman </w:t>
      </w:r>
      <w:r>
        <w:rPr>
          <w:rFonts w:ascii="Arial" w:cs="Arial" w:eastAsia="Arial" w:hAnsi="Arial"/>
          <w:sz w:val="18"/>
          <w:szCs w:val="18"/>
          <w:color w:val="auto"/>
        </w:rPr>
        <w:t>was named Executive Vice President and Chief Financial Officer of Scotts Miracle-Gro in April 2014. Prior to this appointment,</w:t>
      </w:r>
      <w:r>
        <w:rPr>
          <w:rFonts w:ascii="Arial" w:cs="Arial" w:eastAsia="Arial" w:hAnsi="Arial"/>
          <w:sz w:val="18"/>
          <w:szCs w:val="18"/>
          <w:i w:val="1"/>
          <w:iCs w:val="1"/>
          <w:color w:val="auto"/>
        </w:rPr>
        <w:t xml:space="preserve"> </w:t>
      </w:r>
      <w:r>
        <w:rPr>
          <w:rFonts w:ascii="Arial" w:cs="Arial" w:eastAsia="Arial" w:hAnsi="Arial"/>
          <w:sz w:val="18"/>
          <w:szCs w:val="18"/>
          <w:color w:val="auto"/>
        </w:rPr>
        <w:t>Mr. Coleman had served as Senior Vice President, Global Finance Operations and Enterprise Performance Management Analytics for The Scotts Company LLC, a wholly-owned subsidiary of Scotts Miracle-Gro, since January 2011. Previously, Mr. Coleman served as Senior Vice President, North America Finance of Scotts LLC from November 2007 until January 2011. Mr. Coleman also previously served as interim principal financial officer of Scotts Miracle-Gro between February 2013 and March 2013.</w:t>
      </w:r>
    </w:p>
    <w:p>
      <w:pPr>
        <w:spacing w:after="0" w:line="134" w:lineRule="exact"/>
        <w:rPr>
          <w:sz w:val="20"/>
          <w:szCs w:val="20"/>
          <w:color w:val="auto"/>
        </w:rPr>
      </w:pPr>
    </w:p>
    <w:p>
      <w:pPr>
        <w:jc w:val="both"/>
        <w:ind w:firstLine="891"/>
        <w:spacing w:after="0" w:line="259" w:lineRule="auto"/>
        <w:rPr>
          <w:sz w:val="20"/>
          <w:szCs w:val="20"/>
          <w:color w:val="auto"/>
        </w:rPr>
      </w:pPr>
      <w:r>
        <w:rPr>
          <w:rFonts w:ascii="Arial" w:cs="Arial" w:eastAsia="Arial" w:hAnsi="Arial"/>
          <w:sz w:val="18"/>
          <w:szCs w:val="18"/>
          <w:i w:val="1"/>
          <w:iCs w:val="1"/>
          <w:color w:val="auto"/>
        </w:rPr>
        <w:t xml:space="preserve">Mr. Smith </w:t>
      </w:r>
      <w:r>
        <w:rPr>
          <w:rFonts w:ascii="Arial" w:cs="Arial" w:eastAsia="Arial" w:hAnsi="Arial"/>
          <w:sz w:val="18"/>
          <w:szCs w:val="18"/>
          <w:color w:val="auto"/>
        </w:rPr>
        <w:t>was named Executive Vice President, General Counsel and Corporate Secretary of Scotts Miracle-Gro in July 2013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Officer of Scotts Miracle-Gro in October 2013. Prior to July 2013, he had served as Vice President, Global Consumer Legal and Assistant General Counsel of Scotts LLC since October 2011. Mr. Smith served as Vice President, North America Legal and Assistant General Counsel from April 2009 to September 2011 and as Vice President, Litigation of Scotts LLC from October 2007 to March 2009.</w:t>
      </w:r>
    </w:p>
    <w:p>
      <w:pPr>
        <w:spacing w:after="0" w:line="133" w:lineRule="exact"/>
        <w:rPr>
          <w:sz w:val="20"/>
          <w:szCs w:val="20"/>
          <w:color w:val="auto"/>
        </w:rPr>
      </w:pPr>
    </w:p>
    <w:p>
      <w:pPr>
        <w:jc w:val="both"/>
        <w:ind w:firstLine="891"/>
        <w:spacing w:after="0" w:line="277" w:lineRule="auto"/>
        <w:rPr>
          <w:sz w:val="20"/>
          <w:szCs w:val="20"/>
          <w:color w:val="auto"/>
        </w:rPr>
      </w:pPr>
      <w:r>
        <w:rPr>
          <w:rFonts w:ascii="Arial" w:cs="Arial" w:eastAsia="Arial" w:hAnsi="Arial"/>
          <w:sz w:val="18"/>
          <w:szCs w:val="18"/>
          <w:i w:val="1"/>
          <w:iCs w:val="1"/>
          <w:color w:val="auto"/>
        </w:rPr>
        <w:t xml:space="preserve">Ms. Stump </w:t>
      </w:r>
      <w:r>
        <w:rPr>
          <w:rFonts w:ascii="Arial" w:cs="Arial" w:eastAsia="Arial" w:hAnsi="Arial"/>
          <w:sz w:val="18"/>
          <w:szCs w:val="18"/>
          <w:color w:val="auto"/>
        </w:rPr>
        <w:t>was named Executive Vice President, Global Human Resources of Scotts Miracle-Gro (or its predecessor) in February 2003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Ethics Officer of Scotts Miracle-Gro in October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4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Common Shares trade on the New York Stock Exchange under the symbol “SMG.” The quarterly high and low sale prices for the fiscal years ended September 30, 2016 and September 30, 2015 were as follows:</w:t>
      </w:r>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Prices</w:t>
            </w:r>
          </w:p>
        </w:tc>
        <w:tc>
          <w:tcPr>
            <w:tcW w:w="1360" w:type="dxa"/>
            <w:vAlign w:val="bottom"/>
            <w:tcBorders>
              <w:bottom w:val="single" w:sz="8" w:color="auto"/>
            </w:tcBorders>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spacing w:after="0"/>
              <w:rPr>
                <w:sz w:val="22"/>
                <w:szCs w:val="22"/>
                <w:color w:val="auto"/>
              </w:rPr>
            </w:pPr>
          </w:p>
        </w:tc>
        <w:tc>
          <w:tcPr>
            <w:tcW w:w="1360" w:type="dxa"/>
            <w:vAlign w:val="bottom"/>
          </w:tcPr>
          <w:p>
            <w:pPr>
              <w:jc w:val="right"/>
              <w:ind w:right="752"/>
              <w:spacing w:after="0"/>
              <w:rPr>
                <w:sz w:val="20"/>
                <w:szCs w:val="20"/>
                <w:color w:val="auto"/>
              </w:rPr>
            </w:pPr>
            <w:r>
              <w:rPr>
                <w:rFonts w:ascii="Arial" w:cs="Arial" w:eastAsia="Arial" w:hAnsi="Arial"/>
                <w:sz w:val="14"/>
                <w:szCs w:val="14"/>
                <w:b w:val="1"/>
                <w:bCs w:val="1"/>
                <w:color w:val="auto"/>
              </w:rPr>
              <w:t>Low</w:t>
            </w:r>
          </w:p>
        </w:tc>
      </w:tr>
      <w:tr>
        <w:trPr>
          <w:trHeight w:val="250"/>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60.25</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62.20</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65.80</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68.24</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FISCAL 2015</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54.71</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60.18</w:t>
            </w:r>
          </w:p>
        </w:tc>
      </w:tr>
      <w:tr>
        <w:trPr>
          <w:trHeight w:val="27"/>
        </w:trPr>
        <w:tc>
          <w:tcPr>
            <w:tcW w:w="7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59.41</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59.10</w:t>
            </w:r>
          </w:p>
        </w:tc>
      </w:tr>
    </w:tbl>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August 11, 2014, Scotts Miracle-Gro announced that its Board of Directors had increased the quarterly cash dividend to $0.45 per Common Share, which was paid in September of fiscal 2014 and December, March and June of fiscal 2015. On August 3, 2015, Scotts Miracle-Gro announced that its Board of Directors had increased the quarterly cash dividend to $0.47 per Common Share, which was paid in September of fiscal 2015 and December, March and June of fiscal 2016. On August 3, 2016, Scotts Miracle-Gro announced that its Board of Directors had further increased the quarterly cash dividend to $0.50 per Common Share, which was paid in September of fiscal 2016.</w:t>
      </w:r>
    </w:p>
    <w:p>
      <w:pPr>
        <w:spacing w:after="0" w:line="18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new credit agreement allows the Company to make unlimited restricted payments (as defined in the new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for such fiscal year ($175.0 million for fiscal 2017 and $200.0 million for fiscal 2018 and in each fiscal year thereafter). Our leverage ratio was 3.10 at September 30, 2016. See “NOTE 11. DEBT” of the Notes to Consolidated Financial Statements included in this Annual Report on Form 10-K for further discussion regarding the restrictions on dividend payments.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November 18, 2016, there were approximately 52,000 shareholders, including holders of record and our estimate of beneficial holders.</w:t>
      </w:r>
    </w:p>
    <w:p>
      <w:pPr>
        <w:spacing w:after="0" w:line="23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March 30, 2015, Scotts Miracle-Gro issued 154,737 Common Shares out of its treasury shares for payment of the acquisition of Vermicrop. The Common Shares were issued in reliance on an exemption from the registration requirements of the Securities Act of 1933, provided by Section 4(a)(2) of the Securities Act of 1933 as a private offering. The issuance did not involve a public offering, and was made without general solicitation or advertising.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66" w:right="239" w:bottom="1440" w:gutter="0" w:footer="0" w:header="0"/>
        </w:sectPr>
      </w:pPr>
    </w:p>
    <w:bookmarkStart w:id="20" w:name="page21"/>
    <w:bookmarkEnd w:id="20"/>
    <w:p>
      <w:pPr>
        <w:jc w:val="both"/>
        <w:ind w:firstLine="432"/>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2016:</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43"/>
              <w:spacing w:after="0" w:line="14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6"/>
              </w:rPr>
              <w:t>Shares Purchased</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9"/>
              </w:rPr>
              <w:t>That May Yet</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Paid per</w:t>
            </w:r>
          </w:p>
        </w:tc>
        <w:tc>
          <w:tcPr>
            <w:tcW w:w="1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line="20" w:lineRule="exact"/>
              <w:rPr>
                <w:sz w:val="1"/>
                <w:szCs w:val="1"/>
                <w:color w:val="auto"/>
              </w:rPr>
            </w:pPr>
          </w:p>
        </w:tc>
      </w:tr>
      <w:tr>
        <w:trPr>
          <w:trHeight w:val="149"/>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 through July 30, 2016</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224,998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223,602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387,454,088</w:t>
            </w:r>
          </w:p>
        </w:tc>
        <w:tc>
          <w:tcPr>
            <w:tcW w:w="0" w:type="dxa"/>
            <w:vAlign w:val="bottom"/>
          </w:tcPr>
          <w:p>
            <w:pPr>
              <w:spacing w:after="0"/>
              <w:rPr>
                <w:sz w:val="1"/>
                <w:szCs w:val="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July 31 through August 27, 2016</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189,683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21"/>
                <w:szCs w:val="21"/>
                <w:color w:val="auto"/>
              </w:rPr>
            </w:pPr>
          </w:p>
        </w:tc>
        <w:tc>
          <w:tcPr>
            <w:tcW w:w="1660" w:type="dxa"/>
            <w:vAlign w:val="bottom"/>
          </w:tcPr>
          <w:p>
            <w:pPr>
              <w:jc w:val="right"/>
              <w:ind w:right="22"/>
              <w:spacing w:after="0"/>
              <w:rPr>
                <w:sz w:val="20"/>
                <w:szCs w:val="20"/>
                <w:color w:val="auto"/>
              </w:rPr>
            </w:pPr>
            <w:r>
              <w:rPr>
                <w:rFonts w:ascii="Arial" w:cs="Arial" w:eastAsia="Arial" w:hAnsi="Arial"/>
                <w:sz w:val="18"/>
                <w:szCs w:val="18"/>
                <w:color w:val="auto"/>
              </w:rPr>
              <w:t>188,375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
              <w:spacing w:after="0"/>
              <w:rPr>
                <w:sz w:val="20"/>
                <w:szCs w:val="20"/>
                <w:color w:val="auto"/>
              </w:rPr>
            </w:pPr>
            <w:r>
              <w:rPr>
                <w:rFonts w:ascii="Arial" w:cs="Arial" w:eastAsia="Arial" w:hAnsi="Arial"/>
                <w:sz w:val="18"/>
                <w:szCs w:val="18"/>
                <w:color w:val="auto"/>
              </w:rPr>
              <w:t>372,342,681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28 through September 30, 2016</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222,380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220,568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854,341,229</w:t>
            </w:r>
          </w:p>
        </w:tc>
        <w:tc>
          <w:tcPr>
            <w:tcW w:w="0" w:type="dxa"/>
            <w:vAlign w:val="bottom"/>
          </w:tcPr>
          <w:p>
            <w:pPr>
              <w:spacing w:after="0"/>
              <w:rPr>
                <w:sz w:val="1"/>
                <w:szCs w:val="1"/>
                <w:color w:val="auto"/>
              </w:rPr>
            </w:pPr>
          </w:p>
        </w:tc>
      </w:tr>
      <w:tr>
        <w:trPr>
          <w:trHeight w:val="257"/>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637,061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9"/>
              <w:spacing w:after="0"/>
              <w:rPr>
                <w:sz w:val="20"/>
                <w:szCs w:val="20"/>
                <w:color w:val="auto"/>
              </w:rPr>
            </w:pPr>
            <w:r>
              <w:rPr>
                <w:rFonts w:ascii="Arial" w:cs="Arial" w:eastAsia="Arial" w:hAnsi="Arial"/>
                <w:sz w:val="18"/>
                <w:szCs w:val="18"/>
                <w:color w:val="auto"/>
              </w:rPr>
              <w:t>78.51</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632,545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60" w:hanging="328"/>
        <w:spacing w:after="0" w:line="28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4,516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7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 million of Common Shares over a five-year period (effective November 1, 2014 through September 30, 2019). On August 3, 2016, Scotts Miracle-Gro announced that its Board of Directors increased the then outstanding authorization by an additional $500 million. The amended authorization allows for repurchases of Common Shares of $1.0 billion through September 30, 2019. The dollar amounts in the “Approximate Dollar Value of Common Shares That May Yet be Purchased Under the Plans or Programs” column reflect the remaining amounts that were available for repurchase under the original $500 million and incremental $500 million authorized repurchase programs.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17"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7"/>
          <w:szCs w:val="17"/>
          <w:b w:val="1"/>
          <w:bCs w:val="1"/>
          <w:i w:val="1"/>
          <w:iCs w:val="1"/>
          <w:u w:val="single" w:color="auto"/>
          <w:color w:val="auto"/>
        </w:rPr>
        <w:t>SELECTED FINANCIAL DATA</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Five-Year Summary</w:t>
      </w:r>
      <w:r>
        <w:rPr>
          <w:rFonts w:ascii="Arial" w:cs="Arial" w:eastAsia="Arial" w:hAnsi="Arial"/>
          <w:sz w:val="25"/>
          <w:szCs w:val="25"/>
          <w:b w:val="1"/>
          <w:bCs w:val="1"/>
          <w:color w:val="auto"/>
          <w:vertAlign w:val="superscript"/>
        </w:rPr>
        <w:t>(1)</w:t>
      </w:r>
    </w:p>
    <w:p>
      <w:pPr>
        <w:spacing w:after="0" w:line="154" w:lineRule="exact"/>
        <w:rPr>
          <w:sz w:val="20"/>
          <w:szCs w:val="20"/>
          <w:color w:val="auto"/>
        </w:rPr>
      </w:pPr>
    </w:p>
    <w:p>
      <w:pPr>
        <w:jc w:val="right"/>
        <w:ind w:right="23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23495</wp:posOffset>
            </wp:positionV>
            <wp:extent cx="3961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ectPr>
          <w:pgSz w:w="11900" w:h="16838" w:orient="portrait"/>
          <w:cols w:equalWidth="0" w:num="1">
            <w:col w:w="11420"/>
          </w:cols>
          <w:pgMar w:left="240" w:top="850" w:right="239" w:bottom="393" w:gutter="0" w:footer="0" w:header="0"/>
        </w:sect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GAAP OPERATING RESULTS: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sales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from continuing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(loss) from discontinued operations, net of tax</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attributable to controlling interest</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ADJUSTED OPERATING RESULTS</w:t>
      </w:r>
      <w:r>
        <w:rPr>
          <w:rFonts w:ascii="Arial" w:cs="Arial" w:eastAsia="Arial" w:hAnsi="Arial"/>
          <w:sz w:val="8"/>
          <w:szCs w:val="8"/>
          <w:b w:val="1"/>
          <w:bCs w:val="1"/>
          <w:color w:val="auto"/>
        </w:rPr>
        <w:t>(2)</w:t>
      </w:r>
      <w:r>
        <w:rPr>
          <w:rFonts w:ascii="Arial" w:cs="Arial" w:eastAsia="Arial" w:hAnsi="Arial"/>
          <w:sz w:val="14"/>
          <w:szCs w:val="14"/>
          <w:b w:val="1"/>
          <w:bCs w:val="1"/>
          <w:color w:val="auto"/>
        </w:rPr>
        <w: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Adjusted income from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Adjusted income from continuing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Adjusted income attributable to controlling interest from continuing operations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 Forma Adjusted Earnings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FINANCIAL POSITION: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(3)</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ratio</w:t>
      </w:r>
      <w:r>
        <w:rPr>
          <w:rFonts w:ascii="Arial" w:cs="Arial" w:eastAsia="Arial" w:hAnsi="Arial"/>
          <w:sz w:val="8"/>
          <w:szCs w:val="8"/>
          <w:color w:val="auto"/>
        </w:rPr>
        <w:t>(3)</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debt to total book capitalization</w:t>
      </w:r>
      <w:r>
        <w:rPr>
          <w:rFonts w:ascii="Arial" w:cs="Arial" w:eastAsia="Arial" w:hAnsi="Arial"/>
          <w:sz w:val="8"/>
          <w:szCs w:val="8"/>
          <w:color w:val="auto"/>
        </w:rPr>
        <w:t>(4)</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equity—controlling interest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flows provided by operating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property, plant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 in marketing and license agreement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loans receivable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distributions from unconsolidated affiliates</w:t>
      </w:r>
    </w:p>
    <w:p>
      <w:pPr>
        <w:spacing w:after="0" w:line="109" w:lineRule="exact"/>
        <w:rPr>
          <w:sz w:val="20"/>
          <w:szCs w:val="20"/>
          <w:color w:val="auto"/>
        </w:rPr>
      </w:pPr>
    </w:p>
    <w:p>
      <w:pPr>
        <w:ind w:left="380"/>
        <w:spacing w:after="0" w:line="253" w:lineRule="auto"/>
        <w:rPr>
          <w:sz w:val="20"/>
          <w:szCs w:val="20"/>
          <w:color w:val="auto"/>
        </w:rPr>
      </w:pPr>
      <w:r>
        <w:rPr>
          <w:rFonts w:ascii="Arial" w:cs="Arial" w:eastAsia="Arial" w:hAnsi="Arial"/>
          <w:sz w:val="14"/>
          <w:szCs w:val="14"/>
          <w:color w:val="auto"/>
        </w:rPr>
        <w:t>Investments in acquired businesses, net of cash acquired and payments on sellers notes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of Common Shares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 SHARE DATA:</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GAAP earnings per common share from continuing operations: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Diluted</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Non-GAAP adjusted earnings per common share from continuing operations:</w:t>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Adjusted diluted</w:t>
      </w:r>
      <w:r>
        <w:rPr>
          <w:rFonts w:ascii="Arial" w:cs="Arial" w:eastAsia="Arial" w:hAnsi="Arial"/>
          <w:sz w:val="8"/>
          <w:szCs w:val="8"/>
          <w:color w:val="auto"/>
        </w:rPr>
        <w:t>(2)</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 Forma Adjusted Earnings</w:t>
      </w:r>
      <w:r>
        <w:rPr>
          <w:rFonts w:ascii="Arial" w:cs="Arial" w:eastAsia="Arial" w:hAnsi="Arial"/>
          <w:sz w:val="8"/>
          <w:szCs w:val="8"/>
          <w:color w:val="auto"/>
        </w:rPr>
        <w:t>(2)</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per common share</w:t>
      </w:r>
      <w:r>
        <w:rPr>
          <w:rFonts w:ascii="Arial" w:cs="Arial" w:eastAsia="Arial" w:hAnsi="Arial"/>
          <w:sz w:val="8"/>
          <w:szCs w:val="8"/>
          <w:color w:val="auto"/>
        </w:rPr>
        <w:t>(5)</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price at year-end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price range—High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price range—Low</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(6)</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Leverage ratio</w:t>
      </w:r>
      <w:r>
        <w:rPr>
          <w:rFonts w:ascii="Arial" w:cs="Arial" w:eastAsia="Arial" w:hAnsi="Arial"/>
          <w:sz w:val="8"/>
          <w:szCs w:val="8"/>
          <w:color w:val="auto"/>
        </w:rPr>
        <w:t>(6)</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coverage ratio</w:t>
      </w:r>
      <w:r>
        <w:rPr>
          <w:rFonts w:ascii="Arial" w:cs="Arial" w:eastAsia="Arial" w:hAnsi="Arial"/>
          <w:sz w:val="8"/>
          <w:szCs w:val="8"/>
          <w:color w:val="auto"/>
        </w:rPr>
        <w:t>(6)</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Weighted average Common Shares outstanding</w:t>
      </w:r>
    </w:p>
    <w:p>
      <w:pPr>
        <w:spacing w:after="0" w:line="109" w:lineRule="exact"/>
        <w:rPr>
          <w:sz w:val="20"/>
          <w:szCs w:val="20"/>
          <w:color w:val="auto"/>
        </w:rPr>
      </w:pPr>
    </w:p>
    <w:p>
      <w:pPr>
        <w:ind w:left="380" w:right="1920"/>
        <w:spacing w:after="0" w:line="291" w:lineRule="auto"/>
        <w:rPr>
          <w:sz w:val="20"/>
          <w:szCs w:val="20"/>
          <w:color w:val="auto"/>
        </w:rPr>
      </w:pPr>
      <w:r>
        <w:rPr>
          <w:rFonts w:ascii="Arial" w:cs="Arial" w:eastAsia="Arial" w:hAnsi="Arial"/>
          <w:sz w:val="13"/>
          <w:szCs w:val="13"/>
          <w:color w:val="auto"/>
        </w:rPr>
        <w:t>Common shares and dilutive potential common shares used in diluted EPS calculation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r>
      <w:tr>
        <w:trPr>
          <w:trHeight w:val="244"/>
        </w:trPr>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8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2,836.1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2,728.0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2,578.3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2,515.9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2,524.7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995.4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908.0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890.1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843.6</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830.2</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459.3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262.1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283.7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280.2</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212.7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253.3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137.8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145.5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140.2</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93.0</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20.9</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314.8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158.7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166.2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161.1</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315.3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159.8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166.5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161.1</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106.5</w:t>
            </w: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419.9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352.1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333.7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300.5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228.0</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196.3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185.4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153.4</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197.4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185.7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153.4</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232.6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219.3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206.3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172.6</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123.3</w:t>
            </w: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398.6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500.6</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373.4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359.8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555.2</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470.8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444.1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429.4</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414.9</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420.3</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2,808.8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2,527.2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2,058.3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1,937.1</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2,074.4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64.8%</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65.1%</w:t>
            </w:r>
          </w:p>
        </w:tc>
        <w:tc>
          <w:tcPr>
            <w:tcW w:w="3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3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3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1,316.1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1,157.6</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782.7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568.2</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782.6</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715.2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620.7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553.7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710.5</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601.9</w:t>
            </w: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237.4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246.9</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240.9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342.0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58.3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61.7</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87.6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60.1</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69.4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300.0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194.1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351"/>
        </w:trPr>
        <w:tc>
          <w:tcPr>
            <w:tcW w:w="2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161.2</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181.7</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114.8</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3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7.0</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116.6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111.3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230.8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87.8</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75.4</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130.8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14.8</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17.5</w:t>
            </w:r>
          </w:p>
        </w:tc>
      </w:tr>
      <w:tr>
        <w:trPr>
          <w:trHeight w:val="81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4.15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2.37</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4.09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2.32</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2.24</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1.50</w:t>
            </w:r>
          </w:p>
        </w:tc>
      </w:tr>
      <w:tr>
        <w:trPr>
          <w:trHeight w:val="540"/>
        </w:trPr>
        <w:tc>
          <w:tcPr>
            <w:tcW w:w="2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3.90</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3.17</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2.96</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2.45</w:t>
            </w:r>
          </w:p>
        </w:tc>
        <w:tc>
          <w:tcPr>
            <w:tcW w:w="3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1.69</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3.53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2.76</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1.99</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1.910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1.820</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3.763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1.413</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1.225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83.27</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60.82</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55.00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55.03</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43.47</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83.73</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68.99</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60.30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55.99</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55.95</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60.25</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54.71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50.51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39.64</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35.49</w:t>
            </w: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517.4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471.8</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412.4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390.5</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302.9</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3.10</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2.63</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2.05</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2.93</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7.88</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9.34</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9.41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6.59</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4.90</w:t>
            </w:r>
          </w:p>
        </w:tc>
      </w:tr>
      <w:tr>
        <w:trPr>
          <w:trHeight w:val="270"/>
        </w:trPr>
        <w:tc>
          <w:tcPr>
            <w:tcW w:w="2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61.6</w:t>
            </w:r>
          </w:p>
        </w:tc>
        <w:tc>
          <w:tcPr>
            <w:tcW w:w="320" w:type="dxa"/>
            <w:vAlign w:val="bottom"/>
          </w:tcPr>
          <w:p>
            <w:pPr>
              <w:spacing w:after="0"/>
              <w:rPr>
                <w:sz w:val="23"/>
                <w:szCs w:val="23"/>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61.7</w:t>
            </w:r>
          </w:p>
        </w:tc>
        <w:tc>
          <w:tcPr>
            <w:tcW w:w="3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61.0</w:t>
            </w:r>
          </w:p>
        </w:tc>
      </w:tr>
      <w:tr>
        <w:trPr>
          <w:trHeight w:val="351"/>
        </w:trPr>
        <w:tc>
          <w:tcPr>
            <w:tcW w:w="2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62.2</w:t>
            </w:r>
          </w:p>
        </w:tc>
        <w:tc>
          <w:tcPr>
            <w:tcW w:w="32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62.7</w:t>
            </w:r>
          </w:p>
        </w:tc>
        <w:tc>
          <w:tcPr>
            <w:tcW w:w="32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62.6</w:t>
            </w:r>
          </w:p>
        </w:tc>
        <w:tc>
          <w:tcPr>
            <w:tcW w:w="3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-8155940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-7813040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-7470140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-7126605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-6783705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-6440805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-6097905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-5754370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-5411470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-5068570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-4725670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-4382770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-4039235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-3696335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-3302000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-2959100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-2616200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-2272665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-1929765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-1586865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-1243965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-901065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-557530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-214630</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5040" w:space="140"/>
            <w:col w:w="6240"/>
          </w:cols>
          <w:pgMar w:left="240" w:top="850" w:right="239" w:bottom="393"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850" w:right="239" w:bottom="393" w:gutter="0" w:footer="0" w:header="0"/>
          <w:type w:val="continuous"/>
        </w:sectPr>
      </w:pPr>
    </w:p>
    <w:bookmarkStart w:id="22" w:name="page23"/>
    <w:bookmarkEnd w:id="22"/>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fourth quarter of fiscal 2012, the Company completed the wind down of its professional seed business (“Pro Seed”). As a result, effective in our fourth quarter of fiscal 2012, we classified Pro Seed as a discontinued operation in accordance with GAAP.</w:t>
      </w:r>
    </w:p>
    <w:p>
      <w:pPr>
        <w:spacing w:after="0" w:line="11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11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On April 13, 2016, the Company completed the contribution of the SLS Business to the TruGreen Joint Venture in exchange for a minority equity interest of 30%. As a result, effective in its second quarter of fiscal 2016, we classified the SLS Business as a discontinued operation in accordance with GAAP.</w:t>
      </w:r>
    </w:p>
    <w:p>
      <w:pPr>
        <w:spacing w:after="0" w:line="127"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Selected Financial Data has been retrospectively updated to recast Pro Seed, the wild bird food business and the SLS Business as discontinued operations for each period presented.</w:t>
      </w:r>
    </w:p>
    <w:p>
      <w:pPr>
        <w:spacing w:after="0" w:line="116" w:lineRule="exact"/>
        <w:rPr>
          <w:rFonts w:ascii="Arial" w:cs="Arial" w:eastAsia="Arial" w:hAnsi="Arial"/>
          <w:sz w:val="18"/>
          <w:szCs w:val="18"/>
          <w:color w:val="auto"/>
        </w:rPr>
      </w:pPr>
    </w:p>
    <w:p>
      <w:pPr>
        <w:jc w:val="both"/>
        <w:ind w:left="660" w:hanging="652"/>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which are included as additional supplemental information, of adjusted net income from operations, adjusted net income from continuing operations, adjusted net income attributable to controlling interest from continuing operations and adjusted diluted earnings per Common Share from continuing operations (“Adjusted Earnings”), which exclude costs or gains related to discrete projects or transactions. Items excluded during the five-year period ended September 30, 2016 consisted of charges or credits relating to impairments, restructurings, product registration and recall matters, discontinued operations and other unusual items such as costs or gains related to discrete projects or transactions that are apart from and not indicative of the results of the operations of the business. Adjusted Earnings also exclude charges or credits relating to transaction related costs, restructurings and other discrete projects or transactions including a non-cash fair value write down adjustment related to deferred revenue and advertising as part of the transaction accounting that are apart from and not indicative of the results of the operations of the TruGreen Joint Venture. The comparable GAAP measures are reported income from operations, reported income from continuing operations and reported diluted earnings per share from continuing operations.</w:t>
      </w:r>
    </w:p>
    <w:p>
      <w:pPr>
        <w:spacing w:after="0" w:line="115" w:lineRule="exact"/>
        <w:rPr>
          <w:rFonts w:ascii="Arial" w:cs="Arial" w:eastAsia="Arial" w:hAnsi="Arial"/>
          <w:sz w:val="16"/>
          <w:szCs w:val="16"/>
          <w:color w:val="auto"/>
        </w:rPr>
      </w:pPr>
    </w:p>
    <w:p>
      <w:pPr>
        <w:jc w:val="both"/>
        <w:ind w:left="660"/>
        <w:spacing w:after="0" w:line="291" w:lineRule="auto"/>
        <w:rPr>
          <w:rFonts w:ascii="Arial" w:cs="Arial" w:eastAsia="Arial" w:hAnsi="Arial"/>
          <w:sz w:val="16"/>
          <w:szCs w:val="16"/>
          <w:color w:val="auto"/>
        </w:rPr>
      </w:pPr>
      <w:r>
        <w:rPr>
          <w:rFonts w:ascii="Arial" w:cs="Arial" w:eastAsia="Arial" w:hAnsi="Arial"/>
          <w:sz w:val="16"/>
          <w:szCs w:val="16"/>
          <w:color w:val="auto"/>
        </w:rPr>
        <w:t>The Five-Year Summary also includes non-GAAP financial measures, as defined in Item 10(e) of SEC Regulation S-K, which are included as additional supplemental information, of Pro Forma Adjusted Earnings and Pro Forma Adjusted Earnings per Common Share. These measures are calculated as net income attributable to controlling interest, excluding charges or credits relating to impairments, restructurings, product registration and recall matters and other unusual items such as costs or gains related to discrete projects or transactions that are apart from and not indicative of the results of the operations of the business. These measures also include income (loss) from discontinued operations related to the SLS Business; however, exclude the gain on the contribution of the SLS Business to the TruGreen Joint Venture. The comparable GAAP measures are reported income from operations, reported income from continuing operations and reported diluted earnings per share from continuing operations.</w:t>
      </w:r>
    </w:p>
    <w:p>
      <w:pPr>
        <w:spacing w:after="0" w:line="113"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In addition to our GAAP measures, we use these non-GAAP measures to manage the business because we believe that these measures provide additional perspective on and, in some circumstances are more closely correlated to, the performance of our underlying, ongoing business. We believe that disclosure of these non-GAAP financial measures therefore provides useful supplemental information to investors or other users of the financial statements, such as lenders. Non-GAAP financial measures should be viewed in addition to, and not as an alternative for, the Company’s reported results prepared in accordance with GAAP. A reconciliation of the non-GAAP measures to the most directly comparable GAAP measures is presented in the following table: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54" w:right="2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(recoveries) charges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Product registration and recall matters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income from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attributable to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controlling interest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Product registration and recall matters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 to income tax expense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income attributable to controlling interest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discontinued operations from SLS Business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Gain on contribution of SLS Business</w:t>
      </w:r>
    </w:p>
    <w:p>
      <w:pPr>
        <w:spacing w:after="0" w:line="109"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Income (loss) from SLS Business in discontinued operations, net of gain on contribution of SLS Business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benefit from SLS Business in discontinued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p>
      <w:pPr>
        <w:spacing w:after="0" w:line="109"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Income tax expense from impairment, restructuring and other from SLS Business in discontinued operations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 Forma Adjusted Earnings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3910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190"/>
        </w:trPr>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7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459.3</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262.1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283.7</w:t>
            </w:r>
          </w:p>
        </w:tc>
        <w:tc>
          <w:tcPr>
            <w:tcW w:w="120" w:type="dxa"/>
            <w:vAlign w:val="bottom"/>
          </w:tcPr>
          <w:p>
            <w:pPr>
              <w:spacing w:after="0"/>
              <w:rPr>
                <w:sz w:val="23"/>
                <w:szCs w:val="23"/>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212.7</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6"/>
        </w:trPr>
        <w:tc>
          <w:tcPr>
            <w:tcW w:w="26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3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419.9</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352.1</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333.7</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228.0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140.2</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145.8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93.0</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28.5</w:t>
            </w:r>
          </w:p>
        </w:tc>
      </w:tr>
      <w:tr>
        <w:trPr>
          <w:trHeight w:val="276"/>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(131.2)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25"/>
        </w:trPr>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r>
      <w:tr>
        <w:trPr>
          <w:trHeight w:val="276"/>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r>
      <w:tr>
        <w:trPr>
          <w:trHeight w:val="244"/>
        </w:trPr>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18.6</w:t>
            </w:r>
          </w:p>
        </w:tc>
      </w:tr>
      <w:tr>
        <w:trPr>
          <w:trHeight w:val="270"/>
        </w:trPr>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7"/>
        </w:trPr>
        <w:tc>
          <w:tcPr>
            <w:tcW w:w="2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232.6</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219.3</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206.3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172.6</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-3549650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-3206750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-2863850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-2520950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-2177415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-1834515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-1491615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-1148715</wp:posOffset>
            </wp:positionV>
            <wp:extent cx="72466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-753745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-410845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-16510</wp:posOffset>
            </wp:positionV>
            <wp:extent cx="7246620" cy="197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120"/>
            <w:col w:w="6160"/>
          </w:cols>
          <w:pgMar w:left="240" w:top="1076" w:right="239" w:bottom="1440" w:gutter="0" w:footer="0" w:header="0"/>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20" w:type="dxa"/>
            <w:vAlign w:val="bottom"/>
          </w:tcPr>
          <w:p>
            <w:pPr>
              <w:ind w:left="40"/>
              <w:spacing w:after="0"/>
              <w:rPr>
                <w:sz w:val="20"/>
                <w:szCs w:val="20"/>
                <w:color w:val="auto"/>
              </w:rPr>
            </w:pPr>
            <w:r>
              <w:rPr>
                <w:rFonts w:ascii="Arial" w:cs="Arial" w:eastAsia="Arial" w:hAnsi="Arial"/>
                <w:sz w:val="14"/>
                <w:szCs w:val="14"/>
                <w:color w:val="auto"/>
              </w:rPr>
              <w:t>Diluted income per share from continuing operations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0"/>
              <w:spacing w:after="0"/>
              <w:rPr>
                <w:sz w:val="20"/>
                <w:szCs w:val="20"/>
                <w:color w:val="auto"/>
              </w:rPr>
            </w:pPr>
            <w:r>
              <w:rPr>
                <w:rFonts w:ascii="Arial" w:cs="Arial" w:eastAsia="Arial" w:hAnsi="Arial"/>
                <w:sz w:val="14"/>
                <w:szCs w:val="14"/>
                <w:color w:val="auto"/>
              </w:rPr>
              <w:t>Impairment, restructuring and other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Costs related to refinancing</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Product registration and recall matters</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Adjustment to income tax expense from continuing operations</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Adjusted diluted income per common share from continuing operations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0"/>
              <w:spacing w:after="0"/>
              <w:rPr>
                <w:sz w:val="20"/>
                <w:szCs w:val="20"/>
                <w:color w:val="auto"/>
              </w:rPr>
            </w:pPr>
            <w:r>
              <w:rPr>
                <w:rFonts w:ascii="Arial" w:cs="Arial" w:eastAsia="Arial" w:hAnsi="Arial"/>
                <w:sz w:val="14"/>
                <w:szCs w:val="14"/>
                <w:color w:val="auto"/>
              </w:rPr>
              <w:t>Income from discontinued operations from SLS Business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0"/>
              <w:spacing w:after="0"/>
              <w:rPr>
                <w:sz w:val="20"/>
                <w:szCs w:val="20"/>
                <w:color w:val="auto"/>
              </w:rPr>
            </w:pPr>
            <w:r>
              <w:rPr>
                <w:rFonts w:ascii="Arial" w:cs="Arial" w:eastAsia="Arial" w:hAnsi="Arial"/>
                <w:sz w:val="14"/>
                <w:szCs w:val="14"/>
                <w:color w:val="auto"/>
              </w:rPr>
              <w:t>Gain on contribution of SLS Business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40"/>
              <w:spacing w:after="0"/>
              <w:rPr>
                <w:sz w:val="20"/>
                <w:szCs w:val="20"/>
                <w:color w:val="auto"/>
              </w:rPr>
            </w:pPr>
            <w:r>
              <w:rPr>
                <w:rFonts w:ascii="Arial" w:cs="Arial" w:eastAsia="Arial" w:hAnsi="Arial"/>
                <w:sz w:val="14"/>
                <w:szCs w:val="14"/>
                <w:color w:val="auto"/>
                <w:w w:val="95"/>
              </w:rPr>
              <w:t>Income (loss) from SLS Business in discontinued operations, net of gain on contribution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40"/>
              <w:spacing w:after="0"/>
              <w:rPr>
                <w:sz w:val="20"/>
                <w:szCs w:val="20"/>
                <w:color w:val="auto"/>
              </w:rPr>
            </w:pPr>
            <w:r>
              <w:rPr>
                <w:rFonts w:ascii="Arial" w:cs="Arial" w:eastAsia="Arial" w:hAnsi="Arial"/>
                <w:sz w:val="14"/>
                <w:szCs w:val="14"/>
                <w:color w:val="auto"/>
              </w:rPr>
              <w:t>of SLS Business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0"/>
              <w:spacing w:after="0"/>
              <w:rPr>
                <w:sz w:val="20"/>
                <w:szCs w:val="20"/>
                <w:color w:val="auto"/>
              </w:rPr>
            </w:pPr>
            <w:r>
              <w:rPr>
                <w:rFonts w:ascii="Arial" w:cs="Arial" w:eastAsia="Arial" w:hAnsi="Arial"/>
                <w:sz w:val="14"/>
                <w:szCs w:val="14"/>
                <w:color w:val="auto"/>
              </w:rPr>
              <w:t>Income tax benefit from SLS Business in discontinued operations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Income (loss) from SLS Business in discontinued operations, net of tax</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40"/>
              <w:spacing w:after="0"/>
              <w:rPr>
                <w:sz w:val="20"/>
                <w:szCs w:val="20"/>
                <w:color w:val="auto"/>
              </w:rPr>
            </w:pPr>
            <w:r>
              <w:rPr>
                <w:rFonts w:ascii="Arial" w:cs="Arial" w:eastAsia="Arial" w:hAnsi="Arial"/>
                <w:sz w:val="14"/>
                <w:szCs w:val="14"/>
                <w:color w:val="auto"/>
              </w:rPr>
              <w:t>Impairment, restructuring and other from SLS Business in discontinued operations</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40"/>
              <w:spacing w:after="0"/>
              <w:rPr>
                <w:sz w:val="20"/>
                <w:szCs w:val="20"/>
                <w:color w:val="auto"/>
              </w:rPr>
            </w:pPr>
            <w:r>
              <w:rPr>
                <w:rFonts w:ascii="Arial" w:cs="Arial" w:eastAsia="Arial" w:hAnsi="Arial"/>
                <w:sz w:val="14"/>
                <w:szCs w:val="14"/>
                <w:color w:val="auto"/>
                <w:w w:val="99"/>
              </w:rPr>
              <w:t>Income tax expense from impairment, restructuring and other from SLS Business in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220" w:type="dxa"/>
            <w:vAlign w:val="bottom"/>
          </w:tcPr>
          <w:p>
            <w:pPr>
              <w:ind w:left="40"/>
              <w:spacing w:after="0"/>
              <w:rPr>
                <w:sz w:val="20"/>
                <w:szCs w:val="20"/>
                <w:color w:val="auto"/>
              </w:rPr>
            </w:pPr>
            <w:r>
              <w:rPr>
                <w:rFonts w:ascii="Arial" w:cs="Arial" w:eastAsia="Arial" w:hAnsi="Arial"/>
                <w:sz w:val="14"/>
                <w:szCs w:val="14"/>
                <w:color w:val="auto"/>
              </w:rPr>
              <w:t>discontinued operations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40"/>
              <w:spacing w:after="0"/>
              <w:rPr>
                <w:sz w:val="20"/>
                <w:szCs w:val="20"/>
                <w:color w:val="auto"/>
              </w:rPr>
            </w:pPr>
            <w:r>
              <w:rPr>
                <w:rFonts w:ascii="Arial" w:cs="Arial" w:eastAsia="Arial" w:hAnsi="Arial"/>
                <w:sz w:val="14"/>
                <w:szCs w:val="14"/>
                <w:color w:val="auto"/>
              </w:rPr>
              <w:t>Pro Forma Adjusted Earnings per common share</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4"/>
                <w:szCs w:val="14"/>
                <w:color w:val="auto"/>
              </w:rPr>
              <w:t>The sum of the components may not equal the total due to rounding.</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4.09</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0"/>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87"/>
              </w:rPr>
              <w:t>(0.45)</w:t>
            </w: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0.80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0.11</w:t>
            </w:r>
          </w:p>
        </w:tc>
      </w:tr>
      <w:tr>
        <w:trPr>
          <w:trHeight w:val="270"/>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0.14</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0.13</w:t>
            </w:r>
          </w:p>
        </w:tc>
      </w:tr>
      <w:tr>
        <w:trPr>
          <w:trHeight w:val="276"/>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0.11</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r>
      <w:tr>
        <w:trPr>
          <w:trHeight w:val="237"/>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3.90</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1.66</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18"/>
                <w:szCs w:val="18"/>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0.46</w:t>
            </w:r>
          </w:p>
        </w:tc>
      </w:tr>
      <w:tr>
        <w:trPr>
          <w:trHeight w:val="276"/>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87"/>
              </w:rPr>
              <w:t>(2.12)</w:t>
            </w:r>
          </w:p>
        </w:tc>
        <w:tc>
          <w:tcPr>
            <w:tcW w:w="4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25"/>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87"/>
              </w:rPr>
              <w:t>(0.46)</w:t>
            </w: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0.46</w:t>
            </w:r>
          </w:p>
        </w:tc>
      </w:tr>
      <w:tr>
        <w:trPr>
          <w:trHeight w:val="276"/>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0.17</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r>
      <w:tr>
        <w:trPr>
          <w:trHeight w:val="244"/>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87"/>
              </w:rPr>
              <w:t>(0.29)</w:t>
            </w:r>
          </w:p>
        </w:tc>
        <w:tc>
          <w:tcPr>
            <w:tcW w:w="4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0.30</w:t>
            </w:r>
          </w:p>
        </w:tc>
      </w:tr>
      <w:tr>
        <w:trPr>
          <w:trHeight w:val="270"/>
        </w:trPr>
        <w:tc>
          <w:tcPr>
            <w:tcW w:w="540" w:type="dxa"/>
            <w:vAlign w:val="bottom"/>
          </w:tcPr>
          <w:p>
            <w:pPr>
              <w:jc w:val="right"/>
              <w:ind w:right="168"/>
              <w:spacing w:after="0"/>
              <w:rPr>
                <w:sz w:val="20"/>
                <w:szCs w:val="20"/>
                <w:color w:val="auto"/>
              </w:rPr>
            </w:pPr>
            <w:r>
              <w:rPr>
                <w:rFonts w:ascii="Arial" w:cs="Arial" w:eastAsia="Arial" w:hAnsi="Arial"/>
                <w:sz w:val="14"/>
                <w:szCs w:val="14"/>
                <w:color w:val="auto"/>
              </w:rPr>
              <w:t>0.22</w:t>
            </w:r>
          </w:p>
        </w:tc>
        <w:tc>
          <w:tcPr>
            <w:tcW w:w="42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7"/>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87"/>
              </w:rPr>
              <w:t>(0.08)</w:t>
            </w:r>
          </w:p>
        </w:tc>
        <w:tc>
          <w:tcPr>
            <w:tcW w:w="4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540" w:type="dxa"/>
            <w:vAlign w:val="bottom"/>
          </w:tcPr>
          <w:p>
            <w:pPr>
              <w:jc w:val="right"/>
              <w:ind w:right="168"/>
              <w:spacing w:after="0"/>
              <w:rPr>
                <w:sz w:val="20"/>
                <w:szCs w:val="20"/>
                <w:color w:val="auto"/>
              </w:rPr>
            </w:pPr>
            <w:r>
              <w:rPr>
                <w:rFonts w:ascii="Arial" w:cs="Arial" w:eastAsia="Arial" w:hAnsi="Arial"/>
                <w:sz w:val="14"/>
                <w:szCs w:val="14"/>
                <w:b w:val="1"/>
                <w:bCs w:val="1"/>
                <w:color w:val="auto"/>
              </w:rPr>
              <w:t>3.75</w:t>
            </w: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3.53</w:t>
            </w:r>
          </w:p>
        </w:tc>
        <w:tc>
          <w:tcPr>
            <w:tcW w:w="1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2.76</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1.99</w:t>
            </w:r>
          </w:p>
        </w:tc>
      </w:tr>
      <w:tr>
        <w:trPr>
          <w:trHeight w:val="20"/>
        </w:trPr>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-2348865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-2005965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-1320165</wp:posOffset>
            </wp:positionV>
            <wp:extent cx="7246620" cy="132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-1663065</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5360" w:space="640"/>
            <w:col w:w="5420"/>
          </w:cols>
          <w:pgMar w:left="240" w:top="1076" w:right="239" w:bottom="1440" w:gutter="0" w:footer="0" w:header="0"/>
          <w:type w:val="continuous"/>
        </w:sect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182" w:lineRule="exact"/>
        <w:rPr>
          <w:rFonts w:ascii="Arial" w:cs="Arial" w:eastAsia="Arial" w:hAnsi="Arial"/>
          <w:sz w:val="17"/>
          <w:szCs w:val="17"/>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total debt to total book capitalization percentage is calculated by dividing total debt by total debt plus total equity</w:t>
      </w:r>
      <w:r>
        <w:rPr>
          <w:rFonts w:ascii="Arial" w:cs="Arial" w:eastAsia="Arial" w:hAnsi="Arial"/>
          <w:sz w:val="13"/>
          <w:szCs w:val="13"/>
          <w:color w:val="auto"/>
        </w:rPr>
        <w:t>—</w:t>
      </w:r>
      <w:r>
        <w:rPr>
          <w:rFonts w:ascii="Arial" w:cs="Arial" w:eastAsia="Arial" w:hAnsi="Arial"/>
          <w:sz w:val="17"/>
          <w:szCs w:val="17"/>
          <w:color w:val="auto"/>
        </w:rPr>
        <w:t>controlling interest.</w:t>
      </w:r>
    </w:p>
    <w:p>
      <w:pPr>
        <w:spacing w:after="0" w:line="196"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Scotts Miracle-Gro pays a quarterly dividend to the holders of its Common Shares.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76" w:right="239" w:bottom="1440" w:gutter="0" w:footer="0" w:header="0"/>
          <w:type w:val="continuous"/>
        </w:sectPr>
      </w:pPr>
    </w:p>
    <w:bookmarkStart w:id="24" w:name="page25"/>
    <w:bookmarkEnd w:id="24"/>
    <w:p>
      <w:pPr>
        <w:jc w:val="both"/>
        <w:ind w:left="660"/>
        <w:spacing w:after="0" w:line="346" w:lineRule="auto"/>
        <w:rPr>
          <w:sz w:val="20"/>
          <w:szCs w:val="20"/>
          <w:color w:val="auto"/>
        </w:rPr>
      </w:pPr>
      <w:r>
        <w:rPr>
          <w:rFonts w:ascii="Arial" w:cs="Arial" w:eastAsia="Arial" w:hAnsi="Arial"/>
          <w:sz w:val="16"/>
          <w:szCs w:val="16"/>
          <w:color w:val="auto"/>
        </w:rPr>
        <w:t>quarterly cash dividend to $0.4375 per Common Share, which was first paid in the fourth quarter of fiscal 2013. On August 11, 2014, Scotts Miracle-Gro announced that its Board of Directors had (i) further increased the quarterly cash dividend to $0.45 per Common Share, 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paid in September 2016.</w:t>
      </w:r>
    </w:p>
    <w:p>
      <w:pPr>
        <w:spacing w:after="0" w:line="83" w:lineRule="exact"/>
        <w:rPr>
          <w:sz w:val="20"/>
          <w:szCs w:val="20"/>
          <w:color w:val="auto"/>
        </w:rPr>
      </w:pPr>
    </w:p>
    <w:p>
      <w:pPr>
        <w:jc w:val="both"/>
        <w:ind w:left="660" w:hanging="652"/>
        <w:spacing w:after="0" w:line="28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We view our credit facility as material to our ability to fund operations, particularly in light of our seasonality. Please refer to “ITEM 1A. RISK FACTORS —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4.50 at September 30, 2016) and an interest coverage ratio (minimum of 3.00 for the twelve months ended September 30, 2016).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3.10 at September 30, 2016 and our interest coverage ratio was 7.88 for the twelve months ended September 30, 2016. Please refer to “ITEM 7. MANAGEMENT’S DISCUSSION AND ANALYSIS OF FINANCIAL CONDITION AND RESULTS OF OPERATIONS — Liquidity and Capital Resources — </w:t>
      </w:r>
      <w:r>
        <w:rPr>
          <w:rFonts w:ascii="Arial" w:cs="Arial" w:eastAsia="Arial" w:hAnsi="Arial"/>
          <w:sz w:val="16"/>
          <w:szCs w:val="16"/>
          <w:i w:val="1"/>
          <w:iCs w:val="1"/>
          <w:color w:val="auto"/>
        </w:rPr>
        <w:t>Borrowing Agreements</w:t>
      </w:r>
      <w:r>
        <w:rPr>
          <w:rFonts w:ascii="Arial" w:cs="Arial" w:eastAsia="Arial" w:hAnsi="Arial"/>
          <w:sz w:val="16"/>
          <w:szCs w:val="16"/>
          <w:color w:val="auto"/>
        </w:rPr>
        <w:t>” of this Annual Report on Form 10-K for a discussion of our credit facility.</w:t>
      </w:r>
    </w:p>
    <w:p>
      <w:pPr>
        <w:spacing w:after="0" w:line="114" w:lineRule="exact"/>
        <w:rPr>
          <w:rFonts w:ascii="Arial" w:cs="Arial" w:eastAsia="Arial" w:hAnsi="Arial"/>
          <w:sz w:val="16"/>
          <w:szCs w:val="16"/>
          <w:color w:val="auto"/>
        </w:rPr>
      </w:pPr>
    </w:p>
    <w:p>
      <w:pPr>
        <w:jc w:val="both"/>
        <w:ind w:left="660"/>
        <w:spacing w:after="0" w:line="287" w:lineRule="auto"/>
        <w:rPr>
          <w:rFonts w:ascii="Arial" w:cs="Arial" w:eastAsia="Arial" w:hAnsi="Arial"/>
          <w:sz w:val="16"/>
          <w:szCs w:val="16"/>
          <w:color w:val="auto"/>
        </w:rPr>
      </w:pPr>
      <w:r>
        <w:rPr>
          <w:rFonts w:ascii="Arial" w:cs="Arial" w:eastAsia="Arial" w:hAnsi="Arial"/>
          <w:sz w:val="16"/>
          <w:szCs w:val="16"/>
          <w:color w:val="auto"/>
        </w:rPr>
        <w:t>In accordance with the terms of our credit facility,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For the fourth quarter of fiscal 2015, the Company changed its calculation of Adjusted EBITDA to reflect the measure as defined in our fourth amended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4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A numeric reconciliation of Adjusted EBITDA to income from continuing operations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373"/>
              <w:spacing w:after="0"/>
              <w:rPr>
                <w:sz w:val="20"/>
                <w:szCs w:val="20"/>
                <w:color w:val="auto"/>
              </w:rPr>
            </w:pPr>
            <w:r>
              <w:rPr>
                <w:rFonts w:ascii="Arial" w:cs="Arial" w:eastAsia="Arial" w:hAnsi="Arial"/>
                <w:sz w:val="14"/>
                <w:szCs w:val="14"/>
                <w:b w:val="1"/>
                <w:bCs w:val="1"/>
                <w:color w:val="auto"/>
                <w:w w:val="92"/>
              </w:rPr>
              <w:t>Year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20" w:type="dxa"/>
            <w:vAlign w:val="bottom"/>
            <w:gridSpan w:val="6"/>
          </w:tcPr>
          <w:p>
            <w:pPr>
              <w:jc w:val="center"/>
              <w:ind w:left="353"/>
              <w:spacing w:after="0"/>
              <w:rPr>
                <w:sz w:val="20"/>
                <w:szCs w:val="20"/>
                <w:color w:val="auto"/>
              </w:rPr>
            </w:pPr>
            <w:r>
              <w:rPr>
                <w:rFonts w:ascii="Arial" w:cs="Arial" w:eastAsia="Arial" w:hAnsi="Arial"/>
                <w:sz w:val="14"/>
                <w:szCs w:val="14"/>
                <w:b w:val="1"/>
                <w:bCs w:val="1"/>
                <w:color w:val="auto"/>
                <w:w w:val="92"/>
              </w:rPr>
              <w:t>(In millions, except per share data)</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contribution of SLS Business,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from gain on contribution of SLS Business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Gain on investment of unconsolidated affiliate</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restructuring and other from continuing operations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 non-cash portion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Mark-to-market adjustments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Expense on certain leases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w:t>
            </w: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the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11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 categories in Australia, the Far East and Latin America. In addition, as a result of our recent acquisitions of General Hydroponics, Vermicrop, Gavita and our control of AeroGrow, we are a leading producer of liquid plant food products, growing media, indoor lighting, advanced indoor garden systems and accessories for hydroponic gardening. Our operations are divided into three reportable segments: U.S. Consumer, Europe Consumer and Other. These segments differ from those used in prior years due to the change in our internal organizational structure associated with Project Focus, which is a series of initiatives announced in the first quarter of fiscal 2016 designed to maximize the value of our non-core assets and concentrate our focus on emerging categories of the lawn and garden industry in our core U.S. business.</w:t>
      </w:r>
    </w:p>
    <w:p>
      <w:pPr>
        <w:spacing w:after="0" w:line="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6"/>
          <w:szCs w:val="16"/>
          <w:color w:val="auto"/>
        </w:rPr>
        <w:t>On April 13, 2016, as part of Project Focus, we, pursuant to the terms of the Contribution and Distribution Agreement (the “Contribution Agreement”) between the Company and TruGreen Holding Corporation (“TruGreen Holdings”) completed the contribution of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to a newly formed subsidiary of TruGreen Holdings (the “TruGreen Joint Venture”) in exchange for a minority equity interest of approximately 30% in the TruGreen Joint Venture. The fair value of this interest was estimated to be $294.0 million, resulting in a pre-tax gain of $131.2 million.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Prior to being reported as a discontinued operation, the SLS Business was referred to as our former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 At closing, the TruGreen Joint Venture obtained debt financing and, pursuant to the terms of the Contribution and Distribution Agreement, we received a pro rata cash distribution of $196.2 million, partially offset by an investment of $18.0 million in second lien term loan financing provided by us to the TruGreen Joint Venture and closing working capital adjustments.</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and to create retail demand. We have implemented this model for a number of years by focusing on research and development and investing approximately 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or delay the timing of our provision of certain services. We believe that our diversified product line and our broad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50" w:right="239" w:bottom="1440" w:gutter="0" w:footer="0" w:header="0"/>
        </w:sectPr>
      </w:pPr>
    </w:p>
    <w:bookmarkStart w:id="27" w:name="page28"/>
    <w:bookmarkEnd w:id="27"/>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319"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2016</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2016 is the most recent year impacted by this process and, as a result, the first quarter of fiscal 2016 had six additional days and the fourth quarter of fiscal 2016 had five fewer days compared to the corresponding quarters of fiscal 2015.</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measures are evaluated with and without impairment, restructuring and other charges,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Common Shares over a four-year period ending on September 30, 2014. In May 2011, the Scotts Miracle-Gro Board of Directors authorized the repurchase of up to an additional $200 million of our Common Shares, resulting in authority to repurchase a total of up to $700 million of Common Shares through September 30, 2014. From the inception of this share repurchase program in the fourth quarter of fiscal 2010 through its expiration on September 30, 2014, Scotts Miracle-Gro repurchased 9.9 million Common Shares for $521.2 million to be held in treasury. Common Shares held in treasury totaling 0.6 million and 0.9 million were reissued in support of share-based compensation awards and employee purchases under the employee stock purchase plan during fiscal 2016 and fiscal 2015, respectively.</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2014, the Scotts Miracle-Gro Board of Directors declared a special one-time cash dividend of $2.00 per Common Share that was paid on September 17, 2014.</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(starting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$1.0 billion through September 30, 2019. From the inception of this share repurchase program in the fourth quarter of fiscal 2014 through September 30, 2016, Scotts Miracle-Gro repurchased approximately 2.1 million Common Shares for $145.7 million.</w:t>
      </w:r>
    </w:p>
    <w:p>
      <w:pPr>
        <w:spacing w:after="0" w:line="11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August 3, 2016, we announced that the Scotts Miracle-Gro Board of Directors approved an increase in our quarterly cash dividend from $0.47 to $0.50 per Common Share.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second quarter of fiscal 2016, we classified our results of operations for all periods presented to reflect the SLS Business as a discontinued operation. Effective in the second quarter of fiscal 2014, the Company classified its results of operations for all periods presented to reflect the wild bird food business as a discontinued operation. As a result, and unless specifically stated, all discussions regarding results for the fiscal years ended September 30, 2016, 2015 and 2014 reflect results from our continuing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17"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30"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23495</wp:posOffset>
            </wp:positionV>
            <wp:extent cx="3319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60" w:type="dxa"/>
            <w:vAlign w:val="bottom"/>
            <w:gridSpan w:val="2"/>
          </w:tcPr>
          <w:p>
            <w:pPr>
              <w:ind w:left="6860"/>
              <w:spacing w:after="0"/>
              <w:rPr>
                <w:sz w:val="20"/>
                <w:szCs w:val="20"/>
                <w:color w:val="auto"/>
              </w:rPr>
            </w:pPr>
            <w:r>
              <w:rPr>
                <w:rFonts w:ascii="Arial" w:cs="Arial" w:eastAsia="Arial" w:hAnsi="Arial"/>
                <w:sz w:val="14"/>
                <w:szCs w:val="14"/>
                <w:b w:val="1"/>
                <w:bCs w:val="1"/>
                <w:color w:val="auto"/>
                <w:w w:val="89"/>
              </w:rPr>
              <w:t>2016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80" w:type="dxa"/>
            <w:vAlign w:val="bottom"/>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71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65.5</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34.5</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22.0</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Impairment, restructuring and other</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Other income, net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(0.4)</w:t>
            </w:r>
          </w:p>
        </w:tc>
      </w:tr>
      <w:tr>
        <w:trPr>
          <w:trHeight w:val="27"/>
        </w:trPr>
        <w:tc>
          <w:tcPr>
            <w:tcW w:w="6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11.0</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Equity in loss of unconsolidated affiliates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Costs related to refinancing</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1.8</w:t>
            </w:r>
          </w:p>
        </w:tc>
      </w:tr>
      <w:tr>
        <w:trPr>
          <w:trHeight w:val="27"/>
        </w:trPr>
        <w:tc>
          <w:tcPr>
            <w:tcW w:w="6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Income tax expense from continuing operations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3.2</w:t>
            </w:r>
          </w:p>
        </w:tc>
      </w:tr>
      <w:tr>
        <w:trPr>
          <w:trHeight w:val="27"/>
        </w:trPr>
        <w:tc>
          <w:tcPr>
            <w:tcW w:w="6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5.6</w:t>
            </w:r>
          </w:p>
        </w:tc>
      </w:tr>
      <w:tr>
        <w:trPr>
          <w:trHeight w:val="243"/>
        </w:trPr>
        <w:tc>
          <w:tcPr>
            <w:tcW w:w="7160" w:type="dxa"/>
            <w:vAlign w:val="bottom"/>
            <w:gridSpan w:val="2"/>
          </w:tcPr>
          <w:p>
            <w:pPr>
              <w:ind w:left="260"/>
              <w:spacing w:after="0"/>
              <w:rPr>
                <w:sz w:val="20"/>
                <w:szCs w:val="20"/>
                <w:color w:val="auto"/>
              </w:rPr>
            </w:pPr>
            <w:r>
              <w:rPr>
                <w:rFonts w:ascii="Arial" w:cs="Arial" w:eastAsia="Arial" w:hAnsi="Arial"/>
                <w:sz w:val="18"/>
                <w:szCs w:val="18"/>
                <w:color w:val="auto"/>
              </w:rPr>
              <w:t>Income from discontinued operations, net of tax</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0.8</w:t>
            </w:r>
          </w:p>
        </w:tc>
      </w:tr>
      <w:tr>
        <w:trPr>
          <w:trHeight w:val="27"/>
        </w:trPr>
        <w:tc>
          <w:tcPr>
            <w:tcW w:w="6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sales for fiscal 2016 increased 4.0% to $2.84 billion from $2.73 billion in fiscal 2015. Net sales for fiscal 2015 increased 5.8% from $2.58 billion in fiscal 2014. The change in net sales was attributable to the following:</w:t>
      </w:r>
    </w:p>
    <w:p>
      <w:pPr>
        <w:spacing w:after="0" w:line="176"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23495</wp:posOffset>
            </wp:positionV>
            <wp:extent cx="22123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98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2015</w:t>
            </w:r>
          </w:p>
        </w:tc>
      </w:t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Volume</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4.4</w:t>
            </w:r>
          </w:p>
        </w:tc>
      </w:tr>
      <w:tr>
        <w:trPr>
          <w:trHeight w:val="27"/>
        </w:trPr>
        <w:tc>
          <w:tcPr>
            <w:tcW w:w="7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r>
      <w:tr>
        <w:trPr>
          <w:trHeight w:val="24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Foreign exchange rates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(2.9)</w:t>
            </w:r>
          </w:p>
        </w:tc>
      </w:tr>
      <w:tr>
        <w:trPr>
          <w:trHeight w:val="27"/>
        </w:trPr>
        <w:tc>
          <w:tcPr>
            <w:tcW w:w="7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2016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Other segment, primarily from General Hydroponics, Vermicrop, Gavita and a Canadian growing media operation;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sales volume in our Other segment, driven by increased sales of hydroponic gardening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our amended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w:t>
      </w:r>
    </w:p>
    <w:p>
      <w:pPr>
        <w:spacing w:after="0" w:line="11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the prior year exit from the U.K. Solus business resulting in a decrease in net sales of $18.1 million in our Europe Consumer segment;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other currencies including the Canadian dollar, euro and British pound.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2015 was primarily driven by:</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addition of net sales from acquisitions within our Other segment including General Hydroponics, Vermicrop, AeroGrow, and Fafard; and</w:t>
      </w:r>
    </w:p>
    <w:p>
      <w:pPr>
        <w:spacing w:after="0" w:line="128" w:lineRule="exact"/>
        <w:rPr>
          <w:rFonts w:ascii="Arial" w:cs="Arial" w:eastAsia="Arial" w:hAnsi="Arial"/>
          <w:sz w:val="17"/>
          <w:szCs w:val="17"/>
          <w:color w:val="auto"/>
        </w:rPr>
      </w:pPr>
    </w:p>
    <w:p>
      <w:pPr>
        <w:ind w:left="660" w:hanging="328"/>
        <w:spacing w:after="0" w:line="2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sales volume in our U.S. Consumer segment, driven by increased sales of controls, including increased sales of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well as growing media and cleaners products;</w:t>
      </w:r>
    </w:p>
    <w:p>
      <w:pPr>
        <w:sectPr>
          <w:pgSz w:w="11900" w:h="16838" w:orient="portrait"/>
          <w:cols w:equalWidth="0" w:num="1">
            <w:col w:w="11420"/>
          </w:cols>
          <w:pgMar w:left="240" w:top="1017"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17" w:right="239" w:bottom="1440" w:gutter="0" w:footer="0" w:header="0"/>
          <w:type w:val="continuous"/>
        </w:sectPr>
      </w:pPr>
    </w:p>
    <w:bookmarkStart w:id="29" w:name="page30"/>
    <w:bookmarkEnd w:id="29"/>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were partially offset by the unfavorable impact of foreign exchange rates as a result of the strengthening of the U.S. dollar relative to other currencies including Canadian dollar, euro, and British pound;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unfavorable impact of decreased pricing in the U.S. Consumer segment related to controls products.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296.1</w:t>
            </w:r>
          </w:p>
        </w:tc>
      </w:tr>
      <w:tr>
        <w:trPr>
          <w:trHeight w:val="27"/>
        </w:trPr>
        <w:tc>
          <w:tcPr>
            <w:tcW w:w="6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w:t>
            </w:r>
          </w:p>
        </w:tc>
      </w:tr>
      <w:tr>
        <w:trPr>
          <w:trHeight w:val="270"/>
        </w:trPr>
        <w:tc>
          <w:tcPr>
            <w:tcW w:w="63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r>
      <w:tr>
        <w:trPr>
          <w:trHeight w:val="244"/>
        </w:trPr>
        <w:tc>
          <w:tcPr>
            <w:tcW w:w="6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40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1,688.2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ectPr>
          <w:pgSz w:w="11900" w:h="16838" w:orient="portrait"/>
          <w:cols w:equalWidth="0" w:num="1">
            <w:col w:w="11420"/>
          </w:cols>
          <w:pgMar w:left="240" w:top="9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Volume and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-139065</wp:posOffset>
            </wp:positionV>
            <wp:extent cx="72377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wp:posOffset>
            </wp:positionV>
            <wp:extent cx="723773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Foreign exchange rates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cost of sales for fiscal 2016 was primarily driven by: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1045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2015</w:t>
            </w:r>
          </w:p>
        </w:tc>
      </w:tr>
      <w:tr>
        <w:trPr>
          <w:trHeight w:val="244"/>
        </w:trPr>
        <w:tc>
          <w:tcPr>
            <w:tcW w:w="560" w:type="dxa"/>
            <w:vAlign w:val="bottom"/>
          </w:tcPr>
          <w:p>
            <w:pPr>
              <w:spacing w:after="0"/>
              <w:rPr>
                <w:sz w:val="21"/>
                <w:szCs w:val="21"/>
                <w:color w:val="auto"/>
              </w:rPr>
            </w:pPr>
          </w:p>
        </w:tc>
        <w:tc>
          <w:tcPr>
            <w:tcW w:w="26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Pr>
          <w:p>
            <w:pPr>
              <w:spacing w:after="0"/>
              <w:rPr>
                <w:sz w:val="21"/>
                <w:szCs w:val="21"/>
                <w:color w:val="auto"/>
              </w:rPr>
            </w:pPr>
          </w:p>
        </w:tc>
      </w:tr>
      <w:tr>
        <w:trPr>
          <w:trHeight w:val="255"/>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174.4</w:t>
            </w:r>
          </w:p>
        </w:tc>
      </w:tr>
      <w:tr>
        <w:trPr>
          <w:trHeight w:val="270"/>
        </w:trPr>
        <w:tc>
          <w:tcPr>
            <w:tcW w:w="560" w:type="dxa"/>
            <w:vAlign w:val="bottom"/>
          </w:tcPr>
          <w:p>
            <w:pPr>
              <w:spacing w:after="0"/>
              <w:rPr>
                <w:sz w:val="23"/>
                <w:szCs w:val="23"/>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270"/>
        </w:trPr>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56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3.6</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125.2</w:t>
            </w:r>
          </w:p>
        </w:tc>
      </w:tr>
      <w:tr>
        <w:trPr>
          <w:trHeight w:val="270"/>
        </w:trPr>
        <w:tc>
          <w:tcPr>
            <w:tcW w:w="560" w:type="dxa"/>
            <w:vAlign w:val="bottom"/>
          </w:tcPr>
          <w:p>
            <w:pPr>
              <w:spacing w:after="0"/>
              <w:rPr>
                <w:sz w:val="23"/>
                <w:szCs w:val="23"/>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6.6</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131.8</w:t>
            </w:r>
          </w:p>
        </w:tc>
      </w:tr>
      <w:tr>
        <w:trPr>
          <w:trHeight w:val="27"/>
        </w:trPr>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458" w:lineRule="exact"/>
        <w:rPr>
          <w:sz w:val="20"/>
          <w:szCs w:val="20"/>
          <w:color w:val="auto"/>
        </w:rPr>
      </w:pPr>
    </w:p>
    <w:p>
      <w:pPr>
        <w:sectPr>
          <w:pgSz w:w="11900" w:h="16838" w:orient="portrait"/>
          <w:cols w:equalWidth="0" w:num="2">
            <w:col w:w="5820" w:space="720"/>
            <w:col w:w="4880"/>
          </w:cols>
          <w:pgMar w:left="240" w:top="962" w:right="239" w:bottom="1440" w:gutter="0" w:footer="0" w:header="0"/>
          <w:type w:val="continuous"/>
        </w:sect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increased sales in our U.S. Consumer and Other segments;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Other segment of $54.2 million, primarily from General Hydroponics, Vermicrop, Gavita and a Canadian growing media operation;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980" w:hanging="648"/>
        <w:spacing w:after="0" w:line="214"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other charges of $1.1 million primarily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4"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partially offset by lower material costs in our U.S. Consumer segment driven by lower commodity costs primarily related to fertilizer inputs and resin;</w:t>
      </w:r>
    </w:p>
    <w:p>
      <w:pPr>
        <w:spacing w:after="0" w:line="62"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 and</w:t>
      </w:r>
    </w:p>
    <w:p>
      <w:pPr>
        <w:spacing w:after="0" w:line="62"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a strengthening of the U.S. dollar relative to other currencies including the Canadian dollar, euro and British pound.</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increase in cost of sales for fiscal 2015 was primarily driven by:</w:t>
      </w:r>
    </w:p>
    <w:p>
      <w:pPr>
        <w:spacing w:after="0" w:line="1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sales from acquisitions of $96.2 million within our U.S. Consumer, Europe Consumer and Other segments;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sales volume and unfavorable product mix due to increased sales of growing media products in our U.S. Consumer segment;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material costs within our U.S. Consumer segment for our grass seed and growing media products; and</w:t>
      </w:r>
    </w:p>
    <w:p>
      <w:pPr>
        <w:sectPr>
          <w:pgSz w:w="11900" w:h="16838" w:orient="portrait"/>
          <w:cols w:equalWidth="0" w:num="1">
            <w:col w:w="11420"/>
          </w:cols>
          <w:pgMar w:left="240" w:top="962"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962" w:right="239" w:bottom="1440" w:gutter="0" w:footer="0" w:header="0"/>
          <w:type w:val="continuous"/>
        </w:sectPr>
      </w:pPr>
    </w:p>
    <w:bookmarkStart w:id="30" w:name="page31"/>
    <w:bookmarkEnd w:id="30"/>
    <w:p>
      <w:pPr>
        <w:ind w:left="980" w:hanging="648"/>
        <w:spacing w:after="0" w:line="264"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restructuring and liquidation costs of $6.6 million primarily related to the liquidation and exit from the U.K. Solus business and addressing the consumer complaints regarding our newly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w:t>
      </w:r>
    </w:p>
    <w:p>
      <w:pPr>
        <w:ind w:left="980" w:hanging="648"/>
        <w:spacing w:after="0" w:line="272" w:lineRule="auto"/>
        <w:tabs>
          <w:tab w:leader="none" w:pos="6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which were partially offset by the favorable impact of foreign exchange rates as a result of a strengthening of the U.S. dollar relative to other currencies including Canadian dollar, euro, and British pound.</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a percentage of net sales, our gross profit rate was 35.1%, 33.3% and 34.5% for fiscal 2016, fiscal 2015 and fiscal 2014, respectively. Factors contributing to the change in gross profit rate are outlined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520" w:type="dxa"/>
            <w:vAlign w:val="bottom"/>
            <w:tcBorders>
              <w:bottom w:val="single" w:sz="8" w:color="auto"/>
            </w:tcBorders>
            <w:gridSpan w:val="3"/>
          </w:tcPr>
          <w:p>
            <w:pPr>
              <w:ind w:left="1720"/>
              <w:spacing w:after="0"/>
              <w:rPr>
                <w:sz w:val="20"/>
                <w:szCs w:val="20"/>
                <w:color w:val="auto"/>
              </w:rPr>
            </w:pPr>
            <w:r>
              <w:rPr>
                <w:rFonts w:ascii="Arial" w:cs="Arial" w:eastAsia="Arial" w:hAnsi="Arial"/>
                <w:sz w:val="14"/>
                <w:szCs w:val="14"/>
                <w:b w:val="1"/>
                <w:bCs w:val="1"/>
                <w:color w:val="auto"/>
              </w:rPr>
              <w:t>Year Ended September 30,</w:t>
            </w:r>
          </w:p>
        </w:tc>
        <w:tc>
          <w:tcPr>
            <w:tcW w:w="1520" w:type="dxa"/>
            <w:vAlign w:val="bottom"/>
            <w:tcBorders>
              <w:bottom w:val="single" w:sz="8" w:color="auto"/>
            </w:tcBorders>
          </w:tcPr>
          <w:p>
            <w:pPr>
              <w:spacing w:after="0"/>
              <w:rPr>
                <w:sz w:val="16"/>
                <w:szCs w:val="16"/>
                <w:color w:val="auto"/>
              </w:rPr>
            </w:pPr>
          </w:p>
        </w:tc>
      </w:tr>
      <w:tr>
        <w:trPr>
          <w:trHeight w:val="264"/>
        </w:trPr>
        <w:tc>
          <w:tcPr>
            <w:tcW w:w="6360" w:type="dxa"/>
            <w:vAlign w:val="bottom"/>
            <w:tcBorders>
              <w:bottom w:val="single" w:sz="8" w:color="CCEEFF"/>
            </w:tcBorders>
          </w:tcPr>
          <w:p>
            <w:pPr>
              <w:spacing w:after="0"/>
              <w:rPr>
                <w:sz w:val="22"/>
                <w:szCs w:val="22"/>
                <w:color w:val="auto"/>
              </w:rPr>
            </w:pPr>
          </w:p>
        </w:tc>
        <w:tc>
          <w:tcPr>
            <w:tcW w:w="246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992"/>
              <w:spacing w:after="0"/>
              <w:rPr>
                <w:sz w:val="20"/>
                <w:szCs w:val="20"/>
                <w:color w:val="auto"/>
              </w:rPr>
            </w:pPr>
            <w:r>
              <w:rPr>
                <w:rFonts w:ascii="Arial" w:cs="Arial" w:eastAsia="Arial" w:hAnsi="Arial"/>
                <w:sz w:val="14"/>
                <w:szCs w:val="14"/>
                <w:b w:val="1"/>
                <w:bCs w:val="1"/>
                <w:color w:val="auto"/>
              </w:rPr>
              <w:t>2015</w:t>
            </w: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Product mix and volume</w:t>
            </w:r>
          </w:p>
        </w:tc>
        <w:tc>
          <w:tcPr>
            <w:tcW w:w="2460" w:type="dxa"/>
            <w:vAlign w:val="bottom"/>
          </w:tcPr>
          <w:p>
            <w:pPr>
              <w:jc w:val="right"/>
              <w:ind w:right="13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Pricing</w:t>
            </w:r>
          </w:p>
        </w:tc>
        <w:tc>
          <w:tcPr>
            <w:tcW w:w="246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4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7"/>
        </w:trPr>
        <w:tc>
          <w:tcPr>
            <w:tcW w:w="6360" w:type="dxa"/>
            <w:vAlign w:val="bottom"/>
          </w:tcPr>
          <w:p>
            <w:pPr>
              <w:spacing w:after="0"/>
              <w:rPr>
                <w:sz w:val="20"/>
                <w:szCs w:val="20"/>
                <w:color w:val="auto"/>
              </w:rPr>
            </w:pPr>
          </w:p>
        </w:tc>
        <w:tc>
          <w:tcPr>
            <w:tcW w:w="246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(0.8)</w:t>
            </w:r>
          </w:p>
        </w:tc>
      </w:tr>
      <w:tr>
        <w:trPr>
          <w:trHeight w:val="27"/>
        </w:trPr>
        <w:tc>
          <w:tcPr>
            <w:tcW w:w="63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3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gross profit rate for fiscal 2016 was primarily driven by:</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 resin;</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 and</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favorable net impact from acquisitions, primarily from General Hydroponics and Vermicrop within our Other segment;</w:t>
      </w:r>
    </w:p>
    <w:p>
      <w:pPr>
        <w:spacing w:after="0" w:line="117"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other charges of $7.7 million primarily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the gross profit rate for fiscal 2015 was primarily driven by:</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unfavorable product mix within our U.S. Consumer segment due to increased sales of growing media and the net impact of acquisitions;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unfavorable impact of decreased pricing within our U.S. Consumer segment related to controls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material costs within our U.S. Consumer segment for our grass seed and growing media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partially offset by increased commission income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62"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Year Ended September 30,</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spacing w:after="0"/>
              <w:rPr>
                <w:sz w:val="22"/>
                <w:szCs w:val="22"/>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2014</w:t>
            </w:r>
          </w:p>
        </w:tc>
      </w:tr>
      <w:tr>
        <w:trPr>
          <w:trHeight w:val="196"/>
        </w:trPr>
        <w:tc>
          <w:tcPr>
            <w:tcW w:w="5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20" w:type="dxa"/>
            <w:vAlign w:val="bottom"/>
            <w:gridSpan w:val="6"/>
          </w:tcPr>
          <w:p>
            <w:pPr>
              <w:jc w:val="center"/>
              <w:ind w:right="210"/>
              <w:spacing w:after="0"/>
              <w:rPr>
                <w:sz w:val="20"/>
                <w:szCs w:val="20"/>
                <w:color w:val="auto"/>
              </w:rPr>
            </w:pPr>
            <w:r>
              <w:rPr>
                <w:rFonts w:ascii="Arial" w:cs="Arial" w:eastAsia="Arial" w:hAnsi="Arial"/>
                <w:sz w:val="14"/>
                <w:szCs w:val="14"/>
                <w:b w:val="1"/>
                <w:bCs w:val="1"/>
                <w:color w:val="auto"/>
                <w:w w:val="91"/>
              </w:rPr>
              <w:t>(In millions, except percentage figures)</w:t>
            </w:r>
          </w:p>
        </w:tc>
        <w:tc>
          <w:tcPr>
            <w:tcW w:w="1380" w:type="dxa"/>
            <w:vAlign w:val="bottom"/>
          </w:tcPr>
          <w:p>
            <w:pPr>
              <w:spacing w:after="0"/>
              <w:rPr>
                <w:sz w:val="17"/>
                <w:szCs w:val="17"/>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132.1</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11.1</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46.0</w:t>
            </w:r>
          </w:p>
        </w:tc>
      </w:tr>
      <w:tr>
        <w:trPr>
          <w:trHeight w:val="27"/>
        </w:trPr>
        <w:tc>
          <w:tcPr>
            <w:tcW w:w="5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9.5</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387.3</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368.4</w:t>
            </w:r>
          </w:p>
        </w:tc>
      </w:tr>
      <w:tr>
        <w:trPr>
          <w:trHeight w:val="27"/>
        </w:trPr>
        <w:tc>
          <w:tcPr>
            <w:tcW w:w="5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571.4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567.1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SG&amp;A increased $25.7 million, or 4.5%, during fiscal 2016 compared to fiscal 2015. Share-based compensation expense increased $2.4 million, or 18.2%, to $15.6 million in fiscal 2016 compared to $13.2 million in fiscal 2015 as a result of additional expense associated with fiscal 2016 awards. Share-based compensation expense in fiscal 2015 increased $2.1 million, or 18.9%, compared to fiscal 2014, primarily as a result of additional expense associated with fiscal 2015 awards as well as lower prior year expense due to the impact of forfeitures of previously recognized share-based compensation for executive departures during fiscal 2014.</w:t>
      </w:r>
    </w:p>
    <w:p>
      <w:pPr>
        <w:spacing w:after="0" w:line="13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Amortization expense increased $3.8 million, or 29.9%, to $16.5 million in fiscal 2016 compared to $12.7 million in fiscal 2015. Amortization expense in fiscal 2015 increased $3.2 million, or 33.7%, compared to fiscal 2014. These increases are due to the impact of recent acquisitions.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SG&amp;A increased $19.4 million, or 5.3%, in fiscal 2016 compared to fiscal 2015 driven by increased variable incentive compensation of $13.5 million and the impact of recent acquisitions and costs related to other transaction activity of $12.2 million, partially offset by foreign exchange rate impact of $5.4 million as the U.S. dollar has strengthened relative to other currencies including Canadian dollar, euro, and British pound. In fiscal 2015, other SG&amp;A decreased $0.5 million compared to fiscal 2014. The primary drivers were a favorable foreign exchange rate impact as the U.S. dollar strengthened relative to other currencies including Canadian dollar, euro, and British pound, decreased variable incentive compensation and decreased marketing spending, partially offset by the impact of acquisitions of $25.6 million.</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recorded within the “Cost of sales—impairment, restructuring and other,” “Impairment, restructuring and other” and “Income from discontinued operations, net of tax” lines in the Consolidated Statements of Operations: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60"/>
              <w:spacing w:after="0"/>
              <w:rPr>
                <w:sz w:val="20"/>
                <w:szCs w:val="20"/>
                <w:color w:val="auto"/>
              </w:rPr>
            </w:pPr>
            <w:r>
              <w:rPr>
                <w:rFonts w:ascii="Arial" w:cs="Arial" w:eastAsia="Arial" w:hAnsi="Arial"/>
                <w:sz w:val="18"/>
                <w:szCs w:val="18"/>
                <w:color w:val="auto"/>
              </w:rPr>
              <w:t>Restructuring and other (recoveries) charges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16.3</w:t>
            </w:r>
          </w:p>
        </w:tc>
      </w:tr>
      <w:tr>
        <w:trPr>
          <w:trHeight w:val="27"/>
        </w:trPr>
        <w:tc>
          <w:tcPr>
            <w:tcW w:w="6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 and intangible asset impairments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Impairment, restructuring and other (recoveries) charges from continuing operations</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50.0</w:t>
            </w:r>
          </w:p>
        </w:tc>
      </w:tr>
      <w:tr>
        <w:trPr>
          <w:trHeight w:val="67"/>
        </w:trPr>
        <w:tc>
          <w:tcPr>
            <w:tcW w:w="67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Restructuring and other (recoveries) charges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(recoveries) charges</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51.0</w:t>
            </w:r>
          </w:p>
        </w:tc>
      </w:tr>
      <w:tr>
        <w:trPr>
          <w:trHeight w:val="27"/>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On April 13, 2016, as part of this project, we completed the contribution of the SLS Business to the TruGreen Joint Venture. As a result, effective in our second quarter of fiscal 2016, we classified our results of operations for all periods presented to reflect the SLS Business</w:t>
      </w:r>
    </w:p>
    <w:p>
      <w:pPr>
        <w:sectPr>
          <w:pgSz w:w="11900" w:h="16838" w:orient="portrait"/>
          <w:cols w:equalWidth="0" w:num="1">
            <w:col w:w="11420"/>
          </w:cols>
          <w:pgMar w:left="240" w:top="109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98" w:right="239" w:bottom="1440" w:gutter="0" w:footer="0" w:header="0"/>
          <w:type w:val="continuous"/>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as a discontinued operation and classified the assets and liabilities of the SLS Business as held for sale. Refer to “NOTE 2. DISCONTINUED OPERATIONS” for more information. During fiscal 2016, we recognized a charge of $9.0 million for the resolution of a prior SLS Business litigation matter, as well as $4.6 million in transaction related costs associated with the divestiture of the SLS Business within the “Income from discontinued operations, net of tax” line in the Consolidated Statements of Operations.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during fiscal 2016, we recognized restructuring costs related to termination benefits of $3.4 million within the U.S. Consumer segment and $2.0 million within the Europe Consumer segment, as well as costs of $4.6 million related to other transaction activity. We recorded $8.2 million and $1.8 million of these costs within the “Impairment, restructuring and other” and the “Cost of sales—impairment, restructuring and other” lines in the Consolidated Statements of Operations, respectively.</w:t>
      </w:r>
    </w:p>
    <w:p>
      <w:pPr>
        <w:spacing w:after="0" w:line="106"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During the third quarter of fiscal 2015, our U.S. Consumer segment began experiencing an increase in certain consumer complaints related to our newly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indicating customers were experiencing damage to their lawns after application. During fiscal 2016, we recognized $6.4 million in costs related to resolving these consumer complaints and the recognition of costs we expect to incur for current and expected consumer claims. Costs incurred through September 30, 2016 since the inception of this matter, excluding insurance reimbursement recoveries, are $73.8 million. We have received reimbursement payments of $60.8 million through the end of fiscal 2016, including $40.9 million received during fiscal 2016. We recorded offsetting insurance reimbursement recoveries upon resolution of the insurer’s review of claim documentation in the amount of $4.9 million in fiscal 2015 and $55.9 million in fiscal 2016. We recorded net recoveries of $55.4 million and costs of $5.9 million within the “Impairment, restructuring and other” and the “Cost of sales</w:t>
      </w:r>
      <w:r>
        <w:rPr>
          <w:rFonts w:ascii="Arial" w:cs="Arial" w:eastAsia="Arial" w:hAnsi="Arial"/>
          <w:sz w:val="14"/>
          <w:szCs w:val="14"/>
          <w:color w:val="auto"/>
        </w:rPr>
        <w:t>—i</w:t>
      </w:r>
      <w:r>
        <w:rPr>
          <w:rFonts w:ascii="Arial" w:cs="Arial" w:eastAsia="Arial" w:hAnsi="Arial"/>
          <w:sz w:val="18"/>
          <w:szCs w:val="18"/>
          <w:color w:val="auto"/>
        </w:rPr>
        <w:t>mpairment, restructuring and other” lines in the Consolidated Statements of Operations, respectively.</w:t>
      </w:r>
    </w:p>
    <w:p>
      <w:pPr>
        <w:spacing w:after="0" w:line="9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fiscal 2015, we recognized $22.2 million in restructuring costs related to termination benefits provided to U.S. and international personnel as part of our restructuring of the U.S. administrative and overhead functions, the continuation of the international profitability improvement initiative and the liquidation and exit from the U.K. Solus business. The restructuring costs for fiscal 2015 include $4.3 million of costs related to the acceleration of equity compensation expense, and were comprised of $3.7 million related to the U.S. Consumer segment, $10.3 million related to the Europe Consumer segment, $0.2 million related to the Other segment and $6.6 million related to Corporate. In addition, costs of $1.4 million related to the SLS Business were recognized within the “Income from discontinued operations, net of tax” line in the Consolidated Statements of Operations.</w:t>
      </w:r>
    </w:p>
    <w:p>
      <w:pPr>
        <w:spacing w:after="0" w:line="70"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During fiscal 2015, we also recognized $62.4 million in costs related to consumer complaints and claims related to the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during fiscal 2015.</w:t>
      </w:r>
    </w:p>
    <w:p>
      <w:pPr>
        <w:spacing w:after="0" w:line="149" w:lineRule="exact"/>
        <w:rPr>
          <w:sz w:val="20"/>
          <w:szCs w:val="20"/>
          <w:color w:val="auto"/>
        </w:rPr>
      </w:pPr>
    </w:p>
    <w:p>
      <w:pPr>
        <w:jc w:val="both"/>
        <w:ind w:firstLine="432"/>
        <w:spacing w:after="0" w:line="230" w:lineRule="auto"/>
        <w:rPr>
          <w:sz w:val="20"/>
          <w:szCs w:val="20"/>
          <w:color w:val="auto"/>
        </w:rPr>
      </w:pPr>
      <w:r>
        <w:rPr>
          <w:rFonts w:ascii="Arial" w:cs="Arial" w:eastAsia="Arial" w:hAnsi="Arial"/>
          <w:sz w:val="18"/>
          <w:szCs w:val="18"/>
          <w:color w:val="auto"/>
        </w:rPr>
        <w:t>During the third quarter of fiscal 2014, as a result of an impairment review, we recognized an impairment charge for a non-recurring fair value adjustment of $33.7 million within the U.S.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During fiscal 2014, we recognized $12.5 million in restructuring costs related to termination benefits provided to U.S. personnel as part of our restructuring of the U.S. administrative and overhead functions, including $1.0 million related to the SLS Business recognized within the “Income from discontinued operations, net of tax” line in the Consolidated Statements of Operations. We also recognized $2.8 million of international restructuring and other adjustments during fiscal 2014 for the continuation of the profitability improvement initiative announced in December 2012. In addition, during fiscal 2014, the Company recognized $2.0 million in additional ongoing monitoring and remediation costs for the Company’s turfgrass biotechnology program.</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income earned from loans receivable, foreign exchange gains/losses and gains/losses from the sale of non-inventory assets. Other income, net, was $13.8 million, $2.1 million and $10.7 million in fiscal 2016, fiscal 2015 and fiscal 2014, respectively. The increase in other income for fiscal 2016 was due to a gain on the sale of a growing media plant whose operations are being relocated, an increase in income on loans receivable and royalty income earned from the TruGreen Joint Venture related to its use of brand names. The decrease in other income for fiscal 2015 was primarily due to recognition of investment gains in fiscal 2014 related to our investment in AeroGrow.</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2016 was $459.3 million compared to $262.1 million in fiscal 2015, an increase of $197.2 million, or 75.2%. The increase was driven by impairment, restructuring and other recoveries during fiscal 2016 as compared to charges during fiscal 2015, and an increase in net sales and gross profit rate, partially offset by higher SG&amp;A.</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Income from operations in fiscal 2015 was $262.1 million compared to $283.7 million in fiscal 2014, a decrease of $21.6 million, or 7.6%. The decrease was driven by higher impairment, restructuring and other charges during fiscal 2015 as compared to fiscal 2014, a decrease in gross profit rate, a decrease in other income and an increase in SG&amp;A, partially offset by an increase in net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89" w:right="239" w:bottom="1440" w:gutter="0" w:footer="0" w:header="0"/>
        </w:sectPr>
      </w:pPr>
    </w:p>
    <w:bookmarkStart w:id="33" w:name="page34"/>
    <w:bookmarkEnd w:id="33"/>
    <w:p>
      <w:pPr>
        <w:ind w:left="220"/>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hold a minority equity interest of 30% in the TruGreen Joint Venture. This interest was initially recorded at fair value on the transaction date and subsequently is accounted for using the equity method of accounting, with our proportionate share of TruGreen Joint Venture earnings reflected in the Condensed Consolidated Statements of Operations. We recognized equity in income of unconsolidated affiliates of $7.8 million in fiscal 2016. Included within income of unconsolidated affiliates for fiscal 2016 is our $11.7 million share of restructuring and other charges incurred by the TruGreen Joint Venture. These charges included $6.0 million for transaction and merger costs, $4.4 million for nonrecurring integration and separation costs and $1.3 million for a non-cash fair value write-down adjustment on deferred revenue and advertising as part of the transaction accounting.</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fiscal 2016. The costs incurred were associated with the redemption of our 6.625% Senior Notes on December 15, 2015, and are comprised of $6.6 million of call premium and $2.2 million of unamortized bond discount and issuance costs that were written off.</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Costs related to refinancing were $10.7 million for fiscal 2014. The costs incurred were associated with the redemption of our 7.25% Senior Notes.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expense in fiscal 2016 was $65.6 million compared to $50.5 million in fiscal 2015 and $47.3 million in fiscal 2014. The increase in fiscal 2016 was driven by an increase in average borrowings of $351.2 million, which is net of a decrease of $7.5 million due to the impact of foreign exchange rates. The increase in average borrowings was driven by recent acquisition and investment activity, primarily related to General Hydroponics, Vermicrop, Bonnie, Gavita, the amendment of our Marketing Agreement with Monsanto and repurchases of our Common Shares.</w:t>
      </w:r>
    </w:p>
    <w:p>
      <w:pPr>
        <w:spacing w:after="0" w:line="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fiscal 2015 was driven by an increase in average borrowings of $252.1 million, which is net of a decrease of $8.1 million due to the impact of foreign exchange rates, partially offset by a decrease in our weighted average interest rate of 78 basis points primarily due to reduced rates under our credit facility and the redemption of the 7.25% Senior Notes.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23495</wp:posOffset>
            </wp:positionV>
            <wp:extent cx="3704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20" w:type="dxa"/>
            <w:vAlign w:val="bottom"/>
            <w:gridSpan w:val="2"/>
          </w:tcPr>
          <w:p>
            <w:pPr>
              <w:ind w:left="6320"/>
              <w:spacing w:after="0"/>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880" w:type="dxa"/>
            <w:vAlign w:val="bottom"/>
          </w:tcPr>
          <w:p>
            <w:pPr>
              <w:jc w:val="right"/>
              <w:ind w:right="712"/>
              <w:spacing w:after="0"/>
              <w:rPr>
                <w:sz w:val="20"/>
                <w:szCs w:val="20"/>
                <w:color w:val="auto"/>
              </w:rPr>
            </w:pPr>
            <w:r>
              <w:rPr>
                <w:rFonts w:ascii="Arial" w:cs="Arial" w:eastAsia="Arial" w:hAnsi="Arial"/>
                <w:sz w:val="14"/>
                <w:szCs w:val="14"/>
                <w:b w:val="1"/>
                <w:bCs w:val="1"/>
                <w:color w:val="auto"/>
              </w:rPr>
              <w:t>2014</w:t>
            </w:r>
          </w:p>
        </w:tc>
      </w:tr>
      <w:tr>
        <w:trPr>
          <w:trHeight w:val="25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income tax rate</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8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Domestic production activities deduction permanent difference</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other permanent differences</w:t>
            </w: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5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Resolution of prior tax contingencies</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8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8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5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 tax rate for continuing operations was 35.5% for fiscal 2016, compared to 34.9% for fiscal 2015 and 35.6% for fiscal 2014.</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reported income from continuing operations of $392.7 million, or $4.09 per diluted share, in fiscal 2016 compared to $211.6 million, or $2.23 per diluted share, in fiscal 2015. The increase was driven by impairment, restructuring and other recoveries during fiscal 2016 as compared to charges during fiscal 2015, and an increase in net sales, gross profit rate and equity in income of unconsolidated affiliates, partially offset by increases in interest expense, costs related to refinancing and SG&amp;A. Diluted average common shares used in the diluted income per common share calculation were 62.0 million in fiscal 2016 compared to 62.2 million in fiscal 2015. The decrease was primarily driven by share repurchases, partially offset by the exercise of stock options and the issuance of share-based compensation awards and the payment of contingent consideration in Common Shares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98"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connection with the Vermicrop acquisition. Dilutive equivalent shares for fiscal 2016 and fiscal 2015 were 0.9 million and 1.1 million, respectively.</w:t>
      </w:r>
    </w:p>
    <w:p>
      <w:pPr>
        <w:spacing w:after="0" w:line="1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reported income from continuing operations of $211.6 million, or $2.23 per diluted share, in fiscal 2015 compared to $225.7 million, or $2.32 per diluted share, in fiscal 2014. The decrease was driven by higher impairment, restructuring and other charges during fiscal 2015 as compared to fiscal 2014, a decrease in gross profit rate and other income, an increase in SG&amp;A and an increase in interest expense, partially offset by an increase in net sales. Diluted average common shares used in the diluted income per common share calculation were 62.2 million in fiscal 2015 compared to 62.7 million in fiscal 2014. The decrease was primarily driven by share repurchases, partially offset by the exercise of stock options and the issuance of share-based compensation awards and the payment of consideration in Common Shares in connection with the Vermicrop acquisition. Dilutive equivalent shares for fiscal 2015 and fiscal 2014 were 1.1 million and 1.1 million, respectively.</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April 13, 2016, we completed the contribution of the SLS Business to the TruGreen Joint Venture in exchange for a minority equity interest of approximately 30% in the TruGreen Joint Venture.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In our second quarter of fiscal 2014, we completed the sale of our wild bird food business at which time we began presenting this business within discontinued operations. The prior period amounts have been reclassified to conform. During fiscal 2016, we recognized a charge of $9.0 million for the resolution of a prior SLS Business litigation matter, as well as $4.6 million in transaction related costs associated with the divestiture of the SLS Business within the “Income from discontinued operations, net of tax” line in the Consolidated Statements of Operations.</w:t>
      </w:r>
    </w:p>
    <w:p>
      <w:pPr>
        <w:spacing w:after="0" w:line="4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Income from discontinued operations, net of tax in fiscal 2016 was $61.5 million compared to $20.9 million in fiscal 2015. The increase is primarily driven by the after-tax gain on contribution of $79.3 million, partially offset by a net loss from the operations of the SLS Business of $17.8 million for fiscal 2016, as compared to net income from the operations of the SLS Business of $20.9 million for fiscal 2015. Income from discontinued operations, net of tax in fiscal 2014 of $20.7 million includes net income from the operations of the SLS Business of $19.9 million and net income from the operations of our wild bird food business of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divide our business into three reportable segments: U.S. Consumer, Europe Consumer and Other. These segments differ from those used in prior periods due to the change in our internal organizational structure associated with Project Focus, which is a series of initiatives announced in the first quarter of fiscal 2016 designed to maximize the value of our non-core assets and concentrate our focus on emerging categories of the lawn and garden industry in our core U.S. business. On April 13, 2016, as part of this project, we completed the contribution of the SLS Business to the TruGreen Joint Venture in exchange for a minority equity interest of approximately 30% in the TruGreen Joint Venture. As a result, effective in our second quarter of fiscal 2016, we classified our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amortization, impairment, restructuring and other charges, which is not a generally accepted accounting principle (“GAAP”) measure. Senior management uses this measure of operating profit (loss) to evaluate segment performance because the Company believes this measure is indicative of performance trends and the overall earnings potential of each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36" w:right="23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2,187.4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Europe Consumer</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336.7</w:t>
            </w:r>
          </w:p>
        </w:tc>
      </w:tr>
      <w:tr>
        <w:trPr>
          <w:trHeight w:val="27"/>
        </w:trPr>
        <w:tc>
          <w:tcPr>
            <w:tcW w:w="5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204.2</w:t>
            </w:r>
          </w:p>
        </w:tc>
      </w:tr>
      <w:tr>
        <w:trPr>
          <w:trHeight w:val="237"/>
        </w:trPr>
        <w:tc>
          <w:tcPr>
            <w:tcW w:w="5700" w:type="dxa"/>
            <w:vAlign w:val="bottom"/>
          </w:tcPr>
          <w:p>
            <w:pPr>
              <w:ind w:left="260"/>
              <w:spacing w:after="0"/>
              <w:rPr>
                <w:sz w:val="20"/>
                <w:szCs w:val="20"/>
                <w:color w:val="auto"/>
              </w:rPr>
            </w:pPr>
            <w:r>
              <w:rPr>
                <w:rFonts w:ascii="Arial" w:cs="Arial" w:eastAsia="Arial" w:hAnsi="Arial"/>
                <w:sz w:val="18"/>
                <w:szCs w:val="18"/>
                <w:color w:val="auto"/>
              </w:rPr>
              <w:t>Consolidated</w:t>
            </w:r>
          </w:p>
        </w:tc>
        <w:tc>
          <w:tcPr>
            <w:tcW w:w="112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2,836.1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2,728.0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2,578.3</w:t>
            </w:r>
          </w:p>
        </w:tc>
      </w:tr>
      <w:tr>
        <w:trPr>
          <w:trHeight w:val="27"/>
        </w:trPr>
        <w:tc>
          <w:tcPr>
            <w:tcW w:w="5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5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Europe Consumer</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20.9</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37"/>
        </w:trPr>
        <w:tc>
          <w:tcPr>
            <w:tcW w:w="5700" w:type="dxa"/>
            <w:vAlign w:val="bottom"/>
          </w:tcPr>
          <w:p>
            <w:pPr>
              <w:ind w:left="260"/>
              <w:spacing w:after="0"/>
              <w:rPr>
                <w:sz w:val="20"/>
                <w:szCs w:val="20"/>
                <w:color w:val="auto"/>
              </w:rPr>
            </w:pPr>
            <w:r>
              <w:rPr>
                <w:rFonts w:ascii="Arial" w:cs="Arial" w:eastAsia="Arial" w:hAnsi="Arial"/>
                <w:sz w:val="18"/>
                <w:szCs w:val="18"/>
                <w:color w:val="auto"/>
              </w:rPr>
              <w:t>Segment total</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438.0</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5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 Consumer</w:t>
      </w:r>
    </w:p>
    <w:p>
      <w:pPr>
        <w:spacing w:after="0" w:line="90"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U.S. Consumer segment net sales were $2.2 billion in fiscal 2016, an increase of 2.1% from fiscal 2015 net sales of $2.1 billion. The increase was driven by the favorable impact of volume, pricing and acquisitions of 1.3%, 0.7% and 0.1%, respectively. Increased sales volume in fiscal 2016 was driven by increased sales of growing media and grass seed products, as well as the favorable impact of the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partially offset by decreased sales of fertilizer products.</w:t>
      </w:r>
    </w:p>
    <w:p>
      <w:pPr>
        <w:spacing w:after="0" w:line="12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U.S. Consumer segment operating income increased $61.2 million, or 13.9%, in fiscal 2016 as compared to fiscal 2015. The change was driven by increased sales and improvements in gross profit rate due to lower material costs driven by commodities and lower distribution costs due to savings from lower fuel prices and reduced costs from efficiencies in our growing media business, partially offset by higher SG&amp;A.</w:t>
      </w:r>
    </w:p>
    <w:p>
      <w:pPr>
        <w:spacing w:after="0" w:line="4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U.S. Consumer segment net sales were $2.1 billion in fiscal 2015, an increase of 5.1% from fiscal 2014 net sales of $2.0 billion. The increase was driven by the favorable impact of volume and acquisitions of 4.7% and 0.7%, respectively, partially offset by the unfavorable impact of pricing of 0.3%. Increased sales volume in fiscal 2015 was driven by increased sales of controls, including increased sales of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as well as growing media and cleaners products.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U.S. Consumer segment operating income increased $39.5 million, or 9.9%, in fiscal 2015 as compared to fiscal 2014. The change was driven by increased sales, partially offset by a decrease in gross profit rate due to unfavorable product mix as a result of increased sales of growing media and the net impact of acquisitions, the unfavorable impact of decreased pricing related to controls products and increased material costs for our grass seed and growing media products.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Europe Consumer</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Europe Consumer segment net sales were $274.2 million in fiscal 2016, a decrease of 10.0% from fiscal 2015 net sales of $304.7 million. The decrease was driven by the prior year exit from the U.K. Solus business of $18.1 million, or 5.9%, and the unfavorable impact of changes in foreign exchange rates and decreased pricing of 3.6% and 1.3%, respectively, partially offset by the favorable impact of volume of $2.4 million, or 0.8%.</w:t>
      </w:r>
    </w:p>
    <w:p>
      <w:pPr>
        <w:spacing w:after="0" w:line="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Europe Consumer segment operating income decreased $0.6 million, or 4.3%, in fiscal 2016 as compared to fiscal 2015. The change was driven by decreased sales, partially offset by an increase in gross profit rate and lower SG&amp;A.</w:t>
      </w:r>
    </w:p>
    <w:p>
      <w:pPr>
        <w:sectPr>
          <w:pgSz w:w="11900" w:h="16838" w:orient="portrait"/>
          <w:cols w:equalWidth="0" w:num="1">
            <w:col w:w="11420"/>
          </w:cols>
          <w:pgMar w:left="240" w:top="98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989" w:right="239" w:bottom="1440" w:gutter="0" w:footer="0" w:header="0"/>
          <w:type w:val="continuous"/>
        </w:sectPr>
      </w:pPr>
    </w:p>
    <w:bookmarkStart w:id="36" w:name="page37"/>
    <w:bookmarkEnd w:id="36"/>
    <w:p>
      <w:pPr>
        <w:jc w:val="both"/>
        <w:ind w:firstLine="432"/>
        <w:spacing w:after="0" w:line="264" w:lineRule="auto"/>
        <w:rPr>
          <w:sz w:val="20"/>
          <w:szCs w:val="20"/>
          <w:color w:val="auto"/>
        </w:rPr>
      </w:pPr>
      <w:r>
        <w:rPr>
          <w:rFonts w:ascii="Arial" w:cs="Arial" w:eastAsia="Arial" w:hAnsi="Arial"/>
          <w:sz w:val="18"/>
          <w:szCs w:val="18"/>
          <w:color w:val="auto"/>
        </w:rPr>
        <w:t>Europe Consumer segment net sales were $304.7 million in fiscal 2015, a decrease of 9.5% from fiscal 2014 net sales of $336.7 million. The decrease was driven by the unfavorable impact of changes in foreign exchange rates and decreased pricing of 13.9% and 1.2%, respectively, partially offset by the favorable impact of acquisitions and volume of 5.3% and 0.3%, respectively.</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Europe Consumer segment operating income decreased $6.8 million, or 32.5%, in fiscal 2015 as compared to fiscal 2014. The change was driven by decreased sales and gross profit rate, partially offset by lower SG&amp;A.</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segment net sales were $374.5 million in fiscal 2016, an increase of 33.0% from fiscal 2015 net sales of $281.5 million. The increase was driven by the favorable impact of acquisitions and volume of 26.6% and 10.8%, respectively, partially offset by the unfavorable impact of changes in foreign exchange rates of 4.3%. Net sales from our indoor and urban gardening businesses increased $87.3 million in fiscal 2016.</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segment operating income increased $8.5 million, or 69.1%, in fiscal 2016 as compared to fiscal 2015. The change was driven by increased sales, partially offset by increased SG&amp;A from acquired businesses and transaction costs related to acquisition activity.</w:t>
      </w:r>
    </w:p>
    <w:p>
      <w:pPr>
        <w:spacing w:after="0" w:line="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segment net sales were $281.5 million in fiscal 2015, an increase of 37.9% from fiscal 2014 net sales of $204.2 million. The increase was driven by the favorable impact of acquisitions and volume of 45.0% and 7.4%, respectively, partially offset by the unfavorable impact of changes in foreign exchange rates and decreased pricing of 14.4% and 0.3%, respectively. Net sales from our indoor and urban gardening businesses increased $49.2 million in fiscal 2015.</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segment operating income decreased $5.1 million, or 29.3%, in fiscal 2015 as compared to fiscal 2014. The change was driven by increased SG&amp;A from acquired businesses and transaction costs related to acquisition activity, partially offset by increased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Corporate operating loss was $96.8 million in fiscal 2016, a decrease of 1.7% from fiscal 2015 operating loss of $98.5 million. The change was primarily due to an increase in income on loans receivable and royalty income earned from the TruGreen Joint Venture related to its use of brand names, partially offset by increased variable incentive compensation. Corporate operating loss was $98.5 million in fiscal 2015, an increase of 7.1% from fiscal 2014 operating loss of $92.0 million. The increase for fiscal 2015 was primarily related to higher share-based compensation expense and litigation settlement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Cash provided by operating activities totaled $237.4 million for fiscal 2016, a decrease of $9.5 million as compared to cash provided by operating activities of $246.9 million for fiscal 2015. Cash provided by operating activities from the SLS Business was $26.8 million and $28.2 million for fiscal 2016 and fiscal 2015, respectively. The change was driven by an increase in cash used for working capital related to increased inventory, timing of customer receipts as compared to payment of current liabilities and an increase in accounts receivable from the TruGreen Joint Venture of $14.9 million for expenses incurred pursuant to a transition services agreement and an employee leasing agreement, partially offset by insurance reimbursement recoveries of $40.9 million related to the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consumer complaint matter.</w:t>
      </w:r>
    </w:p>
    <w:p>
      <w:pPr>
        <w:spacing w:after="0" w:line="3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Cash provided by operating activities totaled $246.9 million for fiscal 2015, an increase of $6.0 million as compared to cash provided by operating activities of $240.9 million for fiscal 2014. Cash provided by operating activities from the SLS Business was $28.2 million and $19.2 million for fiscal 2015 and fiscal 2014, respectively. The change was driven by a decrease in cash used for working capital, partially offset by a decrease in net income. The decrease in cash used for working capital was primarily due to less growth in accounts receivable and inventory, partially offset by less growth in accounts payable.</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 These balances liquidate during the June through September period as the lawn and garden season unwinds.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used in investing activities totaled $134.4 million for fiscal 2016, a decrease of $402.0 million as compared to cash used in investing activities of $536.4 million for fiscal 2015. Cash used in investing activities related to the SLS Business was $1.4 million and $24.3 million for fiscal 2016 and fiscal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89" w:right="239" w:bottom="1440" w:gutter="0" w:footer="0" w:header="0"/>
        </w:sectPr>
      </w:pPr>
    </w:p>
    <w:bookmarkStart w:id="37" w:name="page38"/>
    <w:bookmarkEnd w:id="37"/>
    <w:p>
      <w:pPr>
        <w:jc w:val="both"/>
        <w:ind w:firstLine="432"/>
        <w:spacing w:after="0" w:line="255" w:lineRule="auto"/>
        <w:rPr>
          <w:sz w:val="20"/>
          <w:szCs w:val="20"/>
          <w:color w:val="auto"/>
        </w:rPr>
      </w:pPr>
      <w:r>
        <w:rPr>
          <w:rFonts w:ascii="Arial" w:cs="Arial" w:eastAsia="Arial" w:hAnsi="Arial"/>
          <w:sz w:val="18"/>
          <w:szCs w:val="18"/>
          <w:color w:val="auto"/>
        </w:rPr>
        <w:t>During fiscal 2016 we made an investment in Bonnie in the amount of $72.0 million, made an investment in an unconsolidated subsidiary of $2.0 million, provided a working capital contribution of $24.2 million and an $18.0 million investment in second lien term loan financing to the TruGreen Joint Venture and completed the acquisitions of Gavita and a Canadian growing media operation which included cash payments of $158.4 million. Cash used for investments in property, plant and equipment during fiscal 2016 was $58.3 million. These cash outflows were partially offset by an excess distribution of $196.2 million from the TruGreen Joint Venture. Significant capital projects during fiscal 2016 included investments in our growing media production and packaging facilities, additional capital for supply chain optimization projects, investments in information technology and facility improvement and maintenance.</w:t>
      </w:r>
    </w:p>
    <w:p>
      <w:pPr>
        <w:spacing w:after="0" w:line="135"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7"/>
          <w:szCs w:val="17"/>
          <w:color w:val="auto"/>
        </w:rPr>
        <w:t>Cash used in investing activities totaled $536.4 million for fiscal 2015, an increase of $380.8 million as compared to cash used in investing activities of $155.6 million for fiscal 2014. Cash used in investing activities related to the SLS Business was $24.3 million and $3.4 million for fiscal 2015 and fiscal 2014, respectively. The change in cash used in our investing activities was primarily driven by the payment of $300 million to Monsanto in consideration for Monsanto’s entry into the amendments to our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the lawn and garden brand extension agreement and the commercialization and technology agreement, and increased acquisitions of $66.2 million. During fiscal 2015, we completed the acquisitions of General Hydroponics and Vermicrop for $120.0 million and $15.0 million, respectively, in addition to four acquisitions of growing media operations with an aggregate estimated purchase price of $40.2 million. Additionally,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completed the acquisition of Action Pest for $21.7 million. These acquisitions included cash payments of $180.2 million during fiscal 2015. Significant capital projects during fiscal 2015 included investments in our growing media production and packaging facilities, additional capital for supply chain optimization projects, investments in information technology, facility improvement and maintenance, and investments in fleet vehicles for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4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For the three fiscal years ended September 30, 2016, our capital spending was allocated as follows: 70% for expansion and maintenance of existing productive assets; 13% for new productive assets; 10% to expand our information technology and transformation and integration capabilities; and 7% for Corporate assets. We expect fiscal 2017 capital expenditures to be consistent with our recent capital spending amounts and allocations.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Financing activities used cash of $122.2 million in fiscal 2016 and provided cash of $278.9 million in fiscal 2015. The change was the result of the repayment of $200.0 million aggregate principal amount of 6.625% Senior Notes, net repayments of $81.3 million under our credit facilities in fiscal 2016 compared to net borrowings of $378.0 million in fiscal 2015, payment of financing and issuance fees of $11.2 million related to our new credit agreement and the 6.000% Senior Notes, an increase in repurchases of our Common Shares of $116.0 million and a decrease in cash received from the exercise of stock options of $9.6 million, partially offset by the issuance of $400.0 million aggregate principal amount of 6.000% Senior Notes.</w:t>
      </w:r>
    </w:p>
    <w:p>
      <w:pPr>
        <w:spacing w:after="0" w:line="11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Financing activities provided cash of $278.9 million in fiscal 2015 and used cash of $124.3 million in fiscal 2014. The change related to financing activities was the result of the redemption of $200.0 million of our 7.25% Senior Notes during fiscal 2014, a decrease in dividends paid in fiscal 2015 as a result of the prior year special one-time cash dividend of $2.00 per share, or $122.1 million, and a decrease in repurchases of Common Shares of $105.2 million, partially offset by a decrease in net borrowings under our credit facility of $29.5 million. Net borrowings under our credit facilities in fiscal 2015 were $378.0 million compared to $407.5 million in fiscal 2014. Financing activities also included an increase in cash received from the exercise of stock options of $4.3 million in fiscal 2015 compared to fiscal 2014.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7" w:right="23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$50.1 million and $71.4 million at September 30, 2016 and 2015, respectively, included $39.9 million and $55.1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“new credit agreement”), providing us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us with the right to seek additional committed credit under the agreement in an aggregate amount of up to $500.0 million plus an unlimited additional amount, subject to certain specified financial and other conditions. Under the new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September 30, 2016, we had letters of credit outstanding in the aggregate principal amount of $26.5 million, and $1.2 billion of availability under the new credit agreement, subject to our continued compliance with the covenants discussed below. The weighted average interest rates on average borrowings under the new credit agreement and the former credit facility were 3.5% and 4.0% for fiscal 2016 and fiscal 2015, respectively.</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maintain a Master Accounts Receivable Purchase Agreement (as amended, “MARP Agreement”), which provides for the discretionary sale by us, and the discretionary purchase (outside of the commitment period specified in the MARP Agreement) by the participating banks, on a revolving basis, of accounts receivable generated by sales to three specified account debtors in an aggregate amount not to exceed $400.0 million.</w:t>
      </w:r>
    </w:p>
    <w:p>
      <w:pPr>
        <w:spacing w:after="0" w:line="8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March 23, 2016, we entered into a Waiver and First Amendment to the MARP Agreement that amends the MARP Agreement in the following significant respects: (1) includes subsidiaries and affiliates of the approved debtors into the definition of approved debtors; (2) requires Scotts LLC to repurchase all receivables (including any defaulted receivables) from the banks on each settlement date; and (3) provides the administrative agent and the banks with full recourse to Scotts LLC in case of non-payment of any purchased receivable on the maturity date thereof, regardless of the reason for such non-payment. Under the terms of the amended MARP Agreement, the banks have the opportunity to purchase those accounts receivable offered by us at a discount (from the agreed base value thereof) effectively equal to the one-week LIBO rate plus 0.95%.</w:t>
      </w:r>
    </w:p>
    <w:p>
      <w:pPr>
        <w:spacing w:after="0" w:line="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$138.6 million and $122.3 million in borrowings or receivables pledged as collateral under the MARP Agreement at September 30, 2016 and 2015, respectively. The carrying value of the receivables pledged as collateral was $174.7 million at September 30, 2016 and $152.9 million at September 30, 2015. As of September 30, 2016, there was $7.6 million of availability under the MARP Agreement.</w:t>
      </w:r>
    </w:p>
    <w:p>
      <w:pPr>
        <w:spacing w:after="0" w:line="100"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MARP Agreement terminated effective October 14, 2016 in accordance with its terms. We expect the $1.6 billion senior secured revolving credit facility available to us under the new credit agreement, together with our other existing sources of committed financing, to be sufficient to meet our funding needs on an ongoing basis. Additionally, we continue to consider alternative receivables-based funding sources, as our new credit agreement allows for the periodic sale, discounting, factoring or securitization of accounts receivable up to a maximum at any one time outstanding of $500 million.</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15, 2014, we used a portion of our available former credit facility borrowings to redeem all of our outstanding $200.0 million aggregate principal amount of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Consolidated Statement of Operations in our second quarter of fiscal 2014. Additionally, we had $3.5 million in unamortized bond discount and issuance costs associated with the 7.25% Senior Notes that were written-off and recognized in the “Costs related to refinancing” line on the Consolidated Statement of Operations in our second quarter of fiscal 2014.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89" w:right="239" w:bottom="1440" w:gutter="0" w:footer="0" w:header="0"/>
        </w:sectPr>
      </w:pPr>
    </w:p>
    <w:bookmarkStart w:id="39" w:name="page40"/>
    <w:bookmarkEnd w:id="39"/>
    <w:p>
      <w:pPr>
        <w:jc w:val="both"/>
        <w:ind w:firstLine="432"/>
        <w:spacing w:after="0" w:line="273" w:lineRule="auto"/>
        <w:rPr>
          <w:sz w:val="20"/>
          <w:szCs w:val="20"/>
          <w:color w:val="auto"/>
        </w:rPr>
      </w:pPr>
      <w:r>
        <w:rPr>
          <w:rFonts w:ascii="Arial" w:cs="Arial" w:eastAsia="Arial" w:hAnsi="Arial"/>
          <w:sz w:val="17"/>
          <w:szCs w:val="17"/>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Consolidated Statement of Operations in the first quarter of fiscal 2016. Additionally, we had $2.2 million in unamortized bond discount and issuance costs associated with the 6.625% Senior Notes that were written off and recognized in the “Costs related to refinancing” line on the Consolidated Statement of Operations in the first quarter of fiscal 2016.</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were in compliance with all debt covenants as of September 30, 2016. Our new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September 30, 2016. Our leverage ratio was 3.10 at September 30, 2016. Our new credit agreement also includes an affirmative covenant regarding our interest coverage. The minimum interest coverage ratio was 3.00 for the twelve months ended September 30, 2016. Our interest coverage ratio was 7.88 for the twelve months ended September 30, 2016. The new credit agreement allows us to make unlimited restricted payments (as defined in the new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new credit agreement for such fiscal year ($175.0 million for fiscal 2017 and $200.0 million for fiscal 2018 and each fiscal year thereafter). Please see “ITEM 6. SELECTED FINANCIAL DATA” of this Annual Report on Form 10-K for further details pertaining to the calculations of the foregoing ratios.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new credit agreement and, based upon our current operating assumptions, we expect to remain in compliance with the permissible leverage ratio and interest coverage ratio throughout fiscal 2017. However, an unanticipated shortfall in earnings, an increase in net indebtedness or other factors could materially affect our ability to remain in compliance with the financial or other covenants of our new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At September 30, 2016, we had outstanding interest rate swap agreements with major financial institutions that effectively converted the LIBOR index portion of variable-rate debt denominated in U.S. dollars to a fixed rate. The swap agreements had a total U.S. dollar notional amount of $650.0 million at September 30, 2016. Interest payments made between the effective date and expiration date are hedged by the swap agreements, except as noted below. On November 1, 2016, we executed interest rate swap agreements with notional amounts that adjust in accordance with a specified seasonal schedule and have a maximum total notional amount at any point in time of $500.0 million. These swap agreements effectively convert the LIBOR index on a portion of our variable-rate debt to a fixed rate of approximately 0.83% beginning in November 2016 through expiration dates in June and August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17" w:right="239" w:bottom="1440" w:gutter="0" w:footer="0" w:header="0"/>
        </w:sectPr>
      </w:pPr>
    </w:p>
    <w:bookmarkStart w:id="40" w:name="page41"/>
    <w:bookmarkEnd w:id="40"/>
    <w:p>
      <w:pPr>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2016 are shown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5"/>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5"/>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Pr>
          <w:p>
            <w:pPr>
              <w:spacing w:after="0"/>
              <w:rPr>
                <w:sz w:val="16"/>
                <w:szCs w:val="16"/>
                <w:color w:val="auto"/>
              </w:rPr>
            </w:pPr>
          </w:p>
        </w:tc>
        <w:tc>
          <w:tcPr>
            <w:tcW w:w="2160" w:type="dxa"/>
            <w:vAlign w:val="bottom"/>
          </w:tcPr>
          <w:p>
            <w:pPr>
              <w:jc w:val="right"/>
              <w:ind w:right="855"/>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2800" w:type="dxa"/>
            <w:vAlign w:val="bottom"/>
          </w:tcPr>
          <w:p>
            <w:pPr>
              <w:jc w:val="right"/>
              <w:ind w:right="1175"/>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4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460" w:type="dxa"/>
            <w:vAlign w:val="bottom"/>
          </w:tcPr>
          <w:p>
            <w:pPr>
              <w:spacing w:after="0"/>
              <w:rPr>
                <w:sz w:val="22"/>
                <w:szCs w:val="22"/>
                <w:color w:val="auto"/>
              </w:rPr>
            </w:pP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2"/>
                <w:szCs w:val="22"/>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46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2"/>
                <w:szCs w:val="22"/>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6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Our indebtedness could limit our flexibility and adversely affect our financial condition” of this Annual Report on Form 10-K.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3"/>
                <w:szCs w:val="13"/>
                <w:color w:val="auto"/>
              </w:rPr>
            </w:pPr>
          </w:p>
        </w:tc>
        <w:tc>
          <w:tcPr>
            <w:tcW w:w="96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5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1,316.1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on debt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retirement plan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2,156.2</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819.3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have long-term debt obligations and interest payments due primarily under the 6.000% Senior Notes and our new credit facility. Amounts in the table represent scheduled future maturities of long-term debt principal for the periods indicated.</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interest payments for our new credit facility are based on outstanding borrowings as of September 30, 2016. Actual interest expense will likely be higher due to the seasonality of our business and associated higher average borrowings.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17" w:right="239" w:bottom="1440" w:gutter="0" w:footer="0" w:header="0"/>
        </w:sectPr>
      </w:pPr>
    </w:p>
    <w:bookmarkStart w:id="41" w:name="page42"/>
    <w:bookmarkEnd w:id="41"/>
    <w:p>
      <w:pPr>
        <w:jc w:val="both"/>
        <w:ind w:firstLine="432"/>
        <w:spacing w:after="0" w:line="264" w:lineRule="auto"/>
        <w:rPr>
          <w:sz w:val="20"/>
          <w:szCs w:val="20"/>
          <w:color w:val="auto"/>
        </w:rPr>
      </w:pPr>
      <w:r>
        <w:rPr>
          <w:rFonts w:ascii="Arial" w:cs="Arial" w:eastAsia="Arial" w:hAnsi="Arial"/>
          <w:sz w:val="18"/>
          <w:szCs w:val="18"/>
          <w:color w:val="auto"/>
        </w:rPr>
        <w:t>Purchase obligations primarily represent commitments for materials used in our manufacturing processes, as well as commitments for warehouse services, grass seed and outsourced information services which comprise the unconditional purchase obligations disclosed in “NOTE 18. COMMITMENTS” of the Notes to Consolidated Financial Statements included in this Annual Report on Form 10-K.</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obligations include actuarially determined retiree benefit payments and pension funding to comply with local funding requirements. Pension funding requirements beyond fiscal 2016 are based on preliminary estimates using actuarial assumptions determined as of September 30, 2016. The above table excludes liabilities for unrecognized tax benefits and insurance accruals as we are unable to estimate the timing of payments for these items.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2016, we have letters of credit in the aggregate face amount of $26.5 million outstanding. Further, we have a residual value guarantee on our corporate aircraft as disclosed in “NOTE 17. OPERATING LEASES” of the Notes to Consolidated Financial Statements included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and “ITEM 3. LEGAL PROCEEDINGS” of this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3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17" w:right="239" w:bottom="1440" w:gutter="0" w:footer="0" w:header="0"/>
        </w:sectPr>
      </w:pPr>
    </w:p>
    <w:bookmarkStart w:id="42" w:name="page43"/>
    <w:bookmarkEnd w:id="42"/>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Inventories are stated at the lower of cost or market, principally determined by the first-in, first-out method of accounting. Inventories include the cost of raw materials, labor, manufacturing overhead and freight and in-bound handling costs incurred to pre-position goods in our warehouse network. Adjustments to net realizable value for excess and obsolete inventory are based on a variety of factors, including product changes and improvements, changes in active ingredient availability and regulatory acceptance, new product introductions and estimated future demand. The adequacy of our adjustments could be materially affected by changes in the demand for our products or regulatory actions.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over their estimated useful economic lives typically ranging from 3 to 25 years. We review long-lived assets whenever circumstances change such that the recorded value of an asset may not be recoverable and therefore impaired.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goodwill and indefinite-lived intangible assets impairment,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and indefinite-lived intangible assets. For the quantitative test, the review for impairment of goodwill and indefinite-lived intangible assets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Fair value estimates employed in our annual impairment review of indefinite-lived intangible assets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 (iii) projected revenue and operating profit growth rates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98" w:right="239" w:bottom="1440" w:gutter="0" w:footer="0" w:header="0"/>
        </w:sectPr>
      </w:pPr>
    </w:p>
    <w:bookmarkStart w:id="43" w:name="page44"/>
    <w:bookmarkEnd w:id="43"/>
    <w:p>
      <w:pPr>
        <w:jc w:val="both"/>
        <w:ind w:firstLine="432"/>
        <w:spacing w:after="0" w:line="290" w:lineRule="auto"/>
        <w:rPr>
          <w:sz w:val="20"/>
          <w:szCs w:val="20"/>
          <w:color w:val="auto"/>
        </w:rPr>
      </w:pPr>
      <w:r>
        <w:rPr>
          <w:rFonts w:ascii="Arial" w:cs="Arial" w:eastAsia="Arial" w:hAnsi="Arial"/>
          <w:sz w:val="16"/>
          <w:szCs w:val="16"/>
          <w:color w:val="auto"/>
        </w:rPr>
        <w:t>At September 30, 2016, goodwill totaled $373.2 million, with $211.9 million and $161.3 million of goodwill for the U.S. Consumer and Other segments, respectively. No goodwill impairment was recognized as a result of the annual evaluation performed as of July 3, 2016. The estimated fair value of each reporting unit with a significant goodwill balance was substantially in excess of its carrying value as of the annual test date. If we were to alter our impairment testing by increasing the discount rate in the discounted cash flow analysis by 100 basis points, there still would not be any impairment indicated for any reporting units. At September 30, 2016, indefinite-lived intangible assets consisted of tradenames of $184.8 million, as well as the Marketing Agreement Amendment of $188.3 million and Brand Extension Agreement of $111.7 million which were both acquired during fiscal 2015. The estimated fair value of each tradename was substantially in excess of its carrying value as of the annual test date. If we were to alter our impairment testing by increasing the discount rate in the discounted cash flow analysis by 100 basis points, there still would not be any impairment indicated for any tradenames.</w:t>
      </w:r>
    </w:p>
    <w:p>
      <w:pPr>
        <w:spacing w:after="0" w:line="112"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During the third quarter of fiscal 2014, as a result of an impairment review, we recognized an impairment charge for a non-recurring fair value adjustment of $33.7 million within the U.S.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Changes in the discount rate and investment returns can have a significant effect on the funded status of our pension plans and shareholders’ equity. We cannot predict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 A 100 basis point change in the discount rate would have an immaterial effect on fiscal 2016 pension expense. A 100 basis point change in the discount rate would have a $63.8 million change in our projected benefit obligations as of September 30, 2016.</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described more fully in “NOTE 19. CONTINGENCIES” of the Notes to Consolidated Financial Statements included in this Annual Report on Form 10-K, we are involved in environmental and legal proceedings which have a high degree of uncertainty associated with them. We continually assess the likely outcome of these proceedings and the adequacy of reserves, if any, provided for their resolution. There can be no assurance that the ultimate outcomes of these proceedings will not differ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1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materially from our current assessment of them, nor that all proceedings that may currently be brought against us are known by us at this time.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5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had variable rate debt instruments outstanding at September 30, 2016 and 2015 that are impacted by changes in interest rates. As a means of managing our interest rate risk on these debt instruments, we entered into interest rate swap agreements with major financial institutions to effectively fix the LIBOR index on certain variable-rate debt obligations.</w:t>
      </w:r>
    </w:p>
    <w:p>
      <w:pPr>
        <w:spacing w:after="0" w:line="127"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At September 30, 2016 and 2015, we had outstanding interest rate swap agreements with a total U.S. dollar equivalent notional value of $650.0 million and $1,300.0 million, respectively. The weighted average fixed rate of swap agreements outstanding at September 30, 2016 was 1.9%.</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following table summarizes information about our derivative financial instruments and debt instruments that are sensitive to changes in interest rates as of September 30, 2016 and 2015.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effect at September 30, 2016 and 2015. A change in our variable interest rate of 100 basis points for a full twelve-month period would have a $2.5 million impact on interest expense assuming approximately $250 million of our average fiscal 2016 variable-rate debt had not been hedged via an interest rate swap agreement. The information is presented in U.S. dollars (in millions):</w:t>
      </w:r>
    </w:p>
    <w:p>
      <w:pPr>
        <w:spacing w:after="0" w:line="349"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3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3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45" w:name="page46"/>
    <w:bookmarkEnd w:id="45"/>
    <w:p>
      <w:pPr>
        <w:ind w:left="5480"/>
        <w:spacing w:after="0"/>
        <w:rPr>
          <w:sz w:val="20"/>
          <w:szCs w:val="20"/>
          <w:color w:val="auto"/>
        </w:rPr>
      </w:pPr>
      <w:r>
        <w:rPr>
          <w:rFonts w:ascii="Arial" w:cs="Arial" w:eastAsia="Arial" w:hAnsi="Arial"/>
          <w:sz w:val="14"/>
          <w:szCs w:val="14"/>
          <w:b w:val="1"/>
          <w:bCs w:val="1"/>
          <w:color w:val="auto"/>
        </w:rPr>
        <w:t>Expected Maturity Date</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restart"/>
          </w:tcPr>
          <w:p>
            <w:pPr>
              <w:jc w:val="right"/>
              <w:ind w:right="234"/>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5"/>
        </w:trPr>
        <w:tc>
          <w:tcPr>
            <w:tcW w:w="3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0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Fixed rate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Variable rate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Interest rate derivatives:</w:t>
            </w: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ind w:left="60"/>
              <w:spacing w:after="0"/>
              <w:rPr>
                <w:sz w:val="20"/>
                <w:szCs w:val="20"/>
                <w:color w:val="auto"/>
              </w:rPr>
            </w:pPr>
            <w:r>
              <w:rPr>
                <w:rFonts w:ascii="Arial" w:cs="Arial" w:eastAsia="Arial" w:hAnsi="Arial"/>
                <w:sz w:val="18"/>
                <w:szCs w:val="18"/>
                <w:color w:val="auto"/>
              </w:rPr>
              <w:t>Average rate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Excluded from the information provided above are $71.3 million and $19.0 million at September 30, 2016 and 2015, respectively, of miscellaneous debt instruments.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Through fiscal 2016, we had transactions that were denominated in currencies other than the currency of the country of origin. We use currency forward contracts to manage the exchange rate risk associated with intercompany loans with foreign subsidiaries that are denominated in local currencies. At September 30, 2016, the notional amount of outstanding currency forward contracts was $165.8 million with a fair value of $0.4 million. At September 30, 2015, the notional amount of outstanding currency forward contracts was $52.3 million with a negative fair value of $0.7 million.</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market risk from fluctuating prices of certain raw materials, including urea and other fertilizer inputs, resins, diesel, gasoline, natural gas, sphagnum peat, bark and grass seed. Our objectives surrounding the procurement of these materials are to ensure continuous supply and to control costs. We seek to achieve these objectives through negotiation of contracts with favorable terms directly with vendors. In addition, we use derivatives to partially mitigate the effect of fluctuating diesel and gasoline costs on our businesses. We had outstanding derivative contracts for 8,106,000 and 8,022,000 gallons of fuel at September 30, 2016 and 2015, respectively. The outstanding derivative contracts had a negative fair value of $0.1 million at September 30, 2016, compared to a negative fair value of $3.2 million at September 30, 2015. We also enter into hedging arrangements designed to fix the price of a portion of our projected future urea requirements of our business. We had outstanding derivative contracts for 40,500 and 52,500 aggregate tons of urea at September 30, 2016 and 2015, respectively. The outstanding derivative contracts had a negative fair value of $0.3 million at September 30, 2016, compared to a negative fair value of $1.3 million at September 30, 2015.</w:t>
      </w:r>
    </w:p>
    <w:p>
      <w:pPr>
        <w:spacing w:after="0" w:line="3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53 of this Annual Report on Form 10-K.</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6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54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55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Securities Exchange Act of 1934) occurred during the Registrant’s fiscal quarter ended September 30, 2016, that have materially affected, or are reasonably likely to materially affect, the Registrant’s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9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27, 2017 (the “2017 Annual Meeting”) is incorporated herein by reference from the disclosure which will be included under the caption “PROPOSAL NUMBER 1 — ELECTION OF DIRECTORS” in Scotts Miracle-Gro’s definitive Proxy Statement relating to the 2017 Annual Meeting (“Scotts Miracle-Gro’s Definitive Proxy Statement”), which will be filed pursuant to SEC Regulation 14A not later than 120 days after the end of Scotts Miracle-Gro’s fiscal year ended September 30, 2016.</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2016 Annual Meeting of Shareholders held on January 28,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51"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Miracle-Gro on Scotts Miracle-Gro’s Internet website located at http://investor.scotts.com within four business days of the determination to grant any such waiver.</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2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9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ACCOUNTING FEES AND SERVICES</w:t>
      </w:r>
    </w:p>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FINANCIAL STATEMENT SCHEDULES</w:t>
      </w:r>
    </w:p>
    <w:p>
      <w:pPr>
        <w:spacing w:after="0" w:line="175" w:lineRule="exact"/>
        <w:rPr>
          <w:sz w:val="20"/>
          <w:szCs w:val="20"/>
          <w:color w:val="auto"/>
        </w:rPr>
      </w:pPr>
    </w:p>
    <w:p>
      <w:pPr>
        <w:ind w:left="680" w:hanging="24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53 of this Annual Report on Form 10-K.</w:t>
      </w:r>
    </w:p>
    <w:p>
      <w:pPr>
        <w:spacing w:after="0" w:line="116" w:lineRule="exact"/>
        <w:rPr>
          <w:sz w:val="20"/>
          <w:szCs w:val="20"/>
          <w:color w:val="auto"/>
        </w:rPr>
      </w:pPr>
    </w:p>
    <w:p>
      <w:pPr>
        <w:ind w:left="700" w:hanging="26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exhibits listed on the “Index to Exhibits” beginning on page 126 of this Annual Report on Form 10-K are filed or furnished with this Annual Report on Form 10-K or incorporated herein by reference as noted in the “Index to Exhibits.”</w:t>
      </w:r>
    </w:p>
    <w:p>
      <w:pPr>
        <w:spacing w:after="0" w:line="116" w:lineRule="exact"/>
        <w:rPr>
          <w:sz w:val="20"/>
          <w:szCs w:val="20"/>
          <w:color w:val="auto"/>
        </w:rPr>
      </w:pPr>
    </w:p>
    <w:p>
      <w:pPr>
        <w:ind w:left="680" w:hanging="24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53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50"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6660"/>
        <w:spacing w:after="0"/>
        <w:tabs>
          <w:tab w:leader="none" w:pos="7220" w:val="left"/>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James Hagedorn, Chief Executive Officer and Chairman</w:t>
      </w:r>
    </w:p>
    <w:p>
      <w:pPr>
        <w:spacing w:after="0" w:line="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 the Board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28, 2016</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22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4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 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and Executive Vice President</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Randal Coleman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Financial Officer and Principal Accounting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Chairman of the Board and 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James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BRIAN D. FINN*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Brian D. Finn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ADAM HANFT*</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Adam Hanft</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MICHELLE A.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Michelle A.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STEPHEN L. JOHNSON*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Stephen L. Johnson</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THOMAS N. KELLY JR.*</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r>
        <w:trPr>
          <w:trHeight w:val="27"/>
        </w:trPr>
        <w:tc>
          <w:tcPr>
            <w:tcW w:w="1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Thomas N. Kelly Jr.</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42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2220" w:type="dxa"/>
            <w:vAlign w:val="bottom"/>
            <w:gridSpan w:val="3"/>
          </w:tcPr>
          <w:p>
            <w:pPr>
              <w:jc w:val="center"/>
              <w:ind w:left="692"/>
              <w:spacing w:after="0"/>
              <w:rPr>
                <w:sz w:val="20"/>
                <w:szCs w:val="20"/>
                <w:color w:val="auto"/>
              </w:rPr>
            </w:pPr>
            <w:r>
              <w:rPr>
                <w:rFonts w:ascii="Arial" w:cs="Arial" w:eastAsia="Arial" w:hAnsi="Arial"/>
                <w:sz w:val="18"/>
                <w:szCs w:val="18"/>
                <w:color w:val="auto"/>
                <w:w w:val="91"/>
              </w:rPr>
              <w:t>November 28, 2016</w:t>
            </w:r>
          </w:p>
        </w:tc>
      </w:tr>
    </w:tbl>
    <w:p>
      <w:pPr>
        <w:ind w:left="4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46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Hagedorn Littlefield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5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180" w:type="dxa"/>
            <w:vAlign w:val="bottom"/>
          </w:tcPr>
          <w:p>
            <w:pPr>
              <w:spacing w:after="0"/>
              <w:rPr>
                <w:sz w:val="14"/>
                <w:szCs w:val="14"/>
                <w:color w:val="auto"/>
              </w:rPr>
            </w:pPr>
          </w:p>
        </w:tc>
        <w:tc>
          <w:tcPr>
            <w:tcW w:w="5020" w:type="dxa"/>
            <w:vAlign w:val="bottom"/>
            <w:gridSpan w:val="3"/>
          </w:tcPr>
          <w:p>
            <w:pPr>
              <w:ind w:left="3060"/>
              <w:spacing w:after="0"/>
              <w:rPr>
                <w:sz w:val="20"/>
                <w:szCs w:val="20"/>
                <w:color w:val="auto"/>
              </w:rPr>
            </w:pPr>
            <w:r>
              <w:rPr>
                <w:rFonts w:ascii="Arial" w:cs="Arial" w:eastAsia="Arial" w:hAnsi="Arial"/>
                <w:sz w:val="14"/>
                <w:szCs w:val="14"/>
                <w:b w:val="1"/>
                <w:bCs w:val="1"/>
                <w:color w:val="auto"/>
              </w:rPr>
              <w:t>Title</w:t>
            </w:r>
          </w:p>
        </w:tc>
        <w:tc>
          <w:tcPr>
            <w:tcW w:w="3120" w:type="dxa"/>
            <w:vAlign w:val="bottom"/>
            <w:gridSpan w:val="3"/>
          </w:tcPr>
          <w:p>
            <w:pPr>
              <w:jc w:val="center"/>
              <w:ind w:left="157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88"/>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JAMES F. MCCANN*</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28, 2016</w:t>
            </w:r>
          </w:p>
        </w:tc>
      </w:tr>
      <w:tr>
        <w:trPr>
          <w:trHeight w:val="27"/>
        </w:trPr>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80" w:type="dxa"/>
            <w:vAlign w:val="bottom"/>
            <w:gridSpan w:val="4"/>
          </w:tcPr>
          <w:p>
            <w:pPr>
              <w:ind w:left="40"/>
              <w:spacing w:after="0"/>
              <w:rPr>
                <w:sz w:val="20"/>
                <w:szCs w:val="20"/>
                <w:color w:val="auto"/>
              </w:rPr>
            </w:pPr>
            <w:r>
              <w:rPr>
                <w:rFonts w:ascii="Arial" w:cs="Arial" w:eastAsia="Arial" w:hAnsi="Arial"/>
                <w:sz w:val="18"/>
                <w:szCs w:val="18"/>
                <w:color w:val="auto"/>
              </w:rPr>
              <w:t>James F. McCann</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NANCY G. MISTRETTA*</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28, 2016</w:t>
            </w:r>
          </w:p>
        </w:tc>
      </w:tr>
      <w:tr>
        <w:trPr>
          <w:trHeight w:val="27"/>
        </w:trPr>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80" w:type="dxa"/>
            <w:vAlign w:val="bottom"/>
            <w:gridSpan w:val="4"/>
          </w:tcPr>
          <w:p>
            <w:pPr>
              <w:ind w:left="40"/>
              <w:spacing w:after="0"/>
              <w:rPr>
                <w:sz w:val="20"/>
                <w:szCs w:val="20"/>
                <w:color w:val="auto"/>
              </w:rPr>
            </w:pPr>
            <w:r>
              <w:rPr>
                <w:rFonts w:ascii="Arial" w:cs="Arial" w:eastAsia="Arial" w:hAnsi="Arial"/>
                <w:sz w:val="18"/>
                <w:szCs w:val="18"/>
                <w:color w:val="auto"/>
              </w:rPr>
              <w:t>Nancy G. Mistretta</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94"/>
        </w:trPr>
        <w:tc>
          <w:tcPr>
            <w:tcW w:w="280" w:type="dxa"/>
            <w:vAlign w:val="bottom"/>
          </w:tcPr>
          <w:p>
            <w:pPr>
              <w:ind w:left="4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ind w:left="60"/>
              <w:spacing w:after="0"/>
              <w:rPr>
                <w:sz w:val="20"/>
                <w:szCs w:val="20"/>
                <w:color w:val="auto"/>
              </w:rPr>
            </w:pPr>
            <w:r>
              <w:rPr>
                <w:rFonts w:ascii="Arial" w:cs="Arial" w:eastAsia="Arial" w:hAnsi="Arial"/>
                <w:sz w:val="18"/>
                <w:szCs w:val="18"/>
                <w:color w:val="auto"/>
              </w:rPr>
              <w:t>JOHN R. VINES*</w:t>
            </w: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3120" w:type="dxa"/>
            <w:vAlign w:val="bottom"/>
            <w:gridSpan w:val="3"/>
          </w:tcPr>
          <w:p>
            <w:pPr>
              <w:jc w:val="center"/>
              <w:ind w:left="1594"/>
              <w:spacing w:after="0"/>
              <w:rPr>
                <w:sz w:val="20"/>
                <w:szCs w:val="20"/>
                <w:color w:val="auto"/>
              </w:rPr>
            </w:pPr>
            <w:r>
              <w:rPr>
                <w:rFonts w:ascii="Arial" w:cs="Arial" w:eastAsia="Arial" w:hAnsi="Arial"/>
                <w:sz w:val="18"/>
                <w:szCs w:val="18"/>
                <w:color w:val="auto"/>
                <w:w w:val="91"/>
              </w:rPr>
              <w:t>November 28, 2016</w:t>
            </w:r>
          </w:p>
        </w:tc>
      </w:tr>
      <w:tr>
        <w:trPr>
          <w:trHeight w:val="27"/>
        </w:trPr>
        <w:tc>
          <w:tcPr>
            <w:tcW w:w="12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2980" w:type="dxa"/>
            <w:vAlign w:val="bottom"/>
            <w:gridSpan w:val="4"/>
          </w:tcPr>
          <w:p>
            <w:pPr>
              <w:ind w:left="40"/>
              <w:spacing w:after="0"/>
              <w:rPr>
                <w:sz w:val="20"/>
                <w:szCs w:val="20"/>
                <w:color w:val="auto"/>
              </w:rPr>
            </w:pPr>
            <w:r>
              <w:rPr>
                <w:rFonts w:ascii="Arial" w:cs="Arial" w:eastAsia="Arial" w:hAnsi="Arial"/>
                <w:sz w:val="18"/>
                <w:szCs w:val="18"/>
                <w:color w:val="auto"/>
              </w:rPr>
              <w:t>John R. Vines</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364" w:lineRule="exact"/>
        <w:rPr>
          <w:sz w:val="20"/>
          <w:szCs w:val="20"/>
          <w:color w:val="auto"/>
        </w:rPr>
      </w:pPr>
    </w:p>
    <w:p>
      <w:pPr>
        <w:ind w:left="500" w:hanging="465"/>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0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2830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Thomas Randal Coleman, Attorney-in-Fact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072"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w:t>
            </w:r>
          </w:p>
        </w:tc>
      </w:tr>
      <w:tr>
        <w:trPr>
          <w:trHeight w:val="230"/>
        </w:trPr>
        <w:tc>
          <w:tcPr>
            <w:tcW w:w="1058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5560" w:type="dxa"/>
            <w:vAlign w:val="bottom"/>
            <w:gridSpan w:val="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Annual Report of Management on Internal Control Over Financial Reporting</w:t>
              </w:r>
            </w:hyperlink>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54</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00" w:type="dxa"/>
            <w:vAlign w:val="bottom"/>
            <w:gridSpan w:val="2"/>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Reports of Independent Registered Public Accounting Firm</w:t>
              </w:r>
            </w:hyperlink>
          </w:p>
        </w:tc>
        <w:tc>
          <w:tcPr>
            <w:tcW w:w="1260" w:type="dxa"/>
            <w:vAlign w:val="bottom"/>
            <w:gridSpan w:val="2"/>
          </w:tcPr>
          <w:p>
            <w:pPr>
              <w:spacing w:after="0"/>
              <w:rPr>
                <w:sz w:val="21"/>
                <w:szCs w:val="21"/>
                <w:color w:val="auto"/>
              </w:rPr>
            </w:pPr>
          </w:p>
        </w:tc>
        <w:tc>
          <w:tcPr>
            <w:tcW w:w="468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24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for the fiscal years ended September 30, 2016, 2015 and 2014</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24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Income for the fiscal years ended September 30, 2016, 2015 and 2014</w:t>
              </w:r>
            </w:hyperlink>
          </w:p>
        </w:tc>
        <w:tc>
          <w:tcPr>
            <w:tcW w:w="80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380" w:type="dxa"/>
            <w:vAlign w:val="bottom"/>
            <w:gridSpan w:val="6"/>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Cash Flows for the fiscal years ended September 30, 2016, 2015 and 2014</w:t>
              </w:r>
            </w:hyperlink>
          </w:p>
        </w:tc>
        <w:tc>
          <w:tcPr>
            <w:tcW w:w="860" w:type="dxa"/>
            <w:vAlign w:val="bottom"/>
            <w:gridSpan w:val="2"/>
          </w:tcPr>
          <w:p>
            <w:pPr>
              <w:spacing w:after="0"/>
              <w:rPr>
                <w:sz w:val="21"/>
                <w:szCs w:val="21"/>
                <w:color w:val="auto"/>
              </w:rPr>
            </w:pPr>
          </w:p>
        </w:tc>
        <w:tc>
          <w:tcPr>
            <w:tcW w:w="20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480" w:type="dxa"/>
            <w:vAlign w:val="bottom"/>
            <w:gridSpan w:val="3"/>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 at September 30, 2016 and 2015</w:t>
              </w:r>
            </w:hyperlink>
          </w:p>
        </w:tc>
        <w:tc>
          <w:tcPr>
            <w:tcW w:w="2900" w:type="dxa"/>
            <w:vAlign w:val="bottom"/>
            <w:gridSpan w:val="3"/>
          </w:tcPr>
          <w:p>
            <w:pPr>
              <w:spacing w:after="0"/>
              <w:rPr>
                <w:sz w:val="21"/>
                <w:szCs w:val="21"/>
                <w:color w:val="auto"/>
              </w:rPr>
            </w:pPr>
          </w:p>
        </w:tc>
        <w:tc>
          <w:tcPr>
            <w:tcW w:w="286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060" w:type="dxa"/>
            <w:vAlign w:val="bottom"/>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Shareholders’ Equity for the fiscal years ended September 30, 2016, 2015 and 2014</w:t>
              </w:r>
            </w:hyperlink>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61</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160" w:type="dxa"/>
            <w:vAlign w:val="bottom"/>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4900" w:type="dxa"/>
            <w:vAlign w:val="bottom"/>
            <w:gridSpan w:val="6"/>
          </w:tcPr>
          <w:p>
            <w:pPr>
              <w:spacing w:after="0"/>
              <w:rPr>
                <w:sz w:val="21"/>
                <w:szCs w:val="21"/>
                <w:color w:val="auto"/>
              </w:rPr>
            </w:pPr>
          </w:p>
        </w:tc>
        <w:tc>
          <w:tcPr>
            <w:tcW w:w="218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r>
      <w:tr>
        <w:trPr>
          <w:trHeight w:val="20"/>
        </w:trPr>
        <w:tc>
          <w:tcPr>
            <w:tcW w:w="3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58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Schedule II—Valuation and Qualifying Accounts for the fiscal years ended September 30, 2016, 2015 and 2014</w:t>
              </w:r>
            </w:hyperlink>
          </w:p>
        </w:tc>
        <w:tc>
          <w:tcPr>
            <w:tcW w:w="218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Borders>
              <w:bottom w:val="single" w:sz="8" w:color="0000FF"/>
            </w:tcBorders>
            <w:gridSpan w:val="2"/>
          </w:tcPr>
          <w:p>
            <w:pPr>
              <w:jc w:val="right"/>
              <w:spacing w:after="0"/>
              <w:rPr>
                <w:rFonts w:ascii="Arial" w:cs="Arial" w:eastAsia="Arial" w:hAnsi="Arial"/>
                <w:sz w:val="18"/>
                <w:szCs w:val="18"/>
                <w:color w:val="0000FF"/>
                <w:w w:val="86"/>
              </w:rPr>
            </w:pPr>
            <w:hyperlink w:anchor="page126">
              <w:r>
                <w:rPr>
                  <w:rFonts w:ascii="Arial" w:cs="Arial" w:eastAsia="Arial" w:hAnsi="Arial"/>
                  <w:sz w:val="18"/>
                  <w:szCs w:val="18"/>
                  <w:color w:val="0000FF"/>
                  <w:w w:val="86"/>
                </w:rPr>
                <w:t>125</w:t>
              </w:r>
            </w:hyperlink>
          </w:p>
        </w:tc>
        <w:tc>
          <w:tcPr>
            <w:tcW w:w="20" w:type="dxa"/>
            <w:vAlign w:val="bottom"/>
          </w:tcPr>
          <w:p>
            <w:pPr>
              <w:spacing w:after="0"/>
              <w:rPr>
                <w:sz w:val="19"/>
                <w:szCs w:val="19"/>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5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2016,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Gavita Holdings B.V. and its subsidiaries and a Canadian growing media operation, which were acquired in fiscal 2016. These acquisitions constituted 9.5% of total assets, 1.4% and 0.5% of revenues and net income, respectively, included in our consolidated financial statements as of and for the fiscal year ended September 30, 2016.</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2016,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2016 and has issued their attestation report which appears herein.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THOMAS RANDAL COLEMAN</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Thomas Randal Coleman</w:t>
            </w: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color w:val="auto"/>
              </w:rPr>
              <w:t>Chief Executive Officer and Chairman of the Board</w:t>
            </w:r>
          </w:p>
        </w:tc>
        <w:tc>
          <w:tcPr>
            <w:tcW w:w="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392"/>
        </w:trPr>
        <w:tc>
          <w:tcPr>
            <w:tcW w:w="5620" w:type="dxa"/>
            <w:vAlign w:val="bottom"/>
          </w:tcPr>
          <w:p>
            <w:pPr>
              <w:ind w:left="40"/>
              <w:spacing w:after="0"/>
              <w:rPr>
                <w:sz w:val="20"/>
                <w:szCs w:val="20"/>
                <w:color w:val="auto"/>
              </w:rPr>
            </w:pPr>
            <w:r>
              <w:rPr>
                <w:rFonts w:ascii="Arial" w:cs="Arial" w:eastAsia="Arial" w:hAnsi="Arial"/>
                <w:sz w:val="18"/>
                <w:szCs w:val="18"/>
                <w:color w:val="auto"/>
              </w:rPr>
              <w:t>Dated:   November 28, 2016</w:t>
            </w: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Dated:    November 28, 2016</w:t>
            </w:r>
          </w:p>
        </w:tc>
      </w:tr>
      <w:tr>
        <w:trPr>
          <w:trHeight w:val="486"/>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Arial" w:cs="Arial" w:eastAsia="Arial" w:hAnsi="Arial"/>
                <w:sz w:val="18"/>
                <w:szCs w:val="18"/>
                <w:color w:val="auto"/>
                <w:w w:val="79"/>
              </w:rPr>
              <w:t>54</w:t>
            </w:r>
          </w:p>
        </w:tc>
      </w:tr>
    </w:tbl>
    <w:p>
      <w:pPr>
        <w:sectPr>
          <w:pgSz w:w="11900" w:h="16838" w:orient="portrait"/>
          <w:cols w:equalWidth="0" w:num="1">
            <w:col w:w="11420"/>
          </w:cols>
          <w:pgMar w:left="240" w:top="851" w:right="239" w:bottom="1440" w:gutter="0" w:footer="0" w:header="0"/>
        </w:sectPr>
      </w:pPr>
    </w:p>
    <w:bookmarkStart w:id="54" w:name="page55"/>
    <w:bookmarkEnd w:id="5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audited the accompanying consolidated balance sheets of The Scotts Miracle-Gro Company and subsidiaries (the “Company”) as of September 30, 2016 and 2015, and the related consolidated statements of operations, comprehensive income, shareholders’ equity, and cash flows for each of the three years in the period ended September 30, 2016. Our audits also included the financial statement schedules listed in the Index at Item 15. These financial statements and financial statement schedules are the responsibility of the Company’s management. Our responsibility is to express an opinion on the financial statements and financial statement schedules based on our audits.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at September 30, 2016 and 2015, and the results of their operations and their cash flows for each of the three years in the period ended September 30, 2016,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November 28, 2016 expressed an unqualified opinion on the Company’s internal control over financial reporting.</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28, 2016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50" w:right="239" w:bottom="1440" w:gutter="0" w:footer="0" w:header="0"/>
        </w:sectPr>
      </w:pPr>
    </w:p>
    <w:bookmarkStart w:id="55" w:name="page56"/>
    <w:bookmarkEnd w:id="5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1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The Scotts Miracle-Gro Company and subsidiaries (the “Company”) as of September 30,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As described in Annual Report of Management on Internal Control Over Financial Reporting, management excluded from its assessment the internal control over financial reporting at Gavita Holdings B.V. and its subsidiaries and a Canadian growing media operation which were acquired in fiscal 2016. These acquisitions constituted 9.5% of total assets, 1.4% and 0.5% of revenues and net income, respectively, included in the consolidated financial statements as of and for the fiscal year ended September 30, 2016. Accordingly, our audit did not include the internal control over financial reporting at Gavita International BV. 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w:t>
      </w:r>
    </w:p>
    <w:p>
      <w:pPr>
        <w:spacing w:after="0" w:line="19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September 30,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2016 of the Company and our report dated November 28, 2016 expressed an unqualified opinion on those financial statements and financial statement schedules.</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Columbus, Ohio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28,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50" w:right="239" w:bottom="1440" w:gutter="0" w:footer="0" w:header="0"/>
        </w:sectPr>
      </w:pPr>
    </w:p>
    <w:bookmarkStart w:id="56" w:name="page57"/>
    <w:bookmarkEnd w:id="56"/>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2,836.1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Basic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50" w:right="239" w:bottom="1440" w:gutter="0" w:footer="0" w:header="0"/>
        </w:sectPr>
      </w:pPr>
    </w:p>
    <w:bookmarkStart w:id="57" w:name="page58"/>
    <w:bookmarkEnd w:id="57"/>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Year Ended September 30,</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314.8</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1"/>
              </w:rPr>
              <w:t>Net unrealized losses on derivative instruments, net of tax of $0.9, $5.3 and $3.0 for fiscal</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2016, fiscal 2015 and fiscal 2014,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losses on derivatives to net income, net of tax of $3.6,</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$4.0 and $5.9 for fiscal 2016, fiscal 2015 and fiscal 2014, respectively</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r>
      <w:tr>
        <w:trPr>
          <w:trHeight w:val="229"/>
        </w:trPr>
        <w:tc>
          <w:tcPr>
            <w:tcW w:w="7080" w:type="dxa"/>
            <w:vAlign w:val="bottom"/>
          </w:tcPr>
          <w:p>
            <w:pPr>
              <w:ind w:left="500"/>
              <w:spacing w:after="0"/>
              <w:rPr>
                <w:sz w:val="20"/>
                <w:szCs w:val="20"/>
                <w:color w:val="auto"/>
              </w:rPr>
            </w:pPr>
            <w:r>
              <w:rPr>
                <w:rFonts w:ascii="Arial" w:cs="Arial" w:eastAsia="Arial" w:hAnsi="Arial"/>
                <w:sz w:val="18"/>
                <w:szCs w:val="18"/>
                <w:color w:val="auto"/>
                <w:w w:val="90"/>
              </w:rPr>
              <w:t>Net unrealized losses in pension and other post retirement benefits, net of tax of $6.2, $4.6</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and $4.9 for fiscal 2016, fiscal 2015 and fiscal 2014, respectively</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pension and post-retirement benefit income to net income, net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$1.1, $1.9 and $1.9 for fiscal 2016, fiscal 2015 and fiscal 2014, respectively</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controlling interest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304.7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5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September 30,</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314.8</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158.7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166.2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Impairment, restructuring and other</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Costs related to refinancing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Share-based compensation expense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Amortization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13.8</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(Gain) loss on sale of long-lived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contribution of SLS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Equity in income of unconsolidated affiliates, net of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6"/>
                <w:szCs w:val="16"/>
                <w:color w:val="auto"/>
              </w:rPr>
              <w:t>Gain on investment of unconsolidated affiliates</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 net of acquired businesses: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Prepaid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Restructuring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r>
      <w:tr>
        <w:trPr>
          <w:trHeight w:val="237"/>
        </w:trPr>
        <w:tc>
          <w:tcPr>
            <w:tcW w:w="7080" w:type="dxa"/>
            <w:vAlign w:val="bottom"/>
          </w:tcPr>
          <w:p>
            <w:pPr>
              <w:ind w:left="1140"/>
              <w:spacing w:after="0"/>
              <w:rPr>
                <w:sz w:val="20"/>
                <w:szCs w:val="20"/>
                <w:color w:val="auto"/>
              </w:rPr>
            </w:pPr>
            <w:r>
              <w:rPr>
                <w:rFonts w:ascii="Arial" w:cs="Arial" w:eastAsia="Arial" w:hAnsi="Arial"/>
                <w:sz w:val="16"/>
                <w:szCs w:val="16"/>
                <w:color w:val="auto"/>
              </w:rPr>
              <w:t>Other non-current items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r>
      <w:tr>
        <w:trPr>
          <w:trHeight w:val="217"/>
        </w:trPr>
        <w:tc>
          <w:tcPr>
            <w:tcW w:w="7080" w:type="dxa"/>
            <w:vAlign w:val="bottom"/>
          </w:tcPr>
          <w:p>
            <w:pPr>
              <w:ind w:left="14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240.9</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business, net of transaction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(87.6)</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Proceeds from sale and leaseback transaction</w:t>
            </w: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contributed to TruGreen Joint Venture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Net distributions from unconsolidated affiliates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in marketing and license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r>
      <w:tr>
        <w:trPr>
          <w:trHeight w:val="204"/>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7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Borrowings under revolving and bank lines of credit and 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1,932.8</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Repayments under revolving and bank lines of credit and term loans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(2,150.4)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(1,525.3)</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6.000%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Repayment of 6.625% Senior Notes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7.25%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Financing and issuance fees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(230.8)</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Purchase of Common Shares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sellers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Excess tax benefits from share-based payment arrangements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r>
      <w:tr>
        <w:trPr>
          <w:trHeight w:val="217"/>
        </w:trPr>
        <w:tc>
          <w:tcPr>
            <w:tcW w:w="7080" w:type="dxa"/>
            <w:vAlign w:val="bottom"/>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(124.3)</w:t>
            </w:r>
          </w:p>
        </w:tc>
      </w:tr>
      <w:tr>
        <w:trPr>
          <w:trHeight w:val="33"/>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20955</wp:posOffset>
            </wp:positionV>
            <wp:extent cx="27444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4470" cy="26035"/>
                    </a:xfrm>
                    <a:prstGeom prst="rect">
                      <a:avLst/>
                    </a:prstGeom>
                    <a:noFill/>
                  </pic:spPr>
                </pic:pic>
              </a:graphicData>
            </a:graphic>
          </wp:anchor>
        </w:drawing>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00"/>
          </w:cols>
          <w:pgMar w:left="240" w:top="855" w:right="25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9019"/>
          </w:cols>
          <w:pgMar w:left="1440" w:top="368" w:right="1440" w:bottom="1440" w:gutter="0" w:footer="0" w:header="0"/>
        </w:sectPr>
      </w:pPr>
    </w:p>
    <w:bookmarkStart w:id="60" w:name="page61"/>
    <w:bookmarkEnd w:id="60"/>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$7.2 in 2016 and $6.5 in 2015</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17, 18 and 19)</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1"/>
              </w:rPr>
              <w:t>Common shares and capital in excess of $.01 stated value per share; shares outstanding of 60.3 in 2016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61.4 in 2015</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shares, at cost; 7.8 shares in 2016 and 6.7 shares in 2015</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equity—controlling interest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50" w:right="2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Dividends declared ($3.7625 per share)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Treasury share purchases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Treasury share issuances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Investment in noncontrolling interest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Balance at September 30, 2014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spacing w:after="0" w:line="382" w:lineRule="auto"/>
        <w:rPr>
          <w:sz w:val="20"/>
          <w:szCs w:val="20"/>
          <w:color w:val="auto"/>
        </w:rPr>
      </w:pPr>
      <w:r>
        <w:rPr>
          <w:rFonts w:ascii="Arial" w:cs="Arial" w:eastAsia="Arial" w:hAnsi="Arial"/>
          <w:sz w:val="14"/>
          <w:szCs w:val="14"/>
          <w:color w:val="auto"/>
        </w:rPr>
        <w:t>Dividends declared ($1.8200 per share) Treasury share purchases</w:t>
      </w:r>
    </w:p>
    <w:p>
      <w:pPr>
        <w:spacing w:after="0" w:line="1" w:lineRule="exact"/>
        <w:rPr>
          <w:sz w:val="20"/>
          <w:szCs w:val="20"/>
          <w:color w:val="auto"/>
        </w:rPr>
      </w:pPr>
    </w:p>
    <w:p>
      <w:pPr>
        <w:ind w:right="480"/>
        <w:spacing w:after="0" w:line="528" w:lineRule="auto"/>
        <w:rPr>
          <w:sz w:val="20"/>
          <w:szCs w:val="20"/>
          <w:color w:val="auto"/>
        </w:rPr>
      </w:pPr>
      <w:r>
        <w:rPr>
          <w:rFonts w:ascii="Arial" w:cs="Arial" w:eastAsia="Arial" w:hAnsi="Arial"/>
          <w:sz w:val="12"/>
          <w:szCs w:val="12"/>
          <w:color w:val="auto"/>
        </w:rPr>
        <w:t>Treasury share issuances Balance at September 30,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spacing w:after="0" w:line="432" w:lineRule="auto"/>
        <w:rPr>
          <w:sz w:val="20"/>
          <w:szCs w:val="20"/>
          <w:color w:val="auto"/>
        </w:rPr>
      </w:pPr>
      <w:r>
        <w:rPr>
          <w:rFonts w:ascii="Arial" w:cs="Arial" w:eastAsia="Arial" w:hAnsi="Arial"/>
          <w:sz w:val="14"/>
          <w:szCs w:val="14"/>
          <w:color w:val="auto"/>
        </w:rPr>
        <w:t>Dividends declared ($1.9100 per share) Treasury share purchases</w:t>
      </w:r>
    </w:p>
    <w:p>
      <w:pPr>
        <w:spacing w:after="0" w:line="1" w:lineRule="exact"/>
        <w:rPr>
          <w:sz w:val="20"/>
          <w:szCs w:val="20"/>
          <w:color w:val="auto"/>
        </w:rPr>
      </w:pPr>
    </w:p>
    <w:p>
      <w:pPr>
        <w:ind w:right="140"/>
        <w:spacing w:after="0" w:line="459" w:lineRule="auto"/>
        <w:rPr>
          <w:sz w:val="20"/>
          <w:szCs w:val="20"/>
          <w:color w:val="auto"/>
        </w:rPr>
      </w:pPr>
      <w:r>
        <w:rPr>
          <w:rFonts w:ascii="Arial" w:cs="Arial" w:eastAsia="Arial" w:hAnsi="Arial"/>
          <w:sz w:val="13"/>
          <w:szCs w:val="13"/>
          <w:color w:val="auto"/>
        </w:rPr>
        <w:t>Treasury share issuances Investment in noncontrolling interest Balance at September 30, 2016</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Common Shares</w:t>
            </w:r>
          </w:p>
        </w:tc>
        <w:tc>
          <w:tcPr>
            <w:tcW w:w="16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 in</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6"/>
              </w:rPr>
              <w:t>Treasury Shares</w:t>
            </w: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Excess of Stated</w:t>
            </w:r>
          </w:p>
        </w:tc>
        <w:tc>
          <w:tcPr>
            <w:tcW w:w="160" w:type="dxa"/>
            <w:vAlign w:val="bottom"/>
          </w:tcPr>
          <w:p>
            <w:pPr>
              <w:spacing w:after="0"/>
              <w:rPr>
                <w:sz w:val="2"/>
                <w:szCs w:val="2"/>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Income (loss)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45"/>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397.2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703.4</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710.5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(233.0)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(120.0)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4"/>
        </w:trPr>
        <w:tc>
          <w:tcPr>
            <w:tcW w:w="58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1"/>
                <w:szCs w:val="21"/>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(112.5)</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44"/>
        </w:trPr>
        <w:tc>
          <w:tcPr>
            <w:tcW w:w="580" w:type="dxa"/>
            <w:vAlign w:val="bottom"/>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400.1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633.1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(117.7)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(130.8)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9"/>
              </w:rPr>
              <w:t>(130.8)</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37"/>
        </w:trPr>
        <w:tc>
          <w:tcPr>
            <w:tcW w:w="5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401.4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881.8</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715.2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-4133215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-3789680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-3446780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-3103880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-2760980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-2417445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-2074545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-1731645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-1388745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-1045845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-702310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-359410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9" w:lineRule="exact"/>
        <w:rPr>
          <w:sz w:val="20"/>
          <w:szCs w:val="20"/>
          <w:color w:val="auto"/>
        </w:rPr>
      </w:pPr>
    </w:p>
    <w:p>
      <w:pPr>
        <w:jc w:val="center"/>
        <w:ind w:right="2640"/>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2260" w:space="340"/>
            <w:col w:w="8780"/>
          </w:cols>
          <w:pgMar w:left="280" w:top="85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1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color w:val="auto"/>
        </w:rPr>
        <w:t>Prior to April 13, 2016, the Company operated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and “NOTE 8. INVESTMENT IN UNCONSOLIDATED AFFILIATES” for further discussion. Refer to “NOTE 22. SEGMENT INFORMATION” for discussion of the Company’s new reportable segments identified effective in the second quarter of fiscal 2016.</w:t>
      </w:r>
    </w:p>
    <w:p>
      <w:pPr>
        <w:spacing w:after="0" w:line="4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March 2014, the Company completed the sale of its U.S. and Canadian wild bird food business. As a result, effective in the second quarter of fiscal 2014, the Company classified its results of operations for all periods presented to reflect the wild bird food business as a discontinued operation.</w:t>
      </w:r>
    </w:p>
    <w:p>
      <w:pPr>
        <w:spacing w:after="0" w:line="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2016 is the most recent year impacted by this process and, as a result, the first quarter of fiscal 2016 had six additional days and the fourth quarter of fiscal 2016 had five fewer days compared to the corresponding quarters of fiscal 2015.</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Consolidated Balance Sheets, and the other shareholders’ portion of net earnings and other comprehensive income shown as net income (loss) or comprehensive income attributable to noncontrolling interest in the Consolidated Statements of Operations and Consolidated Statements of Comprehensive Income, respectively.</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retail customer. Provisions for estimated returns and allowances are recorded at the time revenue is recognized based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5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historical rates and are periodically adjusted for known changes in return levels. Outbound shipping and handling costs are included in cost of sales.</w:t>
      </w:r>
    </w:p>
    <w:p>
      <w:pPr>
        <w:spacing w:after="0" w:line="183"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pursuant to which the Company has served, since its 1998 fiscal year, as the exclusive agent to the Monsanto Company (“Monsanto”)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Consolidated Statement of Operations, with no effect on gross profit dollars or net income.</w:t>
      </w:r>
    </w:p>
    <w:p>
      <w:pPr>
        <w:spacing w:after="0" w:line="15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Under the terms of the Marketing, R&amp;D and Ancillary Services Agreement (the “Services Agreement”) with Bonnie Plants, Inc. (“Bonnie”) and its sole shareholder, Alabama Farmers Cooperative, Inc. (“AFC”), entered into in the second quarter of fiscal 2016, the Company provides marketing, research and development and certain ancillary services to Bonnie for reimbursement of certain costs and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with no effect on gross profit dollars or net income.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The costs deferred at September 30, 2016 and 2015 were $0.2 million and $0.7 million,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Advertising expenses were $132.2 million in fiscal 2016, $133.2 million in fiscal 2015 and $132.1 million in fiscal 2014.</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2016, fiscal 2015 and fiscal 2014 were $45.5 million, $44.4 million and $46.0 million, respectively, including product registration costs of $14.3 million, $13.0 million and $12.5 million, respectively.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 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and restricted stock unit awards) outstanding each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Adjustments to reflect inventories at net realizable values were $10.8 million and $17.8 million at September 30, 2016 and 2015,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recorded within “Operating expenses” in the Consolidated Statements of Operations. Interest income is recorded on an accrual basis, and is recognized in the “Other income, net” line in the Consolidated Statements of Operations.</w:t>
      </w:r>
    </w:p>
    <w:p>
      <w:pPr>
        <w:spacing w:after="0" w:line="2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income is recorded on an accrual basis, and is recognized in the “Other income, net” line in the Consolidated Statements of Operations. Interest income was $3.9 million for fiscal 2016 and zero for fiscal 2015 and fiscal 2014.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$0.3 million, $0.4 million and $0.4 million during fiscal 2016, fiscal 2015 and fiscal 2014,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40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15 years</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2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 10 years</w:t>
            </w:r>
          </w:p>
        </w:tc>
      </w:tr>
      <w:tr>
        <w:trPr>
          <w:trHeight w:val="27"/>
        </w:trPr>
        <w:tc>
          <w:tcPr>
            <w:tcW w:w="61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4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 – 8 years</w:t>
            </w:r>
          </w:p>
        </w:tc>
      </w:tr>
      <w:tr>
        <w:trPr>
          <w:trHeight w:val="27"/>
        </w:trPr>
        <w:tc>
          <w:tcPr>
            <w:tcW w:w="618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Intangible assets subject to amortization include technology, such as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within “Operating expenses” in the Consolidated Statements of Operations.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$12.4 million, $8.5 million and $7.0 million during fiscal 2016, fiscal 2015 and fiscal 2014, respectively, representing unpaid liabilities incurred during each fiscal year to acquire property, plant and equipment.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 for fiscal 2016, fiscal 2015 and fiscal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(47.6)</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Call premium on 6.625% Senior Notes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1"/>
                <w:szCs w:val="21"/>
                <w:color w:val="auto"/>
              </w:rPr>
            </w:pPr>
          </w:p>
        </w:tc>
        <w:tc>
          <w:tcPr>
            <w:tcW w:w="134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Call premium on 7.25% Senior Notes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(80.9)</w:t>
            </w:r>
          </w:p>
        </w:tc>
        <w:tc>
          <w:tcPr>
            <w:tcW w:w="360" w:type="dxa"/>
            <w:vAlign w:val="bottom"/>
          </w:tcPr>
          <w:p>
            <w:pPr>
              <w:spacing w:after="0"/>
              <w:rPr>
                <w:sz w:val="21"/>
                <w:szCs w:val="21"/>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(108.3)</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w:t>
            </w:r>
          </w:p>
        </w:tc>
      </w:tr>
    </w:tbl>
    <w:p>
      <w:pPr>
        <w:spacing w:after="0" w:line="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2016 and 2015, the Company had $11.3 million and $18.3 million, respectively, in unamortized capitalized internal use computer software costs. Amortization of these costs was $6.8 million, $6.0 million and $8.3 million during fiscal 2016, fiscal 2015 and fiscal 2014,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of the reporting units. For the quantitative test,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The Company has identified five reporting units.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w:t>
      </w:r>
    </w:p>
    <w:p>
      <w:pPr>
        <w:spacing w:after="0" w:line="3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With respect to indefinite-lived intangible assets, the Company performs either a qualitative or quantitative evaluation for each of its indefinite-lived intangible assets. Factors considered in the qualitative test include indefinite-lived intangible asset specific operating results as well as new events and circumstances impacting the cash flows of the indefinite-lived intangible assets. For the quantitative test, the value of all indefinite-lived intangible assets is determined under the income-based approach utilizing discounted cash flows and incorporating assumptions the Company believes marketplace participants would utilize. For tradenames, value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 carrying value of the asset exceeds its estimated fair value and classified as “Impairment, restructuring and other charges” within “Operating expenses” in the Consolidated Statements of Operations.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net” in the Consolidated Statements of Operations.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 and swap contracts, are used to manage these exposures. These financial instruments are recognized at fair value on the Consolidated Balance Sheets, and all changes in fair value are recognized in net income or shareholders’ equity through 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of future divestitures and did not have a significant impact on the Company’s consolidated financial position, results of operations or cash flows.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90"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April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July 2015, the FASB issued an accounting standard update that requires inventory to be measured “at the lower of cost and net realizable value,” thereby simplifying the current guidance that requires inventory to be measured at the lower of cost or market (market in this context is defined as one of three different measures, one of which is net realizable value). The provisions are effective prospectively for fiscal years beginning after December 15, 2016 and are not expected to have a significant impact on the Company’s consolidated financial position,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retrospectively for the Company’s financial statements for the fiscal year beginning October 1, 2016. The adoption of the amended guidance impacts presentation and disclosure of debt issuance costs and is not expected to have a significant impact on the Company’s consolidated financial position, results of operations or cash flows. The Company had unamortized debt issuance costs of $16.7 million and $11.3 million at September 30, 2016 and 2015, respectively.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Cloud Computing Arrangements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2015, the FASB issued an accounting standard update that clarifies how customers in cloud computing arrangements should determine whether the arrangement includes a software license, and requires acquired software licenses to be accounted for as licenses of intangible assets. The provisions are effective for fiscal years beginning after December 15, 2015 and are not expected to have a significant impact on the Company’s consolidated financial position, results of operations or cash flows.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current-period earnings by line item that would have been recorded in previous reporting periods if the adjustment to the provisional amounts had been recognized as of the acquisition date. The provisions are effective prospectively for the Company’s financial statements no later than the fiscal year beginning October 1, 2016 and are not expected to have a significant impact on the Company’s consolidated financial position,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 At September 30, 2016, net current deferred tax assets classified with prepaid and other current assets were $62.1 million.</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for the Company’s financial statements no later than the fiscal year beginning October 1, 2017. The Company is currently evaluating the impact of this standard on its consolidated results of operations, financial position and 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LawnService</w:t>
      </w:r>
      <w:r>
        <w:rPr>
          <w:rFonts w:ascii="Arial" w:cs="Arial" w:eastAsia="Arial" w:hAnsi="Arial"/>
          <w:sz w:val="25"/>
          <w:szCs w:val="25"/>
          <w:color w:val="auto"/>
          <w:vertAlign w:val="superscript"/>
        </w:rPr>
        <w:t>®</w:t>
      </w:r>
    </w:p>
    <w:p>
      <w:pPr>
        <w:spacing w:after="0" w:line="2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13, 2016, pursuant to the terms of the Contribution Agreement, the Company completed the contribution of the SLS Business to the TruGreen Joint Venture in exchange for a minority equity interest of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Company’s gain on the contribution of $131.2 million, partially offset by the provision for deferred income taxes of $51.9 million, has been recorded in fiscal 2016 within results from 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Wild Bird Food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$1.0 million in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5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table summarizes the results of the SLS Business and the wild bird food business within discontinued operations for each of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left="372"/>
              <w:spacing w:after="0"/>
              <w:rPr>
                <w:sz w:val="20"/>
                <w:szCs w:val="20"/>
                <w:color w:val="auto"/>
              </w:rPr>
            </w:pPr>
            <w:r>
              <w:rPr>
                <w:rFonts w:ascii="Arial" w:cs="Arial" w:eastAsia="Arial" w:hAnsi="Arial"/>
                <w:sz w:val="14"/>
                <w:szCs w:val="14"/>
                <w:b w:val="1"/>
                <w:bCs w:val="1"/>
                <w:color w:val="auto"/>
                <w:w w:val="92"/>
              </w:rPr>
              <w:t>Year Ended September 30,</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2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8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wild bird food assets</w:t>
            </w:r>
          </w:p>
        </w:tc>
        <w:tc>
          <w:tcPr>
            <w:tcW w:w="1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Gain on contribution of SLS Business</w:t>
            </w: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Income (loss) from discontinued operations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48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1014"/>
              <w:spacing w:after="0"/>
              <w:rPr>
                <w:sz w:val="20"/>
                <w:szCs w:val="20"/>
                <w:color w:val="auto"/>
              </w:rPr>
            </w:pPr>
            <w:r>
              <w:rPr>
                <w:rFonts w:ascii="Arial" w:cs="Arial" w:eastAsia="Arial" w:hAnsi="Arial"/>
                <w:sz w:val="18"/>
                <w:szCs w:val="18"/>
                <w:color w:val="auto"/>
              </w:rPr>
              <w:t>69</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of the SLS Business for each of the periods presented:</w:t>
      </w:r>
    </w:p>
    <w:p>
      <w:pPr>
        <w:spacing w:after="0" w:line="230" w:lineRule="exact"/>
        <w:rPr>
          <w:sz w:val="20"/>
          <w:szCs w:val="20"/>
          <w:color w:val="auto"/>
        </w:rPr>
      </w:pPr>
    </w:p>
    <w:p>
      <w:pPr>
        <w:jc w:val="center"/>
        <w:ind w:left="8700"/>
        <w:spacing w:after="0"/>
        <w:rPr>
          <w:sz w:val="20"/>
          <w:szCs w:val="20"/>
          <w:color w:val="auto"/>
        </w:rPr>
      </w:pPr>
      <w:r>
        <w:rPr>
          <w:rFonts w:ascii="Arial" w:cs="Arial" w:eastAsia="Arial" w:hAnsi="Arial"/>
          <w:sz w:val="12"/>
          <w:szCs w:val="12"/>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38100</wp:posOffset>
            </wp:positionV>
            <wp:extent cx="17322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2"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and other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 and intangible assets,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Assets held for sale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portion of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Liabilities held for sale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220.3</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21"/>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-1971675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-1628775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-1268730</wp:posOffset>
            </wp:positionV>
            <wp:extent cx="7246620"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-891540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-548005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-205105</wp:posOffset>
            </wp:positionV>
            <wp:extent cx="72466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jc w:val="both"/>
        <w:ind w:firstLine="405"/>
        <w:spacing w:after="0" w:line="259" w:lineRule="auto"/>
        <w:rPr>
          <w:sz w:val="20"/>
          <w:szCs w:val="20"/>
          <w:color w:val="auto"/>
        </w:rPr>
      </w:pPr>
      <w:r>
        <w:rPr>
          <w:rFonts w:ascii="Arial" w:cs="Arial" w:eastAsia="Arial" w:hAnsi="Arial"/>
          <w:sz w:val="18"/>
          <w:szCs w:val="18"/>
          <w:color w:val="auto"/>
        </w:rPr>
        <w:t>The Consolidated Statements of Cash Flows do not present the cash flows from discontinued operations separately from cash flows from continuing operations. Cash provided by operating activities from the SLS Business was $26.8 million, $28.2 million and $19.2 million for fiscal 2016, fiscal 2015 and fiscal 2014, respectively. Cash used in investing activities related to the SLS Business was $1.4 million, $24.3 million and $3.4 million for fiscal 2016, fiscal 2015 and fiscal 2014,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RESTRUCTURING AND OTHER CHARGES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from discontinued operations, net of tax” lines in the Consolidated Statements of Operations. The following table details impairment, restructuring and other charges during fiscal 2016, fiscal 2015 and fiscal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Restructuring and other (recoveries) charges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and intangible asset impairments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 (recoveries) charges from continuing operations</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(recoveries) charges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(recoveries) charges</w:t>
            </w:r>
          </w:p>
        </w:tc>
        <w:tc>
          <w:tcPr>
            <w:tcW w:w="96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70</w:t>
            </w: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the restructuring and other, excluding insurance reimbursement recoveries, during fiscal 2016, fiscal 2015 and fiscal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the restructuring reserves, as of September 30, 2016, is $1.5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On April 13, 2016, as part of this project, the Company completed the contribution of the SLS Business to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fiscal 2016, the Company recognized a charge of $9.0 million for the resolution of a prior SLS Business litigation matter, as well as $4.6 million in transaction related costs associated with the divestiture of the SLS Business within the “Income from discontinued operations, net of tax” line in the Consolidated Statements of Operations. In addition, during fiscal 2016, the Company recognized restructuring costs related to termination benefits of $3.4 million within the U.S. Consumer segment and $2.0 million within the Europe Consumer segment, as well as costs of $4.6 million related to other transaction activity within the “Impairment, restructuring and other” line in the Consolidated Statements of Operations.</w:t>
      </w:r>
    </w:p>
    <w:p>
      <w:pPr>
        <w:spacing w:after="0" w:line="178"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6"/>
          <w:szCs w:val="16"/>
          <w:color w:val="auto"/>
        </w:rPr>
        <w:t>During the third quarter of fiscal 2015, the Company’s U.S. Consumer segment began experiencing an increase in certain consumer complaints related to the reformulated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fertilizer product sold in the southeastern United States during fiscal 2015 indicating customers were experiencing damage to their lawns after application. During fiscal 2016, the Company recognized $6.4 million in costs related to resolving these consumer complaints and the recognition of costs the Company expects to incur for current and expected consumer claims. Costs incurred through September 30, 2016 since the inception of this matter, excluding insurance reimbursement recoveries, are $73.8 million. The Company has received reimbursement payments of $60.8 million through the end of fiscal 2016, including $40.9 million received during fiscal 2016. The Company recorded offsetting insurance reimbursement recoveries upon resolution of the insurer’s review of claim documentation in the amount of $4.9 million in fiscal 2015 and $55.9 million in fiscal 2016.</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fiscal 2015, the Company recognized $22.2 million in restructuring costs related to termination benefits provided to U.S. and international personnel as part of the Company’s restructuring of its U.S. administrative and overhead functions, the continuation of the international profitability improvement initiative and the liquidation and exit from the U.K. Solus business. The restructuring costs for fiscal 2015 include $4.3 million of costs related to the acceleration of equity compensation expense, and were comprised of $3.7 million related to the U.S. Consumer segment, $10.3 million related to the Europe Consumer segment, $0.2 million related to the Other segment and $6.6 million related to Corporate. In addition, costs of $1.4 million related to the SLS Business were recognized within the “Income from discontinued operations, net of tax” line in the Consolidated Statements of Operations.</w:t>
      </w:r>
    </w:p>
    <w:p>
      <w:pPr>
        <w:spacing w:after="0" w:line="165"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During fiscal 2015, the Company recognized $62.4 million in costs related to consumer complaints and claims related to the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during fiscal 2015.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233" w:lineRule="auto"/>
        <w:rPr>
          <w:sz w:val="20"/>
          <w:szCs w:val="20"/>
          <w:color w:val="auto"/>
        </w:rPr>
      </w:pPr>
      <w:r>
        <w:rPr>
          <w:rFonts w:ascii="Arial" w:cs="Arial" w:eastAsia="Arial" w:hAnsi="Arial"/>
          <w:sz w:val="18"/>
          <w:szCs w:val="18"/>
          <w:color w:val="auto"/>
        </w:rPr>
        <w:t>During the third quarter of fiscal 2014, as a result of financial performance, the Company recognized an impairment charge for a non-recurring fair value adjustment of $33.7 million within the U.S. Consumer segment related to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The fair value was calculated based upon the evaluation of the historical performance and future growth expectations of the Ortho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fiscal 2014, the Company recognized $12.5 million in restructuring costs related to termination benefits provided to U.S. personnel as part of the Company’s restructuring of its U.S. administrative and overhead functions, including $1.0 million related to the SLS Business recognized within the “Income from discontinued operations, net of tax” line in the Consolidated Statements of Operations. The Company also recognized $2.8 million of international restructuring and other adjustments during fiscal 2014 for the continuation of the profitability improvement initiative announced in December 2012, associated with the international restructuring plan to reduce headcount and streamline management decision making. In addition, during fiscal 2014, the Company recognized $2.0 million in additional ongoing monitoring and remediation costs for the Company’s turfgrass biotechnology program.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U.S. Consumer</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Europe Consumer</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281.8</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(62.8)</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219.0</w:t>
            </w:r>
          </w:p>
        </w:tc>
      </w:tr>
      <w:tr>
        <w:trPr>
          <w:trHeight w:val="229"/>
        </w:trPr>
        <w:tc>
          <w:tcPr>
            <w:tcW w:w="5300" w:type="dxa"/>
            <w:vAlign w:val="bottom"/>
          </w:tcPr>
          <w:p>
            <w:pPr>
              <w:ind w:left="40"/>
              <w:spacing w:after="0"/>
              <w:rPr>
                <w:sz w:val="20"/>
                <w:szCs w:val="20"/>
                <w:color w:val="auto"/>
              </w:rPr>
            </w:pPr>
            <w:r>
              <w:rPr>
                <w:rFonts w:ascii="Arial" w:cs="Arial" w:eastAsia="Arial" w:hAnsi="Arial"/>
                <w:sz w:val="18"/>
                <w:szCs w:val="18"/>
                <w:color w:val="auto"/>
                <w:w w:val="96"/>
              </w:rPr>
              <w:t>Acquisitions, net of purchase price adjustments and foreign currency</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translation</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64.8</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5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346.6</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w:t>
            </w: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283.8</w:t>
            </w: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Acquisitions, net of purchase price adjustments and foreign currency</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w:t>
            </w: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89.4</w:t>
            </w:r>
          </w:p>
        </w:tc>
      </w:tr>
      <w:tr>
        <w:trPr>
          <w:trHeight w:val="297"/>
        </w:trPr>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433.5</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(60.3)</w:t>
            </w: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373.2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3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2016</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8"/>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1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70.3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(56.9)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accounts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(41.2)</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(32.1)</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Tradenames</w:t>
            </w:r>
          </w:p>
        </w:tc>
        <w:tc>
          <w:tcPr>
            <w:tcW w:w="2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150.7</w:t>
            </w:r>
          </w:p>
        </w:tc>
        <w:tc>
          <w:tcPr>
            <w:tcW w:w="26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94.6</w:t>
            </w:r>
          </w:p>
        </w:tc>
        <w:tc>
          <w:tcPr>
            <w:tcW w:w="2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97.9</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(74.8)</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finite-lived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Indefinite-lived tradenames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Agreement Amendment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Brand Extension Agreement</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750.9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 annual impairment review in the fourth quarter of fiscal 2016, the Company determined that no charges for impairment of goodwill or intangible assets were required. The estimated fair value of each reporting unit with a significant goodwill balance was substantially in excess of its carrying value as of the annual test date. Each of the indefinite-lived tradenames, the Marketing Agreement Amendment, and Brand Extension Agreement had an estimated fair value substantially in excess of its carrying value as of the annual test date.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8"/>
          <w:szCs w:val="18"/>
          <w:color w:val="auto"/>
        </w:rPr>
        <w:t>As a result of the annual impairment review, in the fourth quarter of fiscal 2015, the Company determined that no charges for impairment of goodwill or intangible assets were required. The estimated fair value of each reporting unit with a significant goodwill balance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5"/>
          <w:szCs w:val="25"/>
          <w:color w:val="auto"/>
          <w:vertAlign w:val="superscript"/>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brand.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05"/>
        <w:spacing w:after="0" w:line="234" w:lineRule="auto"/>
        <w:rPr>
          <w:sz w:val="20"/>
          <w:szCs w:val="20"/>
          <w:color w:val="auto"/>
        </w:rPr>
      </w:pPr>
      <w:r>
        <w:rPr>
          <w:rFonts w:ascii="Arial" w:cs="Arial" w:eastAsia="Arial" w:hAnsi="Arial"/>
          <w:sz w:val="17"/>
          <w:szCs w:val="17"/>
          <w:color w:val="auto"/>
        </w:rPr>
        <w:t>During the third quarter of 2014, the Company completed an impairment review and recognized an impairment charge for a non-recurring fair value adjustment of $33.7 million, within the U.S. Consumer segment related to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fair value was calculated based upon the evaluation of the historical performance and future growth expectations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impact of the fair value adjustment was to reduce the carrying value of the indefinite-lived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and sub-brands from $126.0 million to $92.3 million. The impairment charge is discussed further in “NOTE 3. IMPAIRMENT, RESTRUCTURING AND OTHER CHARGES.” As a result of the annual impairment review, the Company also determined that no other charges for impairment of goodwill or intangible assets were required. The estimated fair value of each reporting unit with a significant goodwill balance was substantially in excess of its carrying value as of the annual test date. Each of the indefinite-lived tradenames had an estimated fair value substantially in excess of its carrying value as of the annual test date, with the exception of the Ortho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amortization expense for the years ended September 30, 2016, 2015, and 2014 was $18.8 million, $15.7 million and $13.0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567"/>
        </w:trPr>
        <w:tc>
          <w:tcPr>
            <w:tcW w:w="7200" w:type="dxa"/>
            <w:vAlign w:val="bottom"/>
          </w:tcPr>
          <w:p>
            <w:pPr>
              <w:spacing w:after="0"/>
              <w:rPr>
                <w:sz w:val="20"/>
                <w:szCs w:val="20"/>
                <w:color w:val="auto"/>
              </w:rPr>
            </w:pPr>
            <w:r>
              <w:rPr>
                <w:rFonts w:ascii="Arial" w:cs="Arial" w:eastAsia="Arial" w:hAnsi="Arial"/>
                <w:sz w:val="18"/>
                <w:szCs w:val="18"/>
                <w:b w:val="1"/>
                <w:bCs w:val="1"/>
                <w:color w:val="auto"/>
              </w:rPr>
              <w:t>NOTE 5. DETAIL OF CERTAIN FINANCIAL STATEMENT ACCOUNTS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ind w:left="420"/>
              <w:spacing w:after="0"/>
              <w:rPr>
                <w:sz w:val="20"/>
                <w:szCs w:val="20"/>
                <w:color w:val="auto"/>
              </w:rPr>
            </w:pPr>
            <w:r>
              <w:rPr>
                <w:rFonts w:ascii="Arial" w:cs="Arial" w:eastAsia="Arial" w:hAnsi="Arial"/>
                <w:sz w:val="18"/>
                <w:szCs w:val="18"/>
                <w:color w:val="auto"/>
              </w:rPr>
              <w:t>The following is detail of certain financial statement accounts: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ind w:left="118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Finished goods</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21"/>
                <w:szCs w:val="21"/>
                <w:color w:val="auto"/>
              </w:rPr>
            </w:pPr>
          </w:p>
        </w:tc>
        <w:tc>
          <w:tcPr>
            <w:tcW w:w="6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Work-in-progress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448.2</w:t>
            </w: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PREPAID AND OTHER CURRENT ASSETS:</w:t>
            </w: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5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w:t>
            </w: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Accounts receivable, non-trade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gridSpan w:val="5"/>
          </w:tcPr>
          <w:p>
            <w:pPr>
              <w:ind w:left="118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Land and improvements</w:t>
            </w:r>
          </w:p>
        </w:tc>
        <w:tc>
          <w:tcPr>
            <w:tcW w:w="560" w:type="dxa"/>
            <w:vAlign w:val="bottom"/>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Aircraft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debt issuance costs</w:t>
            </w:r>
          </w:p>
        </w:tc>
        <w:tc>
          <w:tcPr>
            <w:tcW w:w="56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Loans receivable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5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1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13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Payroll and other compensation accruals</w:t>
            </w:r>
          </w:p>
        </w:tc>
        <w:tc>
          <w:tcPr>
            <w:tcW w:w="1360" w:type="dxa"/>
            <w:vAlign w:val="bottom"/>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Advertising and promotional accruals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postretirement liabilities</w:t>
            </w:r>
          </w:p>
        </w:tc>
        <w:tc>
          <w:tcPr>
            <w:tcW w:w="1360" w:type="dxa"/>
            <w:vAlign w:val="bottom"/>
            <w:tcBorders>
              <w:bottom w:val="single" w:sz="8" w:color="CCEEFF"/>
            </w:tcBorders>
            <w:shd w:val="clear" w:color="auto" w:fill="CCEEFF"/>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Deferred tax liabilities</w:t>
            </w:r>
          </w:p>
        </w:tc>
        <w:tc>
          <w:tcPr>
            <w:tcW w:w="136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360" w:type="dxa"/>
            <w:vAlign w:val="bottom"/>
            <w:tcBorders>
              <w:top w:val="single" w:sz="8" w:color="auto"/>
            </w:tcBorders>
          </w:tcPr>
          <w:p>
            <w:pPr>
              <w:jc w:val="right"/>
              <w:ind w:right="115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Unrecognized loss on derivatives, net of tax of $2.8, $5.6 and $4.3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other postretirement liabilities, net of tax of $41.2, $39.3 and $38.6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Scotts Company LLC (“Scotts LLC”) and Monsanto are parties to the Marketing Agreement, pursuant to which the Company has served since its</w:t>
      </w:r>
    </w:p>
    <w:p>
      <w:pPr>
        <w:spacing w:after="0" w:line="4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1998 fiscal year,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$1.6 million and remaining amortization period of two years as of September 30, 2016.</w:t>
      </w:r>
    </w:p>
    <w:p>
      <w:pPr>
        <w:spacing w:after="0" w:line="13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20" w:hanging="326"/>
        <w:spacing w:after="0" w:line="34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jc w:val="both"/>
        <w:ind w:left="820" w:hanging="326"/>
        <w:spacing w:after="0" w:line="264" w:lineRule="auto"/>
        <w:tabs>
          <w:tab w:leader="none" w:pos="82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 including EU countries within the included markets, unless and until otherwise terminated in accordance with the Marketing Agreement.</w:t>
      </w:r>
    </w:p>
    <w:p>
      <w:pPr>
        <w:spacing w:after="0" w:line="100" w:lineRule="exact"/>
        <w:rPr>
          <w:rFonts w:ascii="Arial" w:cs="Arial" w:eastAsia="Arial" w:hAnsi="Arial"/>
          <w:sz w:val="18"/>
          <w:szCs w:val="18"/>
          <w:i w:val="1"/>
          <w:iCs w:val="1"/>
          <w:color w:val="auto"/>
        </w:rPr>
      </w:pPr>
    </w:p>
    <w:p>
      <w:pPr>
        <w:jc w:val="both"/>
        <w:ind w:left="820" w:hanging="326"/>
        <w:spacing w:after="0" w:line="210" w:lineRule="auto"/>
        <w:tabs>
          <w:tab w:leader="none" w:pos="8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23" w:lineRule="exact"/>
        <w:rPr>
          <w:rFonts w:ascii="Arial" w:cs="Arial" w:eastAsia="Arial" w:hAnsi="Arial"/>
          <w:sz w:val="17"/>
          <w:szCs w:val="17"/>
          <w:i w:val="1"/>
          <w:iCs w:val="1"/>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color w:val="auto"/>
        </w:rPr>
      </w:pPr>
    </w:p>
    <w:p>
      <w:pPr>
        <w:jc w:val="both"/>
        <w:ind w:left="1300" w:hanging="320"/>
        <w:spacing w:after="0" w:line="226"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 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1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Consolidated Statement of Operations, with no effect on gross profit dollars or net income.</w:t>
      </w:r>
    </w:p>
    <w:p>
      <w:pPr>
        <w:spacing w:after="0" w:line="11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in 1998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right="510"/>
              <w:spacing w:after="0"/>
              <w:rPr>
                <w:sz w:val="20"/>
                <w:szCs w:val="20"/>
                <w:color w:val="auto"/>
              </w:rPr>
            </w:pPr>
            <w:r>
              <w:rPr>
                <w:rFonts w:ascii="Arial" w:cs="Arial" w:eastAsia="Arial" w:hAnsi="Arial"/>
                <w:sz w:val="14"/>
                <w:szCs w:val="14"/>
                <w:b w:val="1"/>
                <w:bCs w:val="1"/>
                <w:color w:val="auto"/>
                <w:w w:val="92"/>
              </w:rPr>
              <w:t>Year Ended 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2016</w:t>
            </w:r>
          </w:p>
        </w:tc>
        <w:tc>
          <w:tcPr>
            <w:tcW w:w="15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28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w:t>
            </w:r>
          </w:p>
        </w:tc>
        <w:tc>
          <w:tcPr>
            <w:tcW w:w="80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8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Contribution expenses</w:t>
            </w: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Net commission income</w:t>
            </w:r>
          </w:p>
        </w:tc>
        <w:tc>
          <w:tcPr>
            <w:tcW w:w="6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Total net sales associated with Marketing Agreement</w:t>
            </w:r>
          </w:p>
        </w:tc>
        <w:tc>
          <w:tcPr>
            <w:tcW w:w="68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6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ACQUISITIONS AND INVESTMENTS</w:t>
            </w:r>
          </w:p>
        </w:tc>
        <w:tc>
          <w:tcPr>
            <w:tcW w:w="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7"/>
              </w:rPr>
              <w:t>Fiscal 2016</w:t>
            </w:r>
          </w:p>
        </w:tc>
        <w:tc>
          <w:tcPr>
            <w:tcW w:w="4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On May 26, 2016, the Company, through its wholly-owned subsidiary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w w:val="99"/>
              </w:rPr>
              <w:t>The Hawthorne</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95"/>
              </w:rPr>
              <w:t>Gardening</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7"/>
              </w:rPr>
              <w:t>Company,</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2"/>
              </w:rPr>
              <w:t>acquired</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5"/>
              </w:rPr>
              <w:t>majority</w:t>
            </w:r>
          </w:p>
        </w:tc>
        <w:tc>
          <w:tcPr>
            <w:tcW w:w="920" w:type="dxa"/>
            <w:vAlign w:val="bottom"/>
          </w:tcPr>
          <w:p>
            <w:pPr>
              <w:ind w:left="40"/>
              <w:spacing w:after="0"/>
              <w:rPr>
                <w:sz w:val="20"/>
                <w:szCs w:val="20"/>
                <w:color w:val="auto"/>
              </w:rPr>
            </w:pPr>
            <w:r>
              <w:rPr>
                <w:rFonts w:ascii="Arial" w:cs="Arial" w:eastAsia="Arial" w:hAnsi="Arial"/>
                <w:sz w:val="18"/>
                <w:szCs w:val="18"/>
                <w:color w:val="auto"/>
                <w:w w:val="96"/>
              </w:rPr>
              <w:t>control and</w:t>
            </w:r>
          </w:p>
        </w:tc>
        <w:tc>
          <w:tcPr>
            <w:tcW w:w="0" w:type="dxa"/>
            <w:vAlign w:val="bottom"/>
          </w:tcPr>
          <w:p>
            <w:pPr>
              <w:spacing w:after="0"/>
              <w:rPr>
                <w:sz w:val="1"/>
                <w:szCs w:val="1"/>
                <w:color w:val="auto"/>
              </w:rPr>
            </w:pPr>
          </w:p>
        </w:tc>
      </w:tr>
    </w:tbl>
    <w:p>
      <w:pPr>
        <w:jc w:val="both"/>
        <w:spacing w:after="0" w:line="281" w:lineRule="auto"/>
        <w:rPr>
          <w:sz w:val="20"/>
          <w:szCs w:val="20"/>
          <w:color w:val="auto"/>
        </w:rPr>
      </w:pPr>
      <w:r>
        <w:rPr>
          <w:rFonts w:ascii="Arial" w:cs="Arial" w:eastAsia="Arial" w:hAnsi="Arial"/>
          <w:sz w:val="16"/>
          <w:szCs w:val="16"/>
          <w:color w:val="auto"/>
        </w:rPr>
        <w:t>a 75% economic interest in Gavita for $136.2 million. The remaining 25% interest was retained by Gavita’s former ownership group. This transaction provides the Company’s Other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includes contingent consideration with an estimated fair value of $2.5 million, the payment of which will depend on the performance of the business through calendar year 2019. The preliminary valuation of the acquired assets included</w:t>
      </w:r>
    </w:p>
    <w:p>
      <w:pPr>
        <w:spacing w:after="0" w:line="3" w:lineRule="exact"/>
        <w:rPr>
          <w:sz w:val="20"/>
          <w:szCs w:val="20"/>
          <w:color w:val="auto"/>
        </w:rPr>
      </w:pPr>
    </w:p>
    <w:p>
      <w:pPr>
        <w:jc w:val="both"/>
        <w:ind w:firstLine="8"/>
        <w:spacing w:after="0" w:line="281" w:lineRule="auto"/>
        <w:tabs>
          <w:tab w:leader="none" w:pos="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$6.4 million of cash, prepaid and other current assets, (ii) $38.3 million of inventory and accounts receivable, (iii) $1.5 million in fixed assets, (iv) $18.7 million of accounts payable and other current liabilities, (v) $5.5 million of short term debt, (vi) $102.6 million of finite-lived identifiable intangible assets,</w:t>
      </w:r>
    </w:p>
    <w:p>
      <w:pPr>
        <w:spacing w:after="0" w:line="1" w:lineRule="exact"/>
        <w:rPr>
          <w:rFonts w:ascii="Arial" w:cs="Arial" w:eastAsia="Arial" w:hAnsi="Arial"/>
          <w:sz w:val="16"/>
          <w:szCs w:val="16"/>
          <w:color w:val="auto"/>
        </w:rPr>
      </w:pPr>
    </w:p>
    <w:p>
      <w:pPr>
        <w:jc w:val="both"/>
        <w:ind w:firstLine="8"/>
        <w:spacing w:after="0" w:line="252" w:lineRule="auto"/>
        <w:tabs>
          <w:tab w:leader="none" w:pos="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$82.7 million of goodwill, and (viii) $25.7 million of deferred tax liabilities.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Gavita included within the Other segment for fiscal 2016 were $35.7 million. Gavita’s former ownership group has retained a 25% noncontrolling interest in Gavita consisting of ownership of 5% of the outstanding shares of Gavita and a loan with interest payable based on distributions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by Gavita. The loan represents a non-cash financing activity and has been recorded at fair value in the “Long-term debt” line in the Consolidated Balance Sheets. The preliminary valuation of the loan was $37.7 million. The fair value measurement was classified in Level 3 of the fair value hierarchy.</w:t>
      </w:r>
    </w:p>
    <w:p>
      <w:pPr>
        <w:spacing w:after="0" w:line="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the third quarter of fiscal 2016, the Company completed an acquisition within the Other segment to expand its Canadian growing media operations for an estimated purchase price of $33.9 million. The purchase price includes contingent consideration with an estimated fair value of $10.8 million, the payment of which will depend on the performance of the business in fiscal years 2016 and 2017. The preliminary valuation of the acquired assets included</w:t>
      </w:r>
    </w:p>
    <w:p>
      <w:pPr>
        <w:jc w:val="both"/>
        <w:ind w:firstLine="8"/>
        <w:spacing w:after="0" w:line="270"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$4.7 million of inventory and accounts receivable, (ii) $18.6 million in fixed assets, (iii) $11.4 million of finite-lived identifiable intangible assets, (iv) $1.4 million of deferred tax liabilities, (v) an investment in an unconsolidated joint venture of $0.7 million and (vi) $2.1 million of goodwill.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fiscal 2016 were $6.4 million.</w:t>
      </w:r>
    </w:p>
    <w:p>
      <w:pPr>
        <w:spacing w:after="0" w:line="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acquisitions include non-cash investing activities of $13.3 million representing contingent consideration. The payment of these amounts will depend on the future performance of the business, subject to adjustment for certain contractually defined metrics.</w:t>
      </w:r>
    </w:p>
    <w:p>
      <w:pPr>
        <w:spacing w:after="0" w:line="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October 3, 2016, the Company, through its wholly-owned subsidiary The Hawthorne Gardening Company, completed the acquisition of American Agritech, L.L.C., d/b/a Botanicare, an Arizona-based leading producer of plant nutrients, plant supplements and growing systems used for hydroponic gardening for an estimated purchase price of $90.0 million.</w:t>
      </w:r>
    </w:p>
    <w:p>
      <w:pPr>
        <w:spacing w:after="0" w:line="46"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the second quarter of fiscal 2016, the Company entered into definitive agreements with Bonnie and its sole shareholder, AFC, providing for the Company’s participation in the Bonnie Business. The Company’s participation includes a Term Loan Agreement from the Company to AFC, with Bonnie as guarantor, in the amount of $72.0 million with a fixed coupon rate of 6.95% (the “Term Loan”) as well as a Services Agreement pursuant to which the Company will provide marketing, research and development and certain ancillary services to the Bonnie Business for a commission fee based on the profits of the Bonnie Business and the reimbursement of certain costs. These agreements also include options beginning in fiscal 2020 that provide for either (i) the Company to increase its economic interest in the Bonnie Business or (ii) AFC and Bonnie to repurchase the Company’s economic interest in the Bonnie Business. During fiscal 2016, the Company recognized commission fees of $3.6 million and recognized cost reimbursements of $0.6 million, respectively.</w:t>
      </w:r>
    </w:p>
    <w:p>
      <w:pPr>
        <w:spacing w:after="0" w:line="3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option to increase its economic interest in the Bonnie Business (the “Bonnie Option”) is required to be accounted for as a derivative instrument and is recorded at fair value in the “Other assets” line in the Consolidated Balance Sheets, with changes in fair value recognized in the “Other income (loss), net” line in the Consolidated Statement of Operations. The estimated fair value of the Bonnie Option was determined using a simulation approach, whereby the total value of the loan receivable and optional exchange for additional equity was estimated considering a distribution of possible future cash flows discounted to present value using an appropriate discount rate. The estimated fair value of the Bonnie Option was $10.9 million as of September 30, 2016, and the fair value measurement was classified in Level 3 of the fair value hierarchy.</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7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On March 30, 2015, the Company acquired the assets of General Hydroponics, Inc. (“General Hydroponics”) and Bio-Organic Solutions, Inc. (“Vermicrop”) for $120.0 million and $15.0 million, respectively. This transaction provided the Company’s Other segment with an additional entry into the indoor and urban gardening market, which is a part of the Company’s long-term growth strategy. General Hydroponics and Vermicrop are leading producers of liquid plant food products, growing media, and accessories for the hydroponic markets. The General Hydroponics purchase price included non-cash investing activity of $1.0 million representing the deferral of a portion of the purchase price into fiscal 2016, of which $0.5 million was paid in the second quarter of fiscal 2016. The Vermicrop purchase price included $5.0 million of contingent consideration, which was paid during the third quarter of fiscal 2016. The Vermicrop purchase price and contingent consideration was paid in common shares of Scotts Miracle-Gro (“Common Shares”) based on the average share price at the time of payment. The valuation of the acquired assets was determined during the third quarter of fiscal 2015 and included (i) $14.2 million of inventory and accounts receivable, (ii) $5.7 million in fixed assets, (iii) $65.0 million of finite-lived identifiable intangible assets, and (iv) $53.9 million of tax-deductible goodwill. Identifiable intangible assets included tradenames, customer relationships and non-compete arrangements with useful lives ranging between 5 and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Other segment for fiscal 2016 and fiscal 2015 were $64.1 million and $30.9 million, respectively.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During fiscal 2015, the Company completed four acquisitions of growing media operations, two within the U.S. Consumer segment and two within the Other segment, for an aggregate purchase price of $40.2 million. These acquisitions expand the Company’s growing media operations and distribution capabilities within its U.S. Consumer and Other segments. The valuation of the acquired assets for the transactions included (i) $10.1 million in finite-lived identifiable intangible assets, (ii) $11.4 million in fixed assets, (iii) $10.6 million in tax deductible goodwill, and (iv) $9.9 million of inventory and accounts receivable. Identifiable intangible assets include tradenames and customer relationships with useful lives ranging between 7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financial statements include the results of operations for these business combinations from the date of each acquisition.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During the fourth quarter of fiscal 2014, the Company obtained control of the operations of AeroGrow through its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Australia and select countries in Europe and Asia. The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AeroGrow included in the Other segment for fiscal 2016, fiscal 2015 and fiscal 2014 were $21.4 million, $17.1 million and $1.7 million, respectively.</w:t>
      </w:r>
    </w:p>
    <w:p>
      <w:pPr>
        <w:spacing w:after="0" w:line="14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September 30, 2014, Scotts Miracle-Gro’s wholly-owned subsidiary, Scotts Canada Ltd., acquired Fafard &amp; Brothers Ltd. (“Fafard”) for $59.8 million. Fafard is a Canadian based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The valuation of acquired assets included working capital of $17.6 million, property, plant, and equipment of $23.4 million, finite-lived identifiable intangible assets of $12.6 million, and tax deductible goodwill of $7.9 million. Working capital included accounts receivable of $4.7 million, inventory of $17.7 million, and accounts payable of $4.8 million. Identifiable intangible assets included tradename, customer relationships, non-compete agreements, and peat harvesting rights with useful lives ranging between 1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Included in the purchase price of Fafard is $7.1 million of contingent consideration, the payment of which will depend on the performance of the business through fiscal 2016. Net sales for Fafard included in the Other segment for fiscal 2016 and fiscal 2015 were $37.5 million and $37.8 million, respectively.</w:t>
      </w:r>
    </w:p>
    <w:p>
      <w:pPr>
        <w:spacing w:after="0" w:line="11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6"/>
          <w:szCs w:val="16"/>
          <w:color w:val="auto"/>
        </w:rPr>
        <w:t>During the first quarter of fiscal 2014, in an effort to expand the rodenticide product offerings, the Company completed the $60.0 million all-cash acquisition of the assets of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consumer rodent control business from Bell Laboratories, Inc. located in Madison, Wisconsin.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consumer products are sold at home centers, mass retailers, and grocery, drug and general merchandise stores across the United States, Canada, Europe and Australia. The valuation of the acquired assets included finite-lived identifiable intangible assets of $39.8 million, and tax deductible goodwill of $18.2 million. Also, the Company received a $2.0 million credit toward the purchase of finished goods in the months subsequent to acquisition date. Identifiable intangible assets included tradename, technology, customer relationships, product registrations and non-compete agreements with useful lives ranging between 10 to 30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completed an acquisition of the assets of the U.K. based Solus Garden and Leisure Limited (“Solus”) in fiscal 2014 within its Europe Consumer segment for $7.4 million, $1.1 million of which was paid in cash and $6.3 million of which was paid through the forgiveness of outstanding accounts receivable owed by Solus to the Company. Solus is a supplier of garden and leisure products and offers a diverse mix of brands.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consolidated financial statements include the results of operations for these business combinations from the date of each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AFFILIATES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September 30, 2016, the Company held a minority equity interest of 30% in the TruGreen Joint Venture. This interest was initially recorded at an estimated fair value of $294.0 million on the transaction date and subsequently is accounted for using the equity method of accounting, with the Company’s proportionate share of the TruGreen Joint Venture earnings reflected in the Consolidated Statements of Operations. In addition, the Company and TruGreen Holdings entered into a limited liability company agreement (the “LLC Agreement”) governing the management of the TruGreen Joint Venture, as well as certain ancillary agreements including a transition services agreement and an employee leasing agreement. The LLC Agreement provides the Company with minority representation on the board of directors of the TruGreen Joint Venture.</w:t>
      </w:r>
    </w:p>
    <w:p>
      <w:pPr>
        <w:spacing w:after="0" w:line="4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connection with the closing of the transactions contemplated by the Contribution Agreement on April 13, 2016, the TruGreen Joint Venture obtained debt financing and made an excess distribution of $196.2 million to the Company which has been recorded as a return of investment and classified as a cash inflow from investing activities in the Consolidated Statement of Cash Flows. The Company also invested $18.0 million in second lien term loan financing to the TruGreen Joint Venture. The Company was reimbursed $52.6 million during fiscal 2016, has accounts receivable of $14.9 million at September 30, 2016 for expenses incurred pursuant to a short-term transition services agreement and an employee leasing agreement and has an indemnification asset of $9.6 million at September 30, 2016 for future payments on claims associated with insurance programs. The Company received distributions from unconsolidated affiliates intended to cover required tax payments of $7.5 million during fiscal 2016.</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summarized financial information for the TruGreen Joint Venture as of September 30, 2016 and for the Company’s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9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portion of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63" w:lineRule="exact"/>
        <w:rPr>
          <w:sz w:val="20"/>
          <w:szCs w:val="20"/>
          <w:color w:val="auto"/>
        </w:rPr>
      </w:pPr>
    </w:p>
    <w:p>
      <w:pPr>
        <w:jc w:val="right"/>
        <w:ind w:right="5720"/>
        <w:spacing w:after="0"/>
        <w:rPr>
          <w:sz w:val="20"/>
          <w:szCs w:val="20"/>
          <w:color w:val="auto"/>
        </w:rPr>
      </w:pPr>
      <w:r>
        <w:rPr>
          <w:rFonts w:ascii="Arial" w:cs="Arial" w:eastAsia="Arial" w:hAnsi="Arial"/>
          <w:sz w:val="18"/>
          <w:szCs w:val="18"/>
          <w:color w:val="auto"/>
        </w:rPr>
        <w:t>Total liabilities and equity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92.3</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159.1</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916.8</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376.0</w:t>
            </w:r>
          </w:p>
        </w:tc>
      </w:tr>
      <w:tr>
        <w:trPr>
          <w:trHeight w:val="27"/>
        </w:trPr>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1,709.5</w:t>
            </w:r>
          </w:p>
        </w:tc>
      </w:tr>
      <w:tr>
        <w:trPr>
          <w:trHeight w:val="27"/>
        </w:trPr>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21"/>
        </w:trPr>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210.9</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726.0</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80.6</w:t>
            </w:r>
          </w:p>
        </w:tc>
      </w:tr>
      <w:tr>
        <w:trPr>
          <w:trHeight w:val="270"/>
        </w:trPr>
        <w:tc>
          <w:tcPr>
            <w:tcW w:w="11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685.1</w:t>
            </w:r>
          </w:p>
        </w:tc>
      </w:tr>
      <w:tr>
        <w:trPr>
          <w:trHeight w:val="27"/>
        </w:trPr>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1,709.5</w:t>
            </w:r>
          </w:p>
        </w:tc>
      </w:tr>
      <w:tr>
        <w:trPr>
          <w:trHeight w:val="27"/>
        </w:trPr>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-1971675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-1628775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-1268730</wp:posOffset>
            </wp:positionV>
            <wp:extent cx="7246620"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-891540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-548005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-205105</wp:posOffset>
            </wp:positionV>
            <wp:extent cx="724662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7322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7322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-5518785</wp:posOffset>
            </wp:positionH>
            <wp:positionV relativeFrom="paragraph">
              <wp:posOffset>23495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administrative and 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808.4</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308.6</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164.8</w:t>
            </w:r>
          </w:p>
        </w:tc>
      </w:tr>
      <w:tr>
        <w:trPr>
          <w:trHeight w:val="270"/>
        </w:trPr>
        <w:tc>
          <w:tcPr>
            <w:tcW w:w="11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1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12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summarized financial information for the TruGreen Joint Venture includes activity from the date of formation of the TruGreen Joint Venture on April 13, 2016 through September 30, 2016. Net income does not include income taxes, which are recognized and paid by the partners of the TruGreen Joint Venture. The income taxes associated with the Company’s share of net income has been recorded in the “Income tax expense from continuing operations” line in the Consolidated Statement of Operations.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recognized equity in income of unconsolidated affiliates of $7.8 million in fiscal 2016. Included within income of unconsolidated affiliates for fiscal 2016 is the Company’s $11.7 million share of restructuring and other charges incurred by the TruGreen Joint Venture. These charges included $6.0 million for transaction and merger costs, $4.4 million for nonrecurring integration and separation costs and $1.3 million for a non-cash fair value write-down adjustment on deferred revenue and advertising as part of the transaction accounting. At September 30, 2016, consolidated retained earnings contained undistributed earnings of $0.2 million, net of tax, of unconsolidated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150% of associates’ initial 4% contribution and 50% of their remaining contribution up to 6%. The Company may make additional discretionary profit sharing matching contributions to eligible employees on their initial 4% contribution. The Company recorded charges of $13.0 million, $11.5 million and $11.7 million under the plan in fiscal 2016, fiscal 2015 and fiscal 2014, respectively.</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two defined benefit pension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In fiscal 2013, the Company’s remaining obligations were settled for the defined benefit pension plan associated with its Netherlands business. On July 1, 2010, the Company froze its two U.K. defined benefit pension plans and transferred participants to an amended defined contribution plan. Under the frozen defined benefit plans, participants are no longer credited for future service; however, future salary increases will continue to be factored into each participant’s final pension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3"/>
            <w:vMerge w:val="restart"/>
          </w:tcPr>
          <w:p>
            <w:pPr>
              <w:jc w:val="right"/>
              <w:ind w:right="431"/>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97"/>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3"/>
          </w:tcPr>
          <w:p>
            <w:pPr>
              <w:jc w:val="center"/>
              <w:ind w:left="432"/>
              <w:spacing w:after="0" w:line="149"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34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311"/>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117.3</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109.2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117.3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Accumulated benefit obligation at end of year</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Pr>
          <w:p>
            <w:pPr>
              <w:spacing w:after="0"/>
              <w:rPr>
                <w:sz w:val="19"/>
                <w:szCs w:val="19"/>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117.3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Change in plan assets:</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Underfunded status at end of year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w w:val="90"/>
              </w:rPr>
              <w:t>Information for pension plans with an accumulated benefit obligation in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excess of plan assets: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118.2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117.3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5"/>
              </w:rPr>
              <w:t>Amounts recognized in the Consolidated Balance Sheets consist of:</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1"/>
              </w:rPr>
              <w:t>Amounts recognized in accumulated other comprehensive loss consist</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cost</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U.S. Defined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International</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Defined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tcBorders>
              <w:bottom w:val="single" w:sz="8" w:color="auto"/>
            </w:tcBorders>
            <w:gridSpan w:val="8"/>
          </w:tcPr>
          <w:p>
            <w:pPr>
              <w:jc w:val="center"/>
              <w:ind w:left="654"/>
              <w:spacing w:after="0"/>
              <w:rPr>
                <w:sz w:val="20"/>
                <w:szCs w:val="20"/>
                <w:color w:val="auto"/>
              </w:rPr>
            </w:pPr>
            <w:r>
              <w:rPr>
                <w:rFonts w:ascii="Arial" w:cs="Arial" w:eastAsia="Arial" w:hAnsi="Arial"/>
                <w:sz w:val="14"/>
                <w:szCs w:val="14"/>
                <w:b w:val="1"/>
                <w:bCs w:val="1"/>
                <w:color w:val="auto"/>
                <w:w w:val="91"/>
              </w:rPr>
              <w:t>Benefit Pension Plans</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right="352"/>
              <w:spacing w:after="0"/>
              <w:rPr>
                <w:sz w:val="20"/>
                <w:szCs w:val="20"/>
                <w:color w:val="auto"/>
              </w:rPr>
            </w:pPr>
            <w:r>
              <w:rPr>
                <w:rFonts w:ascii="Arial" w:cs="Arial" w:eastAsia="Arial" w:hAnsi="Arial"/>
                <w:sz w:val="14"/>
                <w:szCs w:val="14"/>
                <w:b w:val="1"/>
                <w:bCs w:val="1"/>
                <w:color w:val="auto"/>
                <w:w w:val="89"/>
              </w:rPr>
              <w:t>Benefit Pension Plans</w:t>
            </w: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11"/>
          </w:tcPr>
          <w:p>
            <w:pPr>
              <w:jc w:val="right"/>
              <w:ind w:right="380"/>
              <w:spacing w:after="0"/>
              <w:rPr>
                <w:sz w:val="20"/>
                <w:szCs w:val="20"/>
                <w:color w:val="auto"/>
              </w:rPr>
            </w:pPr>
            <w:r>
              <w:rPr>
                <w:rFonts w:ascii="Arial" w:cs="Arial" w:eastAsia="Arial" w:hAnsi="Arial"/>
                <w:sz w:val="14"/>
                <w:szCs w:val="14"/>
                <w:b w:val="1"/>
                <w:bCs w:val="1"/>
                <w:color w:val="auto"/>
              </w:rPr>
              <w:t>(In millions, except percentage figures)</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Pension benefit (loss) gain during the period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65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520" w:type="dxa"/>
            <w:vAlign w:val="bottom"/>
            <w:gridSpan w:val="2"/>
          </w:tcPr>
          <w:p>
            <w:pPr>
              <w:jc w:val="right"/>
              <w:ind w:right="76"/>
              <w:spacing w:after="0"/>
              <w:rPr>
                <w:sz w:val="20"/>
                <w:szCs w:val="20"/>
                <w:color w:val="auto"/>
              </w:rPr>
            </w:pPr>
            <w:r>
              <w:rPr>
                <w:rFonts w:ascii="Arial" w:cs="Arial" w:eastAsia="Arial" w:hAnsi="Arial"/>
                <w:sz w:val="18"/>
                <w:szCs w:val="18"/>
                <w:color w:val="auto"/>
              </w:rPr>
              <w:t>1.1</w:t>
            </w:r>
          </w:p>
        </w:tc>
        <w:tc>
          <w:tcPr>
            <w:tcW w:w="740" w:type="dxa"/>
            <w:vAlign w:val="bottom"/>
            <w:gridSpan w:val="3"/>
          </w:tcPr>
          <w:p>
            <w:pPr>
              <w:jc w:val="right"/>
              <w:ind w:right="4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89"/>
              </w:rPr>
              <w:t>(18.2)</w:t>
            </w:r>
          </w:p>
        </w:tc>
        <w:tc>
          <w:tcPr>
            <w:tcW w:w="50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89"/>
              </w:rPr>
              <w:t>(15.8)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Reclassification of pension benefit losses to net income</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2.9</w:t>
            </w:r>
          </w:p>
        </w:tc>
        <w:tc>
          <w:tcPr>
            <w:tcW w:w="740" w:type="dxa"/>
            <w:vAlign w:val="bottom"/>
            <w:tcBorders>
              <w:bottom w:val="single" w:sz="8" w:color="CCEEFF"/>
            </w:tcBorders>
            <w:gridSpan w:val="3"/>
            <w:shd w:val="clear" w:color="auto" w:fill="CCEEFF"/>
          </w:tcPr>
          <w:p>
            <w:pPr>
              <w:jc w:val="right"/>
              <w:ind w:right="4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(14.9)</w:t>
            </w: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b w:val="1"/>
                <w:bCs w:val="1"/>
                <w:color w:val="auto"/>
                <w:w w:val="90"/>
              </w:rPr>
              <w:t>Amounts in accumulated other comprehensive loss expected to be</w:t>
            </w: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5"/>
          </w:tcPr>
          <w:p>
            <w:pPr>
              <w:ind w:left="40"/>
              <w:spacing w:after="0"/>
              <w:rPr>
                <w:sz w:val="20"/>
                <w:szCs w:val="20"/>
                <w:color w:val="auto"/>
              </w:rPr>
            </w:pPr>
            <w:r>
              <w:rPr>
                <w:rFonts w:ascii="Arial" w:cs="Arial" w:eastAsia="Arial" w:hAnsi="Arial"/>
                <w:sz w:val="18"/>
                <w:szCs w:val="18"/>
                <w:b w:val="1"/>
                <w:bCs w:val="1"/>
                <w:color w:val="auto"/>
                <w:w w:val="89"/>
              </w:rPr>
              <w:t>recognized as components of net periodic benefit cost in fiscal 2017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are as follows:</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Amount to be amortized into net periodic benefit cost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65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w w:val="87"/>
              </w:rPr>
              <w:t>Weighted average assumptions used in development of projected</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40"/>
              <w:spacing w:after="0"/>
              <w:rPr>
                <w:sz w:val="20"/>
                <w:szCs w:val="20"/>
                <w:color w:val="auto"/>
              </w:rPr>
            </w:pPr>
            <w:r>
              <w:rPr>
                <w:rFonts w:ascii="Arial" w:cs="Arial" w:eastAsia="Arial" w:hAnsi="Arial"/>
                <w:sz w:val="18"/>
                <w:szCs w:val="18"/>
                <w:b w:val="1"/>
                <w:bCs w:val="1"/>
                <w:color w:val="auto"/>
              </w:rPr>
              <w:t>benefit obligation:</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504"/>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U.S. Defined</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jc w:val="center"/>
              <w:ind w:right="336"/>
              <w:spacing w:after="0"/>
              <w:rPr>
                <w:sz w:val="20"/>
                <w:szCs w:val="20"/>
                <w:color w:val="auto"/>
              </w:rPr>
            </w:pPr>
            <w:r>
              <w:rPr>
                <w:rFonts w:ascii="Arial" w:cs="Arial" w:eastAsia="Arial" w:hAnsi="Arial"/>
                <w:sz w:val="14"/>
                <w:szCs w:val="14"/>
                <w:b w:val="1"/>
                <w:bCs w:val="1"/>
                <w:color w:val="auto"/>
                <w:w w:val="89"/>
              </w:rPr>
              <w:t>Benefit Pension Plans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center"/>
              <w:ind w:left="48"/>
              <w:spacing w:after="0"/>
              <w:rPr>
                <w:sz w:val="20"/>
                <w:szCs w:val="20"/>
                <w:color w:val="auto"/>
              </w:rPr>
            </w:pPr>
            <w:r>
              <w:rPr>
                <w:rFonts w:ascii="Arial" w:cs="Arial" w:eastAsia="Arial" w:hAnsi="Arial"/>
                <w:sz w:val="14"/>
                <w:szCs w:val="14"/>
                <w:b w:val="1"/>
                <w:bCs w:val="1"/>
                <w:color w:val="auto"/>
                <w:w w:val="90"/>
              </w:rPr>
              <w:t>Defined Benefit Pension Plans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gridSpan w:val="11"/>
          </w:tcPr>
          <w:p>
            <w:pPr>
              <w:ind w:left="60"/>
              <w:spacing w:after="0"/>
              <w:rPr>
                <w:sz w:val="20"/>
                <w:szCs w:val="20"/>
                <w:color w:val="auto"/>
              </w:rPr>
            </w:pPr>
            <w:r>
              <w:rPr>
                <w:rFonts w:ascii="Arial" w:cs="Arial" w:eastAsia="Arial" w:hAnsi="Arial"/>
                <w:sz w:val="14"/>
                <w:szCs w:val="14"/>
                <w:b w:val="1"/>
                <w:bCs w:val="1"/>
                <w:color w:val="auto"/>
                <w:w w:val="95"/>
              </w:rPr>
              <w:t>(In millions, except percentage figures)</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3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1"/>
                <w:szCs w:val="21"/>
                <w:color w:val="auto"/>
              </w:rPr>
            </w:pPr>
          </w:p>
        </w:tc>
        <w:tc>
          <w:tcPr>
            <w:tcW w:w="500" w:type="dxa"/>
            <w:vAlign w:val="bottom"/>
            <w:gridSpan w:val="3"/>
          </w:tcPr>
          <w:p>
            <w:pPr>
              <w:jc w:val="right"/>
              <w:ind w:right="10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54"/>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ind w:right="5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gridSpan w:val="3"/>
          </w:tcPr>
          <w:p>
            <w:pPr>
              <w:jc w:val="right"/>
              <w:ind w:right="48"/>
              <w:spacing w:after="0"/>
              <w:rPr>
                <w:sz w:val="20"/>
                <w:szCs w:val="20"/>
                <w:color w:val="auto"/>
              </w:rPr>
            </w:pPr>
            <w:r>
              <w:rPr>
                <w:rFonts w:ascii="Arial" w:cs="Arial" w:eastAsia="Arial" w:hAnsi="Arial"/>
                <w:sz w:val="18"/>
                <w:szCs w:val="18"/>
                <w:color w:val="auto"/>
                <w:w w:val="97"/>
              </w:rPr>
              <w:t>(7.4)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1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1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termination benefits</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Total benefit cost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ind w:right="11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3"/>
          </w:tcPr>
          <w:p>
            <w:pPr>
              <w:jc w:val="right"/>
              <w:ind w:right="11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8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Weighted average assumptions used in</w:t>
            </w: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development of net periodic benefit cost:</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3.52%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32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86"/>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4"/>
              <w:spacing w:after="0"/>
              <w:rPr>
                <w:sz w:val="20"/>
                <w:szCs w:val="20"/>
                <w:color w:val="auto"/>
              </w:rPr>
            </w:pPr>
            <w:r>
              <w:rPr>
                <w:rFonts w:ascii="Arial" w:cs="Arial" w:eastAsia="Arial" w:hAnsi="Arial"/>
                <w:sz w:val="18"/>
                <w:szCs w:val="18"/>
                <w:color w:val="auto"/>
                <w:w w:val="89"/>
              </w:rPr>
              <w:t>83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73"/>
              <w:spacing w:after="0"/>
              <w:rPr>
                <w:sz w:val="20"/>
                <w:szCs w:val="20"/>
                <w:color w:val="auto"/>
              </w:rPr>
            </w:pPr>
            <w:r>
              <w:rPr>
                <w:rFonts w:ascii="Arial" w:cs="Arial" w:eastAsia="Arial" w:hAnsi="Arial"/>
                <w:sz w:val="14"/>
                <w:szCs w:val="14"/>
                <w:b w:val="1"/>
                <w:bCs w:val="1"/>
                <w:color w:val="auto"/>
                <w:w w:val="97"/>
              </w:rPr>
              <w:t>International</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U.S. Defined</w:t>
            </w:r>
          </w:p>
        </w:tc>
        <w:tc>
          <w:tcPr>
            <w:tcW w:w="220" w:type="dxa"/>
            <w:vAlign w:val="bottom"/>
          </w:tcPr>
          <w:p>
            <w:pPr>
              <w:spacing w:after="0"/>
              <w:rPr>
                <w:sz w:val="12"/>
                <w:szCs w:val="12"/>
                <w:color w:val="auto"/>
              </w:rPr>
            </w:pPr>
          </w:p>
        </w:tc>
        <w:tc>
          <w:tcPr>
            <w:tcW w:w="118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Defined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Benefit Pension</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3"/>
              </w:rPr>
              <w:t>Benefit Pension Plans</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w w:val="93"/>
              </w:rPr>
              <w:t>(In millions, except percentage figures)</w:t>
            </w: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3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Plan asset allocations: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Target for September 30, 2017:</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2016:</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September 30, 2015:</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Equity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4540" w:type="dxa"/>
            <w:vAlign w:val="bottom"/>
          </w:tcPr>
          <w:p>
            <w:pPr>
              <w:ind w:left="720"/>
              <w:spacing w:after="0"/>
              <w:rPr>
                <w:sz w:val="20"/>
                <w:szCs w:val="20"/>
                <w:color w:val="auto"/>
              </w:rPr>
            </w:pPr>
            <w:r>
              <w:rPr>
                <w:rFonts w:ascii="Arial" w:cs="Arial" w:eastAsia="Arial" w:hAnsi="Arial"/>
                <w:sz w:val="18"/>
                <w:szCs w:val="18"/>
                <w:color w:val="auto"/>
              </w:rPr>
              <w:t>Real estate securities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680"/>
              <w:spacing w:after="0"/>
              <w:rPr>
                <w:sz w:val="20"/>
                <w:szCs w:val="20"/>
                <w:color w:val="auto"/>
              </w:rPr>
            </w:pPr>
            <w:r>
              <w:rPr>
                <w:rFonts w:ascii="Arial" w:cs="Arial" w:eastAsia="Arial" w:hAnsi="Arial"/>
                <w:sz w:val="18"/>
                <w:szCs w:val="18"/>
                <w:color w:val="auto"/>
              </w:rPr>
              <w:t>Insurance contracts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Company contributions in fiscal 2017</w:t>
            </w:r>
          </w:p>
        </w:tc>
        <w:tc>
          <w:tcPr>
            <w:tcW w:w="4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Expected future benefit payments:</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w:t>
            </w:r>
          </w:p>
        </w:tc>
        <w:tc>
          <w:tcPr>
            <w:tcW w:w="4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2018</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2020</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3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2022 – 2027</w:t>
            </w:r>
          </w:p>
        </w:tc>
        <w:tc>
          <w:tcPr>
            <w:tcW w:w="3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702"/>
        </w:trPr>
        <w:tc>
          <w:tcPr>
            <w:tcW w:w="4540" w:type="dxa"/>
            <w:vAlign w:val="bottom"/>
          </w:tcPr>
          <w:p>
            <w:pPr>
              <w:spacing w:after="0"/>
              <w:rPr>
                <w:sz w:val="24"/>
                <w:szCs w:val="24"/>
                <w:color w:val="auto"/>
              </w:rPr>
            </w:pPr>
          </w:p>
        </w:tc>
        <w:tc>
          <w:tcPr>
            <w:tcW w:w="3980" w:type="dxa"/>
            <w:vAlign w:val="bottom"/>
          </w:tcPr>
          <w:p>
            <w:pPr>
              <w:jc w:val="right"/>
              <w:ind w:right="263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2016</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 2015</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Significant Other</w:t>
            </w:r>
          </w:p>
        </w:tc>
        <w:tc>
          <w:tcPr>
            <w:tcW w:w="360" w:type="dxa"/>
            <w:vAlign w:val="bottom"/>
          </w:tcPr>
          <w:p>
            <w:pPr>
              <w:spacing w:after="0"/>
              <w:rPr>
                <w:sz w:val="13"/>
                <w:szCs w:val="13"/>
                <w:color w:val="auto"/>
              </w:rPr>
            </w:pPr>
          </w:p>
        </w:tc>
        <w:tc>
          <w:tcPr>
            <w:tcW w:w="134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Inputs (Level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center"/>
              <w:ind w:left="976"/>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Defined Benefit Pension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International Defined Benefit Pension Plan Assets</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mutual funds are valued at the exchange-listed year end closing price or at the net asset value of shares held by the fund at the end of the year. Insurance contracts are valued by discounting the related cash flows using a current year end market rate or at cash surrender value, which is presumed to equal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 The decrease in expected long-term rate of return assumptions during fiscal 2016 is driven by a decline in fixed income yields.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ASSOCIATE MEDICAL BENEFITS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10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sets forth information about the retiree medical plan for domestic associates. The retiree medical plan is valued using a September 30 measurement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80" w:type="dxa"/>
            <w:vAlign w:val="bottom"/>
            <w:gridSpan w:val="7"/>
          </w:tcPr>
          <w:p>
            <w:pPr>
              <w:jc w:val="right"/>
              <w:ind w:right="311"/>
              <w:spacing w:after="0"/>
              <w:rPr>
                <w:sz w:val="20"/>
                <w:szCs w:val="20"/>
                <w:color w:val="auto"/>
              </w:rPr>
            </w:pPr>
            <w:r>
              <w:rPr>
                <w:rFonts w:ascii="Arial" w:cs="Arial" w:eastAsia="Arial" w:hAnsi="Arial"/>
                <w:sz w:val="14"/>
                <w:szCs w:val="14"/>
                <w:b w:val="1"/>
                <w:bCs w:val="1"/>
                <w:color w:val="auto"/>
              </w:rPr>
              <w:t>(In millions, except percentage figures)</w:t>
            </w: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 (net of federal subsidy of $0.0 and $0.3)</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Plan changes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participants’ contributions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Gross benefits paid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Unfunded status at end of year</w:t>
            </w: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89"/>
              </w:rPr>
              <w:t>(26.2)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accrued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9"/>
              </w:rPr>
              <w:t>(26.2)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amount recognized</w:t>
            </w: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9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Benefit loss during the period</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prior service credit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Net amortization of prior service credit and actuarial loss during the year</w:t>
            </w: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other comprehensive loss (income)</w:t>
            </w:r>
          </w:p>
        </w:tc>
        <w:tc>
          <w:tcPr>
            <w:tcW w:w="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 used in development of APBO</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615"/>
        </w:trPr>
        <w:tc>
          <w:tcPr>
            <w:tcW w:w="6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9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980" w:type="dxa"/>
            <w:vAlign w:val="bottom"/>
          </w:tcPr>
          <w:p>
            <w:pPr>
              <w:spacing w:after="0"/>
              <w:rPr>
                <w:sz w:val="21"/>
                <w:szCs w:val="21"/>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postretirement benefit cost</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estimated actuarial loss and prior service credit that will be amortized from accumulated loss into net periodic benefit cost over the next fiscal year is $0.4 million and $1.1 million, respectively.</w:t>
      </w:r>
    </w:p>
    <w:p>
      <w:pPr>
        <w:sectPr>
          <w:pgSz w:w="11900" w:h="16838" w:orient="portrait"/>
          <w:cols w:equalWidth="0" w:num="1">
            <w:col w:w="11420"/>
          </w:cols>
          <w:pgMar w:left="240" w:top="121" w:right="239" w:bottom="108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081"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measurement as of September 30, 2016, management has assumed that health care costs will increase at an annual rate of 7.00% in fiscal 2016, and thereafter decreasing 0.25% per year to an ultimate trend rate of 5.00% in 2024. A 1% increase in health cost trend rate assumptions would increase the APBO by $0.1 million as of September 30, 2016 and a 1% decrease would decrease the APBO by $0.1 million as of September 30, 2016. A 1% increase or decrease in the health cost trend rate assumptions would not have a material effect on service or interest costs.</w:t>
      </w:r>
    </w:p>
    <w:p>
      <w:pPr>
        <w:spacing w:after="0" w:line="6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1, 2016, a plan change became effective whereby Medicare eligible participants are covered under a Health Reimbursement Arrangement (“HRA”) and a catastrophic prescription drug plan provided by the Company that can be used by retirees to purchase individual insurance policies that supplement or replace Medicare through a private exchange. This plan change resulted in a decrease in the benefit obligation of $8.2 million during fiscal 2015.</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2"/>
              </w:rPr>
              <w:t>Retiree</w:t>
            </w:r>
          </w:p>
        </w:tc>
        <w:tc>
          <w:tcPr>
            <w:tcW w:w="300" w:type="dxa"/>
            <w:vAlign w:val="bottom"/>
          </w:tcPr>
          <w:p>
            <w:pPr>
              <w:spacing w:after="0"/>
              <w:rPr>
                <w:sz w:val="14"/>
                <w:szCs w:val="14"/>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Benefit</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3"/>
              </w:rPr>
              <w:t>Contributions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2022 – 2026</w:t>
            </w:r>
          </w:p>
        </w:tc>
        <w:tc>
          <w:tcPr>
            <w:tcW w:w="2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$0.6 million per occurrence per individual. The cost of such benefits is recognized as expense in the period the claim is incurred. This cost was $31.8 million, $29.6 million and $29.0 million in fiscal 2016, fiscal 2015 and fiscal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37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380"/>
              <w:spacing w:after="0"/>
              <w:rPr>
                <w:sz w:val="20"/>
                <w:szCs w:val="20"/>
                <w:color w:val="auto"/>
              </w:rPr>
            </w:pPr>
            <w:r>
              <w:rPr>
                <w:rFonts w:ascii="Arial" w:cs="Arial" w:eastAsia="Arial" w:hAnsi="Arial"/>
                <w:sz w:val="18"/>
                <w:szCs w:val="18"/>
                <w:color w:val="auto"/>
              </w:rPr>
              <w:t>Revolving loans</w:t>
            </w:r>
          </w:p>
        </w:tc>
        <w:tc>
          <w:tcPr>
            <w:tcW w:w="40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3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Senior Notes – 6.625%</w:t>
            </w:r>
          </w:p>
        </w:tc>
        <w:tc>
          <w:tcPr>
            <w:tcW w:w="3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 6.000%</w:t>
            </w:r>
          </w:p>
        </w:tc>
        <w:tc>
          <w:tcPr>
            <w:tcW w:w="3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Master Accounts Receivable Purchase Agreement</w:t>
            </w:r>
          </w:p>
        </w:tc>
        <w:tc>
          <w:tcPr>
            <w:tcW w:w="3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1,316.1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portions</w:t>
            </w:r>
          </w:p>
        </w:tc>
        <w:tc>
          <w:tcPr>
            <w:tcW w:w="3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7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1,131.1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720" w:type="dxa"/>
            <w:vAlign w:val="bottom"/>
            <w:vMerge w:val="restart"/>
          </w:tcPr>
          <w:p>
            <w:pPr>
              <w:jc w:val="right"/>
              <w:ind w:right="247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7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80" w:type="dxa"/>
            <w:vAlign w:val="bottom"/>
          </w:tcPr>
          <w:p>
            <w:pPr>
              <w:ind w:left="420"/>
              <w:spacing w:after="0"/>
              <w:rPr>
                <w:sz w:val="20"/>
                <w:szCs w:val="20"/>
                <w:color w:val="auto"/>
              </w:rPr>
            </w:pPr>
            <w:r>
              <w:rPr>
                <w:rFonts w:ascii="Arial" w:cs="Arial" w:eastAsia="Arial" w:hAnsi="Arial"/>
                <w:sz w:val="18"/>
                <w:szCs w:val="18"/>
                <w:color w:val="auto"/>
                <w:w w:val="99"/>
              </w:rPr>
              <w:t>The Company’s debt matures as follows for each of the next five fiscal years and thereafter (in millions):</w:t>
            </w:r>
          </w:p>
        </w:tc>
        <w:tc>
          <w:tcPr>
            <w:tcW w:w="10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24"/>
        </w:trPr>
        <w:tc>
          <w:tcPr>
            <w:tcW w:w="8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185.0</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15.4</w:t>
            </w:r>
          </w:p>
        </w:tc>
      </w:tr>
      <w:tr>
        <w:trPr>
          <w:trHeight w:val="27"/>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646.1</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438.3</w:t>
            </w:r>
          </w:p>
        </w:tc>
      </w:tr>
      <w:tr>
        <w:trPr>
          <w:trHeight w:val="27"/>
        </w:trPr>
        <w:tc>
          <w:tcPr>
            <w:tcW w:w="8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“new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the Company with the right to seek additional committed credit under the agreement in an aggregate amount of up to $500.0 million plus an unlimited additional amount, subject to certain specified financial and other conditions. Under the new credit agreement, the Company has the ability to obtain letters of credit up to $100.0 million. The new credit agreement replaces the former credit facility, and will terminate on October 29, 2020. Borrowings on the revolving credit facility may be made in various currencies, including U.S. dollars, euro, British pounds, Australian dollars and Canadian dollars. The terms of the new credit agreement include customary representations and warranties, affirmative and negative covenants, financial covenants and events of default. The proceeds of borrowings on the new credit facilities may be used: (i) to finance working capital requirements and other general corporate purposes of the Company and its subsidiaries; and (ii) to refinance the amounts outstanding under the former credit facility.</w:t>
      </w:r>
    </w:p>
    <w:p>
      <w:pPr>
        <w:spacing w:after="0" w:line="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the terms of the new credit agreement, loans bear interest, at the Company’s election, at a rate per annum equal to either the ABR or Adjusted LIBO Rate (both as defined in the new credit agreement) plus the applicable margin. The new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2016, the Company had letters of credit outstanding in the aggregate principal amount of $26.5 million, and $1.2 billion of availability under the new credit agreement, subject to the Company’s continued compliance with the covenants discussed below. The weighted average interest rates on average borrowings under the new credit agreement and the former credit facility were 3.5% and 4.0% for fiscal 2016 and fiscal 2015, respectively.</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new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new credit agreement (“Adjusted EBITDA”). The maximum leverage ratio was 4.50 as of September 30, 2016. The Company’s leverage ratio was 3.10 at September 30, 2016. The new credit agreement also includes an affirmative covenant regarding its interest coverage ratio. The interest coverage ratio is calculated as Adjusted EBITDA divided by interest expense, as described in the new credit agreement, and excludes costs related to refinancings. The minimum interest coverage ratio was 3.00 for the twelve months ended September 30, 2016. The Company’s interest coverage ratio was 7.88 for the twelve months ended September 30, 2016. The new credit agreement allows the Company to make unlimited restricted payments (as defined in the new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fiscal 2017 and $200.0 million for fiscal 2018 and each fiscal year thereafter).</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December 15, 2015, Scotts Miracle-Gro redeemed all $200.0 million aggregate principal amount of its outstanding 6.625% senior notes due 2020 (the “6.625% Senior Notes”) paying a redemption price of $213.2 million, comprised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$6.6 million of accrued and unpaid interest, $6.6 million of call premium and $200.0 million for outstanding principal amount. The $6.6 million call premium charge was recognized within the “Costs related to refinancing” line on the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Consolidated Statement of Operations in the first quarter of fiscal 2016.</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a Master Accounts Receivable Purchase Agreement (“MARP Agreement”), which provides for the discretionary sale by the Company, and the discretionary purchase (outside of the commitment period specified in the MARP Agreement) by the participating banks, on a revolving basis, of accounts receivable generated by sales to three specified account debtors in an aggregate amount not to exceed $400.0 million. The MARP Agreement is subject to renewal by mutual agreement at least annually.</w:t>
      </w:r>
    </w:p>
    <w:p>
      <w:pPr>
        <w:spacing w:after="0" w:line="1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March 23, 2016, Scotts Miracle-Gro and Scotts LLC entered into a Waiver and First Amendment to the MARP Agreement that amends the MARP Agreement in the following significant respects: (1) includes subsidiaries and affiliates of the approved debtors in the definition of approved debtors; (2) requires Scotts LLC to repurchase all receivables (including any defaulted receivables) from the banks on each settlement date; and (3) provides the administrative agent and the banks with full recourse to Scotts LLC in case of non-payment of any purchased receivable on the maturity date thereof, regardless of the reason for such non-payment. Under the terms of the amended MARP Agreement, the banks have the opportunity to purchase those accounts receivable offered by the Company at a discount (from the agreed base value thereof) effectively equal to the one-week LIBO rate plus 0.95%.</w:t>
      </w:r>
    </w:p>
    <w:p>
      <w:pPr>
        <w:spacing w:after="0" w:line="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accounts for the sale of receivables under the MARP Agreement (as amended) as short-term debt and continues to carry the receivables on its Consolidated Balance Sheet, primarily as a result of the Company’s requirement to repurchase receivables sold. There were $138.6 million and $122.3 million in borrowings or receivables pledged as collateral under the MARP Agreement at September 30, 2016 and 2015, respectively. The carrying value of the receivables pledged as collateral was $174.7 million at September 30, 2016 and $152.9 million at September 30, 2015. As of September 30, 2016, there was $7.6 million of availability under the MARP Agreement.</w:t>
      </w:r>
    </w:p>
    <w:p>
      <w:pPr>
        <w:spacing w:after="0" w:line="10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On August 25, 2016, Scotts Miracle-Gro and Scotts LLC entered into a Second Amendment to the MARP Agreement that extended the stated termination date of the Agreement through October 14, 2016. The MARP Agreement terminated effective October 14, 2016 in accordance with its terms.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acquisition of a controlling interest in Gavita, the Company recorded a loan to the noncontrolling ownership group of Gavita.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loan was $38.3 million at September 30, 2016.</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$650.0 million and $1,300.0 million at September 30, 2016 and September 30, 2015. Interest payments made between the effective date and expiration date are hedged by the swap agreements, except as noted below, respectively. On November 1, 2016, the Company executed interest rate swap agreements with notional amounts that adjust in accordance with a specified seasonal schedule and have a maximum total notional amount at any point in time of $500.0 million. These swap agreements effectively convert the LIBOR index on a portion of the Company’s variable-rate debt to a fixed rate of approximately 0.83% beginning in November 2016 through expiration dates in June and August 2018.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September 30, 2016 are shown in the table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0" w:type="dxa"/>
            <w:vAlign w:val="bottom"/>
          </w:tcPr>
          <w:p>
            <w:pPr>
              <w:jc w:val="right"/>
              <w:ind w:right="575"/>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Effective</w:t>
            </w: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00" w:type="dxa"/>
            <w:vAlign w:val="bottom"/>
          </w:tcPr>
          <w:p>
            <w:pPr>
              <w:jc w:val="right"/>
              <w:ind w:right="1155"/>
              <w:spacing w:after="0"/>
              <w:rPr>
                <w:sz w:val="20"/>
                <w:szCs w:val="20"/>
                <w:color w:val="auto"/>
              </w:rPr>
            </w:pPr>
            <w:r>
              <w:rPr>
                <w:rFonts w:ascii="Arial" w:cs="Arial" w:eastAsia="Arial" w:hAnsi="Arial"/>
                <w:sz w:val="14"/>
                <w:szCs w:val="14"/>
                <w:b w:val="1"/>
                <w:bCs w:val="1"/>
                <w:color w:val="auto"/>
              </w:rPr>
              <w:t>Fixed</w:t>
            </w:r>
          </w:p>
        </w:tc>
      </w:tr>
      <w:tr>
        <w:trPr>
          <w:trHeight w:val="192"/>
        </w:trPr>
        <w:tc>
          <w:tcPr>
            <w:tcW w:w="380" w:type="dxa"/>
            <w:vAlign w:val="bottom"/>
          </w:tcPr>
          <w:p>
            <w:pPr>
              <w:spacing w:after="0"/>
              <w:rPr>
                <w:sz w:val="16"/>
                <w:szCs w:val="16"/>
                <w:color w:val="auto"/>
              </w:rPr>
            </w:pPr>
          </w:p>
        </w:tc>
        <w:tc>
          <w:tcPr>
            <w:tcW w:w="2000" w:type="dxa"/>
            <w:vAlign w:val="bottom"/>
          </w:tcPr>
          <w:p>
            <w:pPr>
              <w:jc w:val="right"/>
              <w:ind w:right="735"/>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2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Date (a)</w:t>
            </w:r>
          </w:p>
        </w:tc>
        <w:tc>
          <w:tcPr>
            <w:tcW w:w="2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2800" w:type="dxa"/>
            <w:vAlign w:val="bottom"/>
          </w:tcPr>
          <w:p>
            <w:pPr>
              <w:jc w:val="right"/>
              <w:ind w:right="1175"/>
              <w:spacing w:after="0"/>
              <w:rPr>
                <w:sz w:val="20"/>
                <w:szCs w:val="20"/>
                <w:color w:val="auto"/>
              </w:rPr>
            </w:pPr>
            <w:r>
              <w:rPr>
                <w:rFonts w:ascii="Arial" w:cs="Arial" w:eastAsia="Arial" w:hAnsi="Arial"/>
                <w:sz w:val="14"/>
                <w:szCs w:val="14"/>
                <w:b w:val="1"/>
                <w:bCs w:val="1"/>
                <w:color w:val="auto"/>
              </w:rPr>
              <w:t>Rate</w:t>
            </w:r>
          </w:p>
        </w:tc>
      </w:tr>
      <w:tr>
        <w:trPr>
          <w:trHeight w:val="250"/>
        </w:trPr>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2/7/2014</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11/7/2017</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80" w:type="dxa"/>
            <w:vAlign w:val="bottom"/>
          </w:tcPr>
          <w:p>
            <w:pPr>
              <w:spacing w:after="0"/>
              <w:rPr>
                <w:sz w:val="22"/>
                <w:szCs w:val="22"/>
                <w:color w:val="auto"/>
              </w:rPr>
            </w:pPr>
          </w:p>
        </w:tc>
        <w:tc>
          <w:tcPr>
            <w:tcW w:w="200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4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7"/>
        </w:trPr>
        <w:tc>
          <w:tcPr>
            <w:tcW w:w="380" w:type="dxa"/>
            <w:vAlign w:val="bottom"/>
            <w:shd w:val="clear" w:color="auto" w:fill="CCEEFF"/>
          </w:tcPr>
          <w:p>
            <w:pPr>
              <w:spacing w:after="0"/>
              <w:rPr>
                <w:sz w:val="22"/>
                <w:szCs w:val="22"/>
                <w:color w:val="auto"/>
              </w:rPr>
            </w:pPr>
          </w:p>
        </w:tc>
        <w:tc>
          <w:tcPr>
            <w:tcW w:w="2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shd w:val="clear" w:color="auto" w:fill="CCEEFF"/>
          </w:tcPr>
          <w:p>
            <w:pPr>
              <w:spacing w:after="0"/>
              <w:rPr>
                <w:sz w:val="22"/>
                <w:szCs w:val="22"/>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340" w:type="dxa"/>
            <w:vAlign w:val="bottom"/>
            <w:shd w:val="clear" w:color="auto" w:fill="CCEEFF"/>
          </w:tcPr>
          <w:p>
            <w:pPr>
              <w:spacing w:after="0"/>
              <w:rPr>
                <w:sz w:val="22"/>
                <w:szCs w:val="22"/>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right="20" w:hanging="652"/>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new credit facilities was classified in Level 2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6.000% Senior Notes can be determined based on the trading of the 6.000% Senior Notes in the open market. The difference between the carrying value and the fair value of the 6.000% Senior Notes represents the premium or discount on that date. The fair value measurement for the 6.000%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6.625% Senior Notes was determined based on the trading value of the 6.625% Senior Notes in the open market. The difference between the carrying value and the fair value of the 6.625% Senior Notes represented the premium or discount on that date. The fair value for the 6.625% Senior Notes was classified in Level 1 of the fair value hierarchy.</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fluctuated with the applicable LIBO rate and thus the carrying value represented a reasonable estimate of fair value. The fair value measurement for the MARP Agreement was classified in Level 2 of the fair value hierarchy.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fair values of the Company’s debt instruments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right"/>
              <w:ind w:right="416"/>
              <w:spacing w:after="0"/>
              <w:rPr>
                <w:sz w:val="20"/>
                <w:szCs w:val="20"/>
                <w:color w:val="auto"/>
              </w:rPr>
            </w:pPr>
            <w:r>
              <w:rPr>
                <w:rFonts w:ascii="Arial" w:cs="Arial" w:eastAsia="Arial" w:hAnsi="Arial"/>
                <w:sz w:val="14"/>
                <w:szCs w:val="14"/>
                <w:b w:val="1"/>
                <w:bCs w:val="1"/>
                <w:color w:val="auto"/>
                <w:w w:val="93"/>
              </w:rPr>
              <w:t>Year Ended September 30,</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2015</w:t>
            </w:r>
          </w:p>
        </w:tc>
        <w:tc>
          <w:tcPr>
            <w:tcW w:w="1160" w:type="dxa"/>
            <w:vAlign w:val="bottom"/>
            <w:tcBorders>
              <w:bottom w:val="single" w:sz="8" w:color="auto"/>
            </w:tcBorders>
          </w:tcPr>
          <w:p>
            <w:pPr>
              <w:spacing w:after="0"/>
              <w:rPr>
                <w:sz w:val="22"/>
                <w:szCs w:val="22"/>
                <w:color w:val="auto"/>
              </w:rPr>
            </w:pPr>
          </w:p>
        </w:tc>
      </w:tr>
      <w:tr>
        <w:trPr>
          <w:trHeight w:val="152"/>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Carrying</w:t>
            </w:r>
          </w:p>
        </w:tc>
        <w:tc>
          <w:tcPr>
            <w:tcW w:w="520" w:type="dxa"/>
            <w:vAlign w:val="bottom"/>
          </w:tcPr>
          <w:p>
            <w:pPr>
              <w:spacing w:after="0"/>
              <w:rPr>
                <w:sz w:val="13"/>
                <w:szCs w:val="13"/>
                <w:color w:val="auto"/>
              </w:rPr>
            </w:pPr>
          </w:p>
        </w:tc>
        <w:tc>
          <w:tcPr>
            <w:tcW w:w="980" w:type="dxa"/>
            <w:vAlign w:val="bottom"/>
            <w:gridSpan w:val="2"/>
          </w:tcPr>
          <w:p>
            <w:pPr>
              <w:jc w:val="right"/>
              <w:ind w:right="402"/>
              <w:spacing w:after="0" w:line="15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16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5"/>
          </w:tcPr>
          <w:p>
            <w:pPr>
              <w:jc w:val="right"/>
              <w:ind w:right="85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Revolving loans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816.3</w:t>
            </w:r>
          </w:p>
        </w:tc>
      </w:tr>
      <w:tr>
        <w:trPr>
          <w:trHeight w:val="243"/>
        </w:trPr>
        <w:tc>
          <w:tcPr>
            <w:tcW w:w="20" w:type="dxa"/>
            <w:vAlign w:val="bottom"/>
          </w:tcPr>
          <w:p>
            <w:pPr>
              <w:spacing w:after="0"/>
              <w:rPr>
                <w:sz w:val="21"/>
                <w:szCs w:val="21"/>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288.8</w:t>
            </w:r>
          </w:p>
        </w:tc>
        <w:tc>
          <w:tcPr>
            <w:tcW w:w="5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Senior Notes – 6.625%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206.3</w:t>
            </w:r>
          </w:p>
        </w:tc>
      </w:tr>
      <w:tr>
        <w:trPr>
          <w:trHeight w:val="243"/>
        </w:trPr>
        <w:tc>
          <w:tcPr>
            <w:tcW w:w="20" w:type="dxa"/>
            <w:vAlign w:val="bottom"/>
          </w:tcPr>
          <w:p>
            <w:pPr>
              <w:spacing w:after="0"/>
              <w:rPr>
                <w:sz w:val="21"/>
                <w:szCs w:val="21"/>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Senior Notes – 6.000%</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5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Master Accounts Receivable Purchase Agreement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122.3</w:t>
            </w:r>
          </w:p>
        </w:tc>
      </w:tr>
      <w:tr>
        <w:trPr>
          <w:trHeight w:val="243"/>
        </w:trPr>
        <w:tc>
          <w:tcPr>
            <w:tcW w:w="20" w:type="dxa"/>
            <w:vAlign w:val="bottom"/>
          </w:tcPr>
          <w:p>
            <w:pPr>
              <w:spacing w:after="0"/>
              <w:rPr>
                <w:sz w:val="21"/>
                <w:szCs w:val="21"/>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w:t>
            </w:r>
          </w:p>
        </w:tc>
        <w:tc>
          <w:tcPr>
            <w:tcW w:w="5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19.0</w:t>
            </w: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5"/>
              </w:rPr>
              <w:t>Weighted Average Interest Rate</w:t>
            </w: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80" w:type="dxa"/>
            <w:vAlign w:val="bottom"/>
            <w:gridSpan w:val="7"/>
          </w:tcPr>
          <w:p>
            <w:pPr>
              <w:ind w:left="220"/>
              <w:spacing w:after="0"/>
              <w:rPr>
                <w:sz w:val="20"/>
                <w:szCs w:val="20"/>
                <w:color w:val="auto"/>
              </w:rPr>
            </w:pPr>
            <w:r>
              <w:rPr>
                <w:rFonts w:ascii="Arial" w:cs="Arial" w:eastAsia="Arial" w:hAnsi="Arial"/>
                <w:sz w:val="18"/>
                <w:szCs w:val="18"/>
                <w:color w:val="auto"/>
                <w:w w:val="99"/>
              </w:rPr>
              <w:t>The weighted average interest rate on the Company’s debt was 4.2% for fiscal 2016 and fiscal 2015.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NOTE 12. EQUITY</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Authorized and issued shares consisted of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2016</w:t>
            </w: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Preferred shares, no par value:</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Authorized</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296"/>
              <w:spacing w:after="0"/>
              <w:rPr>
                <w:sz w:val="20"/>
                <w:szCs w:val="20"/>
                <w:color w:val="auto"/>
              </w:rPr>
            </w:pPr>
            <w:r>
              <w:rPr>
                <w:rFonts w:ascii="Arial" w:cs="Arial" w:eastAsia="Arial" w:hAnsi="Arial"/>
                <w:sz w:val="18"/>
                <w:szCs w:val="18"/>
                <w:color w:val="auto"/>
                <w:w w:val="83"/>
              </w:rPr>
              <w:t>0.2 shares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Issued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83"/>
              </w:rPr>
              <w:t>0.0 shares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43"/>
        </w:trPr>
        <w:tc>
          <w:tcPr>
            <w:tcW w:w="20" w:type="dxa"/>
            <w:vAlign w:val="bottom"/>
          </w:tcPr>
          <w:p>
            <w:pPr>
              <w:spacing w:after="0"/>
              <w:rPr>
                <w:sz w:val="21"/>
                <w:szCs w:val="21"/>
                <w:color w:val="auto"/>
              </w:rPr>
            </w:pPr>
          </w:p>
        </w:tc>
        <w:tc>
          <w:tcPr>
            <w:tcW w:w="5600" w:type="dxa"/>
            <w:vAlign w:val="bottom"/>
            <w:gridSpan w:val="3"/>
          </w:tcPr>
          <w:p>
            <w:pPr>
              <w:ind w:left="20"/>
              <w:spacing w:after="0"/>
              <w:rPr>
                <w:sz w:val="20"/>
                <w:szCs w:val="20"/>
                <w:color w:val="auto"/>
              </w:rPr>
            </w:pPr>
            <w:r>
              <w:rPr>
                <w:rFonts w:ascii="Arial" w:cs="Arial" w:eastAsia="Arial" w:hAnsi="Arial"/>
                <w:sz w:val="18"/>
                <w:szCs w:val="18"/>
                <w:color w:val="auto"/>
              </w:rPr>
              <w:t>Common shares, no par value, $.01 stated value per share:</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Authorized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96"/>
              <w:spacing w:after="0"/>
              <w:rPr>
                <w:sz w:val="20"/>
                <w:szCs w:val="20"/>
                <w:color w:val="auto"/>
              </w:rPr>
            </w:pPr>
            <w:r>
              <w:rPr>
                <w:rFonts w:ascii="Arial" w:cs="Arial" w:eastAsia="Arial" w:hAnsi="Arial"/>
                <w:sz w:val="18"/>
                <w:szCs w:val="18"/>
                <w:color w:val="auto"/>
                <w:w w:val="92"/>
              </w:rPr>
              <w:t>100.0 shares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shares</w:t>
            </w: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0" w:type="dxa"/>
            <w:vAlign w:val="bottom"/>
            <w:gridSpan w:val="2"/>
          </w:tcPr>
          <w:p>
            <w:pPr>
              <w:ind w:left="160"/>
              <w:spacing w:after="0"/>
              <w:rPr>
                <w:sz w:val="20"/>
                <w:szCs w:val="20"/>
                <w:color w:val="auto"/>
              </w:rPr>
            </w:pPr>
            <w:r>
              <w:rPr>
                <w:rFonts w:ascii="Arial" w:cs="Arial" w:eastAsia="Arial" w:hAnsi="Arial"/>
                <w:sz w:val="18"/>
                <w:szCs w:val="18"/>
                <w:color w:val="auto"/>
              </w:rPr>
              <w:t>Issued</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96"/>
              <w:spacing w:after="0"/>
              <w:rPr>
                <w:sz w:val="20"/>
                <w:szCs w:val="20"/>
                <w:color w:val="auto"/>
              </w:rPr>
            </w:pPr>
            <w:r>
              <w:rPr>
                <w:rFonts w:ascii="Arial" w:cs="Arial" w:eastAsia="Arial" w:hAnsi="Arial"/>
                <w:sz w:val="18"/>
                <w:szCs w:val="18"/>
                <w:color w:val="auto"/>
                <w:w w:val="91"/>
              </w:rPr>
              <w:t>68.1 shares</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fiscal 1995, The Scotts Company merged with Stern’s Miracle-Gro Products, Inc. (“Miracle-Gro”). At September 30, 2016, the former shareholders of Miracle-Gro, including the Hagedorn Partnership L.P., owned approximately 26% of Scotts Miracle-Gro’s outstanding Common Shares and, thus, have the ability to significantly influence the election of directors and other actions requiring the approval of Scotts Miracle-Gro’s shareholders.</w:t>
      </w:r>
    </w:p>
    <w:p>
      <w:pPr>
        <w:spacing w:after="0" w:line="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2010, the Scotts Miracle-Gro Board of Directors authorized the repurchase of up to $500 million of Common Shares over a four-year period ending on September 30, 2014. In May 2011, the Scotts Miracle-Gro Board of Directors authorized the repurchase of up to an additional $200 million of Common Shares, resulting in authority to repurchase a total of up to $700 million of Common Shares through September 30, 2014. From the inception of this share repurchase program in the fourth quarter of fiscal 2010 through its expiration on September 30, 2014, Scotts Miracle-Gro repurchased 9.9 million Common Shares for $521.2 million to be held in treasury.</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September 30, 2019. The amended authorization allows for repurchases of Common Shares of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From the inception of this share repurchase program in the fourth quarter of fiscal 2014 through September 30, 2016, Scotts Miracle-Gro repurchased approximately 2.1 million Common Shares for $145.7 million.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Special Dividend</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2014, the Scotts Miracle-Gro Board of Directors declared a special one-time cash dividend of $2.00 per Common Share that was paid on September 17, 2014. The payment of the special one-time cash dividend required Scotts Miracle-Gro to adjust the number of Common Shares subject to stock options outstanding under the Scotts Miracle-Gro share-based awards programs, as well as the price at which the awards may be exercised. The adjustments to the outstanding awards resulted in an increase in the number of Common Shares subject to outstanding stock options in an aggregate amount of 0.1 million Common Shares. The methodology used to adjust the awards was consistent with Internal Revenue Code (IRC) Section 409A and the then-proposed regulations promulgated thereunder and IRC Section 424 and the regulations promulgated thereunder, compliance with which was necessary to avoid adverse tax consequences for the holder of an award. Such methodology also resulted in a fair value for the adjusted awards post-dividend equal to that of the unadjusted awards pre-dividend, with the result that there was no additional compensation expense in accordance with the accounting for modifications to awards under ASC 718.</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is dependent on service and achievement of specified performance targets. Share-based awards are forfeited if a holder terminates employment or service with the Company prior to the vesting date. The Company estimates that 20% of its share-based awards will be forfeited based on an analysis of historical trends. This assumption is re-evaluated on an annual basis and adjusted as appropriate. Stock options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1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maximum of 23.1 million Common Shares are available for issuance under share-based award plans. At September 30, 2016, approximately 1.9 million Common Shares were not subject to outstanding awards and were available to underlie the grant of new share-based awards. Common Shares held in treasury totaling 0.6 million and 0.9 million were reissued in support of share-based compensation awards and employee purchases under the employee stock purchase plan during fiscal 2016 and fiscal 2015,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Options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444,890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440,690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112,315</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78,352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161,229</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28,621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29,913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38,418</w:t>
            </w: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due to special $2.00 dividend</w:t>
            </w:r>
          </w:p>
        </w:tc>
        <w:tc>
          <w:tcPr>
            <w:tcW w:w="1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98,186</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604,293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627,418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311,962</w:t>
            </w:r>
          </w:p>
        </w:tc>
      </w:tr>
      <w:tr>
        <w:trPr>
          <w:trHeight w:val="67"/>
        </w:trPr>
        <w:tc>
          <w:tcPr>
            <w:tcW w:w="45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4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Aggregate fair value at grant dates (in millions)</w:t>
            </w:r>
          </w:p>
        </w:tc>
        <w:tc>
          <w:tcPr>
            <w:tcW w:w="2280" w:type="dxa"/>
            <w:vAlign w:val="bottom"/>
            <w:tcBorders>
              <w:bottom w:val="single" w:sz="8" w:color="CCEEFF"/>
            </w:tcBorders>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r>
      <w:tr>
        <w:trPr>
          <w:trHeight w:val="621"/>
        </w:trPr>
        <w:tc>
          <w:tcPr>
            <w:tcW w:w="4540" w:type="dxa"/>
            <w:vAlign w:val="bottom"/>
          </w:tcPr>
          <w:p>
            <w:pPr>
              <w:spacing w:after="0"/>
              <w:rPr>
                <w:sz w:val="24"/>
                <w:szCs w:val="24"/>
                <w:color w:val="auto"/>
              </w:rPr>
            </w:pPr>
          </w:p>
        </w:tc>
        <w:tc>
          <w:tcPr>
            <w:tcW w:w="2280" w:type="dxa"/>
            <w:vAlign w:val="bottom"/>
            <w:gridSpan w:val="2"/>
          </w:tcPr>
          <w:p>
            <w:pPr>
              <w:jc w:val="right"/>
              <w:ind w:right="1020"/>
              <w:spacing w:after="0"/>
              <w:rPr>
                <w:sz w:val="20"/>
                <w:szCs w:val="20"/>
                <w:color w:val="auto"/>
              </w:rPr>
            </w:pPr>
            <w:r>
              <w:rPr>
                <w:rFonts w:ascii="Arial" w:cs="Arial" w:eastAsia="Arial" w:hAnsi="Arial"/>
                <w:sz w:val="18"/>
                <w:szCs w:val="18"/>
                <w:color w:val="auto"/>
              </w:rPr>
              <w:t>93</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was as follows for the periods indicated: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92"/>
              </w:rPr>
              <w:t>Year Ended September 30,</w:t>
            </w: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2015</w:t>
            </w:r>
          </w:p>
        </w:tc>
        <w:tc>
          <w:tcPr>
            <w:tcW w:w="5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r>
      <w:tr>
        <w:trPr>
          <w:trHeight w:val="250"/>
        </w:trPr>
        <w:tc>
          <w:tcPr>
            <w:tcW w:w="57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jc w:val="center"/>
              <w:ind w:right="239"/>
              <w:spacing w:after="0"/>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13.2</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benefit recognized</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3.9</w:t>
            </w: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2016, total unrecognized compensation cost related to non-vested share-based awards amounted to $10.3 million. This cost is expected to be recognized over a weighted-average period of 1.7 years. The tax benefit realized from the tax deductions associated with the exercise of share-based awards and the vesting of restricted stock totaled $15.1 million for fiscal 2016.</w:t>
      </w:r>
    </w:p>
    <w:p>
      <w:pPr>
        <w:spacing w:after="0" w:line="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fiscal 2015, Scotts Miracle-Gro issued 0.2 million Common Shares, which represented a carrying value of $8.3 million, out of its treasury shares for payment of the acquisition of Vermicrop. During fiscal 2016, Scotts Miracle-Gro issued 0.1 million Common Shares, which represented a carrying value of $4.2 million, out of its treasury shares for payment of contingent consideration related to the acquisition of Vermicrop.</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and SAR activity consisted of the following for fiscal 2016 (options/SARs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jc w:val="center"/>
              <w:ind w:right="35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5"/>
              </w:rPr>
              <w:t>No.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1"/>
              </w:rPr>
              <w:t>Options/SARs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43"/>
        </w:trPr>
        <w:tc>
          <w:tcPr>
            <w:tcW w:w="876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5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2016, the Company expects 0.8 million of the remaining unexercisable stock options (after forfeitures), with a weighted-average exercise price of $66.09, intrinsic value of $12.9 million and average remaining term of 8.8 years, to vest in the future. The following summarizes certain information pertaining to stock option awards outstanding and exercisable at September 30, 2016 (options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Avg.</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9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SARS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$20.59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$30.07 – $36.86</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$63.43 – $68.68</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2016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Borders>
              <w:bottom w:val="single" w:sz="8" w:color="CCEEFF"/>
            </w:tcBorders>
          </w:tcPr>
          <w:p>
            <w:pPr>
              <w:spacing w:after="0"/>
              <w:rPr>
                <w:sz w:val="16"/>
                <w:szCs w:val="16"/>
                <w:color w:val="auto"/>
              </w:rPr>
            </w:pPr>
          </w:p>
        </w:tc>
        <w:tc>
          <w:tcPr>
            <w:tcW w:w="58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2016</w:t>
            </w: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57.7</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Exercisable</w:t>
            </w:r>
          </w:p>
        </w:tc>
        <w:tc>
          <w:tcPr>
            <w:tcW w:w="5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43.3</w:t>
            </w:r>
          </w:p>
        </w:tc>
      </w:tr>
      <w:tr>
        <w:trPr>
          <w:trHeight w:val="702"/>
        </w:trPr>
        <w:tc>
          <w:tcPr>
            <w:tcW w:w="3260" w:type="dxa"/>
            <w:vAlign w:val="bottom"/>
          </w:tcPr>
          <w:p>
            <w:pPr>
              <w:spacing w:after="0"/>
              <w:rPr>
                <w:sz w:val="24"/>
                <w:szCs w:val="24"/>
                <w:color w:val="auto"/>
              </w:rPr>
            </w:pPr>
          </w:p>
        </w:tc>
        <w:tc>
          <w:tcPr>
            <w:tcW w:w="5880" w:type="dxa"/>
            <w:vAlign w:val="bottom"/>
          </w:tcPr>
          <w:p>
            <w:pPr>
              <w:jc w:val="right"/>
              <w:ind w:right="3250"/>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in fiscal 2016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073"/>
              <w:spacing w:after="0"/>
              <w:rPr>
                <w:sz w:val="20"/>
                <w:szCs w:val="20"/>
                <w:color w:val="auto"/>
              </w:rPr>
            </w:pPr>
            <w:r>
              <w:rPr>
                <w:rFonts w:ascii="Arial" w:cs="Arial" w:eastAsia="Arial" w:hAnsi="Arial"/>
                <w:sz w:val="14"/>
                <w:szCs w:val="14"/>
                <w:b w:val="1"/>
                <w:bCs w:val="1"/>
                <w:color w:val="auto"/>
              </w:rPr>
              <w:t>2016</w:t>
            </w: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6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6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640" w:type="dxa"/>
            <w:vAlign w:val="bottom"/>
          </w:tcPr>
          <w:p>
            <w:pPr>
              <w:spacing w:after="0"/>
              <w:rPr>
                <w:sz w:val="21"/>
                <w:szCs w:val="21"/>
                <w:color w:val="auto"/>
              </w:rPr>
            </w:pPr>
          </w:p>
        </w:tc>
        <w:tc>
          <w:tcPr>
            <w:tcW w:w="1960" w:type="dxa"/>
            <w:vAlign w:val="bottom"/>
          </w:tcPr>
          <w:p>
            <w:pPr>
              <w:jc w:val="right"/>
              <w:ind w:right="93"/>
              <w:spacing w:after="0"/>
              <w:rPr>
                <w:sz w:val="20"/>
                <w:szCs w:val="20"/>
                <w:color w:val="auto"/>
              </w:rPr>
            </w:pPr>
            <w:r>
              <w:rPr>
                <w:rFonts w:ascii="Arial" w:cs="Arial" w:eastAsia="Arial" w:hAnsi="Arial"/>
                <w:sz w:val="18"/>
                <w:szCs w:val="18"/>
                <w:color w:val="auto"/>
              </w:rPr>
              <w:t>6.0</w:t>
            </w:r>
          </w:p>
        </w:tc>
      </w:tr>
      <w:tr>
        <w:trPr>
          <w:trHeight w:val="27"/>
        </w:trPr>
        <w:tc>
          <w:tcPr>
            <w:tcW w:w="8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12.33</w:t>
            </w:r>
          </w:p>
        </w:tc>
      </w:tr>
      <w:tr>
        <w:trPr>
          <w:trHeight w:val="27"/>
        </w:trPr>
        <w:tc>
          <w:tcPr>
            <w:tcW w:w="8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stock options exercised was $13.6 million, $16.3 million and $21.3 million during fiscal 2016, fiscal 2015 and fiscal 2014, respectively. Cash received from the exercise of stock options for fiscal 2016, fiscal 2015 and fiscal 2014 was $14.7 million, $24.3 million and $20.0 million, respectively.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jc w:val="center"/>
              <w:ind w:right="29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restart"/>
          </w:tcPr>
          <w:p>
            <w:pPr>
              <w:jc w:val="center"/>
              <w:ind w:left="708"/>
              <w:spacing w:after="0"/>
              <w:rPr>
                <w:sz w:val="20"/>
                <w:szCs w:val="20"/>
                <w:color w:val="auto"/>
              </w:rPr>
            </w:pPr>
            <w:r>
              <w:rPr>
                <w:rFonts w:ascii="Arial" w:cs="Arial" w:eastAsia="Arial" w:hAnsi="Arial"/>
                <w:sz w:val="14"/>
                <w:szCs w:val="14"/>
                <w:b w:val="1"/>
                <w:bCs w:val="1"/>
                <w:color w:val="auto"/>
                <w:w w:val="9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2013</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409,651</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150,733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(44,895)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108,376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(135,562)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(25,197)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2015</w:t>
            </w: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103,088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(161,440)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(17,494)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2016</w:t>
            </w:r>
          </w:p>
        </w:tc>
        <w:tc>
          <w:tcPr>
            <w:tcW w:w="12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305,663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total fair value of restricted stock units and deferred stock units vested was $7.6 million, $6.2 million and $3.4 million during fiscal 2016, fiscal 2015 and fiscal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center"/>
              <w:ind w:right="274"/>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5"/>
              </w:rPr>
              <w:t>No.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jc w:val="center"/>
              <w:ind w:right="27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w w:val="91"/>
              </w:rPr>
              <w:t>Units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8"/>
              </w:rPr>
              <w:t>per Unit</w:t>
            </w: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2013</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261,917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161,229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(111,897)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2014</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311,249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78,352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2015</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339,224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(128,941)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43"/>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2016</w:t>
            </w:r>
          </w:p>
        </w:tc>
        <w:tc>
          <w:tcPr>
            <w:tcW w:w="1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266,598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COMMON SHARE</w:t>
      </w:r>
    </w:p>
    <w:p>
      <w:pPr>
        <w:spacing w:after="0" w:line="9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Basic income per Common Share is computed by dividing income attributable to controlling interest from continuing operations, income (loss) from discontinued operations or net income attributable to controlling interest by the weighted average number of Common Shares outstanding. Diluted income per Common Share is computed by dividing income attributable to controlling interest from continuing operations, income (loss) from discontinued operations or net income attributable to controlling interest by the weighted average number of Common Shares outstanding plus all potentially dilutive securities outstanding each period. Stock options with exercise prices greater than the average market price of the underlying Common Shares are excluded from the computation of diluted income per Common Share because they are out-of-the-money and the effect of their inclusion would be anti-dilutive. The number of Common Shares covered by out-of-the-money options was 0.2 million and 0.3 million for the years ended September 30, 2016 and 2015, respectively. There were no Common Shares covered by out-of-the-money options for the year ended September 30, 2014. The following table presents information necessary to calculate basic and diluted income per Common Share.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91"/>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0" w:type="dxa"/>
            <w:vAlign w:val="bottom"/>
            <w:gridSpan w:val="6"/>
          </w:tcPr>
          <w:p>
            <w:pPr>
              <w:jc w:val="center"/>
              <w:ind w:left="131"/>
              <w:spacing w:after="0"/>
              <w:rPr>
                <w:sz w:val="20"/>
                <w:szCs w:val="20"/>
                <w:color w:val="auto"/>
              </w:rPr>
            </w:pPr>
            <w:r>
              <w:rPr>
                <w:rFonts w:ascii="Arial" w:cs="Arial" w:eastAsia="Arial" w:hAnsi="Arial"/>
                <w:sz w:val="14"/>
                <w:szCs w:val="14"/>
                <w:b w:val="1"/>
                <w:bCs w:val="1"/>
                <w:color w:val="auto"/>
                <w:w w:val="92"/>
              </w:rPr>
              <w:t>(In millions, except per share data)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controlling interest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controlling interest</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COMMON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8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80" w:type="dxa"/>
            <w:vAlign w:val="bottom"/>
            <w:vMerge w:val="continue"/>
          </w:tcPr>
          <w:p>
            <w:pPr>
              <w:spacing w:after="0"/>
              <w:rPr>
                <w:sz w:val="20"/>
                <w:szCs w:val="20"/>
                <w:color w:val="auto"/>
              </w:rPr>
            </w:pP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7"/>
        </w:trPr>
        <w:tc>
          <w:tcPr>
            <w:tcW w:w="63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67"/>
        </w:trPr>
        <w:tc>
          <w:tcPr>
            <w:tcW w:w="638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380"/>
              <w:spacing w:after="0"/>
              <w:rPr>
                <w:sz w:val="20"/>
                <w:szCs w:val="20"/>
                <w:color w:val="auto"/>
              </w:rPr>
            </w:pPr>
            <w:r>
              <w:rPr>
                <w:rFonts w:ascii="Arial" w:cs="Arial" w:eastAsia="Arial" w:hAnsi="Arial"/>
                <w:sz w:val="18"/>
                <w:szCs w:val="18"/>
                <w:color w:val="auto"/>
              </w:rPr>
              <w:t>during the period</w:t>
            </w:r>
          </w:p>
        </w:tc>
        <w:tc>
          <w:tcPr>
            <w:tcW w:w="102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potential Common Shares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6380" w:type="dxa"/>
            <w:vAlign w:val="bottom"/>
          </w:tcPr>
          <w:p>
            <w:pPr>
              <w:ind w:left="380"/>
              <w:spacing w:after="0"/>
              <w:rPr>
                <w:sz w:val="20"/>
                <w:szCs w:val="20"/>
                <w:color w:val="auto"/>
              </w:rPr>
            </w:pPr>
            <w:r>
              <w:rPr>
                <w:rFonts w:ascii="Arial" w:cs="Arial" w:eastAsia="Arial" w:hAnsi="Arial"/>
                <w:sz w:val="18"/>
                <w:szCs w:val="18"/>
                <w:color w:val="auto"/>
              </w:rPr>
              <w:t>Weighted-average number of Common Shares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7"/>
        </w:trPr>
        <w:tc>
          <w:tcPr>
            <w:tcW w:w="63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outstanding and dilutive potential Common Shares</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02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w:t>
            </w: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6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720" w:type="dxa"/>
            <w:vAlign w:val="bottom"/>
            <w:gridSpan w:val="7"/>
          </w:tcPr>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2"/>
        </w:trPr>
        <w:tc>
          <w:tcPr>
            <w:tcW w:w="60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Year Ended September 30,</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25.6</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23495</wp:posOffset>
            </wp:positionV>
            <wp:extent cx="35077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2016</w:t>
            </w:r>
          </w:p>
        </w:tc>
        <w:tc>
          <w:tcPr>
            <w:tcW w:w="1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right"/>
              <w:ind w:right="652"/>
              <w:spacing w:after="0"/>
              <w:rPr>
                <w:sz w:val="20"/>
                <w:szCs w:val="20"/>
                <w:color w:val="auto"/>
              </w:rPr>
            </w:pPr>
            <w:r>
              <w:rPr>
                <w:rFonts w:ascii="Arial" w:cs="Arial" w:eastAsia="Arial" w:hAnsi="Arial"/>
                <w:sz w:val="14"/>
                <w:szCs w:val="14"/>
                <w:b w:val="1"/>
                <w:bCs w:val="1"/>
                <w:color w:val="auto"/>
              </w:rPr>
              <w:t>2014</w:t>
            </w:r>
          </w:p>
        </w:tc>
      </w:tr>
      <w:tr>
        <w:trPr>
          <w:trHeight w:val="250"/>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Effect of foreign operations</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760" w:type="dxa"/>
            <w:vAlign w:val="bottom"/>
          </w:tcPr>
          <w:p>
            <w:pPr>
              <w:jc w:val="right"/>
              <w:ind w:right="132"/>
              <w:spacing w:after="0"/>
              <w:rPr>
                <w:sz w:val="20"/>
                <w:szCs w:val="20"/>
                <w:color w:val="auto"/>
              </w:rPr>
            </w:pPr>
            <w:r>
              <w:rPr>
                <w:rFonts w:ascii="Arial" w:cs="Arial" w:eastAsia="Arial" w:hAnsi="Arial"/>
                <w:sz w:val="18"/>
                <w:szCs w:val="18"/>
                <w:color w:val="auto"/>
              </w:rPr>
              <w:t>1.7</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Domestic Production Activities Deduction permanent difference</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other permanent differences</w:t>
            </w:r>
          </w:p>
        </w:tc>
        <w:tc>
          <w:tcPr>
            <w:tcW w:w="6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Research and Experimentation and other federal tax credits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5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Resolution of prior tax contingencies</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5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60" w:type="dxa"/>
            <w:vAlign w:val="bottom"/>
          </w:tcPr>
          <w:p>
            <w:pPr>
              <w:spacing w:after="0"/>
              <w:rPr>
                <w:sz w:val="22"/>
                <w:szCs w:val="22"/>
                <w:color w:val="auto"/>
              </w:rPr>
            </w:pPr>
          </w:p>
        </w:tc>
        <w:tc>
          <w:tcPr>
            <w:tcW w:w="3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20" w:type="dxa"/>
            <w:vAlign w:val="bottom"/>
          </w:tcPr>
          <w:p>
            <w:pPr>
              <w:jc w:val="right"/>
              <w:ind w:right="7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8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Postretirement benefits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State NOL carryovers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NOL carryovers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Foreign tax credit carryovers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w:t>
            </w:r>
          </w:p>
        </w:tc>
        <w:tc>
          <w:tcPr>
            <w:tcW w:w="2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5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Outside basis difference in equity investments</w:t>
            </w:r>
          </w:p>
        </w:tc>
        <w:tc>
          <w:tcPr>
            <w:tcW w:w="2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liabilities</w:t>
            </w:r>
          </w:p>
        </w:tc>
        <w:tc>
          <w:tcPr>
            <w:tcW w:w="25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Net deferred tax liability</w:t>
            </w:r>
          </w:p>
        </w:tc>
        <w:tc>
          <w:tcPr>
            <w:tcW w:w="254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540" w:type="dxa"/>
            <w:vAlign w:val="bottom"/>
            <w:vMerge w:val="restart"/>
          </w:tcPr>
          <w:p>
            <w:pPr>
              <w:jc w:val="right"/>
              <w:ind w:right="1316"/>
              <w:spacing w:after="0"/>
              <w:rPr>
                <w:sz w:val="20"/>
                <w:szCs w:val="20"/>
                <w:color w:val="auto"/>
              </w:rPr>
            </w:pPr>
            <w:r>
              <w:rPr>
                <w:rFonts w:ascii="Arial" w:cs="Arial" w:eastAsia="Arial" w:hAnsi="Arial"/>
                <w:sz w:val="18"/>
                <w:szCs w:val="18"/>
                <w:color w:val="auto"/>
              </w:rPr>
              <w:t>98</w:t>
            </w: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r>
      <w:tr>
        <w:trPr>
          <w:trHeight w:val="250"/>
        </w:trPr>
        <w:tc>
          <w:tcPr>
            <w:tcW w:w="7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tax assets (classified with prepaid and other current assets)</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$45.1 million and $45.8 million of deferred tax assets as of September 30, 2016 and 2015, respectively. Most of these valuation allowances relate to certain foreign net operating losses, as explained further below.</w:t>
      </w:r>
    </w:p>
    <w:p>
      <w:pPr>
        <w:spacing w:after="0" w:line="13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$171.5 million at September 30, 2016, the majority of which have indefinite carryforward periods. The statutory tax benefit of these net operating loss carryovers, and related full valuation allowances thereon, amounted to $40.7 million and $41.2 million for the years ended September 30, 2016 and 2015, respectively.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Foreign net operating losses of certain controlled foreign corporations were $17.8 million as of September 30, 2016, the majority of which have indefinite carryforward periods. Due to a history of losses in many of these entities, a full valuation allowance has also been placed against the statutory tax benefit associated with all but $3.7 million of these losses at September 30, 2016.</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Foreign tax credits were $7.4 million and $8.6 million at September 30, 2016 and 2015, respectively. A valuation allowance in the amount of $0.4 million has been established against those foreign tax credits the Company does not expect to utilize prior to their expiration.</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State net operating losses were $6.1 million as of September 30, 2016, with carryforward periods ranging from 5 to 20 years. Any losses not utilized within a specific state’s carryforward period will expire. Tax benefits associated with state tax credits will expire if not utilized and amounted to $0.7 million and $0.6 million at September 30, 2016 and 2015. A valuation allowance was recorded against $0.4 million of deferred tax assets as of September 30, 2016 for state net operating losses that the company does not expect to realize within their respective carryover periods. A valuation allowance in the amount of $0.2 million has been established related to state credits the Company does not expect to utilize.</w:t>
      </w:r>
    </w:p>
    <w:p>
      <w:pPr>
        <w:spacing w:after="0" w:line="11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recognized a deferred tax liability of $83.3 million as of September 30, 2016 related to the outside basis difference in the TruGreen Joint Venture. See “NOTE 2. DISCONTINUED OPERATIONS” and “NOTE 8. INVESTMENT IN UNCONSOLIDATED AFFILIATE” for further discussion.</w:t>
      </w:r>
    </w:p>
    <w:p>
      <w:pPr>
        <w:spacing w:after="0" w:line="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Deferred taxes have not been provided on unremitted earnings of $139.0 million for certain foreign subsidiaries and foreign corporate joint ventures as such earnings have been indefinitely reinvested. These foreign entities held cash and cash equivalents of $39.9 million and $55.1 million at September 30, 2016 and 2015, respectively. Our current plans do not demonstrate a need to, nor do we project we will, repatriate the retained earnings from these subsidiaries as the earnings are indefinitely reinvested.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and could have a material impact on tax expense in the year of repatriation; however, the Company cannot reasonably estimate the amount of such a tax event.</w:t>
      </w:r>
    </w:p>
    <w:p>
      <w:pPr>
        <w:spacing w:after="0" w:line="11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$5.1 million, $9.2 million and $11.2 million of gross unrecognized tax benefits related to uncertain tax positions at September 30, 2016, 2015 and 2014, respectively. Included in the September 30, 2016, 2015 and 2014 balances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$3.5 million, $6.6 million and $8.5 million, respectively, of unrecognized tax benefits that, if recognized, would have an impact on the effective tax rate.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12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r>
      <w:tr>
        <w:trPr>
          <w:trHeight w:val="250"/>
        </w:trPr>
        <w:tc>
          <w:tcPr>
            <w:tcW w:w="5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12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with tax authorities</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Expiration of statutes of limitation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240" w:type="dxa"/>
            <w:vAlign w:val="bottom"/>
            <w:tcBorders>
              <w:bottom w:val="single" w:sz="8" w:color="CCEEFF"/>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continues to recognize accrued interest and penalties related to unrecognized tax benefits as a component of the provision for income taxes. As of September 30, 2016, 2015 and 2014, respectively, the Company had $1.1 million, $1.8 million and $1.8 million accrued for the payment of interest that, if recognized, would impact the effective tax rate. As of September 30, 2016, 2015 and 2014, respectively, the Company had $0.5 million, $0.7 million and $0.6 million accrued for the payment of penalties that, if recognized, would impact the effective tax rate. For the fiscal year ended September 30, 2016, the Company recognized a benefit of $0.9 million for tax interest and tax penalties in its Consolidated Statement of Operations.</w:t>
      </w:r>
    </w:p>
    <w:p>
      <w:pPr>
        <w:spacing w:after="0" w:line="10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2013. The Company is currently under examination by the Internal Revenue Service and certain foreign and U.S. state and local tax authorities. The U.S. federal examination is limited to fiscal years 2011 and 2012. With respect to the foreign jurisdictions, a German audit is currently ongoing covering fiscal years 2009 through 2012. In regard to the multiple U.S. state and local audits, the tax periods under examination are limited to fiscal 2008 through fiscal 2014. In addition to the aforementioned audits, certain other tax deficiency notices and refund claims for previous years remain unresolved.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 if the tax positions are challenged and not sustained, and as such, the Company’s tax provision includes the impact of recording reserves and changes thereto.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September 30, 2016, the notional amount of outstanding currency forward contracts was $165.8 million, with a fair value of $0.4 million. At September 30, 2015, the notional amount of outstanding currency forward contracts was $52.3 million, with a negative fair value of $0.7 million. The fair value of currency forward contracts is determined using forward rates in commonly quoted intervals for the full term of the contracts. The outstanding contracts will mature over the next fiscal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1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$650.0 million and $1,300.0 million at September 30, 2016 and 2015, respectively. Refer to “NOTE 11. DEBT” for the terms of the swap agreements outstanding at September 30, 2016. Included in the AOCI balance at September 30, 2016 was a loss of $2.0 million related to interest rate swap agreements that is expected to be reclassified to earnings during the next twelve months, consistent with the timing of the underlying hedged transactions.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Consolidated Balance Sheets. Realized gains or losses remain as a component of AOCI until the related inventory is sold. Upon sale of the underlying inventory, the gain or loss is reclassified to cost of sales. Included in the AOCI balance at September 30, 2016 was a loss of $0.2 million related to urea derivatives that is expected to be reclassified to earnings during the next twelve months, consistent with the timing of the underlying hedged transactions.</w:t>
      </w:r>
    </w:p>
    <w:p>
      <w:pPr>
        <w:spacing w:after="0" w:line="12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September 30, 2016, there were no amounts included within AOCI.</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7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Borders>
              <w:bottom w:val="single" w:sz="8" w:color="auto"/>
            </w:tcBorders>
          </w:tcPr>
          <w:p>
            <w:pPr>
              <w:spacing w:after="0"/>
              <w:rPr>
                <w:sz w:val="16"/>
                <w:szCs w:val="16"/>
                <w:color w:val="auto"/>
              </w:rPr>
            </w:pPr>
          </w:p>
        </w:tc>
      </w:tr>
      <w:tr>
        <w:trPr>
          <w:trHeight w:val="264"/>
        </w:trPr>
        <w:tc>
          <w:tcPr>
            <w:tcW w:w="3260" w:type="dxa"/>
            <w:vAlign w:val="bottom"/>
          </w:tcPr>
          <w:p>
            <w:pPr>
              <w:spacing w:after="0"/>
              <w:rPr>
                <w:sz w:val="22"/>
                <w:szCs w:val="22"/>
                <w:color w:val="auto"/>
              </w:rPr>
            </w:pPr>
          </w:p>
        </w:tc>
        <w:tc>
          <w:tcPr>
            <w:tcW w:w="6000" w:type="dxa"/>
            <w:vAlign w:val="bottom"/>
            <w:gridSpan w:val="2"/>
          </w:tcPr>
          <w:p>
            <w:pPr>
              <w:jc w:val="right"/>
              <w:ind w:right="7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jc w:val="right"/>
              <w:ind w:right="794"/>
              <w:spacing w:after="0"/>
              <w:rPr>
                <w:sz w:val="20"/>
                <w:szCs w:val="20"/>
                <w:color w:val="auto"/>
              </w:rPr>
            </w:pPr>
            <w:r>
              <w:rPr>
                <w:rFonts w:ascii="Arial" w:cs="Arial" w:eastAsia="Arial" w:hAnsi="Arial"/>
                <w:sz w:val="14"/>
                <w:szCs w:val="14"/>
                <w:b w:val="1"/>
                <w:bCs w:val="1"/>
                <w:color w:val="auto"/>
              </w:rPr>
              <w:t>2015</w:t>
            </w:r>
          </w:p>
        </w:tc>
      </w:tr>
      <w:tr>
        <w:trPr>
          <w:trHeight w:val="250"/>
        </w:trPr>
        <w:tc>
          <w:tcPr>
            <w:tcW w:w="3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Commodity</w:t>
            </w:r>
          </w:p>
        </w:tc>
        <w:tc>
          <w:tcPr>
            <w:tcW w:w="394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Urea</w:t>
            </w:r>
          </w:p>
        </w:tc>
        <w:tc>
          <w:tcPr>
            <w:tcW w:w="3940" w:type="dxa"/>
            <w:vAlign w:val="bottom"/>
          </w:tcPr>
          <w:p>
            <w:pPr>
              <w:spacing w:after="0"/>
              <w:rPr>
                <w:sz w:val="21"/>
                <w:szCs w:val="21"/>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40,500 tons</w:t>
            </w:r>
          </w:p>
        </w:tc>
        <w:tc>
          <w:tcPr>
            <w:tcW w:w="1480" w:type="dxa"/>
            <w:vAlign w:val="bottom"/>
          </w:tcPr>
          <w:p>
            <w:pPr>
              <w:jc w:val="right"/>
              <w:spacing w:after="0"/>
              <w:rPr>
                <w:sz w:val="20"/>
                <w:szCs w:val="20"/>
                <w:color w:val="auto"/>
              </w:rPr>
            </w:pPr>
            <w:r>
              <w:rPr>
                <w:rFonts w:ascii="Arial" w:cs="Arial" w:eastAsia="Arial" w:hAnsi="Arial"/>
                <w:sz w:val="18"/>
                <w:szCs w:val="18"/>
                <w:color w:val="auto"/>
              </w:rPr>
              <w:t>52,500 tons</w:t>
            </w:r>
          </w:p>
        </w:tc>
      </w:tr>
      <w:tr>
        <w:trPr>
          <w:trHeight w:val="27"/>
        </w:trPr>
        <w:tc>
          <w:tcPr>
            <w:tcW w:w="32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394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6,384,000 gallons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5,250,000 gallons</w:t>
            </w: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Heating Oil</w:t>
            </w:r>
          </w:p>
        </w:tc>
        <w:tc>
          <w:tcPr>
            <w:tcW w:w="3940" w:type="dxa"/>
            <w:vAlign w:val="bottom"/>
          </w:tcPr>
          <w:p>
            <w:pPr>
              <w:spacing w:after="0"/>
              <w:rPr>
                <w:sz w:val="21"/>
                <w:szCs w:val="21"/>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1,722,000 gallons</w:t>
            </w:r>
          </w:p>
        </w:tc>
        <w:tc>
          <w:tcPr>
            <w:tcW w:w="1480" w:type="dxa"/>
            <w:vAlign w:val="bottom"/>
          </w:tcPr>
          <w:p>
            <w:pPr>
              <w:jc w:val="right"/>
              <w:spacing w:after="0"/>
              <w:rPr>
                <w:sz w:val="20"/>
                <w:szCs w:val="20"/>
                <w:color w:val="auto"/>
              </w:rPr>
            </w:pPr>
            <w:r>
              <w:rPr>
                <w:rFonts w:ascii="Arial" w:cs="Arial" w:eastAsia="Arial" w:hAnsi="Arial"/>
                <w:sz w:val="18"/>
                <w:szCs w:val="18"/>
                <w:color w:val="auto"/>
              </w:rPr>
              <w:t>2,772,000 gallons</w:t>
            </w:r>
          </w:p>
        </w:tc>
      </w:tr>
      <w:tr>
        <w:trPr>
          <w:trHeight w:val="486"/>
        </w:trPr>
        <w:tc>
          <w:tcPr>
            <w:tcW w:w="3260" w:type="dxa"/>
            <w:vAlign w:val="bottom"/>
          </w:tcPr>
          <w:p>
            <w:pPr>
              <w:spacing w:after="0"/>
              <w:rPr>
                <w:sz w:val="24"/>
                <w:szCs w:val="24"/>
                <w:color w:val="auto"/>
              </w:rPr>
            </w:pPr>
          </w:p>
        </w:tc>
        <w:tc>
          <w:tcPr>
            <w:tcW w:w="3940" w:type="dxa"/>
            <w:vAlign w:val="bottom"/>
          </w:tcPr>
          <w:p>
            <w:pPr>
              <w:jc w:val="right"/>
              <w:ind w:right="1279"/>
              <w:spacing w:after="0"/>
              <w:rPr>
                <w:sz w:val="20"/>
                <w:szCs w:val="20"/>
                <w:color w:val="auto"/>
              </w:rPr>
            </w:pPr>
            <w:r>
              <w:rPr>
                <w:rFonts w:ascii="Arial" w:cs="Arial" w:eastAsia="Arial" w:hAnsi="Arial"/>
                <w:sz w:val="18"/>
                <w:szCs w:val="18"/>
                <w:color w:val="auto"/>
              </w:rPr>
              <w:t>101</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Assets / (Liabilities)</w:t>
            </w:r>
          </w:p>
        </w:tc>
        <w:tc>
          <w:tcPr>
            <w:tcW w:w="900" w:type="dxa"/>
            <w:vAlign w:val="bottom"/>
            <w:tcBorders>
              <w:bottom w:val="single" w:sz="8" w:color="auto"/>
            </w:tcBorders>
          </w:tcPr>
          <w:p>
            <w:pPr>
              <w:spacing w:after="0"/>
              <w:rPr>
                <w:sz w:val="16"/>
                <w:szCs w:val="16"/>
                <w:color w:val="auto"/>
              </w:rPr>
            </w:pPr>
          </w:p>
        </w:tc>
      </w:tr>
      <w:tr>
        <w:trPr>
          <w:trHeight w:val="264"/>
        </w:trPr>
        <w:tc>
          <w:tcPr>
            <w:tcW w:w="46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70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9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900" w:type="dxa"/>
            <w:vAlign w:val="bottom"/>
            <w:tcBorders>
              <w:bottom w:val="single" w:sz="8" w:color="auto"/>
            </w:tcBorders>
          </w:tcPr>
          <w:p>
            <w:pPr>
              <w:spacing w:after="0"/>
              <w:rPr>
                <w:sz w:val="21"/>
                <w:szCs w:val="21"/>
                <w:color w:val="auto"/>
              </w:rPr>
            </w:pPr>
          </w:p>
        </w:tc>
      </w:tr>
      <w:tr>
        <w:trPr>
          <w:trHeight w:val="264"/>
        </w:trPr>
        <w:tc>
          <w:tcPr>
            <w:tcW w:w="466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2"/>
                <w:szCs w:val="22"/>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4660" w:type="dxa"/>
            <w:vAlign w:val="bottom"/>
          </w:tcPr>
          <w:p>
            <w:pPr>
              <w:spacing w:after="0"/>
              <w:rPr>
                <w:sz w:val="21"/>
                <w:szCs w:val="21"/>
                <w:color w:val="auto"/>
              </w:rPr>
            </w:pPr>
          </w:p>
        </w:tc>
        <w:tc>
          <w:tcPr>
            <w:tcW w:w="3700" w:type="dxa"/>
            <w:vAlign w:val="bottom"/>
            <w:gridSpan w:val="2"/>
          </w:tcPr>
          <w:p>
            <w:pPr>
              <w:ind w:left="30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67"/>
        </w:trPr>
        <w:tc>
          <w:tcPr>
            <w:tcW w:w="4660" w:type="dxa"/>
            <w:vAlign w:val="bottom"/>
            <w:tcBorders>
              <w:bottom w:val="single" w:sz="8" w:color="CCEEFF"/>
            </w:tcBorders>
          </w:tcPr>
          <w:p>
            <w:pPr>
              <w:spacing w:after="0"/>
              <w:rPr>
                <w:sz w:val="5"/>
                <w:szCs w:val="5"/>
                <w:color w:val="auto"/>
              </w:rPr>
            </w:pPr>
          </w:p>
        </w:tc>
        <w:tc>
          <w:tcPr>
            <w:tcW w:w="3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305"/>
        </w:trPr>
        <w:tc>
          <w:tcPr>
            <w:tcW w:w="466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5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tcPr>
          <w:p>
            <w:pPr>
              <w:spacing w:after="0"/>
              <w:rPr>
                <w:sz w:val="21"/>
                <w:szCs w:val="21"/>
                <w:color w:val="auto"/>
              </w:rPr>
            </w:pPr>
          </w:p>
        </w:tc>
        <w:tc>
          <w:tcPr>
            <w:tcW w:w="3700" w:type="dxa"/>
            <w:vAlign w:val="bottom"/>
            <w:gridSpan w:val="2"/>
          </w:tcPr>
          <w:p>
            <w:pPr>
              <w:ind w:left="300"/>
              <w:spacing w:after="0"/>
              <w:rPr>
                <w:sz w:val="20"/>
                <w:szCs w:val="20"/>
                <w:color w:val="auto"/>
              </w:rPr>
            </w:pPr>
            <w:r>
              <w:rPr>
                <w:rFonts w:ascii="Arial" w:cs="Arial" w:eastAsia="Arial" w:hAnsi="Arial"/>
                <w:sz w:val="18"/>
                <w:szCs w:val="18"/>
                <w:color w:val="auto"/>
              </w:rPr>
              <w:t>Other current liabilities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4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7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Other current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w w:val="95"/>
              </w:rPr>
              <w:t>Total derivatives not designated as hedging instruments</w:t>
            </w: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6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3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 of derivative instruments on AOCI and the Consolidated Statements of Operations for the years ended September 30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center"/>
              <w:ind w:right="254"/>
              <w:spacing w:after="0"/>
              <w:rPr>
                <w:sz w:val="20"/>
                <w:szCs w:val="20"/>
                <w:color w:val="auto"/>
              </w:rPr>
            </w:pPr>
            <w:r>
              <w:rPr>
                <w:rFonts w:ascii="Arial" w:cs="Arial" w:eastAsia="Arial" w:hAnsi="Arial"/>
                <w:sz w:val="14"/>
                <w:szCs w:val="14"/>
                <w:b w:val="1"/>
                <w:bCs w:val="1"/>
                <w:color w:val="auto"/>
                <w:w w:val="93"/>
              </w:rPr>
              <w:t>Amount of Gain / (Loss)</w:t>
            </w:r>
          </w:p>
        </w:tc>
      </w:tr>
      <w:tr>
        <w:trPr>
          <w:trHeight w:val="192"/>
        </w:trPr>
        <w:tc>
          <w:tcPr>
            <w:tcW w:w="41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4"/>
                <w:szCs w:val="14"/>
                <w:b w:val="1"/>
                <w:bCs w:val="1"/>
                <w:color w:val="auto"/>
                <w:w w:val="95"/>
              </w:rPr>
              <w:t>Recognized in AOCI</w:t>
            </w:r>
          </w:p>
        </w:tc>
        <w:tc>
          <w:tcPr>
            <w:tcW w:w="8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100" w:type="dxa"/>
            <w:vAlign w:val="bottom"/>
          </w:tcPr>
          <w:p>
            <w:pPr>
              <w:spacing w:after="0"/>
              <w:rPr>
                <w:sz w:val="24"/>
                <w:szCs w:val="24"/>
                <w:color w:val="auto"/>
              </w:rPr>
            </w:pPr>
          </w:p>
        </w:tc>
        <w:tc>
          <w:tcPr>
            <w:tcW w:w="4260" w:type="dxa"/>
            <w:vAlign w:val="bottom"/>
          </w:tcPr>
          <w:p>
            <w:pPr>
              <w:jc w:val="center"/>
              <w:ind w:left="658"/>
              <w:spacing w:after="0"/>
              <w:rPr>
                <w:sz w:val="20"/>
                <w:szCs w:val="20"/>
                <w:color w:val="auto"/>
              </w:rPr>
            </w:pPr>
            <w:r>
              <w:rPr>
                <w:rFonts w:ascii="Arial" w:cs="Arial" w:eastAsia="Arial" w:hAnsi="Arial"/>
                <w:sz w:val="14"/>
                <w:szCs w:val="14"/>
                <w:b w:val="1"/>
                <w:bCs w:val="1"/>
                <w:color w:val="auto"/>
                <w:w w:val="95"/>
              </w:rPr>
              <w:t>Reclassified From AOCI Into</w:t>
            </w: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260" w:type="dxa"/>
            <w:vAlign w:val="bottom"/>
            <w:tcBorders>
              <w:bottom w:val="single" w:sz="8" w:color="auto"/>
            </w:tcBorders>
          </w:tcPr>
          <w:p>
            <w:pPr>
              <w:jc w:val="center"/>
              <w:ind w:left="638"/>
              <w:spacing w:after="0"/>
              <w:rPr>
                <w:sz w:val="20"/>
                <w:szCs w:val="20"/>
                <w:color w:val="auto"/>
              </w:rPr>
            </w:pPr>
            <w:r>
              <w:rPr>
                <w:rFonts w:ascii="Arial" w:cs="Arial" w:eastAsia="Arial" w:hAnsi="Arial"/>
                <w:sz w:val="14"/>
                <w:szCs w:val="14"/>
                <w:b w:val="1"/>
                <w:bCs w:val="1"/>
                <w:color w:val="auto"/>
                <w:w w:val="92"/>
              </w:rPr>
              <w:t>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ind w:left="8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569"/>
        </w:trPr>
        <w:tc>
          <w:tcPr>
            <w:tcW w:w="41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94"/>
              </w:rPr>
              <w:t>Amount of Gain / (Loss)</w:t>
            </w: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260" w:type="dxa"/>
            <w:vAlign w:val="bottom"/>
            <w:tcBorders>
              <w:bottom w:val="single" w:sz="8" w:color="auto"/>
            </w:tcBorders>
          </w:tcPr>
          <w:p>
            <w:pPr>
              <w:jc w:val="center"/>
              <w:ind w:left="618"/>
              <w:spacing w:after="0"/>
              <w:rPr>
                <w:sz w:val="20"/>
                <w:szCs w:val="20"/>
                <w:color w:val="auto"/>
              </w:rPr>
            </w:pPr>
            <w:r>
              <w:rPr>
                <w:rFonts w:ascii="Arial" w:cs="Arial" w:eastAsia="Arial" w:hAnsi="Arial"/>
                <w:sz w:val="14"/>
                <w:szCs w:val="14"/>
                <w:b w:val="1"/>
                <w:bCs w:val="1"/>
                <w:color w:val="auto"/>
                <w:w w:val="91"/>
              </w:rPr>
              <w:t>Recognized in Statement of Operations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64"/>
        </w:trPr>
        <w:tc>
          <w:tcPr>
            <w:tcW w:w="41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22"/>
                <w:szCs w:val="22"/>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42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Commodity hedging instruments</w:t>
            </w:r>
          </w:p>
        </w:tc>
        <w:tc>
          <w:tcPr>
            <w:tcW w:w="4260" w:type="dxa"/>
            <w:vAlign w:val="bottom"/>
          </w:tcPr>
          <w:p>
            <w:pPr>
              <w:ind w:left="86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1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Consolidated Balance Sheets, except for derivative instruments expected to be settled within the next 12 months, which are included within prepaid and other current assets and other current liabilities.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consists of investment securities in non-qualified retirement plan assets and the Bonnie Option.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Long-term debt consists of a loan provided to the noncontrolling ownership group of Gavita. The estimated fair value of the loan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future business results and discount rates. The fair value measurement is based on significant inputs unobservable in the market and thus represents a Level 3 measurement.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340" w:type="dxa"/>
            <w:vAlign w:val="bottom"/>
          </w:tcPr>
          <w:p>
            <w:pPr>
              <w:spacing w:after="0"/>
              <w:rPr>
                <w:sz w:val="14"/>
                <w:szCs w:val="14"/>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67"/>
        </w:trPr>
        <w:tc>
          <w:tcPr>
            <w:tcW w:w="46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1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355"/>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OPERATING LEASES</w:t>
      </w:r>
    </w:p>
    <w:p>
      <w:pPr>
        <w:spacing w:after="0" w:line="9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2016, were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36.1</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9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94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0"/>
        </w:trPr>
        <w:tc>
          <w:tcPr>
            <w:tcW w:w="9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2016, the Company’s residual value guarantee would have approximated $2.6 million.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 of</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0"/>
              </w:rPr>
              <w:t>Lease</w:t>
            </w:r>
          </w:p>
        </w:tc>
      </w:tr>
      <w:tr>
        <w:trPr>
          <w:trHeight w:val="192"/>
        </w:trPr>
        <w:tc>
          <w:tcPr>
            <w:tcW w:w="6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324"/>
              <w:spacing w:after="0"/>
              <w:rPr>
                <w:sz w:val="20"/>
                <w:szCs w:val="20"/>
                <w:color w:val="auto"/>
              </w:rPr>
            </w:pPr>
            <w:r>
              <w:rPr>
                <w:rFonts w:ascii="Arial" w:cs="Arial" w:eastAsia="Arial" w:hAnsi="Arial"/>
                <w:sz w:val="14"/>
                <w:szCs w:val="14"/>
                <w:b w:val="1"/>
                <w:bCs w:val="1"/>
                <w:color w:val="auto"/>
                <w:w w:val="95"/>
              </w:rPr>
              <w:t>Guarantee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64"/>
        </w:trPr>
        <w:tc>
          <w:tcPr>
            <w:tcW w:w="6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(In millions)</w:t>
            </w:r>
          </w:p>
        </w:tc>
        <w:tc>
          <w:tcPr>
            <w:tcW w:w="2160" w:type="dxa"/>
            <w:vAlign w:val="bottom"/>
          </w:tcPr>
          <w:p>
            <w:pPr>
              <w:spacing w:after="0"/>
              <w:rPr>
                <w:sz w:val="22"/>
                <w:szCs w:val="22"/>
                <w:color w:val="auto"/>
              </w:rPr>
            </w:pPr>
          </w:p>
        </w:tc>
      </w:tr>
      <w:tr>
        <w:trPr>
          <w:trHeight w:val="24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aircraft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6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fiscal 2016, fiscal 2015 and fiscal 2014 totaled $58.8 million, $56.2 million and $50.6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2016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140.4</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2020</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9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94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 In addition, the Company leases certain property and equipment from third parties under various non-cancelable operating lease agreements. Future minimum lease payments for non-cancelable operating leases not included above are included in “NOTE 17. OPERATING LEASES.”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CONTINGENCIES</w:t>
      </w:r>
    </w:p>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September 30, 2016, $4.0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3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CONCENTRATIONS OF CREDIT RISK</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maintains cash depository accounts with major financial institutions around the world and invests in high quality, short-term liquid investments. Such investments are made only in investments issued by highly rated institutions. These investments mature within three months and have not historically incurred any losses.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Trade accounts receivable are exposed to a concentration of credit risk with retailers principally located in the United States. The Company’s retail customers include home centers, mass merchandisers, warehouse clubs, large hardware chains, independent hardware stores, nurseries, garden centers, food and drug stores, and indoor gardening and hydroponic stores. Concentrations of net sales and accounts receivable in the United States as a percentage of consolidated net sales and accounts receivable at September 30 were as follows: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 of Net Sales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 of Net Accounts Receivable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at September 30,</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840" w:type="dxa"/>
            <w:vAlign w:val="bottom"/>
            <w:gridSpan w:val="2"/>
            <w:shd w:val="clear" w:color="auto" w:fill="CCEEFF"/>
          </w:tcPr>
          <w:p>
            <w:pPr>
              <w:jc w:val="right"/>
              <w:ind w:right="3528"/>
              <w:spacing w:after="0"/>
              <w:rPr>
                <w:sz w:val="20"/>
                <w:szCs w:val="20"/>
                <w:color w:val="auto"/>
              </w:rPr>
            </w:pPr>
            <w:r>
              <w:rPr>
                <w:rFonts w:ascii="Arial" w:cs="Arial" w:eastAsia="Arial" w:hAnsi="Arial"/>
                <w:sz w:val="18"/>
                <w:szCs w:val="18"/>
                <w:color w:val="auto"/>
                <w:w w:val="90"/>
              </w:rPr>
              <w:t>Concentration in United States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remainder of the Company’s net sales and accounts receivable at September 30, 2016, 2015 and 2014 were generated from customers located outside of the United States, primarily retailers, distributors and nurseries in Europe, Canada and Australia. No concentrations of these customers or individual customers within this group accounted for more than 10% of the Company’s net sales or accounts receivable for any period presented above.</w:t>
      </w:r>
    </w:p>
    <w:p>
      <w:pPr>
        <w:spacing w:after="0" w:line="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three largest customers are the only customers that individually represent more than 10% of reported consolidated net sales and accounts receivable for each of the last three fiscal years. These three customers accounted for the following percentages of net sales for the fiscal years ended September 30:</w:t>
      </w:r>
    </w:p>
    <w:p>
      <w:pPr>
        <w:spacing w:after="0" w:line="18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23495</wp:posOffset>
            </wp:positionV>
            <wp:extent cx="2400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Home Depot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Lowe’s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Walmart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Accounts receivable for these three largest customers as a percentage of consolidated accounts receivable were 56% and 60% for September 30,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expense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income, net</w:t>
            </w:r>
          </w:p>
        </w:tc>
        <w:tc>
          <w:tcPr>
            <w:tcW w:w="29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Interest on loans receivable</w:t>
            </w: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w:t>
            </w:r>
          </w:p>
        </w:tc>
        <w:tc>
          <w:tcPr>
            <w:tcW w:w="19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Gain on investment of unconsolidated affiliate</w:t>
            </w: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920" w:type="dxa"/>
            <w:vAlign w:val="bottom"/>
            <w:vMerge w:val="restart"/>
          </w:tcPr>
          <w:p>
            <w:pPr>
              <w:jc w:val="right"/>
              <w:ind w:right="476"/>
              <w:spacing w:after="0"/>
              <w:rPr>
                <w:sz w:val="20"/>
                <w:szCs w:val="20"/>
                <w:color w:val="auto"/>
              </w:rPr>
            </w:pPr>
            <w:r>
              <w:rPr>
                <w:rFonts w:ascii="Arial" w:cs="Arial" w:eastAsia="Arial" w:hAnsi="Arial"/>
                <w:sz w:val="18"/>
                <w:szCs w:val="18"/>
                <w:color w:val="auto"/>
              </w:rPr>
              <w:t>107</w:t>
            </w: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9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divides its business into three reportable segments: U.S. Consumer, Europe Consumer and Other. These segments differ from those used in prior periods due to the change in internal organization structure associated with Project Focus, which is a series of initiatives announced in the first quarter of fiscal 2016 designed to maximize the value of the Company’s non-core assets and focus on emerging categories of the lawn and garden industry in its core U.S. business. On April 13, 2016, as part of this project, the Company completed the contribution of the SLS Business to a newly formed subsidiary of TruGreen Holdings in exchange for a minority equity interest of approximately 30% in the TruGreen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5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(loss) from continuing operations before amortization, impairment, restructuring and other charges, which is not a GAAP measure. Senior management uses this measure of operating profit (loss) to evaluate segment performance because the Company believes this measure is indicative of performance trends and the overall earnings potential of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center"/>
              <w:ind w:right="350"/>
              <w:spacing w:after="0"/>
              <w:rPr>
                <w:sz w:val="20"/>
                <w:szCs w:val="20"/>
                <w:color w:val="auto"/>
              </w:rPr>
            </w:pPr>
            <w:r>
              <w:rPr>
                <w:rFonts w:ascii="Arial" w:cs="Arial" w:eastAsia="Arial" w:hAnsi="Arial"/>
                <w:sz w:val="14"/>
                <w:szCs w:val="14"/>
                <w:b w:val="1"/>
                <w:bCs w:val="1"/>
                <w:color w:val="auto"/>
                <w:w w:val="92"/>
              </w:rPr>
              <w:t>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2,187.4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2,141.8</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439.2</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Europe Consumer</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Segment total</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465.6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211.6</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Europe Consumer</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63.7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1"/>
                <w:szCs w:val="21"/>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5"/>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3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1,770.7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gridSpan w:val="2"/>
          </w:tcPr>
          <w:p>
            <w:pPr>
              <w:ind w:left="7780"/>
              <w:spacing w:after="0"/>
              <w:rPr>
                <w:sz w:val="20"/>
                <w:szCs w:val="20"/>
                <w:color w:val="auto"/>
              </w:rPr>
            </w:pPr>
            <w:r>
              <w:rPr>
                <w:rFonts w:ascii="Arial" w:cs="Arial" w:eastAsia="Arial" w:hAnsi="Arial"/>
                <w:sz w:val="14"/>
                <w:szCs w:val="14"/>
                <w:b w:val="1"/>
                <w:bCs w:val="1"/>
                <w:color w:val="auto"/>
                <w:w w:val="96"/>
              </w:rPr>
              <w:t>2016</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Lawn care</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Growing media</w:t>
            </w:r>
          </w:p>
        </w:tc>
        <w:tc>
          <w:tcPr>
            <w:tcW w:w="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Controls</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16</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0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w:t>
            </w:r>
          </w:p>
        </w:tc>
        <w:tc>
          <w:tcPr>
            <w:tcW w:w="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r>
      <w:tr>
        <w:trPr>
          <w:trHeight w:val="243"/>
        </w:trPr>
        <w:tc>
          <w:tcPr>
            <w:tcW w:w="8100" w:type="dxa"/>
            <w:vAlign w:val="bottom"/>
            <w:gridSpan w:val="2"/>
          </w:tcPr>
          <w:p>
            <w:pPr>
              <w:ind w:left="380"/>
              <w:spacing w:after="0"/>
              <w:rPr>
                <w:sz w:val="20"/>
                <w:szCs w:val="20"/>
                <w:color w:val="auto"/>
              </w:rPr>
            </w:pPr>
            <w:r>
              <w:rPr>
                <w:rFonts w:ascii="Arial" w:cs="Arial" w:eastAsia="Arial" w:hAnsi="Arial"/>
                <w:sz w:val="18"/>
                <w:szCs w:val="18"/>
                <w:color w:val="auto"/>
              </w:rPr>
              <w:t>Other, primarily gardening, hydroponics and landscape</w:t>
            </w:r>
          </w:p>
        </w:tc>
        <w:tc>
          <w:tcPr>
            <w:tcW w:w="480" w:type="dxa"/>
            <w:vAlign w:val="bottom"/>
          </w:tcPr>
          <w:p>
            <w:pPr>
              <w:jc w:val="right"/>
              <w:ind w:right="9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10</w:t>
            </w:r>
          </w:p>
        </w:tc>
      </w:tr>
      <w:tr>
        <w:trPr>
          <w:trHeight w:val="27"/>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total product sales</w:t>
            </w: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net sales and long-lived assets (property, plant and equipment and finite-lived intangibles) by geographic area: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Year Ended 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2,315.1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2,065.2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2,728.0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3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Long-lived assets:</w:t>
            </w:r>
          </w:p>
        </w:tc>
        <w:tc>
          <w:tcPr>
            <w:tcW w:w="3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531.0</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980" w:type="dxa"/>
            <w:vAlign w:val="bottom"/>
            <w:vMerge w:val="restart"/>
          </w:tcPr>
          <w:p>
            <w:pPr>
              <w:jc w:val="right"/>
              <w:ind w:right="1510"/>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98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unaudited quarterly results of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Fourth</w:t>
            </w:r>
          </w:p>
        </w:tc>
        <w:tc>
          <w:tcPr>
            <w:tcW w:w="200" w:type="dxa"/>
            <w:vAlign w:val="bottom"/>
          </w:tcPr>
          <w:p>
            <w:pPr>
              <w:spacing w:after="0"/>
              <w:rPr>
                <w:sz w:val="14"/>
                <w:szCs w:val="14"/>
                <w:color w:val="auto"/>
              </w:rPr>
            </w:pPr>
          </w:p>
        </w:tc>
        <w:tc>
          <w:tcPr>
            <w:tcW w:w="9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(In millions, except per share data)</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2,836.1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attributable to 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FISCAL 2015</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attributable to controlling interest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Basic net income (loss)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Common Shares used in basic EPS calculation</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net income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Common Shares and dilutive potential Common Shares used in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EPS calculation</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 The Company’s business is highly seasonal, with approximately 75% of net sales occurring in the second and third fiscal quarters.</w:t>
      </w:r>
    </w:p>
    <w:p>
      <w:pPr>
        <w:spacing w:after="0" w:line="127"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7"/>
          <w:szCs w:val="17"/>
          <w:color w:val="auto"/>
        </w:rPr>
        <w:t>Significant impairment, restructuring and other charges / recoveries reflected in the quarterly financial information during fiscal 2016 are as follows: first quarter restructuring costs of $9.3 million including $5.4 million in costs related to consumer complaints and claims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$2.8 million in transaction related costs associated with the divestiture of the SLS Business and costs of $0.9 million related to other transaction activity associated with Project Focus; second quarter net recoveries of $36.5 million including insurance reimbursement recoveries of $50.0 million related to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insurance reimbursements, a charge of $9.0 million for the resolution of a prior SLS Business litigation matter, $1.6 million in transaction related costs associated with the divestiture of the SLS Business and costs of $1.7 million related to other transaction activity associated with Project Focus; third quarter net recoveries of $5.4 million related to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insurance reimbursements; and fourth quarter restructuring costs of $6.7 million associated with Project Focus including costs of $5.4 million related to termination benefits for U.S. and international employees and costs of $2.3 million related to other transaction activity.</w:t>
      </w:r>
    </w:p>
    <w:p>
      <w:pPr>
        <w:spacing w:after="0" w:line="156"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6"/>
          <w:szCs w:val="16"/>
          <w:color w:val="auto"/>
        </w:rPr>
        <w:t>Significant impairment, restructuring and other charges reflected in the quarterly financial information during fiscal 2015 are as follows: first quarter restructuring costs of $9.6 million related to termination benefits for U.S. and international employees; second quarter restructuring costs of $5.1 million related to termination benefits for U.S. and international employees; third quarter restructuring costs of $6.6 million related to termination benefits for U.S. and international employees and the liquidation and exit from the U.K. Solus business, and $37.7 million in costs related to consumer complaints and claims related to the reformulated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fertilizer product sold in the southeastern United States during fiscal 2015; and fourth quarter restructuring costs of $0.9 million related to termination benefits for U.S. and international employees, and $24.7 million in charges related to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insurance reimbursements.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94"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The 6.000% Senior Notes were issued on October 13, 2015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Issuers of Guaranteed Securities Registered or Being Registered</w:t>
      </w:r>
      <w:r>
        <w:rPr>
          <w:rFonts w:ascii="Arial" w:cs="Arial" w:eastAsia="Arial" w:hAnsi="Arial"/>
          <w:sz w:val="16"/>
          <w:szCs w:val="16"/>
          <w:color w:val="auto"/>
        </w:rPr>
        <w:t>. On January 15, 2014 and December 15, 2015, Scotts Miracle-Gro redeemed,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its outstanding $200.0 million aggregate principal amount of 7.25% Senior Notes and $200.0 million aggregate principal amount of 6.625% Senior Notes, each of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 governing the 6.000% Senior Notes; (2) if the subsidiary merges with and into Scotts Miracle-Gro, with Scotts Miracle-Gro surviving such merger; (3) if the subsidiary is designated an “unrestricted subsidiary” in accordance with the indenture governing the 6.000%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Senior Notes pursuant to the indenture governing the 6.000% Senior Notes. SLS Holdings, Inc. was added as a guarantor effective in the three-month period ending July 2, 2016, and HGCI, Inc. and GenSource, Inc. were added as guarantors effective in the three-month period ending January 2, 2016, and have been classified as Guarantors for all periods presented. SLS Holdings, Inc., HGCI, Inc. and GenSource, Inc. did not have any activity for fiscal 2015.</w:t>
      </w:r>
    </w:p>
    <w:p>
      <w:pPr>
        <w:spacing w:after="0" w:line="4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following 100% directly or indirectly owned subsidiaries fully and unconditionally guarantee at September 30, 2016 the 6.000%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three-month period ending July 2, 2016, the SLS Business was contributed to the TruGreen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TruGreen Joint Venture, EG Systems, LLC (formerly known as EG Systems, Inc.) and SLS Franchise Systems LLC are no longer guarantors of the 6.000% Senior Notes.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each of the three years ended September 30, 2016, 2015 and 2014, Condensed Consolidating Statements of Comprehensive Income (Loss) for each of the three years ended September 30, 2016, 2015 and 2014, Condensed Consolidating Statements of Cash Flows for each of the three years ended September 30, 2016, 2015 and 2014, and Condensed Consolidating Balance Sheets as of September 30, 2016 and 2015.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fiscal 2016 are $934.4 million of dividends paid by the Guarantors and Non-Guarantors to the Parent representing return of investments and as such are classified within cash flows used in investing activities. Included in the Parent Condensed Consolidating Statement of Cash Flows for fiscal 2015 and fiscal 2014 are $255.5 million and $422.8 million, respectively, of dividends paid by the Guarantors and Non-Guarantors to the Parent representing return on investments and as such are classified within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 (income)/loss of unconsolidated affiliates</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9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ACTIVITIES</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Arial" w:cs="Arial" w:eastAsia="Arial" w:hAnsi="Arial"/>
                <w:sz w:val="18"/>
                <w:szCs w:val="18"/>
                <w:color w:val="auto"/>
              </w:rPr>
              <w:t>INVESTING ACTIVITIES</w:t>
            </w:r>
            <w:r>
              <w:rPr>
                <w:rFonts w:ascii="Arial" w:cs="Arial" w:eastAsia="Arial" w:hAnsi="Arial"/>
                <w:sz w:val="25"/>
                <w:szCs w:val="25"/>
                <w:color w:val="auto"/>
                <w:vertAlign w:val="superscript"/>
              </w:rPr>
              <w:t>(a)</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distributions from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contributed to TruGreen Joint Venture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2,069.1</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652"/>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 Guarantors in the form of dividends in the amount of $934.4 million represent return of investments and are included in cash flows from investing activities. Cash received by the Guarantors from the Non-Guarantors in the form of dividends in the amount of $1.5 million represent return on investments and are included in the cash flows from operating activities.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850"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center"/>
              <w:ind w:right="131"/>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808.8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67"/>
        </w:trPr>
        <w:tc>
          <w:tcPr>
            <w:tcW w:w="3700" w:type="dxa"/>
            <w:vAlign w:val="bottom"/>
            <w:tcBorders>
              <w:bottom w:val="single" w:sz="8" w:color="CCEEFF"/>
            </w:tcBorders>
          </w:tcPr>
          <w:p>
            <w:pPr>
              <w:spacing w:after="0"/>
              <w:rPr>
                <w:sz w:val="5"/>
                <w:szCs w:val="5"/>
                <w:color w:val="auto"/>
              </w:rPr>
            </w:pPr>
          </w:p>
        </w:tc>
        <w:tc>
          <w:tcPr>
            <w:tcW w:w="146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spacing w:after="0"/>
              <w:rPr>
                <w:sz w:val="19"/>
                <w:szCs w:val="19"/>
                <w:color w:val="auto"/>
              </w:rPr>
            </w:pPr>
          </w:p>
        </w:tc>
        <w:tc>
          <w:tcPr>
            <w:tcW w:w="3880" w:type="dxa"/>
            <w:vAlign w:val="bottom"/>
            <w:gridSpan w:val="6"/>
            <w:shd w:val="clear" w:color="auto" w:fill="CCEEFF"/>
          </w:tcPr>
          <w:p>
            <w:pPr>
              <w:jc w:val="center"/>
              <w:ind w:left="5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Total equity—controlling interest</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1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131"/>
              <w:spacing w:after="0"/>
              <w:rPr>
                <w:sz w:val="20"/>
                <w:szCs w:val="20"/>
                <w:color w:val="auto"/>
              </w:rPr>
            </w:pPr>
            <w:r>
              <w:rPr>
                <w:rFonts w:ascii="Arial" w:cs="Arial" w:eastAsia="Arial" w:hAnsi="Arial"/>
                <w:sz w:val="18"/>
                <w:szCs w:val="18"/>
                <w:color w:val="auto"/>
                <w:w w:val="86"/>
              </w:rPr>
              <w:t>117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ACTIVITIES</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Arial" w:cs="Arial" w:eastAsia="Arial" w:hAnsi="Arial"/>
                <w:sz w:val="18"/>
                <w:szCs w:val="18"/>
                <w:color w:val="auto"/>
              </w:rPr>
              <w:t>INVESTING ACTIVITIES</w:t>
            </w:r>
            <w:r>
              <w:rPr>
                <w:rFonts w:ascii="Arial" w:cs="Arial" w:eastAsia="Arial" w:hAnsi="Arial"/>
                <w:sz w:val="25"/>
                <w:szCs w:val="25"/>
                <w:color w:val="auto"/>
                <w:vertAlign w:val="superscript"/>
              </w:rPr>
              <w:t>(a)</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marketing and license agreement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1,568.1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Cash received by the Parent from the Guarantors in the form of dividends in the amount of $255.5 million represent return on investments and are included in cash flows from operating activities. Cash received by the Guarantors from the Non-Guarantors in the form of dividends in the amount of $25.8 million represent return on investments and are included in the cash flows from operating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850"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2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center"/>
              <w:ind w:right="311"/>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Assets held for sale</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67"/>
        </w:trPr>
        <w:tc>
          <w:tcPr>
            <w:tcW w:w="36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spacing w:after="0"/>
              <w:rPr>
                <w:sz w:val="19"/>
                <w:szCs w:val="19"/>
                <w:color w:val="auto"/>
              </w:rPr>
            </w:pPr>
          </w:p>
        </w:tc>
        <w:tc>
          <w:tcPr>
            <w:tcW w:w="4080" w:type="dxa"/>
            <w:vAlign w:val="bottom"/>
            <w:gridSpan w:val="6"/>
            <w:shd w:val="clear" w:color="auto" w:fill="CCEEFF"/>
          </w:tcPr>
          <w:p>
            <w:pPr>
              <w:jc w:val="center"/>
              <w:ind w:left="1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3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7"/>
        </w:trPr>
        <w:tc>
          <w:tcPr>
            <w:tcW w:w="362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6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311"/>
              <w:spacing w:after="0"/>
              <w:rPr>
                <w:sz w:val="20"/>
                <w:szCs w:val="20"/>
                <w:color w:val="auto"/>
              </w:rPr>
            </w:pPr>
            <w:r>
              <w:rPr>
                <w:rFonts w:ascii="Arial" w:cs="Arial" w:eastAsia="Arial" w:hAnsi="Arial"/>
                <w:sz w:val="18"/>
                <w:szCs w:val="18"/>
                <w:color w:val="auto"/>
                <w:w w:val="86"/>
              </w:rPr>
              <w:t>121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0"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ACTIVITIES</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388.8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line="264" w:lineRule="exact"/>
              <w:rPr>
                <w:sz w:val="20"/>
                <w:szCs w:val="20"/>
                <w:color w:val="auto"/>
              </w:rPr>
            </w:pPr>
            <w:r>
              <w:rPr>
                <w:rFonts w:ascii="Arial" w:cs="Arial" w:eastAsia="Arial" w:hAnsi="Arial"/>
                <w:sz w:val="18"/>
                <w:szCs w:val="18"/>
                <w:color w:val="auto"/>
              </w:rPr>
              <w:t>INVESTING ACTIVITIES</w:t>
            </w:r>
            <w:r>
              <w:rPr>
                <w:rFonts w:ascii="Arial" w:cs="Arial" w:eastAsia="Arial" w:hAnsi="Arial"/>
                <w:sz w:val="25"/>
                <w:szCs w:val="25"/>
                <w:color w:val="auto"/>
                <w:vertAlign w:val="superscript"/>
              </w:rPr>
              <w:t>(a)</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and leaseback transaction</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7.25%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8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Cash received by the Parent from the Guarantors in the form of dividends in the amount of $422.8 million represent return on investments and are included in cash flows from operating activities. Cash received by the Guarantors from the Non-Guarantors in the form of dividends in the amount of $1.3 million represent return on investments and are included in the 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850" w:right="23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2016</w:t>
      </w:r>
    </w:p>
    <w:p>
      <w:pPr>
        <w:sectPr>
          <w:pgSz w:w="11900" w:h="16838" w:orient="portrait"/>
          <w:cols w:equalWidth="0" w:num="1">
            <w:col w:w="11380"/>
          </w:cols>
          <w:pgMar w:left="280" w:top="850"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2015</w:t>
      </w:r>
    </w:p>
    <w:p>
      <w:pPr>
        <w:sectPr>
          <w:pgSz w:w="11900" w:h="16838" w:orient="portrait"/>
          <w:cols w:equalWidth="0" w:num="1">
            <w:col w:w="11380"/>
          </w:cols>
          <w:pgMar w:left="280" w:top="850"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fiscal year ended September 30, 2014</w:t>
      </w:r>
    </w:p>
    <w:p>
      <w:pPr>
        <w:sectPr>
          <w:pgSz w:w="11900" w:h="16838" w:orient="portrait"/>
          <w:cols w:equalWidth="0" w:num="1">
            <w:col w:w="11380"/>
          </w:cols>
          <w:pgMar w:left="280" w:top="850"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627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4"/>
              </w:rPr>
              <w:t>Column 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Column F</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3"/>
                <w:szCs w:val="13"/>
                <w:color w:val="auto"/>
              </w:rPr>
            </w:pPr>
          </w:p>
        </w:tc>
        <w:tc>
          <w:tcPr>
            <w:tcW w:w="8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at</w:t>
            </w:r>
          </w:p>
        </w:tc>
        <w:tc>
          <w:tcPr>
            <w:tcW w:w="14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6"/>
              </w:rPr>
              <w:t>Reserves</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5"/>
              </w:rPr>
              <w:t>Acquired</w:t>
            </w: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7"/>
              </w:rPr>
              <w:t>Write-Offs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1"/>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4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-633730</wp:posOffset>
            </wp:positionV>
            <wp:extent cx="724662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-153670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00"/>
            <w:col w:w="5580"/>
          </w:cols>
          <w:pgMar w:left="280" w:top="850" w:right="239" w:bottom="1440" w:gutter="0" w:footer="0" w:header="0"/>
          <w:type w:val="continuous"/>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380"/>
          </w:cols>
          <w:pgMar w:left="280" w:top="850" w:right="23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85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4900" w:type="dxa"/>
            <w:vAlign w:val="bottom"/>
          </w:tcPr>
          <w:p>
            <w:pPr>
              <w:spacing w:after="0"/>
              <w:rPr>
                <w:sz w:val="18"/>
                <w:szCs w:val="18"/>
                <w:color w:val="auto"/>
              </w:rPr>
            </w:pPr>
          </w:p>
        </w:tc>
      </w:tr>
      <w:tr>
        <w:trPr>
          <w:trHeight w:val="234"/>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No.</w:t>
            </w:r>
          </w:p>
        </w:tc>
        <w:tc>
          <w:tcPr>
            <w:tcW w:w="4900" w:type="dxa"/>
            <w:vAlign w:val="bottom"/>
          </w:tcPr>
          <w:p>
            <w:pPr>
              <w:ind w:left="20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2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3.1(a)</w:t>
            </w:r>
          </w:p>
        </w:tc>
        <w:tc>
          <w:tcPr>
            <w:tcW w:w="4900" w:type="dxa"/>
            <w:vAlign w:val="bottom"/>
          </w:tcPr>
          <w:p>
            <w:pPr>
              <w:ind w:left="40"/>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4"/>
              </w:rPr>
              <w:t>Company as filed with the Ohio Secretary of State on November</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22, 2004</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3.1(b)</w:t>
            </w:r>
          </w:p>
        </w:tc>
        <w:tc>
          <w:tcPr>
            <w:tcW w:w="4900" w:type="dxa"/>
            <w:vAlign w:val="bottom"/>
          </w:tcPr>
          <w:p>
            <w:pPr>
              <w:ind w:left="40"/>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7"/>
              </w:rPr>
              <w:t>Incorporation of The Scotts Miracle-Gro Company as filed with</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the Ohio Secretary of State on March 18, 2005</w:t>
            </w:r>
          </w:p>
        </w:tc>
      </w:tr>
      <w:tr>
        <w:trPr>
          <w:trHeight w:val="392"/>
        </w:trPr>
        <w:tc>
          <w:tcPr>
            <w:tcW w:w="138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Code of Regulations of The Scotts Miracle-Gro Company</w:t>
            </w:r>
          </w:p>
        </w:tc>
      </w:tr>
      <w:tr>
        <w:trPr>
          <w:trHeight w:val="59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4.1(a)</w:t>
            </w:r>
          </w:p>
        </w:tc>
        <w:tc>
          <w:tcPr>
            <w:tcW w:w="4900" w:type="dxa"/>
            <w:vAlign w:val="bottom"/>
          </w:tcPr>
          <w:p>
            <w:pPr>
              <w:ind w:left="40"/>
              <w:spacing w:after="0"/>
              <w:rPr>
                <w:sz w:val="20"/>
                <w:szCs w:val="20"/>
                <w:color w:val="auto"/>
              </w:rPr>
            </w:pPr>
            <w:r>
              <w:rPr>
                <w:rFonts w:ascii="Arial" w:cs="Arial" w:eastAsia="Arial" w:hAnsi="Arial"/>
                <w:sz w:val="18"/>
                <w:szCs w:val="18"/>
                <w:color w:val="auto"/>
                <w:w w:val="97"/>
              </w:rPr>
              <w:t>Indenture, dated as of December 16, 2010, by and among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4.1(b)</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First Supplemental Indenture, dated as of September 28, 2011, by</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and among The Scotts Miracle-Gro Company, the Guarantors (as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4.1(c)</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Second Supplemental Indenture, dated as of September 30, 2013,</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9"/>
              </w:rPr>
              <w:t>among The Scotts Miracle-Gro Company, the Guarantors (as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4.1(d)</w:t>
            </w:r>
          </w:p>
        </w:tc>
        <w:tc>
          <w:tcPr>
            <w:tcW w:w="4900" w:type="dxa"/>
            <w:vAlign w:val="bottom"/>
          </w:tcPr>
          <w:p>
            <w:pPr>
              <w:ind w:left="40"/>
              <w:spacing w:after="0"/>
              <w:rPr>
                <w:sz w:val="20"/>
                <w:szCs w:val="20"/>
                <w:color w:val="auto"/>
              </w:rPr>
            </w:pPr>
            <w:r>
              <w:rPr>
                <w:rFonts w:ascii="Arial" w:cs="Arial" w:eastAsia="Arial" w:hAnsi="Arial"/>
                <w:sz w:val="18"/>
                <w:szCs w:val="18"/>
                <w:color w:val="auto"/>
                <w:w w:val="98"/>
              </w:rPr>
              <w:t>Third Supplemental Indenture, dated as of February 25, 2014,</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9"/>
              </w:rPr>
              <w:t>among The Scotts Miracle-Gro Company, the Guarantors (as</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defined therein) and 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4.1(e)</w:t>
            </w:r>
          </w:p>
        </w:tc>
        <w:tc>
          <w:tcPr>
            <w:tcW w:w="4900" w:type="dxa"/>
            <w:vAlign w:val="bottom"/>
          </w:tcPr>
          <w:p>
            <w:pPr>
              <w:ind w:left="40"/>
              <w:spacing w:after="0"/>
              <w:rPr>
                <w:sz w:val="20"/>
                <w:szCs w:val="20"/>
                <w:color w:val="auto"/>
              </w:rPr>
            </w:pPr>
            <w:r>
              <w:rPr>
                <w:rFonts w:ascii="Arial" w:cs="Arial" w:eastAsia="Arial" w:hAnsi="Arial"/>
                <w:sz w:val="18"/>
                <w:szCs w:val="18"/>
                <w:color w:val="auto"/>
                <w:w w:val="90"/>
              </w:rPr>
              <w:t>Fourth Supplemental Indenture, dated March 27, 2015, among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4.1(f)</w:t>
            </w:r>
          </w:p>
        </w:tc>
        <w:tc>
          <w:tcPr>
            <w:tcW w:w="4900" w:type="dxa"/>
            <w:vAlign w:val="bottom"/>
          </w:tcPr>
          <w:p>
            <w:pPr>
              <w:ind w:left="40"/>
              <w:spacing w:after="0"/>
              <w:rPr>
                <w:sz w:val="20"/>
                <w:szCs w:val="20"/>
                <w:color w:val="auto"/>
              </w:rPr>
            </w:pPr>
            <w:r>
              <w:rPr>
                <w:rFonts w:ascii="Arial" w:cs="Arial" w:eastAsia="Arial" w:hAnsi="Arial"/>
                <w:sz w:val="18"/>
                <w:szCs w:val="18"/>
                <w:color w:val="auto"/>
                <w:w w:val="91"/>
              </w:rPr>
              <w:t>Fifth Supplemental Indenture, dated October 26, 2015, among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2"/>
              </w:rPr>
              <w:t>Scotts Miracle-Gro Company, the Guarantors (as defined therein)</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and U.S. Bank National Association, as trustee</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4.1(g)</w:t>
            </w:r>
          </w:p>
        </w:tc>
        <w:tc>
          <w:tcPr>
            <w:tcW w:w="4900" w:type="dxa"/>
            <w:vAlign w:val="bottom"/>
          </w:tcPr>
          <w:p>
            <w:pPr>
              <w:ind w:left="40"/>
              <w:spacing w:after="0"/>
              <w:rPr>
                <w:sz w:val="20"/>
                <w:szCs w:val="20"/>
                <w:color w:val="auto"/>
              </w:rPr>
            </w:pPr>
            <w:r>
              <w:rPr>
                <w:rFonts w:ascii="Arial" w:cs="Arial" w:eastAsia="Arial" w:hAnsi="Arial"/>
                <w:sz w:val="18"/>
                <w:szCs w:val="18"/>
                <w:color w:val="auto"/>
              </w:rPr>
              <w:t>Form of 6.625% Senior Notes due 2020</w:t>
            </w:r>
          </w:p>
        </w:tc>
      </w:tr>
      <w:tr>
        <w:trPr>
          <w:trHeight w:val="59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4.2(a)</w:t>
            </w:r>
          </w:p>
        </w:tc>
        <w:tc>
          <w:tcPr>
            <w:tcW w:w="4900" w:type="dxa"/>
            <w:vAlign w:val="bottom"/>
          </w:tcPr>
          <w:p>
            <w:pPr>
              <w:ind w:left="40"/>
              <w:spacing w:after="0"/>
              <w:rPr>
                <w:sz w:val="20"/>
                <w:szCs w:val="20"/>
                <w:color w:val="auto"/>
              </w:rPr>
            </w:pPr>
            <w:r>
              <w:rPr>
                <w:rFonts w:ascii="Arial" w:cs="Arial" w:eastAsia="Arial" w:hAnsi="Arial"/>
                <w:sz w:val="18"/>
                <w:szCs w:val="18"/>
                <w:color w:val="auto"/>
                <w:w w:val="90"/>
              </w:rPr>
              <w:t>Indenture, dated as of October 13, 2015, by and among The Scotts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6"/>
              </w:rPr>
              <w:t>Miracle-Gro Company, the Guarantors (as defined therein) and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U.S. Bank National Association, as trustee</w:t>
            </w:r>
          </w:p>
        </w:tc>
      </w:tr>
      <w:tr>
        <w:trPr>
          <w:trHeight w:val="37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4.2(b)</w:t>
            </w:r>
          </w:p>
        </w:tc>
        <w:tc>
          <w:tcPr>
            <w:tcW w:w="49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May 26, 2016, by and among</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8"/>
              </w:rPr>
              <w:t>The Scotts Miracle-Gro Company, the Guarantors (as defined</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therein) and U.S. Bank National Association, as trustee</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4.2(c)</w:t>
            </w:r>
          </w:p>
        </w:tc>
        <w:tc>
          <w:tcPr>
            <w:tcW w:w="4900" w:type="dxa"/>
            <w:vAlign w:val="bottom"/>
          </w:tcPr>
          <w:p>
            <w:pPr>
              <w:ind w:left="40"/>
              <w:spacing w:after="0"/>
              <w:rPr>
                <w:sz w:val="20"/>
                <w:szCs w:val="20"/>
                <w:color w:val="auto"/>
              </w:rPr>
            </w:pPr>
            <w:r>
              <w:rPr>
                <w:rFonts w:ascii="Arial" w:cs="Arial" w:eastAsia="Arial" w:hAnsi="Arial"/>
                <w:sz w:val="18"/>
                <w:szCs w:val="18"/>
                <w:color w:val="auto"/>
              </w:rPr>
              <w:t>Form of 6.000% Senior Notes due 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31127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6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Miracle-Gro Company (the “Registrant”) filed March 24, 2005 [Exhibit 3.1]</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3.2]</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24, 2005 [Exhibit 3.3]</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4.1]</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2011 filed November 23, 2011 [Exhibit 4.2(b)]</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28, 2013 filed February 6, 2014 [Exhibit 4.2]</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4.1]</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4]</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2015 filed November 24, 2015 [Exhibit 4.1(f)]</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4.2]</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4.1]</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2016 filed August 10, 2016 [Exhibit 4]</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4.2]</w:t>
      </w:r>
    </w:p>
    <w:p>
      <w:pPr>
        <w:spacing w:after="0" w:line="200" w:lineRule="exact"/>
        <w:rPr>
          <w:sz w:val="20"/>
          <w:szCs w:val="20"/>
          <w:color w:val="auto"/>
        </w:rPr>
      </w:pPr>
    </w:p>
    <w:p>
      <w:pPr>
        <w:sectPr>
          <w:pgSz w:w="11900" w:h="16838" w:orient="portrait"/>
          <w:cols w:equalWidth="0" w:num="2">
            <w:col w:w="6400" w:space="140"/>
            <w:col w:w="4860"/>
          </w:cols>
          <w:pgMar w:left="240" w:top="850" w:right="259" w:bottom="1440" w:gutter="0" w:footer="0" w:header="0"/>
          <w:type w:val="continuous"/>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00"/>
          </w:cols>
          <w:pgMar w:left="240" w:top="850" w:right="25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4.2(d)</w:t>
            </w:r>
          </w:p>
        </w:tc>
        <w:tc>
          <w:tcPr>
            <w:tcW w:w="5380" w:type="dxa"/>
            <w:vAlign w:val="bottom"/>
          </w:tcPr>
          <w:p>
            <w:pPr>
              <w:ind w:left="540"/>
              <w:spacing w:after="0"/>
              <w:rPr>
                <w:sz w:val="20"/>
                <w:szCs w:val="20"/>
                <w:color w:val="auto"/>
              </w:rPr>
            </w:pPr>
            <w:r>
              <w:rPr>
                <w:rFonts w:ascii="Arial" w:cs="Arial" w:eastAsia="Arial" w:hAnsi="Arial"/>
                <w:sz w:val="18"/>
                <w:szCs w:val="18"/>
                <w:color w:val="auto"/>
                <w:w w:val="93"/>
              </w:rPr>
              <w:t>Registration Rights Agreement, dated as of October 13, 2015, by</w:t>
            </w:r>
          </w:p>
        </w:tc>
      </w:tr>
      <w:tr>
        <w:trPr>
          <w:trHeight w:val="216"/>
        </w:trPr>
        <w:tc>
          <w:tcPr>
            <w:tcW w:w="960" w:type="dxa"/>
            <w:vAlign w:val="bottom"/>
          </w:tcPr>
          <w:p>
            <w:pPr>
              <w:spacing w:after="0"/>
              <w:rPr>
                <w:sz w:val="18"/>
                <w:szCs w:val="18"/>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8"/>
              </w:rPr>
              <w:t>and among The Scotts Miracle-Gro Company, the guarantors</w:t>
            </w:r>
          </w:p>
        </w:tc>
      </w:tr>
      <w:tr>
        <w:trPr>
          <w:trHeight w:val="230"/>
        </w:trPr>
        <w:tc>
          <w:tcPr>
            <w:tcW w:w="960" w:type="dxa"/>
            <w:vAlign w:val="bottom"/>
          </w:tcPr>
          <w:p>
            <w:pPr>
              <w:spacing w:after="0"/>
              <w:rPr>
                <w:sz w:val="20"/>
                <w:szCs w:val="20"/>
                <w:color w:val="auto"/>
              </w:rPr>
            </w:pPr>
          </w:p>
        </w:tc>
        <w:tc>
          <w:tcPr>
            <w:tcW w:w="5380" w:type="dxa"/>
            <w:vAlign w:val="bottom"/>
          </w:tcPr>
          <w:p>
            <w:pPr>
              <w:ind w:left="540"/>
              <w:spacing w:after="0"/>
              <w:rPr>
                <w:sz w:val="20"/>
                <w:szCs w:val="20"/>
                <w:color w:val="auto"/>
              </w:rPr>
            </w:pPr>
            <w:r>
              <w:rPr>
                <w:rFonts w:ascii="Arial" w:cs="Arial" w:eastAsia="Arial" w:hAnsi="Arial"/>
                <w:sz w:val="18"/>
                <w:szCs w:val="18"/>
                <w:color w:val="auto"/>
                <w:w w:val="97"/>
              </w:rPr>
              <w:t>named  therein  and  Merrill  Lynch,  Pierce,  Fenner  &amp;  Smith</w:t>
            </w:r>
          </w:p>
        </w:tc>
      </w:tr>
    </w:tbl>
    <w:p>
      <w:pPr>
        <w:ind w:left="1500"/>
        <w:spacing w:after="0" w:line="261" w:lineRule="auto"/>
        <w:rPr>
          <w:sz w:val="20"/>
          <w:szCs w:val="20"/>
          <w:color w:val="auto"/>
        </w:rPr>
      </w:pPr>
      <w:r>
        <w:rPr>
          <w:rFonts w:ascii="Arial" w:cs="Arial" w:eastAsia="Arial" w:hAnsi="Arial"/>
          <w:sz w:val="18"/>
          <w:szCs w:val="18"/>
          <w:color w:val="auto"/>
        </w:rPr>
        <w:t>Incorporated, as representative of the several initial purchasers named therein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4.3]</w:t>
      </w:r>
    </w:p>
    <w:p>
      <w:pPr>
        <w:spacing w:after="0" w:line="777" w:lineRule="exact"/>
        <w:rPr>
          <w:sz w:val="20"/>
          <w:szCs w:val="20"/>
          <w:color w:val="auto"/>
        </w:rPr>
      </w:pPr>
    </w:p>
    <w:p>
      <w:pPr>
        <w:sectPr>
          <w:pgSz w:w="11900" w:h="16838" w:orient="portrait"/>
          <w:cols w:equalWidth="0" w:num="2">
            <w:col w:w="6340" w:space="160"/>
            <w:col w:w="4860"/>
          </w:cols>
          <w:pgMar w:left="280" w:top="1341"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5340" w:type="dxa"/>
            <w:vAlign w:val="bottom"/>
          </w:tcPr>
          <w:p>
            <w:pPr>
              <w:ind w:left="500"/>
              <w:spacing w:after="0"/>
              <w:rPr>
                <w:sz w:val="20"/>
                <w:szCs w:val="20"/>
                <w:color w:val="auto"/>
              </w:rPr>
            </w:pPr>
            <w:r>
              <w:rPr>
                <w:rFonts w:ascii="Arial" w:cs="Arial" w:eastAsia="Arial" w:hAnsi="Arial"/>
                <w:sz w:val="18"/>
                <w:szCs w:val="18"/>
                <w:color w:val="auto"/>
                <w:w w:val="94"/>
              </w:rPr>
              <w:t>Agreement  to  furnish  copies  of  instruments  and  agreements</w:t>
            </w:r>
          </w:p>
        </w:tc>
      </w:tr>
      <w:tr>
        <w:trPr>
          <w:trHeight w:val="230"/>
        </w:trPr>
        <w:tc>
          <w:tcPr>
            <w:tcW w:w="1000" w:type="dxa"/>
            <w:vAlign w:val="bottom"/>
          </w:tcPr>
          <w:p>
            <w:pPr>
              <w:spacing w:after="0"/>
              <w:rPr>
                <w:sz w:val="20"/>
                <w:szCs w:val="20"/>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defining rights of holders of long-term debt</w:t>
            </w:r>
          </w:p>
        </w:tc>
      </w:tr>
      <w:tr>
        <w:trPr>
          <w:trHeight w:val="377"/>
        </w:trPr>
        <w:tc>
          <w:tcPr>
            <w:tcW w:w="1000" w:type="dxa"/>
            <w:vAlign w:val="bottom"/>
          </w:tcPr>
          <w:p>
            <w:pPr>
              <w:spacing w:after="0"/>
              <w:rPr>
                <w:sz w:val="20"/>
                <w:szCs w:val="20"/>
                <w:color w:val="auto"/>
              </w:rPr>
            </w:pPr>
            <w:r>
              <w:rPr>
                <w:rFonts w:ascii="Arial" w:cs="Arial" w:eastAsia="Arial" w:hAnsi="Arial"/>
                <w:sz w:val="18"/>
                <w:szCs w:val="18"/>
                <w:color w:val="auto"/>
              </w:rPr>
              <w:t>10.1(a)</w:t>
            </w:r>
          </w:p>
        </w:tc>
        <w:tc>
          <w:tcPr>
            <w:tcW w:w="5340" w:type="dxa"/>
            <w:vAlign w:val="bottom"/>
          </w:tcPr>
          <w:p>
            <w:pPr>
              <w:ind w:left="500"/>
              <w:spacing w:after="0"/>
              <w:rPr>
                <w:sz w:val="20"/>
                <w:szCs w:val="20"/>
                <w:color w:val="auto"/>
              </w:rPr>
            </w:pPr>
            <w:r>
              <w:rPr>
                <w:rFonts w:ascii="Arial" w:cs="Arial" w:eastAsia="Arial" w:hAnsi="Arial"/>
                <w:sz w:val="18"/>
                <w:szCs w:val="18"/>
                <w:color w:val="auto"/>
                <w:w w:val="89"/>
              </w:rPr>
              <w:t>Amended and Restated Agreement and Plan of Merger, dated as of</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3"/>
              </w:rPr>
              <w:t>May 19, 1995, among Stern’s Miracle-Gro Products, Inc., Stern’s</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9"/>
              </w:rPr>
              <w:t>Nurseries, Inc., Miracle-Gro Lawn Products Inc., Miracle-Gro</w:t>
            </w:r>
          </w:p>
        </w:tc>
      </w:tr>
      <w:tr>
        <w:trPr>
          <w:trHeight w:val="230"/>
        </w:trPr>
        <w:tc>
          <w:tcPr>
            <w:tcW w:w="1000" w:type="dxa"/>
            <w:vAlign w:val="bottom"/>
          </w:tcPr>
          <w:p>
            <w:pPr>
              <w:spacing w:after="0"/>
              <w:rPr>
                <w:sz w:val="20"/>
                <w:szCs w:val="20"/>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0"/>
              </w:rPr>
              <w:t>Products Limited, Hagedorn Partnership, L.P., the general partners</w:t>
            </w:r>
          </w:p>
        </w:tc>
      </w:tr>
    </w:tbl>
    <w:p>
      <w:pPr>
        <w:jc w:val="both"/>
        <w:ind w:left="1500"/>
        <w:spacing w:after="0" w:line="255" w:lineRule="auto"/>
        <w:rPr>
          <w:sz w:val="20"/>
          <w:szCs w:val="20"/>
          <w:color w:val="auto"/>
        </w:rPr>
      </w:pPr>
      <w:r>
        <w:rPr>
          <w:rFonts w:ascii="Arial" w:cs="Arial" w:eastAsia="Arial" w:hAnsi="Arial"/>
          <w:sz w:val="18"/>
          <w:szCs w:val="18"/>
          <w:color w:val="auto"/>
        </w:rPr>
        <w:t>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[Exhibit 2(b)]</w:t>
      </w:r>
    </w:p>
    <w:p>
      <w:pPr>
        <w:spacing w:after="0" w:line="1005"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10.1(b)</w:t>
            </w:r>
          </w:p>
        </w:tc>
        <w:tc>
          <w:tcPr>
            <w:tcW w:w="5340" w:type="dxa"/>
            <w:vAlign w:val="bottom"/>
          </w:tcPr>
          <w:p>
            <w:pPr>
              <w:ind w:left="500"/>
              <w:spacing w:after="0"/>
              <w:rPr>
                <w:sz w:val="20"/>
                <w:szCs w:val="20"/>
                <w:color w:val="auto"/>
              </w:rPr>
            </w:pPr>
            <w:r>
              <w:rPr>
                <w:rFonts w:ascii="Arial" w:cs="Arial" w:eastAsia="Arial" w:hAnsi="Arial"/>
                <w:sz w:val="18"/>
                <w:szCs w:val="18"/>
                <w:color w:val="auto"/>
                <w:w w:val="92"/>
              </w:rPr>
              <w:t>First Amendment to Amended and Restated Agreement and Plan</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4"/>
              </w:rPr>
              <w:t>of Merger, made and entered into as of October 1, 1999, among</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4"/>
              </w:rPr>
              <w:t>The  Scotts  Company,  Scotts’  Miracle-Gro  Products,  Inc.  (as</w:t>
            </w:r>
          </w:p>
        </w:tc>
      </w:tr>
      <w:tr>
        <w:trPr>
          <w:trHeight w:val="230"/>
        </w:trPr>
        <w:tc>
          <w:tcPr>
            <w:tcW w:w="1000" w:type="dxa"/>
            <w:vAlign w:val="bottom"/>
          </w:tcPr>
          <w:p>
            <w:pPr>
              <w:spacing w:after="0"/>
              <w:rPr>
                <w:sz w:val="20"/>
                <w:szCs w:val="20"/>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3"/>
              </w:rPr>
              <w:t>successor to ZYX Corporation and Stern’s Miracle-Gro Products,</w:t>
            </w:r>
          </w:p>
        </w:tc>
      </w:tr>
    </w:tbl>
    <w:p>
      <w:pPr>
        <w:jc w:val="both"/>
        <w:ind w:left="1500"/>
        <w:spacing w:after="0" w:line="253" w:lineRule="auto"/>
        <w:rPr>
          <w:sz w:val="20"/>
          <w:szCs w:val="20"/>
          <w:color w:val="auto"/>
        </w:rPr>
      </w:pPr>
      <w:r>
        <w:rPr>
          <w:rFonts w:ascii="Arial" w:cs="Arial" w:eastAsia="Arial" w:hAnsi="Arial"/>
          <w:sz w:val="18"/>
          <w:szCs w:val="18"/>
          <w:color w:val="auto"/>
        </w:rPr>
        <w:t>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[Exhibit 2]</w:t>
      </w:r>
    </w:p>
    <w:p>
      <w:pPr>
        <w:spacing w:after="0" w:line="1437"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10.2(a)</w:t>
            </w:r>
          </w:p>
        </w:tc>
        <w:tc>
          <w:tcPr>
            <w:tcW w:w="5340" w:type="dxa"/>
            <w:vAlign w:val="bottom"/>
          </w:tcPr>
          <w:p>
            <w:pPr>
              <w:ind w:left="500"/>
              <w:spacing w:after="0"/>
              <w:rPr>
                <w:sz w:val="20"/>
                <w:szCs w:val="20"/>
                <w:color w:val="auto"/>
              </w:rPr>
            </w:pPr>
            <w:r>
              <w:rPr>
                <w:rFonts w:ascii="Arial" w:cs="Arial" w:eastAsia="Arial" w:hAnsi="Arial"/>
                <w:sz w:val="18"/>
                <w:szCs w:val="18"/>
                <w:color w:val="auto"/>
                <w:w w:val="98"/>
              </w:rPr>
              <w:t>Fourth Amended and Restated Credit Agreement, dated as of</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7"/>
              </w:rPr>
              <w:t>October  29,  2015,  by  and  among  The  Scotts  Miracle-Gro</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5"/>
              </w:rPr>
              <w:t>Company, as a Borrower; the Subsidiary Borrowers (as defined</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5"/>
              </w:rPr>
              <w:t>therein); JPMorgan Chase Bank, N.A., as Administrative Agent;</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rPr>
              <w:t>Bank  of  America,  N.A.  and  Wells  Fargo  Bank,  National</w:t>
            </w:r>
          </w:p>
        </w:tc>
      </w:tr>
      <w:tr>
        <w:trPr>
          <w:trHeight w:val="230"/>
        </w:trPr>
        <w:tc>
          <w:tcPr>
            <w:tcW w:w="1000" w:type="dxa"/>
            <w:vAlign w:val="bottom"/>
          </w:tcPr>
          <w:p>
            <w:pPr>
              <w:spacing w:after="0"/>
              <w:rPr>
                <w:sz w:val="20"/>
                <w:szCs w:val="20"/>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5"/>
              </w:rPr>
              <w:t>Association, as Co- Syndication Agents; CoBank, ACB, Mizuho</w:t>
            </w:r>
          </w:p>
        </w:tc>
      </w:tr>
    </w:tbl>
    <w:p>
      <w:pPr>
        <w:jc w:val="both"/>
        <w:ind w:left="1500"/>
        <w:spacing w:after="0" w:line="271" w:lineRule="auto"/>
        <w:rPr>
          <w:sz w:val="20"/>
          <w:szCs w:val="20"/>
          <w:color w:val="auto"/>
        </w:rPr>
      </w:pPr>
      <w:r>
        <w:rPr>
          <w:rFonts w:ascii="Arial" w:cs="Arial" w:eastAsia="Arial" w:hAnsi="Arial"/>
          <w:sz w:val="17"/>
          <w:szCs w:val="17"/>
          <w:color w:val="auto"/>
        </w:rPr>
        <w:t>Bank, LTD., Coöperatieve Centrale Raiffeisen-Boerenleenbank B.A. “Rabobank Nederland”, New York Branch, TD Bank N.A. and U.S. Bank National Association, as Co-Documentation Agents; and the several other banks and other financial institutions from time to time parties thereto</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10.1]</w:t>
      </w:r>
    </w:p>
    <w:p>
      <w:pPr>
        <w:spacing w:after="0" w:line="2074"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10.2(b)</w:t>
            </w:r>
          </w:p>
        </w:tc>
        <w:tc>
          <w:tcPr>
            <w:tcW w:w="1480" w:type="dxa"/>
            <w:vAlign w:val="bottom"/>
          </w:tcPr>
          <w:p>
            <w:pPr>
              <w:ind w:left="500"/>
              <w:spacing w:after="0"/>
              <w:rPr>
                <w:sz w:val="20"/>
                <w:szCs w:val="20"/>
                <w:color w:val="auto"/>
              </w:rPr>
            </w:pPr>
            <w:r>
              <w:rPr>
                <w:rFonts w:ascii="Arial" w:cs="Arial" w:eastAsia="Arial" w:hAnsi="Arial"/>
                <w:sz w:val="18"/>
                <w:szCs w:val="18"/>
                <w:color w:val="auto"/>
                <w:w w:val="98"/>
              </w:rPr>
              <w:t>Amendment</w:t>
            </w:r>
          </w:p>
        </w:tc>
        <w:tc>
          <w:tcPr>
            <w:tcW w:w="3280" w:type="dxa"/>
            <w:vAlign w:val="bottom"/>
            <w:gridSpan w:val="2"/>
          </w:tcPr>
          <w:p>
            <w:pPr>
              <w:spacing w:after="0"/>
              <w:rPr>
                <w:sz w:val="20"/>
                <w:szCs w:val="20"/>
                <w:color w:val="auto"/>
              </w:rPr>
            </w:pPr>
            <w:r>
              <w:rPr>
                <w:rFonts w:ascii="Arial" w:cs="Arial" w:eastAsia="Arial" w:hAnsi="Arial"/>
                <w:sz w:val="18"/>
                <w:szCs w:val="18"/>
                <w:color w:val="auto"/>
              </w:rPr>
              <w:t>No. 1, dated as of February 8, 2016, to</w:t>
            </w:r>
          </w:p>
        </w:tc>
        <w:tc>
          <w:tcPr>
            <w:tcW w:w="580" w:type="dxa"/>
            <w:vAlign w:val="bottom"/>
          </w:tcPr>
          <w:p>
            <w:pPr>
              <w:jc w:val="right"/>
              <w:spacing w:after="0"/>
              <w:rPr>
                <w:sz w:val="20"/>
                <w:szCs w:val="20"/>
                <w:color w:val="auto"/>
              </w:rPr>
            </w:pPr>
            <w:r>
              <w:rPr>
                <w:rFonts w:ascii="Arial" w:cs="Arial" w:eastAsia="Arial" w:hAnsi="Arial"/>
                <w:sz w:val="18"/>
                <w:szCs w:val="18"/>
                <w:color w:val="auto"/>
              </w:rPr>
              <w:t>Fourth</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0"/>
              </w:rPr>
              <w:t>Amended and Restated Credit Agreement dated October 29, 2015,</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3"/>
              </w:rPr>
              <w:t>by and among The Scotts Miracle-Gro Company, as a Borrower;</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4"/>
              </w:rPr>
              <w:t>the Subsidiary Borrowers (as defined therein); JPMorgan Chase</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5"/>
              </w:rPr>
              <w:t>Bank, N.A., as Administrative Agent; Bank of America, N.A. and</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rPr>
              <w:t>Wells Fargo Bank, National Association, as Co- Syndication</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8"/>
              </w:rPr>
              <w:t>Agents;  CoBank,  ACB,  Mizuho  Bank,  LTD.,  Coöperatieve</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rPr>
              <w:t>Rabobank  U.S.,  New  York  Branch  (formerly  known  as</w:t>
            </w:r>
          </w:p>
        </w:tc>
      </w:tr>
      <w:tr>
        <w:trPr>
          <w:trHeight w:val="216"/>
        </w:trPr>
        <w:tc>
          <w:tcPr>
            <w:tcW w:w="1000" w:type="dxa"/>
            <w:vAlign w:val="bottom"/>
          </w:tcPr>
          <w:p>
            <w:pPr>
              <w:spacing w:after="0"/>
              <w:rPr>
                <w:sz w:val="18"/>
                <w:szCs w:val="18"/>
                <w:color w:val="auto"/>
              </w:rPr>
            </w:pPr>
          </w:p>
        </w:tc>
        <w:tc>
          <w:tcPr>
            <w:tcW w:w="1480" w:type="dxa"/>
            <w:vAlign w:val="bottom"/>
          </w:tcPr>
          <w:p>
            <w:pPr>
              <w:ind w:left="500"/>
              <w:spacing w:after="0"/>
              <w:rPr>
                <w:sz w:val="20"/>
                <w:szCs w:val="20"/>
                <w:color w:val="auto"/>
              </w:rPr>
            </w:pPr>
            <w:r>
              <w:rPr>
                <w:rFonts w:ascii="Arial" w:cs="Arial" w:eastAsia="Arial" w:hAnsi="Arial"/>
                <w:sz w:val="18"/>
                <w:szCs w:val="18"/>
                <w:color w:val="auto"/>
                <w:w w:val="89"/>
              </w:rPr>
              <w:t>Coöperatieve</w:t>
            </w:r>
          </w:p>
        </w:tc>
        <w:tc>
          <w:tcPr>
            <w:tcW w:w="1060" w:type="dxa"/>
            <w:vAlign w:val="bottom"/>
          </w:tcPr>
          <w:p>
            <w:pPr>
              <w:ind w:left="300"/>
              <w:spacing w:after="0"/>
              <w:rPr>
                <w:sz w:val="20"/>
                <w:szCs w:val="20"/>
                <w:color w:val="auto"/>
              </w:rPr>
            </w:pPr>
            <w:r>
              <w:rPr>
                <w:rFonts w:ascii="Arial" w:cs="Arial" w:eastAsia="Arial" w:hAnsi="Arial"/>
                <w:sz w:val="18"/>
                <w:szCs w:val="18"/>
                <w:color w:val="auto"/>
              </w:rPr>
              <w:t>Centrale</w:t>
            </w:r>
          </w:p>
        </w:tc>
        <w:tc>
          <w:tcPr>
            <w:tcW w:w="2220" w:type="dxa"/>
            <w:vAlign w:val="bottom"/>
          </w:tcPr>
          <w:p>
            <w:pPr>
              <w:ind w:left="180"/>
              <w:spacing w:after="0"/>
              <w:rPr>
                <w:sz w:val="20"/>
                <w:szCs w:val="20"/>
                <w:color w:val="auto"/>
              </w:rPr>
            </w:pPr>
            <w:r>
              <w:rPr>
                <w:rFonts w:ascii="Arial" w:cs="Arial" w:eastAsia="Arial" w:hAnsi="Arial"/>
                <w:sz w:val="18"/>
                <w:szCs w:val="18"/>
                <w:color w:val="auto"/>
                <w:w w:val="93"/>
              </w:rPr>
              <w:t>Raiffeisen-Boerenleenbank</w:t>
            </w:r>
          </w:p>
        </w:tc>
        <w:tc>
          <w:tcPr>
            <w:tcW w:w="580" w:type="dxa"/>
            <w:vAlign w:val="bottom"/>
          </w:tcPr>
          <w:p>
            <w:pPr>
              <w:jc w:val="right"/>
              <w:spacing w:after="0"/>
              <w:rPr>
                <w:sz w:val="20"/>
                <w:szCs w:val="20"/>
                <w:color w:val="auto"/>
              </w:rPr>
            </w:pPr>
            <w:r>
              <w:rPr>
                <w:rFonts w:ascii="Arial" w:cs="Arial" w:eastAsia="Arial" w:hAnsi="Arial"/>
                <w:sz w:val="18"/>
                <w:szCs w:val="18"/>
                <w:color w:val="auto"/>
              </w:rPr>
              <w:t>B.A.</w:t>
            </w:r>
          </w:p>
        </w:tc>
      </w:tr>
      <w:tr>
        <w:trPr>
          <w:trHeight w:val="216"/>
        </w:trPr>
        <w:tc>
          <w:tcPr>
            <w:tcW w:w="1000" w:type="dxa"/>
            <w:vAlign w:val="bottom"/>
          </w:tcPr>
          <w:p>
            <w:pPr>
              <w:spacing w:after="0"/>
              <w:rPr>
                <w:sz w:val="18"/>
                <w:szCs w:val="18"/>
                <w:color w:val="auto"/>
              </w:rPr>
            </w:pPr>
          </w:p>
        </w:tc>
        <w:tc>
          <w:tcPr>
            <w:tcW w:w="5340" w:type="dxa"/>
            <w:vAlign w:val="bottom"/>
            <w:gridSpan w:val="4"/>
          </w:tcPr>
          <w:p>
            <w:pPr>
              <w:ind w:left="500"/>
              <w:spacing w:after="0"/>
              <w:rPr>
                <w:sz w:val="20"/>
                <w:szCs w:val="20"/>
                <w:color w:val="auto"/>
              </w:rPr>
            </w:pPr>
            <w:r>
              <w:rPr>
                <w:rFonts w:ascii="Arial" w:cs="Arial" w:eastAsia="Arial" w:hAnsi="Arial"/>
                <w:sz w:val="18"/>
                <w:szCs w:val="18"/>
                <w:color w:val="auto"/>
                <w:w w:val="97"/>
              </w:rPr>
              <w:t>“Rabobank Nederland”, New York Branch), TD Bank N.A. and</w:t>
            </w:r>
          </w:p>
        </w:tc>
      </w:tr>
      <w:tr>
        <w:trPr>
          <w:trHeight w:val="230"/>
        </w:trPr>
        <w:tc>
          <w:tcPr>
            <w:tcW w:w="1000" w:type="dxa"/>
            <w:vAlign w:val="bottom"/>
          </w:tcPr>
          <w:p>
            <w:pPr>
              <w:spacing w:after="0"/>
              <w:rPr>
                <w:sz w:val="20"/>
                <w:szCs w:val="20"/>
                <w:color w:val="auto"/>
              </w:rPr>
            </w:pPr>
          </w:p>
        </w:tc>
        <w:tc>
          <w:tcPr>
            <w:tcW w:w="4760" w:type="dxa"/>
            <w:vAlign w:val="bottom"/>
            <w:gridSpan w:val="3"/>
          </w:tcPr>
          <w:p>
            <w:pPr>
              <w:ind w:left="500"/>
              <w:spacing w:after="0"/>
              <w:rPr>
                <w:sz w:val="20"/>
                <w:szCs w:val="20"/>
                <w:color w:val="auto"/>
              </w:rPr>
            </w:pPr>
            <w:r>
              <w:rPr>
                <w:rFonts w:ascii="Arial" w:cs="Arial" w:eastAsia="Arial" w:hAnsi="Arial"/>
                <w:sz w:val="18"/>
                <w:szCs w:val="18"/>
                <w:color w:val="auto"/>
                <w:w w:val="97"/>
              </w:rPr>
              <w:t>U.S. Bank National Association, as Co-Documentation</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Agents;</w:t>
            </w:r>
          </w:p>
        </w:tc>
      </w:tr>
    </w:tbl>
    <w:p>
      <w:pPr>
        <w:ind w:left="1500"/>
        <w:spacing w:after="0" w:line="261" w:lineRule="auto"/>
        <w:rPr>
          <w:sz w:val="20"/>
          <w:szCs w:val="20"/>
          <w:color w:val="auto"/>
        </w:rPr>
      </w:pPr>
      <w:r>
        <w:rPr>
          <w:rFonts w:ascii="Arial" w:cs="Arial" w:eastAsia="Arial" w:hAnsi="Arial"/>
          <w:sz w:val="18"/>
          <w:szCs w:val="18"/>
          <w:color w:val="auto"/>
        </w:rPr>
        <w:t>and the several other banks and other financial institutions from time to time parties thereto</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2016 filed February 11, 2016 [Exhibit 10.3]</w:t>
      </w:r>
    </w:p>
    <w:p>
      <w:pPr>
        <w:spacing w:after="0" w:line="2301"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jc w:val="both"/>
        <w:ind w:left="1500" w:hanging="1498"/>
        <w:spacing w:after="0" w:line="273" w:lineRule="auto"/>
        <w:tabs>
          <w:tab w:leader="none" w:pos="1480" w:val="left"/>
        </w:tabs>
        <w:rPr>
          <w:sz w:val="20"/>
          <w:szCs w:val="20"/>
          <w:color w:val="auto"/>
        </w:rPr>
      </w:pPr>
      <w:r>
        <w:rPr>
          <w:rFonts w:ascii="Arial" w:cs="Arial" w:eastAsia="Arial" w:hAnsi="Arial"/>
          <w:sz w:val="18"/>
          <w:szCs w:val="18"/>
          <w:color w:val="auto"/>
        </w:rPr>
        <w:t>10.2(c)</w:t>
      </w:r>
      <w:r>
        <w:rPr>
          <w:sz w:val="20"/>
          <w:szCs w:val="20"/>
          <w:color w:val="auto"/>
        </w:rPr>
        <w:tab/>
      </w:r>
      <w:r>
        <w:rPr>
          <w:rFonts w:ascii="Arial" w:cs="Arial" w:eastAsia="Arial" w:hAnsi="Arial"/>
          <w:sz w:val="17"/>
          <w:szCs w:val="17"/>
          <w:color w:val="auto"/>
        </w:rPr>
        <w:t>Fourth Amended and Restated Guarantee and Collateral Agreement, dated as of October 29, 2015, made by The Scotts Miracle-Gro Company, each domestic Subsidiary Borrower under the Fourth Amended and 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November 3, 2015 [Exhibit 10.2]</w:t>
      </w:r>
    </w:p>
    <w:p>
      <w:pPr>
        <w:spacing w:after="0" w:line="1056"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360"/>
          </w:cols>
          <w:pgMar w:left="280" w:top="1341" w:right="25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10.2(d)</w:t>
            </w:r>
          </w:p>
        </w:tc>
        <w:tc>
          <w:tcPr>
            <w:tcW w:w="5340" w:type="dxa"/>
            <w:vAlign w:val="bottom"/>
          </w:tcPr>
          <w:p>
            <w:pPr>
              <w:ind w:left="500"/>
              <w:spacing w:after="0"/>
              <w:rPr>
                <w:sz w:val="20"/>
                <w:szCs w:val="20"/>
                <w:color w:val="auto"/>
              </w:rPr>
            </w:pPr>
            <w:r>
              <w:rPr>
                <w:rFonts w:ascii="Arial" w:cs="Arial" w:eastAsia="Arial" w:hAnsi="Arial"/>
                <w:sz w:val="18"/>
                <w:szCs w:val="18"/>
                <w:color w:val="auto"/>
                <w:w w:val="94"/>
              </w:rPr>
              <w:t>Amendment No. 1, dated July 29, 2016, to Fourth Amended and</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89"/>
              </w:rPr>
              <w:t>Restated Guarantee and Collateral Agreement, dated as of October</w:t>
            </w:r>
          </w:p>
        </w:tc>
      </w:tr>
      <w:tr>
        <w:trPr>
          <w:trHeight w:val="216"/>
        </w:trPr>
        <w:tc>
          <w:tcPr>
            <w:tcW w:w="1000" w:type="dxa"/>
            <w:vAlign w:val="bottom"/>
          </w:tcPr>
          <w:p>
            <w:pPr>
              <w:spacing w:after="0"/>
              <w:rPr>
                <w:sz w:val="18"/>
                <w:szCs w:val="18"/>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4"/>
              </w:rPr>
              <w:t>29,  2015,  made  by  The  Scotts  Miracle-Gro  Company,  each</w:t>
            </w:r>
          </w:p>
        </w:tc>
      </w:tr>
      <w:tr>
        <w:trPr>
          <w:trHeight w:val="230"/>
        </w:trPr>
        <w:tc>
          <w:tcPr>
            <w:tcW w:w="1000" w:type="dxa"/>
            <w:vAlign w:val="bottom"/>
          </w:tcPr>
          <w:p>
            <w:pPr>
              <w:spacing w:after="0"/>
              <w:rPr>
                <w:sz w:val="20"/>
                <w:szCs w:val="20"/>
                <w:color w:val="auto"/>
              </w:rPr>
            </w:pPr>
          </w:p>
        </w:tc>
        <w:tc>
          <w:tcPr>
            <w:tcW w:w="5340" w:type="dxa"/>
            <w:vAlign w:val="bottom"/>
          </w:tcPr>
          <w:p>
            <w:pPr>
              <w:ind w:left="500"/>
              <w:spacing w:after="0"/>
              <w:rPr>
                <w:sz w:val="20"/>
                <w:szCs w:val="20"/>
                <w:color w:val="auto"/>
              </w:rPr>
            </w:pPr>
            <w:r>
              <w:rPr>
                <w:rFonts w:ascii="Arial" w:cs="Arial" w:eastAsia="Arial" w:hAnsi="Arial"/>
                <w:sz w:val="18"/>
                <w:szCs w:val="18"/>
                <w:color w:val="auto"/>
                <w:w w:val="97"/>
              </w:rPr>
              <w:t>domestic Subsidiary Borrower under the Fourth Amended and</w:t>
            </w:r>
          </w:p>
        </w:tc>
      </w:tr>
    </w:tbl>
    <w:p>
      <w:pPr>
        <w:jc w:val="both"/>
        <w:ind w:left="1500"/>
        <w:spacing w:after="0" w:line="255" w:lineRule="auto"/>
        <w:rPr>
          <w:sz w:val="20"/>
          <w:szCs w:val="20"/>
          <w:color w:val="auto"/>
        </w:rPr>
      </w:pPr>
      <w:r>
        <w:rPr>
          <w:rFonts w:ascii="Arial" w:cs="Arial" w:eastAsia="Arial" w:hAnsi="Arial"/>
          <w:sz w:val="18"/>
          <w:szCs w:val="18"/>
          <w:color w:val="auto"/>
        </w:rPr>
        <w:t>Restated Credit Agreement, and certain of its and their domestic subsidiaries, in favor of JPMorgan Chase Bank, N.A., as Administrative Agent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2, 2016 filed August 10, 2016 [Exhibit 10]</w:t>
      </w:r>
    </w:p>
    <w:p>
      <w:pPr>
        <w:spacing w:after="0" w:line="1005" w:lineRule="exact"/>
        <w:rPr>
          <w:sz w:val="20"/>
          <w:szCs w:val="20"/>
          <w:color w:val="auto"/>
        </w:rPr>
      </w:pPr>
    </w:p>
    <w:p>
      <w:pPr>
        <w:sectPr>
          <w:pgSz w:w="11900" w:h="16838" w:orient="portrait"/>
          <w:cols w:equalWidth="0" w:num="2">
            <w:col w:w="6340" w:space="160"/>
            <w:col w:w="4860"/>
          </w:cols>
          <w:pgMar w:left="280" w:top="1341"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10.3(a)†</w:t>
            </w: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The  Scotts  Miracle-Gro  Company  Long-Term  Incentive  Plan</w:t>
            </w:r>
          </w:p>
        </w:tc>
      </w:tr>
      <w:tr>
        <w:trPr>
          <w:trHeight w:val="216"/>
        </w:trPr>
        <w:tc>
          <w:tcPr>
            <w:tcW w:w="104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4"/>
              </w:rPr>
              <w:t>(reflects amendment and restatement of plan formerly known as</w:t>
            </w:r>
          </w:p>
        </w:tc>
      </w:tr>
      <w:tr>
        <w:trPr>
          <w:trHeight w:val="216"/>
        </w:trPr>
        <w:tc>
          <w:tcPr>
            <w:tcW w:w="104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9"/>
              </w:rPr>
              <w:t>The Scotts Miracle-Gro Company 2006 Long-Term Incentive</w:t>
            </w:r>
          </w:p>
        </w:tc>
      </w:tr>
      <w:tr>
        <w:trPr>
          <w:trHeight w:val="230"/>
        </w:trPr>
        <w:tc>
          <w:tcPr>
            <w:tcW w:w="104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rPr>
              <w:t>Plan) [effective as of January 17, 2013]</w:t>
            </w: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January 24, 2013 [Exhibit 10.1]</w:t>
      </w:r>
    </w:p>
    <w:p>
      <w:pPr>
        <w:spacing w:after="0" w:line="561"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10.3(b)†</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2"/>
              </w:rPr>
              <w:t>Nonemployee Directors (with Related Dividend Equivalents) used</w:t>
            </w:r>
          </w:p>
        </w:tc>
      </w:tr>
      <w:tr>
        <w:trPr>
          <w:trHeight w:val="230"/>
        </w:trPr>
        <w:tc>
          <w:tcPr>
            <w:tcW w:w="114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to evidence grants under the Long-Term Incentive Plan</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10.3(c)†</w:t>
            </w:r>
          </w:p>
        </w:tc>
        <w:tc>
          <w:tcPr>
            <w:tcW w:w="5200" w:type="dxa"/>
            <w:vAlign w:val="bottom"/>
          </w:tcPr>
          <w:p>
            <w:pPr>
              <w:ind w:left="360"/>
              <w:spacing w:after="0"/>
              <w:rPr>
                <w:sz w:val="20"/>
                <w:szCs w:val="20"/>
                <w:color w:val="auto"/>
              </w:rPr>
            </w:pPr>
            <w:r>
              <w:rPr>
                <w:rFonts w:ascii="Arial" w:cs="Arial" w:eastAsia="Arial" w:hAnsi="Arial"/>
                <w:sz w:val="18"/>
                <w:szCs w:val="18"/>
                <w:color w:val="auto"/>
              </w:rPr>
              <w:t>Specimen form of Deferred Stock Unit Award Agreement for</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1"/>
              </w:rPr>
              <w:t>Nonemployee Directors Retainer Deferrals (with Related Dividend</w:t>
            </w:r>
          </w:p>
        </w:tc>
      </w:tr>
      <w:tr>
        <w:trPr>
          <w:trHeight w:val="216"/>
        </w:trPr>
        <w:tc>
          <w:tcPr>
            <w:tcW w:w="1140" w:type="dxa"/>
            <w:vAlign w:val="bottom"/>
          </w:tcPr>
          <w:p>
            <w:pPr>
              <w:spacing w:after="0"/>
              <w:rPr>
                <w:sz w:val="18"/>
                <w:szCs w:val="18"/>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89"/>
              </w:rPr>
              <w:t>Equivalents) used to evidence grants which may be made under the</w:t>
            </w:r>
          </w:p>
        </w:tc>
      </w:tr>
      <w:tr>
        <w:trPr>
          <w:trHeight w:val="230"/>
        </w:trPr>
        <w:tc>
          <w:tcPr>
            <w:tcW w:w="114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rPr>
              <w:t>Long-Term Incentive Plan</w:t>
            </w:r>
          </w:p>
        </w:tc>
      </w:tr>
      <w:tr>
        <w:trPr>
          <w:trHeight w:val="377"/>
        </w:trPr>
        <w:tc>
          <w:tcPr>
            <w:tcW w:w="1140" w:type="dxa"/>
            <w:vAlign w:val="bottom"/>
          </w:tcPr>
          <w:p>
            <w:pPr>
              <w:spacing w:after="0"/>
              <w:rPr>
                <w:sz w:val="20"/>
                <w:szCs w:val="20"/>
                <w:color w:val="auto"/>
              </w:rPr>
            </w:pPr>
            <w:r>
              <w:rPr>
                <w:rFonts w:ascii="Arial" w:cs="Arial" w:eastAsia="Arial" w:hAnsi="Arial"/>
                <w:sz w:val="18"/>
                <w:szCs w:val="18"/>
                <w:color w:val="auto"/>
              </w:rPr>
              <w:t>10.3(d)(i)†</w:t>
            </w:r>
          </w:p>
        </w:tc>
        <w:tc>
          <w:tcPr>
            <w:tcW w:w="5200" w:type="dxa"/>
            <w:vAlign w:val="bottom"/>
          </w:tcPr>
          <w:p>
            <w:pPr>
              <w:ind w:left="360"/>
              <w:spacing w:after="0"/>
              <w:rPr>
                <w:sz w:val="20"/>
                <w:szCs w:val="20"/>
                <w:color w:val="auto"/>
              </w:rPr>
            </w:pPr>
            <w:r>
              <w:rPr>
                <w:rFonts w:ascii="Arial" w:cs="Arial" w:eastAsia="Arial" w:hAnsi="Arial"/>
                <w:sz w:val="18"/>
                <w:szCs w:val="18"/>
                <w:color w:val="auto"/>
                <w:w w:val="95"/>
              </w:rPr>
              <w:t>Form of Restricted Stock Unit Award Agreement for Employees</w:t>
            </w:r>
          </w:p>
        </w:tc>
      </w:tr>
      <w:tr>
        <w:trPr>
          <w:trHeight w:val="230"/>
        </w:trPr>
        <w:tc>
          <w:tcPr>
            <w:tcW w:w="1140" w:type="dxa"/>
            <w:vAlign w:val="bottom"/>
          </w:tcPr>
          <w:p>
            <w:pPr>
              <w:spacing w:after="0"/>
              <w:rPr>
                <w:sz w:val="20"/>
                <w:szCs w:val="20"/>
                <w:color w:val="auto"/>
              </w:rPr>
            </w:pPr>
          </w:p>
        </w:tc>
        <w:tc>
          <w:tcPr>
            <w:tcW w:w="5200" w:type="dxa"/>
            <w:vAlign w:val="bottom"/>
          </w:tcPr>
          <w:p>
            <w:pPr>
              <w:ind w:left="360"/>
              <w:spacing w:after="0"/>
              <w:rPr>
                <w:sz w:val="20"/>
                <w:szCs w:val="20"/>
                <w:color w:val="auto"/>
              </w:rPr>
            </w:pPr>
            <w:r>
              <w:rPr>
                <w:rFonts w:ascii="Arial" w:cs="Arial" w:eastAsia="Arial" w:hAnsi="Arial"/>
                <w:sz w:val="18"/>
                <w:szCs w:val="18"/>
                <w:color w:val="auto"/>
                <w:w w:val="98"/>
              </w:rPr>
              <w:t>(with Related Dividend Equivalents) used to evidence grant of</w:t>
            </w:r>
          </w:p>
        </w:tc>
      </w:tr>
    </w:tbl>
    <w:p>
      <w:pPr>
        <w:jc w:val="both"/>
        <w:ind w:left="1500"/>
        <w:spacing w:after="0" w:line="255" w:lineRule="auto"/>
        <w:rPr>
          <w:sz w:val="20"/>
          <w:szCs w:val="20"/>
          <w:color w:val="auto"/>
        </w:rPr>
      </w:pPr>
      <w:r>
        <w:rPr>
          <w:rFonts w:ascii="Arial" w:cs="Arial" w:eastAsia="Arial" w:hAnsi="Arial"/>
          <w:sz w:val="18"/>
          <w:szCs w:val="18"/>
          <w:color w:val="auto"/>
        </w:rPr>
        <w:t>Restricted Stock Units made on December 11, 2013 to James Hagedorn under The Scotts Miracle-Gro Company Long-Term Incentive Plan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10.4]</w:t>
      </w:r>
    </w:p>
    <w:p>
      <w:pPr>
        <w:spacing w:after="0" w:line="3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28, 2013 filed February 6, 2014 [Exhibit 10.10]</w:t>
      </w:r>
    </w:p>
    <w:p>
      <w:pPr>
        <w:spacing w:after="0" w:line="557"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tabs>
          <w:tab w:leader="none" w:pos="1480" w:val="left"/>
        </w:tabs>
        <w:rPr>
          <w:sz w:val="20"/>
          <w:szCs w:val="20"/>
          <w:color w:val="auto"/>
        </w:rPr>
      </w:pPr>
      <w:r>
        <w:rPr>
          <w:rFonts w:ascii="Arial" w:cs="Arial" w:eastAsia="Arial" w:hAnsi="Arial"/>
          <w:sz w:val="18"/>
          <w:szCs w:val="18"/>
          <w:color w:val="auto"/>
        </w:rPr>
        <w:t>10.3(d)(ii)†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00"/>
        <w:spacing w:after="0"/>
        <w:tabs>
          <w:tab w:leader="none" w:pos="2100" w:val="left"/>
          <w:tab w:leader="none" w:pos="2720" w:val="left"/>
          <w:tab w:leader="none" w:pos="4240" w:val="left"/>
          <w:tab w:leader="none" w:pos="4860" w:val="left"/>
          <w:tab w:leader="none" w:pos="5640" w:val="left"/>
        </w:tabs>
        <w:rPr>
          <w:sz w:val="20"/>
          <w:szCs w:val="20"/>
          <w:color w:val="auto"/>
        </w:rPr>
      </w:pPr>
      <w:r>
        <w:rPr>
          <w:rFonts w:ascii="Arial" w:cs="Arial" w:eastAsia="Arial" w:hAnsi="Arial"/>
          <w:sz w:val="18"/>
          <w:szCs w:val="18"/>
          <w:color w:val="auto"/>
        </w:rPr>
        <w:t>Third</w:t>
        <w:tab/>
        <w:t>Party</w:t>
        <w:tab/>
        <w:t>Service-Providers</w:t>
        <w:tab/>
        <w:t>(with</w:t>
        <w:tab/>
        <w:t>Related</w:t>
      </w:r>
      <w:r>
        <w:rPr>
          <w:sz w:val="20"/>
          <w:szCs w:val="20"/>
          <w:color w:val="auto"/>
        </w:rPr>
        <w:tab/>
      </w:r>
      <w:r>
        <w:rPr>
          <w:rFonts w:ascii="Arial" w:cs="Arial" w:eastAsia="Arial" w:hAnsi="Arial"/>
          <w:sz w:val="17"/>
          <w:szCs w:val="17"/>
          <w:color w:val="auto"/>
        </w:rPr>
        <w:t>Dividend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Equivalents) used to evidence grants which may be made under the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Long-Term Incentive Plan</w:t>
      </w:r>
    </w:p>
    <w:p>
      <w:pPr>
        <w:spacing w:after="0" w:line="170"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10.3(d)(iii)†</w:t>
      </w:r>
      <w:r>
        <w:rPr>
          <w:sz w:val="20"/>
          <w:szCs w:val="20"/>
          <w:color w:val="auto"/>
        </w:rPr>
        <w:tab/>
      </w:r>
      <w:r>
        <w:rPr>
          <w:rFonts w:ascii="Arial" w:cs="Arial" w:eastAsia="Arial" w:hAnsi="Arial"/>
          <w:sz w:val="17"/>
          <w:szCs w:val="17"/>
          <w:color w:val="auto"/>
        </w:rPr>
        <w:t>Specimen form of Restricted Stock Unit Award Agreement for</w:t>
      </w:r>
    </w:p>
    <w:p>
      <w:pPr>
        <w:spacing w:after="0" w:line="23" w:lineRule="exact"/>
        <w:rPr>
          <w:sz w:val="20"/>
          <w:szCs w:val="20"/>
          <w:color w:val="auto"/>
        </w:rPr>
      </w:pPr>
    </w:p>
    <w:p>
      <w:pPr>
        <w:ind w:left="1500"/>
        <w:spacing w:after="0" w:line="323" w:lineRule="auto"/>
        <w:rPr>
          <w:sz w:val="20"/>
          <w:szCs w:val="20"/>
          <w:color w:val="auto"/>
        </w:rPr>
      </w:pPr>
      <w:r>
        <w:rPr>
          <w:rFonts w:ascii="Arial" w:cs="Arial" w:eastAsia="Arial" w:hAnsi="Arial"/>
          <w:sz w:val="16"/>
          <w:szCs w:val="16"/>
          <w:color w:val="auto"/>
        </w:rPr>
        <w:t>Employees (with Related Dividend Equivalents) used to evidence grants which may be made under the Long-Term Incentive Plan</w:t>
      </w:r>
    </w:p>
    <w:p>
      <w:pPr>
        <w:spacing w:after="0" w:line="9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10.3(e)†</w:t>
      </w:r>
      <w:r>
        <w:rPr>
          <w:sz w:val="20"/>
          <w:szCs w:val="20"/>
          <w:color w:val="auto"/>
        </w:rPr>
        <w:tab/>
      </w:r>
      <w:r>
        <w:rPr>
          <w:rFonts w:ascii="Arial" w:cs="Arial" w:eastAsia="Arial" w:hAnsi="Arial"/>
          <w:sz w:val="17"/>
          <w:szCs w:val="17"/>
          <w:color w:val="auto"/>
        </w:rPr>
        <w:t>Specimen  form  of  Performance  Unit  Award  Agreement  for</w:t>
      </w:r>
    </w:p>
    <w:p>
      <w:pPr>
        <w:spacing w:after="0" w:line="23" w:lineRule="exact"/>
        <w:rPr>
          <w:sz w:val="20"/>
          <w:szCs w:val="20"/>
          <w:color w:val="auto"/>
        </w:rPr>
      </w:pPr>
    </w:p>
    <w:p>
      <w:pPr>
        <w:ind w:left="1500"/>
        <w:spacing w:after="0" w:line="323" w:lineRule="auto"/>
        <w:rPr>
          <w:sz w:val="20"/>
          <w:szCs w:val="20"/>
          <w:color w:val="auto"/>
        </w:rPr>
      </w:pPr>
      <w:r>
        <w:rPr>
          <w:rFonts w:ascii="Arial" w:cs="Arial" w:eastAsia="Arial" w:hAnsi="Arial"/>
          <w:sz w:val="16"/>
          <w:szCs w:val="16"/>
          <w:color w:val="auto"/>
        </w:rPr>
        <w:t>Employees (with Related Dividend Equivalents) used to evidence grants which may be made under the Long-Term Incentive Plan</w:t>
      </w:r>
    </w:p>
    <w:p>
      <w:pPr>
        <w:spacing w:after="0" w:line="9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10.3(f)(i)†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for Employees used to evidence grants of Nonqualified Stock</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Options made under The Scotts Miracle-Gro Company 2006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Long-Term Incentive Plan (now known as The Scotts Miracle-Gro</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Company Long-Term Incentive Plan) [October 30, 2007 through</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October 8, 2008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10.5]</w:t>
      </w:r>
    </w:p>
    <w:p>
      <w:pPr>
        <w:spacing w:after="0" w:line="3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10.8]</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10.6]</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filed November 29, 2007 [Exhibit 10(t)(3)]</w:t>
      </w:r>
    </w:p>
    <w:p>
      <w:pPr>
        <w:spacing w:after="0" w:line="788"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tabs>
          <w:tab w:leader="none" w:pos="1480" w:val="left"/>
        </w:tabs>
        <w:rPr>
          <w:sz w:val="20"/>
          <w:szCs w:val="20"/>
          <w:color w:val="auto"/>
        </w:rPr>
      </w:pPr>
      <w:r>
        <w:rPr>
          <w:rFonts w:ascii="Arial" w:cs="Arial" w:eastAsia="Arial" w:hAnsi="Arial"/>
          <w:sz w:val="18"/>
          <w:szCs w:val="18"/>
          <w:color w:val="auto"/>
        </w:rPr>
        <w:t>10.3(f)(ii)†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00"/>
        <w:spacing w:after="0"/>
        <w:tabs>
          <w:tab w:leader="none" w:pos="2100" w:val="left"/>
          <w:tab w:leader="none" w:pos="3200" w:val="left"/>
          <w:tab w:leader="none" w:pos="4080" w:val="left"/>
          <w:tab w:leader="none" w:pos="5080" w:val="left"/>
          <w:tab w:leader="none" w:pos="5940" w:val="left"/>
        </w:tabs>
        <w:rPr>
          <w:sz w:val="20"/>
          <w:szCs w:val="20"/>
          <w:color w:val="auto"/>
        </w:rPr>
      </w:pPr>
      <w:r>
        <w:rPr>
          <w:rFonts w:ascii="Arial" w:cs="Arial" w:eastAsia="Arial" w:hAnsi="Arial"/>
          <w:sz w:val="18"/>
          <w:szCs w:val="18"/>
          <w:color w:val="auto"/>
        </w:rPr>
        <w:t>Scotts</w:t>
        <w:tab/>
        <w:t>Miracle-Gro</w:t>
        <w:tab/>
        <w:t>Company</w:t>
        <w:tab/>
        <w:t>Long-Term</w:t>
        <w:tab/>
        <w:t>Incentive</w:t>
      </w:r>
      <w:r>
        <w:rPr>
          <w:sz w:val="20"/>
          <w:szCs w:val="20"/>
          <w:color w:val="auto"/>
        </w:rPr>
        <w:tab/>
      </w:r>
      <w:r>
        <w:rPr>
          <w:rFonts w:ascii="Arial" w:cs="Arial" w:eastAsia="Arial" w:hAnsi="Arial"/>
          <w:sz w:val="16"/>
          <w:szCs w:val="16"/>
          <w:color w:val="auto"/>
        </w:rPr>
        <w:t>Plan)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[January 20, 2010 through January 19, 2012 version]</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filed February 11, 2010 [Exhibit 10.4]</w:t>
      </w:r>
    </w:p>
    <w:p>
      <w:pPr>
        <w:sectPr>
          <w:pgSz w:w="11900" w:h="16838" w:orient="portrait"/>
          <w:cols w:equalWidth="0" w:num="2">
            <w:col w:w="6340" w:space="160"/>
            <w:col w:w="4860"/>
          </w:cols>
          <w:pgMar w:left="280" w:top="1341" w:right="259" w:bottom="1440" w:gutter="0" w:footer="0" w:header="0"/>
          <w:type w:val="continuous"/>
        </w:sectPr>
      </w:pPr>
    </w:p>
    <w:bookmarkStart w:id="129" w:name="page130"/>
    <w:bookmarkEnd w:id="129"/>
    <w:p>
      <w:pPr>
        <w:spacing w:after="0"/>
        <w:tabs>
          <w:tab w:leader="none" w:pos="1480" w:val="left"/>
        </w:tabs>
        <w:rPr>
          <w:sz w:val="20"/>
          <w:szCs w:val="20"/>
          <w:color w:val="auto"/>
        </w:rPr>
      </w:pPr>
      <w:r>
        <w:rPr>
          <w:rFonts w:ascii="Arial" w:cs="Arial" w:eastAsia="Arial" w:hAnsi="Arial"/>
          <w:sz w:val="18"/>
          <w:szCs w:val="18"/>
          <w:color w:val="auto"/>
        </w:rPr>
        <w:t>10.3(f)(iii)†</w:t>
      </w:r>
      <w:r>
        <w:rPr>
          <w:sz w:val="20"/>
          <w:szCs w:val="20"/>
          <w:color w:val="auto"/>
        </w:rPr>
        <w:tab/>
      </w:r>
      <w:r>
        <w:rPr>
          <w:rFonts w:ascii="Arial" w:cs="Arial" w:eastAsia="Arial" w:hAnsi="Arial"/>
          <w:sz w:val="17"/>
          <w:szCs w:val="17"/>
          <w:color w:val="auto"/>
        </w:rPr>
        <w:t>Specimen form of Nonqualified Stock Option Award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Employees used to evidence grants of Nonqualified Stock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Options made under The Scotts Miracle-Gro Company Amended</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and Restated 2006 Long-Term Incentive Plan (now known as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Scotts Miracle-Gro Company Long-Term Incentive Plan) [January</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 2012 through January 17, 2013 version]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filed February 8, 2012 [Exhibit 10.3]</w:t>
      </w:r>
    </w:p>
    <w:p>
      <w:pPr>
        <w:spacing w:after="0" w:line="772" w:lineRule="exact"/>
        <w:rPr>
          <w:sz w:val="20"/>
          <w:szCs w:val="20"/>
          <w:color w:val="auto"/>
        </w:rPr>
      </w:pPr>
    </w:p>
    <w:p>
      <w:pPr>
        <w:sectPr>
          <w:pgSz w:w="11900" w:h="16838" w:orient="portrait"/>
          <w:cols w:equalWidth="0" w:num="2">
            <w:col w:w="6340" w:space="160"/>
            <w:col w:w="4860"/>
          </w:cols>
          <w:pgMar w:left="280" w:top="1341"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10.3(f)(iv)†</w:t>
            </w:r>
          </w:p>
        </w:tc>
        <w:tc>
          <w:tcPr>
            <w:tcW w:w="5180" w:type="dxa"/>
            <w:vAlign w:val="bottom"/>
          </w:tcPr>
          <w:p>
            <w:pPr>
              <w:ind w:left="340"/>
              <w:spacing w:after="0"/>
              <w:rPr>
                <w:sz w:val="20"/>
                <w:szCs w:val="20"/>
                <w:color w:val="auto"/>
              </w:rPr>
            </w:pPr>
            <w:r>
              <w:rPr>
                <w:rFonts w:ascii="Arial" w:cs="Arial" w:eastAsia="Arial" w:hAnsi="Arial"/>
                <w:sz w:val="18"/>
                <w:szCs w:val="18"/>
                <w:color w:val="auto"/>
                <w:w w:val="95"/>
              </w:rPr>
              <w:t>Specimen form of Nonqualified Stock Option Award Agreement</w:t>
            </w:r>
          </w:p>
        </w:tc>
      </w:tr>
      <w:tr>
        <w:trPr>
          <w:trHeight w:val="216"/>
        </w:trPr>
        <w:tc>
          <w:tcPr>
            <w:tcW w:w="116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1"/>
              </w:rPr>
              <w:t>for Employees used to evidence grants which may be made under</w:t>
            </w:r>
          </w:p>
        </w:tc>
      </w:tr>
      <w:tr>
        <w:trPr>
          <w:trHeight w:val="230"/>
        </w:trPr>
        <w:tc>
          <w:tcPr>
            <w:tcW w:w="116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7"/>
              </w:rPr>
              <w:t>the Long-Term Incentive Plan [post-January 17, 2013 version]</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10.4(a)†</w:t>
            </w: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The Scotts Company LLC Amended and Restated Executive</w:t>
            </w:r>
          </w:p>
        </w:tc>
      </w:tr>
      <w:tr>
        <w:trPr>
          <w:trHeight w:val="230"/>
        </w:trPr>
        <w:tc>
          <w:tcPr>
            <w:tcW w:w="116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Incentive Plan (effective as of January 30, 2014)</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10.4(b)(i)†</w:t>
            </w: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Specimen form of Employee Confidentiality, Noncompetition,</w:t>
            </w:r>
          </w:p>
        </w:tc>
      </w:tr>
      <w:tr>
        <w:trPr>
          <w:trHeight w:val="216"/>
        </w:trPr>
        <w:tc>
          <w:tcPr>
            <w:tcW w:w="116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9"/>
              </w:rPr>
              <w:t>Nonsolicitation Agreement for employees participating in The</w:t>
            </w:r>
          </w:p>
        </w:tc>
      </w:tr>
      <w:tr>
        <w:trPr>
          <w:trHeight w:val="230"/>
        </w:trPr>
        <w:tc>
          <w:tcPr>
            <w:tcW w:w="1160" w:type="dxa"/>
            <w:vAlign w:val="bottom"/>
          </w:tcPr>
          <w:p>
            <w:pPr>
              <w:spacing w:after="0"/>
              <w:rPr>
                <w:sz w:val="20"/>
                <w:szCs w:val="20"/>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w w:val="94"/>
              </w:rPr>
              <w:t>Scotts  Company  Executive/Management  Incentive  Plan  (now</w:t>
            </w:r>
          </w:p>
        </w:tc>
      </w:tr>
    </w:tbl>
    <w:p>
      <w:pPr>
        <w:ind w:left="1500"/>
        <w:spacing w:after="0" w:line="261" w:lineRule="auto"/>
        <w:rPr>
          <w:sz w:val="20"/>
          <w:szCs w:val="20"/>
          <w:color w:val="auto"/>
        </w:rPr>
      </w:pPr>
      <w:r>
        <w:rPr>
          <w:rFonts w:ascii="Arial" w:cs="Arial" w:eastAsia="Arial" w:hAnsi="Arial"/>
          <w:sz w:val="18"/>
          <w:szCs w:val="18"/>
          <w:color w:val="auto"/>
        </w:rPr>
        <w:t>known as The Scotts Company LLC Amended and Restated Executive Incentive Plan) [2005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10.7]</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February 5, 2014 [Exhibit 10.1]</w:t>
      </w:r>
    </w:p>
    <w:p>
      <w:pPr>
        <w:spacing w:after="0" w:line="13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filed November 25, 2008 [Exhibit 10.2(b)(i)]</w:t>
      </w:r>
    </w:p>
    <w:p>
      <w:pPr>
        <w:spacing w:after="0" w:line="572"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tabs>
          <w:tab w:leader="none" w:pos="1480" w:val="left"/>
        </w:tabs>
        <w:rPr>
          <w:sz w:val="20"/>
          <w:szCs w:val="20"/>
          <w:color w:val="auto"/>
        </w:rPr>
      </w:pPr>
      <w:r>
        <w:rPr>
          <w:rFonts w:ascii="Arial" w:cs="Arial" w:eastAsia="Arial" w:hAnsi="Arial"/>
          <w:sz w:val="18"/>
          <w:szCs w:val="18"/>
          <w:color w:val="auto"/>
        </w:rPr>
        <w:t>10.4(b)(ii)†</w:t>
      </w:r>
      <w:r>
        <w:rPr>
          <w:sz w:val="20"/>
          <w:szCs w:val="20"/>
          <w:color w:val="auto"/>
        </w:rPr>
        <w:tab/>
      </w:r>
      <w:r>
        <w:rPr>
          <w:rFonts w:ascii="Arial" w:cs="Arial" w:eastAsia="Arial" w:hAnsi="Arial"/>
          <w:sz w:val="17"/>
          <w:szCs w:val="17"/>
          <w:color w:val="auto"/>
        </w:rPr>
        <w:t>Specimen form of Employee Confidentiality, Noncompetition,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Nonsolicitation Agreement for employees participating in The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Scotts Company LLC Executive/Management Incentive Plan (now</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known as The Scotts Company LLC Amended and Restated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Executive Incentive Plan) [post-2005 version]</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filed August 10, 2006 [Exhibit 10.1]</w:t>
      </w:r>
    </w:p>
    <w:p>
      <w:pPr>
        <w:spacing w:after="0" w:line="572"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tabs>
          <w:tab w:leader="none" w:pos="1480" w:val="left"/>
          <w:tab w:leader="none" w:pos="2420" w:val="left"/>
          <w:tab w:leader="none" w:pos="3760" w:val="left"/>
          <w:tab w:leader="none" w:pos="5200" w:val="left"/>
        </w:tabs>
        <w:rPr>
          <w:sz w:val="20"/>
          <w:szCs w:val="20"/>
          <w:color w:val="auto"/>
        </w:rPr>
      </w:pPr>
      <w:r>
        <w:rPr>
          <w:rFonts w:ascii="Arial" w:cs="Arial" w:eastAsia="Arial" w:hAnsi="Arial"/>
          <w:sz w:val="18"/>
          <w:szCs w:val="18"/>
          <w:color w:val="auto"/>
        </w:rPr>
        <w:t>10.4(b)(iii)†</w:t>
      </w:r>
      <w:r>
        <w:rPr>
          <w:sz w:val="20"/>
          <w:szCs w:val="20"/>
          <w:color w:val="auto"/>
        </w:rPr>
        <w:tab/>
      </w:r>
      <w:r>
        <w:rPr>
          <w:rFonts w:ascii="Arial" w:cs="Arial" w:eastAsia="Arial" w:hAnsi="Arial"/>
          <w:sz w:val="18"/>
          <w:szCs w:val="18"/>
          <w:color w:val="auto"/>
        </w:rPr>
        <w:t>Employee</w:t>
        <w:tab/>
        <w:t>Confidentiality,</w:t>
        <w:tab/>
        <w:t>Noncompetition,</w:t>
      </w:r>
      <w:r>
        <w:rPr>
          <w:sz w:val="20"/>
          <w:szCs w:val="20"/>
          <w:color w:val="auto"/>
        </w:rPr>
        <w:tab/>
      </w:r>
      <w:r>
        <w:rPr>
          <w:rFonts w:ascii="Arial" w:cs="Arial" w:eastAsia="Arial" w:hAnsi="Arial"/>
          <w:sz w:val="17"/>
          <w:szCs w:val="17"/>
          <w:color w:val="auto"/>
        </w:rPr>
        <w:t>Nonsolicitation</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Agreement, dated as of December 12, 2013, by and between The</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Scotts Company LLC, all companies controlled by, controlling or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under common control with The Scotts Company LLC, and James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Hagedorn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10.2]</w:t>
      </w:r>
    </w:p>
    <w:p>
      <w:pPr>
        <w:spacing w:after="0" w:line="777"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10.4(c)†</w:t>
            </w:r>
          </w:p>
        </w:tc>
        <w:tc>
          <w:tcPr>
            <w:tcW w:w="5300" w:type="dxa"/>
            <w:vAlign w:val="bottom"/>
          </w:tcPr>
          <w:p>
            <w:pPr>
              <w:ind w:left="460"/>
              <w:spacing w:after="0"/>
              <w:rPr>
                <w:sz w:val="20"/>
                <w:szCs w:val="20"/>
                <w:color w:val="auto"/>
              </w:rPr>
            </w:pPr>
            <w:r>
              <w:rPr>
                <w:rFonts w:ascii="Arial" w:cs="Arial" w:eastAsia="Arial" w:hAnsi="Arial"/>
                <w:sz w:val="18"/>
                <w:szCs w:val="18"/>
                <w:color w:val="auto"/>
                <w:w w:val="92"/>
              </w:rPr>
              <w:t>Form of Retention Award Agreement evidencing the payment of a</w:t>
            </w:r>
          </w:p>
        </w:tc>
      </w:tr>
      <w:tr>
        <w:trPr>
          <w:trHeight w:val="216"/>
        </w:trPr>
        <w:tc>
          <w:tcPr>
            <w:tcW w:w="104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6"/>
              </w:rPr>
              <w:t>cash bonus on April 12, 2013 and the grant of Restricted Stock</w:t>
            </w:r>
          </w:p>
        </w:tc>
      </w:tr>
      <w:tr>
        <w:trPr>
          <w:trHeight w:val="230"/>
        </w:trPr>
        <w:tc>
          <w:tcPr>
            <w:tcW w:w="104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7"/>
              </w:rPr>
              <w:t>Units on May 8, 2013 under The Scotts Miracle-Gro Company</w:t>
            </w:r>
          </w:p>
        </w:tc>
      </w:tr>
    </w:tbl>
    <w:p>
      <w:pPr>
        <w:jc w:val="both"/>
        <w:ind w:left="1500"/>
        <w:spacing w:after="0" w:line="295" w:lineRule="auto"/>
        <w:rPr>
          <w:sz w:val="20"/>
          <w:szCs w:val="20"/>
          <w:color w:val="auto"/>
        </w:rPr>
      </w:pPr>
      <w:r>
        <w:rPr>
          <w:rFonts w:ascii="Arial" w:cs="Arial" w:eastAsia="Arial" w:hAnsi="Arial"/>
          <w:sz w:val="16"/>
          <w:szCs w:val="16"/>
          <w:color w:val="auto"/>
        </w:rPr>
        <w:t>Amended and Restated 2006 Long-Term Incentive Plan (now known as The Scotts Miracle-Gro Company Long-Term Incentive Plan) to Thomas Coleman (executed by The Scotts Company LLC on May 14, 2013 and by Thomas Coleman on May 16, 2013)</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29, 2014 filed May 8, 2014 [Exhibit 10.2]</w:t>
      </w:r>
    </w:p>
    <w:p>
      <w:pPr>
        <w:spacing w:after="0" w:line="1005"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10.4(d)†</w:t>
            </w:r>
          </w:p>
        </w:tc>
        <w:tc>
          <w:tcPr>
            <w:tcW w:w="5540" w:type="dxa"/>
            <w:vAlign w:val="bottom"/>
          </w:tcPr>
          <w:p>
            <w:pPr>
              <w:ind w:left="440"/>
              <w:spacing w:after="0"/>
              <w:rPr>
                <w:sz w:val="20"/>
                <w:szCs w:val="20"/>
                <w:color w:val="auto"/>
              </w:rPr>
            </w:pPr>
            <w:r>
              <w:rPr>
                <w:rFonts w:ascii="Arial" w:cs="Arial" w:eastAsia="Arial" w:hAnsi="Arial"/>
                <w:sz w:val="18"/>
                <w:szCs w:val="18"/>
                <w:color w:val="auto"/>
                <w:w w:val="97"/>
              </w:rPr>
              <w:t>Executive Officers of The Scotts Miracle-Gro Company who are  *</w:t>
            </w:r>
          </w:p>
        </w:tc>
      </w:tr>
      <w:tr>
        <w:trPr>
          <w:trHeight w:val="216"/>
        </w:trPr>
        <w:tc>
          <w:tcPr>
            <w:tcW w:w="106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rPr>
              <w:t>parties to form of Employee Confidentiality, Noncompetition,</w:t>
            </w:r>
          </w:p>
        </w:tc>
      </w:tr>
      <w:tr>
        <w:trPr>
          <w:trHeight w:val="216"/>
        </w:trPr>
        <w:tc>
          <w:tcPr>
            <w:tcW w:w="106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rPr>
              <w:t>Nonsolicitation Agreement for employees participating in The</w:t>
            </w:r>
          </w:p>
        </w:tc>
      </w:tr>
      <w:tr>
        <w:trPr>
          <w:trHeight w:val="216"/>
        </w:trPr>
        <w:tc>
          <w:tcPr>
            <w:tcW w:w="106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w w:val="96"/>
              </w:rPr>
              <w:t>Scotts Company LLC Amended and Restated Executive Incentive</w:t>
            </w:r>
          </w:p>
        </w:tc>
      </w:tr>
      <w:tr>
        <w:trPr>
          <w:trHeight w:val="216"/>
        </w:trPr>
        <w:tc>
          <w:tcPr>
            <w:tcW w:w="1060" w:type="dxa"/>
            <w:vAlign w:val="bottom"/>
          </w:tcPr>
          <w:p>
            <w:pPr>
              <w:spacing w:after="0"/>
              <w:rPr>
                <w:sz w:val="18"/>
                <w:szCs w:val="18"/>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w w:val="99"/>
              </w:rPr>
              <w:t>Plan incorporated in this Annual Report on Form 10-K as Exhibit</w:t>
            </w:r>
          </w:p>
        </w:tc>
      </w:tr>
      <w:tr>
        <w:trPr>
          <w:trHeight w:val="230"/>
        </w:trPr>
        <w:tc>
          <w:tcPr>
            <w:tcW w:w="1060" w:type="dxa"/>
            <w:vAlign w:val="bottom"/>
          </w:tcPr>
          <w:p>
            <w:pPr>
              <w:spacing w:after="0"/>
              <w:rPr>
                <w:sz w:val="20"/>
                <w:szCs w:val="20"/>
                <w:color w:val="auto"/>
              </w:rPr>
            </w:pPr>
          </w:p>
        </w:tc>
        <w:tc>
          <w:tcPr>
            <w:tcW w:w="5540" w:type="dxa"/>
            <w:vAlign w:val="bottom"/>
          </w:tcPr>
          <w:p>
            <w:pPr>
              <w:ind w:left="440"/>
              <w:spacing w:after="0"/>
              <w:rPr>
                <w:sz w:val="20"/>
                <w:szCs w:val="20"/>
                <w:color w:val="auto"/>
              </w:rPr>
            </w:pPr>
            <w:r>
              <w:rPr>
                <w:rFonts w:ascii="Arial" w:cs="Arial" w:eastAsia="Arial" w:hAnsi="Arial"/>
                <w:sz w:val="18"/>
                <w:szCs w:val="18"/>
                <w:color w:val="auto"/>
              </w:rPr>
              <w:t>10.4(b)(ii)</w:t>
            </w:r>
          </w:p>
        </w:tc>
      </w:tr>
    </w:tbl>
    <w:p>
      <w:pPr>
        <w:spacing w:after="0" w:line="161" w:lineRule="exact"/>
        <w:rPr>
          <w:sz w:val="20"/>
          <w:szCs w:val="20"/>
          <w:color w:val="auto"/>
        </w:rPr>
      </w:pPr>
    </w:p>
    <w:p>
      <w:pPr>
        <w:sectPr>
          <w:pgSz w:w="11900" w:h="16838" w:orient="portrait"/>
          <w:cols w:equalWidth="0" w:num="1">
            <w:col w:w="113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5400" w:type="dxa"/>
            <w:vAlign w:val="bottom"/>
          </w:tcPr>
          <w:p>
            <w:pPr>
              <w:ind w:left="560"/>
              <w:spacing w:after="0"/>
              <w:rPr>
                <w:sz w:val="20"/>
                <w:szCs w:val="20"/>
                <w:color w:val="auto"/>
              </w:rPr>
            </w:pPr>
            <w:r>
              <w:rPr>
                <w:rFonts w:ascii="Arial" w:cs="Arial" w:eastAsia="Arial" w:hAnsi="Arial"/>
                <w:sz w:val="18"/>
                <w:szCs w:val="18"/>
                <w:color w:val="auto"/>
                <w:w w:val="98"/>
              </w:rPr>
              <w:t>The  Scotts  Company  LLC  Executive  Retirement  Plan,  as</w:t>
            </w:r>
          </w:p>
        </w:tc>
      </w:tr>
      <w:tr>
        <w:trPr>
          <w:trHeight w:val="216"/>
        </w:trPr>
        <w:tc>
          <w:tcPr>
            <w:tcW w:w="94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w w:val="89"/>
              </w:rPr>
              <w:t>Amended and Restated as of January 1, 2015 (executed December</w:t>
            </w:r>
          </w:p>
        </w:tc>
      </w:tr>
      <w:tr>
        <w:trPr>
          <w:trHeight w:val="230"/>
        </w:trPr>
        <w:tc>
          <w:tcPr>
            <w:tcW w:w="94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31, 2014)</w:t>
            </w:r>
          </w:p>
        </w:tc>
      </w:tr>
      <w:tr>
        <w:trPr>
          <w:trHeight w:val="377"/>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5400" w:type="dxa"/>
            <w:vAlign w:val="bottom"/>
          </w:tcPr>
          <w:p>
            <w:pPr>
              <w:ind w:left="560"/>
              <w:spacing w:after="0"/>
              <w:rPr>
                <w:sz w:val="20"/>
                <w:szCs w:val="20"/>
                <w:color w:val="auto"/>
              </w:rPr>
            </w:pPr>
            <w:r>
              <w:rPr>
                <w:rFonts w:ascii="Arial" w:cs="Arial" w:eastAsia="Arial" w:hAnsi="Arial"/>
                <w:sz w:val="18"/>
                <w:szCs w:val="18"/>
                <w:color w:val="auto"/>
                <w:w w:val="97"/>
              </w:rPr>
              <w:t>Summary of Compensation for Nonemployee Directors of The</w:t>
            </w:r>
          </w:p>
        </w:tc>
      </w:tr>
      <w:tr>
        <w:trPr>
          <w:trHeight w:val="230"/>
        </w:trPr>
        <w:tc>
          <w:tcPr>
            <w:tcW w:w="94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Scotts Miracle-Gro Company (effective as of May 1, 2014)</w:t>
            </w:r>
          </w:p>
        </w:tc>
      </w:tr>
      <w:tr>
        <w:trPr>
          <w:trHeight w:val="593"/>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5400" w:type="dxa"/>
            <w:vAlign w:val="bottom"/>
          </w:tcPr>
          <w:p>
            <w:pPr>
              <w:ind w:left="560"/>
              <w:spacing w:after="0"/>
              <w:rPr>
                <w:sz w:val="20"/>
                <w:szCs w:val="20"/>
                <w:color w:val="auto"/>
              </w:rPr>
            </w:pPr>
            <w:r>
              <w:rPr>
                <w:rFonts w:ascii="Arial" w:cs="Arial" w:eastAsia="Arial" w:hAnsi="Arial"/>
                <w:sz w:val="18"/>
                <w:szCs w:val="18"/>
                <w:color w:val="auto"/>
                <w:w w:val="91"/>
              </w:rPr>
              <w:t>Executive Severance Agreement, dated as of December 11, 2013,</w:t>
            </w:r>
          </w:p>
        </w:tc>
      </w:tr>
      <w:tr>
        <w:trPr>
          <w:trHeight w:val="230"/>
        </w:trPr>
        <w:tc>
          <w:tcPr>
            <w:tcW w:w="94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w w:val="93"/>
              </w:rPr>
              <w:t>by and between The Scotts Company LLC and James Hagedorn</w:t>
            </w:r>
          </w:p>
        </w:tc>
      </w:tr>
    </w:tbl>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27, 2014 filed February 5, 2015 [Exhibit 10.2]</w:t>
      </w:r>
    </w:p>
    <w:p>
      <w:pPr>
        <w:spacing w:after="0" w:line="1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2014 filed November 25, 2014 [Exhibit 10.9]</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17, 2013 [Exhibit 10.1]</w:t>
      </w:r>
    </w:p>
    <w:p>
      <w:pPr>
        <w:spacing w:after="0" w:line="200"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360"/>
          </w:cols>
          <w:pgMar w:left="280" w:top="1341" w:right="259" w:bottom="1440" w:gutter="0" w:footer="0" w:header="0"/>
          <w:type w:val="continuous"/>
        </w:sectPr>
      </w:pPr>
    </w:p>
    <w:bookmarkStart w:id="130" w:name="page131"/>
    <w:bookmarkEnd w:id="13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Separation Agreement and Release of All Claims, entered into as</w:t>
            </w:r>
          </w:p>
        </w:tc>
      </w:tr>
      <w:tr>
        <w:trPr>
          <w:trHeight w:val="216"/>
        </w:trPr>
        <w:tc>
          <w:tcPr>
            <w:tcW w:w="110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1"/>
              </w:rPr>
              <w:t>of December 18, 2014, by and between The Scotts Company LLC</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and Barry W. Sanders</w:t>
            </w: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10.9(a)†</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Consulting Agreement, dated March 6, 2015, between The Scotts</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1"/>
              </w:rPr>
              <w:t>Company LLC and Hanft Projects LLC [expired January 31, 2016]</w:t>
            </w:r>
          </w:p>
        </w:tc>
      </w:tr>
      <w:tr>
        <w:trPr>
          <w:trHeight w:val="593"/>
        </w:trPr>
        <w:tc>
          <w:tcPr>
            <w:tcW w:w="1100" w:type="dxa"/>
            <w:vAlign w:val="bottom"/>
          </w:tcPr>
          <w:p>
            <w:pPr>
              <w:spacing w:after="0"/>
              <w:rPr>
                <w:sz w:val="20"/>
                <w:szCs w:val="20"/>
                <w:color w:val="auto"/>
              </w:rPr>
            </w:pPr>
            <w:r>
              <w:rPr>
                <w:rFonts w:ascii="Arial" w:cs="Arial" w:eastAsia="Arial" w:hAnsi="Arial"/>
                <w:sz w:val="18"/>
                <w:szCs w:val="18"/>
                <w:color w:val="auto"/>
              </w:rPr>
              <w:t>10.9(b)†</w:t>
            </w:r>
          </w:p>
        </w:tc>
        <w:tc>
          <w:tcPr>
            <w:tcW w:w="5240" w:type="dxa"/>
            <w:vAlign w:val="bottom"/>
          </w:tcPr>
          <w:p>
            <w:pPr>
              <w:ind w:left="400"/>
              <w:spacing w:after="0"/>
              <w:rPr>
                <w:sz w:val="20"/>
                <w:szCs w:val="20"/>
                <w:color w:val="auto"/>
              </w:rPr>
            </w:pPr>
            <w:r>
              <w:rPr>
                <w:rFonts w:ascii="Arial" w:cs="Arial" w:eastAsia="Arial" w:hAnsi="Arial"/>
                <w:sz w:val="18"/>
                <w:szCs w:val="18"/>
                <w:color w:val="auto"/>
                <w:w w:val="96"/>
              </w:rPr>
              <w:t>Consulting Agreement, dated February 12, 2016, between The</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Scotts Company LLC and Hanft Projects LLC</w:t>
            </w:r>
          </w:p>
        </w:tc>
      </w:tr>
      <w:tr>
        <w:trPr>
          <w:trHeight w:val="593"/>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5240" w:type="dxa"/>
            <w:vAlign w:val="bottom"/>
          </w:tcPr>
          <w:p>
            <w:pPr>
              <w:ind w:left="400"/>
              <w:spacing w:after="0"/>
              <w:rPr>
                <w:sz w:val="20"/>
                <w:szCs w:val="20"/>
                <w:color w:val="auto"/>
              </w:rPr>
            </w:pPr>
            <w:r>
              <w:rPr>
                <w:rFonts w:ascii="Arial" w:cs="Arial" w:eastAsia="Arial" w:hAnsi="Arial"/>
                <w:sz w:val="18"/>
                <w:szCs w:val="18"/>
                <w:color w:val="auto"/>
                <w:w w:val="96"/>
              </w:rPr>
              <w:t>Incentive  Compensation/Retention  Award  Agreement,  dated</w:t>
            </w:r>
          </w:p>
        </w:tc>
      </w:tr>
      <w:tr>
        <w:trPr>
          <w:trHeight w:val="216"/>
        </w:trPr>
        <w:tc>
          <w:tcPr>
            <w:tcW w:w="110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0"/>
              </w:rPr>
              <w:t>February 11, 2016, between The Scotts Miracle-Gro Company and</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Michael C. Lukemire</w:t>
            </w: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10.11(a)†</w:t>
            </w:r>
          </w:p>
        </w:tc>
        <w:tc>
          <w:tcPr>
            <w:tcW w:w="5240" w:type="dxa"/>
            <w:vAlign w:val="bottom"/>
          </w:tcPr>
          <w:p>
            <w:pPr>
              <w:ind w:left="400"/>
              <w:spacing w:after="0"/>
              <w:rPr>
                <w:sz w:val="20"/>
                <w:szCs w:val="20"/>
                <w:color w:val="auto"/>
              </w:rPr>
            </w:pPr>
            <w:r>
              <w:rPr>
                <w:rFonts w:ascii="Arial" w:cs="Arial" w:eastAsia="Arial" w:hAnsi="Arial"/>
                <w:sz w:val="18"/>
                <w:szCs w:val="18"/>
                <w:color w:val="auto"/>
                <w:w w:val="92"/>
              </w:rPr>
              <w:t>The Scotts Company LLC Executive Severance Plan, adopted on</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May 4, 2011</w:t>
            </w: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10.11(b)†</w:t>
            </w:r>
          </w:p>
        </w:tc>
        <w:tc>
          <w:tcPr>
            <w:tcW w:w="5240" w:type="dxa"/>
            <w:vAlign w:val="bottom"/>
          </w:tcPr>
          <w:p>
            <w:pPr>
              <w:ind w:left="400"/>
              <w:spacing w:after="0"/>
              <w:rPr>
                <w:sz w:val="20"/>
                <w:szCs w:val="20"/>
                <w:color w:val="auto"/>
              </w:rPr>
            </w:pPr>
            <w:r>
              <w:rPr>
                <w:rFonts w:ascii="Arial" w:cs="Arial" w:eastAsia="Arial" w:hAnsi="Arial"/>
                <w:sz w:val="18"/>
                <w:szCs w:val="18"/>
                <w:color w:val="auto"/>
                <w:w w:val="97"/>
              </w:rPr>
              <w:t>Form  of  Tier  1  Participation  Agreement  under  The  Scotts</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Company LLC Executive Severance Plan</w:t>
            </w:r>
          </w:p>
        </w:tc>
      </w:tr>
      <w:tr>
        <w:trPr>
          <w:trHeight w:val="377"/>
        </w:trPr>
        <w:tc>
          <w:tcPr>
            <w:tcW w:w="1100" w:type="dxa"/>
            <w:vAlign w:val="bottom"/>
          </w:tcPr>
          <w:p>
            <w:pPr>
              <w:spacing w:after="0"/>
              <w:rPr>
                <w:sz w:val="20"/>
                <w:szCs w:val="20"/>
                <w:color w:val="auto"/>
              </w:rPr>
            </w:pPr>
            <w:r>
              <w:rPr>
                <w:rFonts w:ascii="Arial" w:cs="Arial" w:eastAsia="Arial" w:hAnsi="Arial"/>
                <w:sz w:val="18"/>
                <w:szCs w:val="18"/>
                <w:color w:val="auto"/>
              </w:rPr>
              <w:t>10.11(c)†</w:t>
            </w:r>
          </w:p>
        </w:tc>
        <w:tc>
          <w:tcPr>
            <w:tcW w:w="5240" w:type="dxa"/>
            <w:vAlign w:val="bottom"/>
          </w:tcPr>
          <w:p>
            <w:pPr>
              <w:ind w:left="400"/>
              <w:spacing w:after="0"/>
              <w:rPr>
                <w:sz w:val="20"/>
                <w:szCs w:val="20"/>
                <w:color w:val="auto"/>
              </w:rPr>
            </w:pPr>
            <w:r>
              <w:rPr>
                <w:rFonts w:ascii="Arial" w:cs="Arial" w:eastAsia="Arial" w:hAnsi="Arial"/>
                <w:sz w:val="18"/>
                <w:szCs w:val="18"/>
                <w:color w:val="auto"/>
                <w:w w:val="95"/>
              </w:rPr>
              <w:t>Executive Officers of The Scotts Miracle-Gro Company who are</w:t>
            </w:r>
          </w:p>
        </w:tc>
      </w:tr>
      <w:tr>
        <w:trPr>
          <w:trHeight w:val="216"/>
        </w:trPr>
        <w:tc>
          <w:tcPr>
            <w:tcW w:w="110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1"/>
              </w:rPr>
              <w:t>parties to form of Tier 1 Participation Agreement under The Scotts</w:t>
            </w:r>
          </w:p>
        </w:tc>
      </w:tr>
      <w:tr>
        <w:trPr>
          <w:trHeight w:val="216"/>
        </w:trPr>
        <w:tc>
          <w:tcPr>
            <w:tcW w:w="110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w w:val="98"/>
              </w:rPr>
              <w:t>Company LLC Executive Severance Plan incorporated in this</w:t>
            </w:r>
          </w:p>
        </w:tc>
      </w:tr>
      <w:tr>
        <w:trPr>
          <w:trHeight w:val="230"/>
        </w:trPr>
        <w:tc>
          <w:tcPr>
            <w:tcW w:w="110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Annual Report on Form 10-K as Exhibit 10.11(b)</w:t>
            </w: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19, 2014 [Exhibit 10.1]</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March 28, 2015 filed May 7, 2015 [Exhibit 10.2]</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10.3]</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10.2]</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May 10, 2011 [Exhibit 10.2]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832" w:lineRule="exact"/>
        <w:rPr>
          <w:sz w:val="20"/>
          <w:szCs w:val="20"/>
          <w:color w:val="auto"/>
        </w:rPr>
      </w:pPr>
    </w:p>
    <w:p>
      <w:pPr>
        <w:sectPr>
          <w:pgSz w:w="11900" w:h="16838" w:orient="portrait"/>
          <w:cols w:equalWidth="0" w:num="2">
            <w:col w:w="6340" w:space="160"/>
            <w:col w:w="4860"/>
          </w:cols>
          <w:pgMar w:left="280" w:top="1440" w:right="259" w:bottom="1440" w:gutter="0" w:footer="0" w:header="0"/>
        </w:sectPr>
      </w:pPr>
    </w:p>
    <w:p>
      <w:pPr>
        <w:jc w:val="both"/>
        <w:ind w:left="1500" w:hanging="1498"/>
        <w:spacing w:after="0" w:line="257" w:lineRule="auto"/>
        <w:tabs>
          <w:tab w:leader="none" w:pos="148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Amended and Restated Exclusive Agency and Marketing Agreement, effective as of September 30, 1998, and amended and restated as of November 11, 1998, by and between Monsanto Company and The Scotts Company LLC (as successor to The Scotts Company, an Ohio corporation)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filed December 15, 2005 [Exhibit 10(x)]</w:t>
      </w:r>
    </w:p>
    <w:p>
      <w:pPr>
        <w:spacing w:after="0" w:line="573" w:lineRule="exact"/>
        <w:rPr>
          <w:sz w:val="20"/>
          <w:szCs w:val="20"/>
          <w:color w:val="auto"/>
        </w:rPr>
      </w:pPr>
    </w:p>
    <w:p>
      <w:pPr>
        <w:sectPr>
          <w:pgSz w:w="11900" w:h="16838" w:orient="portrait"/>
          <w:cols w:equalWidth="0" w:num="2">
            <w:col w:w="6340" w:space="160"/>
            <w:col w:w="4860"/>
          </w:cols>
          <w:pgMar w:left="280" w:top="144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10.12(b)</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10, 2005, amending the Amended</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bl>
    <w:p>
      <w:pPr>
        <w:jc w:val="both"/>
        <w:ind w:left="1500"/>
        <w:spacing w:after="0" w:line="255" w:lineRule="auto"/>
        <w:rPr>
          <w:sz w:val="20"/>
          <w:szCs w:val="20"/>
          <w:color w:val="auto"/>
        </w:rPr>
      </w:pPr>
      <w:r>
        <w:rPr>
          <w:rFonts w:ascii="Arial" w:cs="Arial" w:eastAsia="Arial" w:hAnsi="Arial"/>
          <w:sz w:val="18"/>
          <w:szCs w:val="18"/>
          <w:color w:val="auto"/>
        </w:rPr>
        <w:t>as of September 30, 1998, between Monsanto Company and The Scotts Company LLC (as successor to The Scotts Company, an Ohio corporation)</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filed November 24, 2009 [Exhibit 10.17(b)]</w:t>
      </w:r>
    </w:p>
    <w:p>
      <w:pPr>
        <w:spacing w:after="0" w:line="573" w:lineRule="exact"/>
        <w:rPr>
          <w:sz w:val="20"/>
          <w:szCs w:val="20"/>
          <w:color w:val="auto"/>
        </w:rPr>
      </w:pPr>
    </w:p>
    <w:p>
      <w:pPr>
        <w:sectPr>
          <w:pgSz w:w="11900" w:h="16838" w:orient="portrait"/>
          <w:cols w:equalWidth="0" w:num="2">
            <w:col w:w="6340" w:space="160"/>
            <w:col w:w="4860"/>
          </w:cols>
          <w:pgMar w:left="280" w:top="1440"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10.12(c)</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Letter Agreement, dated March 28, 2008, amending the Amended</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and Restated Exclusive Agency and Marketing Agreement, dated</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as of September 30, 1998, between Monsanto Company and The</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Scotts Company 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10.12(d)</w:t>
            </w:r>
          </w:p>
        </w:tc>
        <w:tc>
          <w:tcPr>
            <w:tcW w:w="5280" w:type="dxa"/>
            <w:vAlign w:val="bottom"/>
          </w:tcPr>
          <w:p>
            <w:pPr>
              <w:ind w:left="440"/>
              <w:spacing w:after="0"/>
              <w:rPr>
                <w:sz w:val="20"/>
                <w:szCs w:val="20"/>
                <w:color w:val="auto"/>
              </w:rPr>
            </w:pPr>
            <w:r>
              <w:rPr>
                <w:rFonts w:ascii="Arial" w:cs="Arial" w:eastAsia="Arial" w:hAnsi="Arial"/>
                <w:sz w:val="18"/>
                <w:szCs w:val="18"/>
                <w:color w:val="auto"/>
                <w:w w:val="97"/>
              </w:rPr>
              <w:t>Amendment to Amended and Restated Exclusive Agency and</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Marketing  Agreement,  dated  as  of  May  15,  2015,  between</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Monsanto Company and The Scotts Company 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10.12(e)</w:t>
            </w: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Lawn and Garden Brand Extension Agreement, dated as of May</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15, 2015, between Monsanto Company and The Scotts Company</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10.12(f)</w:t>
            </w: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Commercialization and Technology Agreement, dated as of May</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15, 2015, between Monsanto Company and The Scotts Company</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LLC</w:t>
            </w:r>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88"/>
              </w:rPr>
              <w:t>Purchase Agreement, dated December 13, 2010, among The Scotts</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Miracle-Gro Company, the subsidiary guarantors named therein</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and Merrill Lynch, Pierce, Fenner &amp; Smith Incorporated, as</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representative of the several initial purchasers named therein</w:t>
            </w:r>
          </w:p>
        </w:tc>
      </w:tr>
    </w:tbl>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filed November 25, 2008 [Exhibit 10.18(b)]</w:t>
      </w:r>
    </w:p>
    <w:p>
      <w:pPr>
        <w:spacing w:after="0" w:line="3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10.2]</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10.3]</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8-K/A filed May 20, 2015 [Exhibit 10.4]</w:t>
      </w:r>
    </w:p>
    <w:p>
      <w:pPr>
        <w:spacing w:after="0" w:line="3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[Exhibit 10.1]</w:t>
      </w:r>
    </w:p>
    <w:p>
      <w:pPr>
        <w:spacing w:after="0" w:line="600" w:lineRule="exact"/>
        <w:rPr>
          <w:sz w:val="20"/>
          <w:szCs w:val="20"/>
          <w:color w:val="auto"/>
        </w:rPr>
      </w:pPr>
    </w:p>
    <w:p>
      <w:pPr>
        <w:sectPr>
          <w:pgSz w:w="11900" w:h="16838" w:orient="portrait"/>
          <w:cols w:equalWidth="0" w:num="2">
            <w:col w:w="6340" w:space="160"/>
            <w:col w:w="4860"/>
          </w:cols>
          <w:pgMar w:left="280" w:top="1440" w:right="259" w:bottom="1440" w:gutter="0" w:footer="0" w:header="0"/>
          <w:type w:val="continuous"/>
        </w:sectPr>
      </w:pP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360"/>
          </w:cols>
          <w:pgMar w:left="280" w:top="1440" w:right="25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10.14</w:t>
            </w:r>
          </w:p>
        </w:tc>
        <w:tc>
          <w:tcPr>
            <w:tcW w:w="5400" w:type="dxa"/>
            <w:vAlign w:val="bottom"/>
          </w:tcPr>
          <w:p>
            <w:pPr>
              <w:ind w:left="560"/>
              <w:spacing w:after="0"/>
              <w:rPr>
                <w:sz w:val="20"/>
                <w:szCs w:val="20"/>
                <w:color w:val="auto"/>
              </w:rPr>
            </w:pPr>
            <w:r>
              <w:rPr>
                <w:rFonts w:ascii="Arial" w:cs="Arial" w:eastAsia="Arial" w:hAnsi="Arial"/>
                <w:sz w:val="18"/>
                <w:szCs w:val="18"/>
                <w:color w:val="auto"/>
                <w:w w:val="93"/>
              </w:rPr>
              <w:t>Purchase Agreement, dated October 7, 2015, among The Scotts</w:t>
            </w:r>
          </w:p>
        </w:tc>
      </w:tr>
      <w:tr>
        <w:trPr>
          <w:trHeight w:val="216"/>
        </w:trPr>
        <w:tc>
          <w:tcPr>
            <w:tcW w:w="94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w w:val="94"/>
              </w:rPr>
              <w:t>Miracle-Gro Company, the subsidiary guarantors named therein</w:t>
            </w:r>
          </w:p>
        </w:tc>
      </w:tr>
      <w:tr>
        <w:trPr>
          <w:trHeight w:val="216"/>
        </w:trPr>
        <w:tc>
          <w:tcPr>
            <w:tcW w:w="94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and Merrill Lynch, Pierce, Fenner &amp; Smith Incorporated, as</w:t>
            </w:r>
          </w:p>
        </w:tc>
      </w:tr>
      <w:tr>
        <w:trPr>
          <w:trHeight w:val="230"/>
        </w:trPr>
        <w:tc>
          <w:tcPr>
            <w:tcW w:w="94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w w:val="98"/>
              </w:rPr>
              <w:t>representative of the several initial purchasers named therein</w:t>
            </w:r>
          </w:p>
        </w:tc>
      </w:tr>
    </w:tbl>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October 14, 2015 [Exhibit 10.1]</w:t>
      </w:r>
    </w:p>
    <w:p>
      <w:pPr>
        <w:spacing w:after="0" w:line="561" w:lineRule="exact"/>
        <w:rPr>
          <w:sz w:val="20"/>
          <w:szCs w:val="20"/>
          <w:color w:val="auto"/>
        </w:rPr>
      </w:pPr>
    </w:p>
    <w:p>
      <w:pPr>
        <w:sectPr>
          <w:pgSz w:w="11900" w:h="16838" w:orient="portrait"/>
          <w:cols w:equalWidth="0" w:num="2">
            <w:col w:w="6340" w:space="160"/>
            <w:col w:w="4860"/>
          </w:cols>
          <w:pgMar w:left="280" w:top="1341" w:right="259" w:bottom="1440" w:gutter="0" w:footer="0" w:header="0"/>
        </w:sectPr>
      </w:pPr>
    </w:p>
    <w:p>
      <w:pPr>
        <w:jc w:val="both"/>
        <w:ind w:left="1500" w:hanging="1498"/>
        <w:spacing w:after="0" w:line="279" w:lineRule="auto"/>
        <w:tabs>
          <w:tab w:leader="none" w:pos="148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7"/>
          <w:szCs w:val="17"/>
          <w:color w:val="auto"/>
        </w:rPr>
        <w:t>Amended and Restated Master Accounts Receivable Purchase Agreement, dated as of September 25, 2015, among The Scotts Miracle-Gro Company, The Scotts Company LLC, the Banks party thereto and Mizuho Bank, Ltd., as Administrative Agent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September 30, 2015 [Exhibit 10.1]</w:t>
      </w:r>
    </w:p>
    <w:p>
      <w:pPr>
        <w:spacing w:after="0" w:line="562"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10.15(b)</w:t>
            </w: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Waiver and First Amendment, dated as of March 23, 2016, to the</w:t>
            </w:r>
          </w:p>
        </w:tc>
      </w:tr>
      <w:tr>
        <w:trPr>
          <w:trHeight w:val="216"/>
        </w:trPr>
        <w:tc>
          <w:tcPr>
            <w:tcW w:w="106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Amended and Restated Master Accounts Receivable Purchase</w:t>
            </w:r>
          </w:p>
        </w:tc>
      </w:tr>
      <w:tr>
        <w:trPr>
          <w:trHeight w:val="230"/>
        </w:trPr>
        <w:tc>
          <w:tcPr>
            <w:tcW w:w="106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Agreement, dated as of September 25, 2015, among The Scotts</w:t>
            </w:r>
          </w:p>
        </w:tc>
      </w:tr>
    </w:tbl>
    <w:p>
      <w:pPr>
        <w:ind w:left="1500"/>
        <w:spacing w:after="0" w:line="290" w:lineRule="auto"/>
        <w:rPr>
          <w:sz w:val="20"/>
          <w:szCs w:val="20"/>
          <w:color w:val="auto"/>
        </w:rPr>
      </w:pPr>
      <w:r>
        <w:rPr>
          <w:rFonts w:ascii="Arial" w:cs="Arial" w:eastAsia="Arial" w:hAnsi="Arial"/>
          <w:sz w:val="17"/>
          <w:szCs w:val="17"/>
          <w:color w:val="auto"/>
        </w:rPr>
        <w:t>Miracle-Gro Company, The Scotts Company LLC, the Banks party thereto and Mizuho Bank, Ltd., as Administrative Agent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March 29, 2016 [Exhibit 10.1]</w:t>
      </w:r>
    </w:p>
    <w:p>
      <w:pPr>
        <w:spacing w:after="0" w:line="778"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10.15(c)</w:t>
            </w:r>
          </w:p>
        </w:tc>
        <w:tc>
          <w:tcPr>
            <w:tcW w:w="5300" w:type="dxa"/>
            <w:vAlign w:val="bottom"/>
          </w:tcPr>
          <w:p>
            <w:pPr>
              <w:ind w:left="460"/>
              <w:spacing w:after="0"/>
              <w:rPr>
                <w:sz w:val="20"/>
                <w:szCs w:val="20"/>
                <w:color w:val="auto"/>
              </w:rPr>
            </w:pPr>
            <w:r>
              <w:rPr>
                <w:rFonts w:ascii="Arial" w:cs="Arial" w:eastAsia="Arial" w:hAnsi="Arial"/>
                <w:sz w:val="18"/>
                <w:szCs w:val="18"/>
                <w:color w:val="auto"/>
                <w:w w:val="90"/>
              </w:rPr>
              <w:t>Second Amendment, dated as of August 25, 2016, to the Amended</w:t>
            </w:r>
          </w:p>
        </w:tc>
      </w:tr>
      <w:tr>
        <w:trPr>
          <w:trHeight w:val="230"/>
        </w:trPr>
        <w:tc>
          <w:tcPr>
            <w:tcW w:w="1040" w:type="dxa"/>
            <w:vAlign w:val="bottom"/>
          </w:tcPr>
          <w:p>
            <w:pPr>
              <w:spacing w:after="0"/>
              <w:rPr>
                <w:sz w:val="20"/>
                <w:szCs w:val="20"/>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w w:val="92"/>
              </w:rPr>
              <w:t>and Restated Master Accounts Receivable Purchase Agreement,</w:t>
            </w:r>
          </w:p>
        </w:tc>
      </w:tr>
    </w:tbl>
    <w:p>
      <w:pPr>
        <w:jc w:val="both"/>
        <w:ind w:left="1500"/>
        <w:spacing w:after="0" w:line="277" w:lineRule="auto"/>
        <w:rPr>
          <w:sz w:val="20"/>
          <w:szCs w:val="20"/>
          <w:color w:val="auto"/>
        </w:rPr>
      </w:pPr>
      <w:r>
        <w:rPr>
          <w:rFonts w:ascii="Arial" w:cs="Arial" w:eastAsia="Arial" w:hAnsi="Arial"/>
          <w:sz w:val="17"/>
          <w:szCs w:val="17"/>
          <w:color w:val="auto"/>
        </w:rPr>
        <w:t>dated as of September 25, 2015, among The Scotts Miracle-Gro Company, The Scotts Company LLC, the Banks party thereto and Mizuho Bank, Ltd., as Administrative Agent and Bank</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Incorporated herein by reference to the Registrant’s Current Report on Form 8-K filed August 26, 2016 [Exhibit 10.1]</w:t>
      </w:r>
    </w:p>
    <w:p>
      <w:pPr>
        <w:spacing w:after="0" w:line="845"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10.16</w:t>
            </w:r>
          </w:p>
        </w:tc>
        <w:tc>
          <w:tcPr>
            <w:tcW w:w="5400" w:type="dxa"/>
            <w:vAlign w:val="bottom"/>
          </w:tcPr>
          <w:p>
            <w:pPr>
              <w:ind w:left="560"/>
              <w:spacing w:after="0"/>
              <w:rPr>
                <w:sz w:val="20"/>
                <w:szCs w:val="20"/>
                <w:color w:val="auto"/>
              </w:rPr>
            </w:pPr>
            <w:r>
              <w:rPr>
                <w:rFonts w:ascii="Arial" w:cs="Arial" w:eastAsia="Arial" w:hAnsi="Arial"/>
                <w:sz w:val="18"/>
                <w:szCs w:val="18"/>
                <w:color w:val="auto"/>
                <w:w w:val="95"/>
              </w:rPr>
              <w:t>Contribution and Distribution Agreement, dated as of December</w:t>
            </w:r>
          </w:p>
        </w:tc>
      </w:tr>
      <w:tr>
        <w:trPr>
          <w:trHeight w:val="216"/>
        </w:trPr>
        <w:tc>
          <w:tcPr>
            <w:tcW w:w="94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w w:val="96"/>
              </w:rPr>
              <w:t>10, 2015, by and among The Scotts Miracle-Gro Company and</w:t>
            </w:r>
          </w:p>
        </w:tc>
      </w:tr>
      <w:tr>
        <w:trPr>
          <w:trHeight w:val="230"/>
        </w:trPr>
        <w:tc>
          <w:tcPr>
            <w:tcW w:w="940" w:type="dxa"/>
            <w:vAlign w:val="bottom"/>
          </w:tcPr>
          <w:p>
            <w:pPr>
              <w:spacing w:after="0"/>
              <w:rPr>
                <w:sz w:val="20"/>
                <w:szCs w:val="20"/>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TruGreen Holdings Corporation</w:t>
            </w:r>
          </w:p>
        </w:tc>
      </w:tr>
      <w:tr>
        <w:trPr>
          <w:trHeight w:val="405"/>
        </w:trPr>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10.17</w:t>
            </w:r>
          </w:p>
        </w:tc>
        <w:tc>
          <w:tcPr>
            <w:tcW w:w="5400" w:type="dxa"/>
            <w:vAlign w:val="bottom"/>
          </w:tcPr>
          <w:p>
            <w:pPr>
              <w:ind w:left="560"/>
              <w:spacing w:after="0"/>
              <w:rPr>
                <w:sz w:val="20"/>
                <w:szCs w:val="20"/>
                <w:color w:val="auto"/>
              </w:rPr>
            </w:pPr>
            <w:r>
              <w:rPr>
                <w:rFonts w:ascii="Arial" w:cs="Arial" w:eastAsia="Arial" w:hAnsi="Arial"/>
                <w:sz w:val="18"/>
                <w:szCs w:val="18"/>
                <w:color w:val="auto"/>
                <w:w w:val="95"/>
              </w:rPr>
              <w:t>Form of Aircraft Time Sharing Agreement for Executive Officers</w:t>
            </w: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2016 filed February 11, 2016 [Exhibit 10.5]</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2, 2016 filed May 11, 2016 [Exhibit 10.4]</w:t>
      </w:r>
    </w:p>
    <w:p>
      <w:pPr>
        <w:spacing w:after="0" w:line="154" w:lineRule="exact"/>
        <w:rPr>
          <w:sz w:val="20"/>
          <w:szCs w:val="20"/>
          <w:color w:val="auto"/>
        </w:rPr>
      </w:pPr>
    </w:p>
    <w:p>
      <w:pPr>
        <w:sectPr>
          <w:pgSz w:w="11900" w:h="16838" w:orient="portrait"/>
          <w:cols w:equalWidth="0" w:num="2">
            <w:col w:w="6340" w:space="160"/>
            <w:col w:w="4860"/>
          </w:cols>
          <w:pgMar w:left="280" w:top="1341" w:right="2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12</w:t>
            </w:r>
          </w:p>
        </w:tc>
        <w:tc>
          <w:tcPr>
            <w:tcW w:w="5340" w:type="dxa"/>
            <w:vAlign w:val="bottom"/>
          </w:tcPr>
          <w:p>
            <w:pPr>
              <w:ind w:left="420"/>
              <w:spacing w:after="0"/>
              <w:rPr>
                <w:sz w:val="20"/>
                <w:szCs w:val="20"/>
                <w:color w:val="auto"/>
              </w:rPr>
            </w:pPr>
            <w:r>
              <w:rPr>
                <w:rFonts w:ascii="Arial" w:cs="Arial" w:eastAsia="Arial" w:hAnsi="Arial"/>
                <w:sz w:val="18"/>
                <w:szCs w:val="18"/>
                <w:color w:val="auto"/>
              </w:rPr>
              <w:t>Computation of Ratio of Earnings to Fixed Charges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5340" w:type="dxa"/>
            <w:vAlign w:val="bottom"/>
          </w:tcPr>
          <w:p>
            <w:pPr>
              <w:ind w:left="420"/>
              <w:spacing w:after="0"/>
              <w:rPr>
                <w:sz w:val="20"/>
                <w:szCs w:val="20"/>
                <w:color w:val="auto"/>
              </w:rPr>
            </w:pPr>
            <w:r>
              <w:rPr>
                <w:rFonts w:ascii="Arial" w:cs="Arial" w:eastAsia="Arial" w:hAnsi="Arial"/>
                <w:sz w:val="18"/>
                <w:szCs w:val="18"/>
                <w:color w:val="auto"/>
              </w:rPr>
              <w:t>Subsidiaries of The Scotts Miracle-Gro Company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23</w:t>
            </w:r>
          </w:p>
        </w:tc>
        <w:tc>
          <w:tcPr>
            <w:tcW w:w="5340" w:type="dxa"/>
            <w:vAlign w:val="bottom"/>
          </w:tcPr>
          <w:p>
            <w:pPr>
              <w:ind w:left="420"/>
              <w:spacing w:after="0"/>
              <w:rPr>
                <w:sz w:val="20"/>
                <w:szCs w:val="20"/>
                <w:color w:val="auto"/>
              </w:rPr>
            </w:pPr>
            <w:r>
              <w:rPr>
                <w:rFonts w:ascii="Arial" w:cs="Arial" w:eastAsia="Arial" w:hAnsi="Arial"/>
                <w:sz w:val="18"/>
                <w:szCs w:val="18"/>
                <w:color w:val="auto"/>
                <w:w w:val="98"/>
              </w:rPr>
              <w:t>Consent of Independent Registered Public Accounting Firm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Deloitte &amp; Touche LLP</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24</w:t>
            </w:r>
          </w:p>
        </w:tc>
        <w:tc>
          <w:tcPr>
            <w:tcW w:w="5340" w:type="dxa"/>
            <w:vAlign w:val="bottom"/>
          </w:tcPr>
          <w:p>
            <w:pPr>
              <w:ind w:left="420"/>
              <w:spacing w:after="0"/>
              <w:rPr>
                <w:sz w:val="20"/>
                <w:szCs w:val="20"/>
                <w:color w:val="auto"/>
              </w:rPr>
            </w:pPr>
            <w:r>
              <w:rPr>
                <w:rFonts w:ascii="Arial" w:cs="Arial" w:eastAsia="Arial" w:hAnsi="Arial"/>
                <w:sz w:val="18"/>
                <w:szCs w:val="18"/>
                <w:color w:val="auto"/>
                <w:w w:val="99"/>
              </w:rPr>
              <w:t>Powers of Attorney of Executive Officers and Directors of The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Scotts Miracle-Gro Company</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w w:val="99"/>
              </w:rPr>
              <w:t>Rule  13a-14(a)/15d-14(a)  Certifications  (Principal  Executive  *</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Rule  13a-14(a)/15d-14(a)  Certifications  (Principal  Financial  *</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Officer)</w:t>
            </w:r>
          </w:p>
        </w:tc>
        <w:tc>
          <w:tcPr>
            <w:tcW w:w="180" w:type="dxa"/>
            <w:vAlign w:val="bottom"/>
          </w:tcPr>
          <w:p>
            <w:pPr>
              <w:spacing w:after="0"/>
              <w:rPr>
                <w:sz w:val="20"/>
                <w:szCs w:val="20"/>
                <w:color w:val="auto"/>
              </w:rPr>
            </w:pPr>
          </w:p>
        </w:tc>
      </w:tr>
      <w:tr>
        <w:trPr>
          <w:trHeight w:val="377"/>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tcPr>
          <w:p>
            <w:pPr>
              <w:ind w:left="420"/>
              <w:spacing w:after="0"/>
              <w:rPr>
                <w:sz w:val="20"/>
                <w:szCs w:val="20"/>
                <w:color w:val="auto"/>
              </w:rPr>
            </w:pPr>
            <w:r>
              <w:rPr>
                <w:rFonts w:ascii="Arial" w:cs="Arial" w:eastAsia="Arial" w:hAnsi="Arial"/>
                <w:sz w:val="18"/>
                <w:szCs w:val="18"/>
                <w:color w:val="auto"/>
                <w:w w:val="97"/>
              </w:rPr>
              <w:t>Section  1350  Certifications  (Principal  Executive  Officer  and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Principal Financial Officer)</w:t>
            </w:r>
          </w:p>
        </w:tc>
        <w:tc>
          <w:tcPr>
            <w:tcW w:w="180" w:type="dxa"/>
            <w:vAlign w:val="bottom"/>
          </w:tcPr>
          <w:p>
            <w:pPr>
              <w:spacing w:after="0"/>
              <w:rPr>
                <w:sz w:val="20"/>
                <w:szCs w:val="20"/>
                <w:color w:val="auto"/>
              </w:rPr>
            </w:pP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tcPr>
          <w:p>
            <w:pPr>
              <w:ind w:left="420"/>
              <w:spacing w:after="0"/>
              <w:rPr>
                <w:sz w:val="20"/>
                <w:szCs w:val="20"/>
                <w:color w:val="auto"/>
              </w:rPr>
            </w:pPr>
            <w:r>
              <w:rPr>
                <w:rFonts w:ascii="Arial" w:cs="Arial" w:eastAsia="Arial" w:hAnsi="Arial"/>
                <w:sz w:val="18"/>
                <w:szCs w:val="18"/>
                <w:color w:val="auto"/>
              </w:rPr>
              <w:t>XBRL Instance Document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Schema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60"/>
          </w:cols>
          <w:pgMar w:left="280" w:top="1341" w:right="259" w:bottom="1440" w:gutter="0" w:footer="0" w:header="0"/>
          <w:type w:val="continuous"/>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360"/>
          </w:cols>
          <w:pgMar w:left="280" w:top="1341" w:right="259" w:bottom="1440" w:gutter="0" w:footer="0" w:header="0"/>
          <w:type w:val="continuous"/>
        </w:sectPr>
      </w:pPr>
    </w:p>
    <w:bookmarkStart w:id="132" w:name="page133"/>
    <w:bookmarkEnd w:id="132"/>
    <w:p>
      <w:pPr>
        <w:ind w:left="685" w:hanging="685"/>
        <w:spacing w:after="0"/>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 w:lineRule="exact"/>
        <w:rPr>
          <w:sz w:val="20"/>
          <w:szCs w:val="20"/>
          <w:color w:val="auto"/>
        </w:rPr>
      </w:pPr>
    </w:p>
    <w:p>
      <w:pPr>
        <w:ind w:left="685" w:hanging="685"/>
        <w:spacing w:after="0"/>
        <w:tabs>
          <w:tab w:leader="none" w:pos="685"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7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184"/>
          </w:cols>
          <w:pgMar w:left="275" w:top="1016" w:right="1440" w:bottom="1440" w:gutter="0" w:footer="0" w:header="0"/>
        </w:sectPr>
      </w:pPr>
    </w:p>
    <w:bookmarkStart w:id="133" w:name="page134"/>
    <w:bookmarkEnd w:id="133"/>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418080" cy="4889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418080" cy="4889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28, 2016</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0"/>
          <w:szCs w:val="20"/>
          <w:color w:val="auto"/>
        </w:rPr>
      </w:pPr>
    </w:p>
    <w:p>
      <w:pPr>
        <w:ind w:left="1960" w:right="300" w:hanging="659"/>
        <w:spacing w:after="0" w:line="263" w:lineRule="auto"/>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The Scotts Miracle-Gro Company – Annual Report on Form 10-K for the fiscal year ended September 30, 2016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Scotts Miracle-Gro Company, an Ohio corporation (“Scotts Miracle-Gro”), is today filing its Annual Report on Form 10-K for the fiscal year ended September 30, 2016 (the “Form 10-K”).</w:t>
      </w:r>
    </w:p>
    <w:p>
      <w:pPr>
        <w:spacing w:after="0" w:line="175" w:lineRule="exact"/>
        <w:rPr>
          <w:sz w:val="20"/>
          <w:szCs w:val="20"/>
          <w:color w:val="auto"/>
        </w:rPr>
      </w:pPr>
    </w:p>
    <w:p>
      <w:pPr>
        <w:ind w:right="260" w:firstLine="648"/>
        <w:spacing w:after="0" w:line="292"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SCOTTS MIRACLE-GRO COMPANY</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THOMAS RANDAL COLEMAN</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and Chief Financial Officer</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14111 Scottslawn Road Marysville, OH 43041 937-644-0011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44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Executive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Date of Employee Confidentiality,</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Name and Principal Position</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Noncompetition, Nonsolicitation</w:t>
            </w:r>
          </w:p>
        </w:tc>
      </w:tr>
      <w:tr>
        <w:trPr>
          <w:trHeight w:val="29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with The Scotts Miracle-Gro Company</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7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r>
      <w:tr>
        <w:trPr>
          <w:trHeight w:val="77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 Financial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May 15, 2006</w:t>
            </w:r>
          </w:p>
        </w:tc>
      </w:tr>
      <w:tr>
        <w:trPr>
          <w:trHeight w:val="567"/>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Michael C. Lukemire, President and Chief Operating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553"/>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 Corporate Secretary and Chief</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26, 2006</w:t>
            </w:r>
          </w:p>
        </w:tc>
      </w:tr>
      <w:tr>
        <w:trPr>
          <w:trHeight w:val="230"/>
        </w:trPr>
        <w:tc>
          <w:tcPr>
            <w:tcW w:w="7440" w:type="dxa"/>
            <w:vAlign w:val="bottom"/>
            <w:gridSpan w:val="2"/>
          </w:tcPr>
          <w:p>
            <w:pPr>
              <w:ind w:left="80"/>
              <w:spacing w:after="0"/>
              <w:rPr>
                <w:sz w:val="20"/>
                <w:szCs w:val="20"/>
                <w:color w:val="auto"/>
              </w:rPr>
            </w:pPr>
            <w:r>
              <w:rPr>
                <w:rFonts w:ascii="Arial" w:cs="Arial" w:eastAsia="Arial" w:hAnsi="Arial"/>
                <w:sz w:val="18"/>
                <w:szCs w:val="18"/>
                <w:color w:val="auto"/>
              </w:rPr>
              <w:t>Compliance Officer</w:t>
            </w:r>
          </w:p>
        </w:tc>
        <w:tc>
          <w:tcPr>
            <w:tcW w:w="3980" w:type="dxa"/>
            <w:vAlign w:val="bottom"/>
          </w:tcPr>
          <w:p>
            <w:pPr>
              <w:spacing w:after="0"/>
              <w:rPr>
                <w:sz w:val="20"/>
                <w:szCs w:val="20"/>
                <w:color w:val="auto"/>
              </w:rPr>
            </w:pPr>
          </w:p>
        </w:tc>
      </w:tr>
      <w:tr>
        <w:trPr>
          <w:trHeight w:val="567"/>
        </w:trPr>
        <w:tc>
          <w:tcPr>
            <w:tcW w:w="7440" w:type="dxa"/>
            <w:vAlign w:val="bottom"/>
            <w:gridSpan w:val="2"/>
          </w:tcPr>
          <w:p>
            <w:pPr>
              <w:ind w:left="80"/>
              <w:spacing w:after="0"/>
              <w:rPr>
                <w:sz w:val="20"/>
                <w:szCs w:val="20"/>
                <w:color w:val="auto"/>
              </w:rPr>
            </w:pPr>
            <w:r>
              <w:rPr>
                <w:rFonts w:ascii="Arial" w:cs="Arial" w:eastAsia="Arial" w:hAnsi="Arial"/>
                <w:sz w:val="18"/>
                <w:szCs w:val="18"/>
                <w:color w:val="auto"/>
                <w:w w:val="97"/>
              </w:rPr>
              <w:t>Denise S. Stump, Executive Vice President, Global Human Resources and Chief Ethics Officer</w:t>
            </w: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bl>
    <w:p>
      <w:pPr>
        <w:sectPr>
          <w:pgSz w:w="11900" w:h="16838" w:orient="portrait"/>
          <w:cols w:equalWidth="0" w:num="1">
            <w:col w:w="11420"/>
          </w:cols>
          <w:pgMar w:left="240" w:top="986"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Executive Officers of</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Scotts Miracle-Gro Company</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who are parties to form of</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Tier 1 Participation Agreement under</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The Scotts Company LLC 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3"/>
              </w:rPr>
              <w:t>Effective Date of</w:t>
            </w:r>
          </w:p>
        </w:tc>
      </w:tr>
      <w:tr>
        <w:trPr>
          <w:trHeight w:val="297"/>
        </w:trPr>
        <w:tc>
          <w:tcPr>
            <w:tcW w:w="5220" w:type="dxa"/>
            <w:vAlign w:val="bottom"/>
            <w:gridSpan w:val="2"/>
          </w:tcPr>
          <w:p>
            <w:pPr>
              <w:ind w:left="1540"/>
              <w:spacing w:after="0"/>
              <w:rPr>
                <w:sz w:val="20"/>
                <w:szCs w:val="20"/>
                <w:color w:val="auto"/>
              </w:rPr>
            </w:pPr>
            <w:r>
              <w:rPr>
                <w:rFonts w:ascii="Arial" w:cs="Arial" w:eastAsia="Arial" w:hAnsi="Arial"/>
                <w:sz w:val="18"/>
                <w:szCs w:val="18"/>
                <w:color w:val="auto"/>
              </w:rPr>
              <w:t>Name and Principal Position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Tier 1 Participation</w:t>
            </w:r>
          </w:p>
        </w:tc>
      </w:tr>
      <w:tr>
        <w:trPr>
          <w:trHeight w:val="29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with The Scotts Miracle-Gro Company</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Agreement</w:t>
            </w:r>
          </w:p>
        </w:tc>
      </w:tr>
      <w:tr>
        <w:trPr>
          <w:trHeight w:val="54"/>
        </w:trPr>
        <w:tc>
          <w:tcPr>
            <w:tcW w:w="5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r>
        <w:trPr>
          <w:trHeight w:val="492"/>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Denise S. Stump, Executive Vice President, Global Human</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November 5, 2011</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Resources and Chief Ethics Officer</w:t>
            </w:r>
          </w:p>
        </w:tc>
        <w:tc>
          <w:tcPr>
            <w:tcW w:w="3740" w:type="dxa"/>
            <w:vAlign w:val="bottom"/>
          </w:tcPr>
          <w:p>
            <w:pPr>
              <w:spacing w:after="0"/>
              <w:rPr>
                <w:sz w:val="20"/>
                <w:szCs w:val="20"/>
                <w:color w:val="auto"/>
              </w:rPr>
            </w:pPr>
          </w:p>
        </w:tc>
      </w:tr>
      <w:tr>
        <w:trPr>
          <w:trHeight w:val="567"/>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Michael C. Lukemire, President and Chief Operating Officer</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26, 2012</w:t>
            </w:r>
          </w:p>
        </w:tc>
      </w:tr>
      <w:tr>
        <w:trPr>
          <w:trHeight w:val="553"/>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Ivan C. Smith, Executive Vice President, General Counsel,</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July 10, 2013</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Corporate Secretary and Chief Compliance Officer</w:t>
            </w:r>
          </w:p>
        </w:tc>
        <w:tc>
          <w:tcPr>
            <w:tcW w:w="3740" w:type="dxa"/>
            <w:vAlign w:val="bottom"/>
          </w:tcPr>
          <w:p>
            <w:pPr>
              <w:spacing w:after="0"/>
              <w:rPr>
                <w:sz w:val="20"/>
                <w:szCs w:val="20"/>
                <w:color w:val="auto"/>
              </w:rPr>
            </w:pPr>
          </w:p>
        </w:tc>
      </w:tr>
      <w:tr>
        <w:trPr>
          <w:trHeight w:val="553"/>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Thomas Randal Coleman, Executive Vice President and Chief</w:t>
            </w:r>
          </w:p>
        </w:tc>
        <w:tc>
          <w:tcPr>
            <w:tcW w:w="3740" w:type="dxa"/>
            <w:vAlign w:val="bottom"/>
          </w:tcPr>
          <w:p>
            <w:pPr>
              <w:jc w:val="center"/>
              <w:spacing w:after="0"/>
              <w:rPr>
                <w:sz w:val="20"/>
                <w:szCs w:val="20"/>
                <w:color w:val="auto"/>
              </w:rPr>
            </w:pPr>
            <w:r>
              <w:rPr>
                <w:rFonts w:ascii="Arial" w:cs="Arial" w:eastAsia="Arial" w:hAnsi="Arial"/>
                <w:sz w:val="18"/>
                <w:szCs w:val="18"/>
                <w:color w:val="auto"/>
                <w:w w:val="95"/>
              </w:rPr>
              <w:t>April 15, 2014</w:t>
            </w:r>
          </w:p>
        </w:tc>
      </w:tr>
      <w:tr>
        <w:trPr>
          <w:trHeight w:val="23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740" w:type="dxa"/>
            <w:vAlign w:val="bottom"/>
          </w:tcPr>
          <w:p>
            <w:pPr>
              <w:spacing w:after="0"/>
              <w:rPr>
                <w:sz w:val="20"/>
                <w:szCs w:val="20"/>
                <w:color w:val="auto"/>
              </w:rPr>
            </w:pPr>
          </w:p>
        </w:tc>
      </w:tr>
    </w:tbl>
    <w:p>
      <w:pPr>
        <w:sectPr>
          <w:pgSz w:w="11900" w:h="16838" w:orient="portrait"/>
          <w:cols w:equalWidth="0" w:num="1">
            <w:col w:w="10220"/>
          </w:cols>
          <w:pgMar w:left="1440" w:top="985"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w w:val="91"/>
              </w:rPr>
              <w:t>Exhibit 12</w:t>
            </w:r>
          </w:p>
        </w:tc>
        <w:tc>
          <w:tcPr>
            <w:tcW w:w="0" w:type="dxa"/>
            <w:vAlign w:val="bottom"/>
          </w:tcPr>
          <w:p>
            <w:pPr>
              <w:spacing w:after="0"/>
              <w:rPr>
                <w:sz w:val="1"/>
                <w:szCs w:val="1"/>
                <w:color w:val="auto"/>
              </w:rPr>
            </w:pPr>
          </w:p>
        </w:tc>
      </w:tr>
      <w:tr>
        <w:trPr>
          <w:trHeight w:val="419"/>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The Scotts Miracle-Gro Company</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0"/>
        </w:trPr>
        <w:tc>
          <w:tcPr>
            <w:tcW w:w="60" w:type="dxa"/>
            <w:vAlign w:val="bottom"/>
          </w:tcPr>
          <w:p>
            <w:pPr>
              <w:spacing w:after="0"/>
              <w:rPr>
                <w:sz w:val="24"/>
                <w:szCs w:val="24"/>
                <w:color w:val="auto"/>
              </w:rPr>
            </w:pPr>
          </w:p>
        </w:tc>
        <w:tc>
          <w:tcPr>
            <w:tcW w:w="5120" w:type="dxa"/>
            <w:vAlign w:val="bottom"/>
          </w:tcPr>
          <w:p>
            <w:pPr>
              <w:ind w:left="8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6"/>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5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3"/>
                <w:szCs w:val="23"/>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3"/>
                <w:szCs w:val="23"/>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adjusted earnings available for payment of fixed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227.9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Fixed Charges: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20" w:type="dxa"/>
            <w:vAlign w:val="bottom"/>
          </w:tcPr>
          <w:p>
            <w:pPr>
              <w:ind w:left="760"/>
              <w:spacing w:after="0"/>
              <w:rPr>
                <w:sz w:val="20"/>
                <w:szCs w:val="20"/>
                <w:color w:val="auto"/>
              </w:rPr>
            </w:pPr>
            <w:r>
              <w:rPr>
                <w:rFonts w:ascii="Arial" w:cs="Arial" w:eastAsia="Arial" w:hAnsi="Arial"/>
                <w:sz w:val="18"/>
                <w:szCs w:val="18"/>
                <w:color w:val="auto"/>
              </w:rPr>
              <w:t>Interest capitalized</w:t>
            </w:r>
          </w:p>
        </w:tc>
        <w:tc>
          <w:tcPr>
            <w:tcW w:w="280" w:type="dxa"/>
            <w:vAlign w:val="bottom"/>
          </w:tcPr>
          <w:p>
            <w:pPr>
              <w:spacing w:after="0"/>
              <w:rPr>
                <w:sz w:val="23"/>
                <w:szCs w:val="23"/>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51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Rental expense representative of interest factor</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Total Fixed Charges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Ratio of Earnings to Fixed Charges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60" w:right="20" w:hanging="322"/>
        <w:spacing w:after="0" w:line="334" w:lineRule="auto"/>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spacing w:after="0" w:line="1" w:lineRule="exact"/>
        <w:rPr>
          <w:rFonts w:ascii="Arial" w:cs="Arial" w:eastAsia="Arial" w:hAnsi="Arial"/>
          <w:sz w:val="16"/>
          <w:szCs w:val="16"/>
          <w:color w:val="auto"/>
        </w:rPr>
      </w:pPr>
    </w:p>
    <w:p>
      <w:pPr>
        <w:ind w:left="560" w:hanging="32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ectPr>
          <w:pgSz w:w="11900" w:h="16838" w:orient="portrait"/>
          <w:cols w:equalWidth="0" w:num="1">
            <w:col w:w="11420"/>
          </w:cols>
          <w:pgMar w:left="240" w:top="60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Directly owned subsidiaries, as of September 30, 2016,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Holland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Worldwide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1120"/>
              <w:spacing w:after="0"/>
              <w:rPr>
                <w:sz w:val="20"/>
                <w:szCs w:val="20"/>
                <w:color w:val="auto"/>
              </w:rPr>
            </w:pPr>
            <w:r>
              <w:rPr>
                <w:rFonts w:ascii="Arial" w:cs="Arial" w:eastAsia="Arial" w:hAnsi="Arial"/>
                <w:sz w:val="18"/>
                <w:szCs w:val="18"/>
                <w:color w:val="auto"/>
              </w:rPr>
              <w:t>Gavita USA, LLC</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Nederland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Canada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AS</w:t>
            </w:r>
          </w:p>
        </w:tc>
        <w:tc>
          <w:tcPr>
            <w:tcW w:w="25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405"/>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45.0%.</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138" w:name="page139"/>
    <w:bookmarkEnd w:id="138"/>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iConservo Incorporated</w:t>
      </w:r>
      <w:r>
        <w:rPr>
          <w:rFonts w:ascii="Arial" w:cs="Arial" w:eastAsia="Arial" w:hAnsi="Arial"/>
          <w:sz w:val="12"/>
          <w:szCs w:val="12"/>
          <w:color w:val="auto"/>
        </w:rPr>
        <w:t>8</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The Scotts Company LLC’s ownership is 20%.</w:t>
      </w:r>
    </w:p>
    <w:p>
      <w:pPr>
        <w:sectPr>
          <w:pgSz w:w="11900" w:h="16838" w:orient="portrait"/>
          <w:cols w:equalWidth="0" w:num="1">
            <w:col w:w="10184"/>
          </w:cols>
          <w:pgMar w:left="275" w:top="962" w:right="1440"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033-47073, 333-06061, 333-27561, 333-72715, 333-76697, 333-104490, 333-124503, 333-131466, 333-147397, 333-153925, 333-154364 and 333-186187 on Form S-8 and Registration Statement No. 333-208554 on Form S-3 of our reports dated November 28, 2016 relating to the consolidated financial statements and consolidated financial statement schedules of The Scotts Miracle-Gro Company and subsidiaries (the “Company”), and the effectiveness of the Company’s internal control over financial reporting, appearing in this Annual Report on Form 10-K of the Company for the fiscal year ended September 30, 2016.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November 28, 2016</w:t>
      </w:r>
    </w:p>
    <w:p>
      <w:pPr>
        <w:sectPr>
          <w:pgSz w:w="11900" w:h="16838" w:orient="portrait"/>
          <w:cols w:equalWidth="0" w:num="1">
            <w:col w:w="11420"/>
          </w:cols>
          <w:pgMar w:left="240" w:top="7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D. Finn</w:t>
      </w:r>
    </w:p>
    <w:p>
      <w:pPr>
        <w:sectPr>
          <w:pgSz w:w="11900" w:h="16838" w:orient="portrait"/>
          <w:cols w:equalWidth="0" w:num="1">
            <w:col w:w="11420"/>
          </w:cols>
          <w:pgMar w:left="240" w:top="121" w:right="23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Hagedorn</w:t>
      </w:r>
    </w:p>
    <w:p>
      <w:pPr>
        <w:sectPr>
          <w:pgSz w:w="11900" w:h="16838" w:orient="portrait"/>
          <w:cols w:equalWidth="0" w:num="1">
            <w:col w:w="11360"/>
          </w:cols>
          <w:pgMar w:left="240" w:top="360" w:right="299" w:bottom="1440" w:gutter="0" w:footer="0" w:header="0"/>
        </w:sectPr>
      </w:pPr>
    </w:p>
    <w:bookmarkStart w:id="142" w:name="page143"/>
    <w:bookmarkEnd w:id="142"/>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Adam Hanft</w:t>
      </w:r>
    </w:p>
    <w:p>
      <w:pPr>
        <w:sectPr>
          <w:pgSz w:w="11900" w:h="16838" w:orient="portrait"/>
          <w:cols w:equalWidth="0" w:num="1">
            <w:col w:w="11360"/>
          </w:cols>
          <w:pgMar w:left="240" w:top="360" w:right="29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MICHELLE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Michelle A. Johnson</w:t>
      </w:r>
    </w:p>
    <w:p>
      <w:pPr>
        <w:sectPr>
          <w:pgSz w:w="11900" w:h="16838" w:orient="portrait"/>
          <w:cols w:equalWidth="0" w:num="1">
            <w:col w:w="11360"/>
          </w:cols>
          <w:pgMar w:left="240" w:top="360" w:right="29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Stephen L. Johnson</w:t>
      </w:r>
    </w:p>
    <w:p>
      <w:pPr>
        <w:sectPr>
          <w:pgSz w:w="11900" w:h="16838" w:orient="portrait"/>
          <w:cols w:equalWidth="0" w:num="1">
            <w:col w:w="11360"/>
          </w:cols>
          <w:pgMar w:left="240" w:top="360" w:right="29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N. Kelly Jr.</w:t>
      </w:r>
    </w:p>
    <w:p>
      <w:pPr>
        <w:sectPr>
          <w:pgSz w:w="11900" w:h="16838" w:orient="portrait"/>
          <w:cols w:equalWidth="0" w:num="1">
            <w:col w:w="11360"/>
          </w:cols>
          <w:pgMar w:left="240" w:top="360" w:right="29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KATHERINE HAGEDORN</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13335</wp:posOffset>
            </wp:positionV>
            <wp:extent cx="24523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Katherine Hagedorn Littlefield</w:t>
      </w:r>
    </w:p>
    <w:p>
      <w:pPr>
        <w:sectPr>
          <w:pgSz w:w="11900" w:h="16838" w:orient="portrait"/>
          <w:cols w:equalWidth="0" w:num="1">
            <w:col w:w="11360"/>
          </w:cols>
          <w:pgMar w:left="240" w:top="360" w:right="29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JAMES F.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James F. McCann</w:t>
      </w:r>
    </w:p>
    <w:p>
      <w:pPr>
        <w:sectPr>
          <w:pgSz w:w="11900" w:h="16838" w:orient="portrait"/>
          <w:cols w:equalWidth="0" w:num="1">
            <w:col w:w="11360"/>
          </w:cols>
          <w:pgMar w:left="240" w:top="359" w:right="29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Nancy G. Mistretta</w:t>
      </w:r>
    </w:p>
    <w:p>
      <w:pPr>
        <w:sectPr>
          <w:pgSz w:w="11900" w:h="16838" w:orient="portrait"/>
          <w:cols w:equalWidth="0" w:num="1">
            <w:col w:w="11360"/>
          </w:cols>
          <w:pgMar w:left="240" w:top="360" w:right="29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Thomas Randal Coleman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John R. Vines</w:t>
      </w:r>
    </w:p>
    <w:p>
      <w:pPr>
        <w:sectPr>
          <w:pgSz w:w="11900" w:h="16838" w:orient="portrait"/>
          <w:cols w:equalWidth="0" w:num="1">
            <w:col w:w="11360"/>
          </w:cols>
          <w:pgMar w:left="240" w:top="360" w:right="29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48"/>
        <w:spacing w:after="0" w:line="493" w:lineRule="exact"/>
        <w:rPr>
          <w:sz w:val="20"/>
          <w:szCs w:val="20"/>
          <w:color w:val="auto"/>
        </w:rPr>
      </w:pPr>
      <w:r>
        <w:rPr>
          <w:rFonts w:ascii="Arial" w:cs="Arial" w:eastAsia="Arial" w:hAnsi="Arial"/>
          <w:sz w:val="19"/>
          <w:szCs w:val="19"/>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2016,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undersigned has executed this Power of Attorney this 21st day of November,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24765</wp:posOffset>
            </wp:positionV>
            <wp:extent cx="23152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Thomas Randal Coleman</w:t>
      </w:r>
    </w:p>
    <w:p>
      <w:pPr>
        <w:sectPr>
          <w:pgSz w:w="11900" w:h="16838" w:orient="portrait"/>
          <w:cols w:equalWidth="0" w:num="1">
            <w:col w:w="11420"/>
          </w:cols>
          <w:pgMar w:left="240" w:top="36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November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November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2016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November 28, 2016</w:t>
            </w:r>
          </w:p>
        </w:tc>
        <w:tc>
          <w:tcPr>
            <w:tcW w:w="5580" w:type="dxa"/>
            <w:vAlign w:val="bottom"/>
          </w:tcPr>
          <w:p>
            <w:pPr>
              <w:ind w:left="360"/>
              <w:spacing w:after="0"/>
              <w:rPr>
                <w:sz w:val="20"/>
                <w:szCs w:val="20"/>
                <w:color w:val="auto"/>
              </w:rPr>
            </w:pPr>
            <w:r>
              <w:rPr>
                <w:rFonts w:ascii="Arial" w:cs="Arial" w:eastAsia="Arial" w:hAnsi="Arial"/>
                <w:sz w:val="18"/>
                <w:szCs w:val="18"/>
                <w:color w:val="auto"/>
              </w:rPr>
              <w:t>November 28, 2016</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bullet"/>
      <w:start w:val="1"/>
    </w:lvl>
  </w:abstractNum>
  <w:abstractNum w:abstractNumId="3">
    <w:nsid w:val="79838CB2"/>
    <w:multiLevelType w:val="hybridMultilevel"/>
    <w:lvl w:ilvl="0">
      <w:lvlJc w:val="left"/>
      <w:lvlText w:val="2"/>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3"/>
    </w:lvl>
  </w:abstractNum>
  <w:abstractNum w:abstractNumId="13">
    <w:nsid w:val="8138641"/>
    <w:multiLevelType w:val="hybridMultilevel"/>
    <w:lvl w:ilvl="0">
      <w:lvlJc w:val="left"/>
      <w:lvlText w:val="(%1)"/>
      <w:numFmt w:val="decimal"/>
      <w:start w:val="6"/>
    </w:lvl>
  </w:abstractNum>
  <w:abstractNum w:abstractNumId="14">
    <w:nsid w:val="1E7FF521"/>
    <w:multiLevelType w:val="hybridMultilevel"/>
    <w:lvl w:ilvl="0">
      <w:lvlJc w:val="left"/>
      <w:lvlText w:val="(%1)"/>
      <w:numFmt w:val="decimal"/>
      <w:start w:val="7"/>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2"/>
    </w:lvl>
  </w:abstractNum>
  <w:abstractNum w:abstractNumId="27">
    <w:nsid w:val="77465F01"/>
    <w:multiLevelType w:val="hybridMultilevel"/>
    <w:lvl w:ilvl="0">
      <w:lvlJc w:val="left"/>
      <w:lvlText w:val="(%1)"/>
      <w:numFmt w:val="lowerLetter"/>
      <w:start w:val="3"/>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lvl w:ilvl="1">
      <w:lvlJc w:val="left"/>
      <w:lvlText w:val="◦"/>
      <w:numFmt w:val="bullet"/>
      <w:start w:val="1"/>
    </w:lvl>
  </w:abstractNum>
  <w:abstractNum w:abstractNumId="30">
    <w:nsid w:val="2463B9EA"/>
    <w:multiLevelType w:val="hybridMultilevel"/>
    <w:lvl w:ilvl="0">
      <w:lvlJc w:val="left"/>
      <w:lvlText w:val="(%1)"/>
      <w:numFmt w:val="lowerRoman"/>
      <w:start w:val="1"/>
    </w:lvl>
  </w:abstractNum>
  <w:abstractNum w:abstractNumId="31">
    <w:nsid w:val="5E884ADC"/>
    <w:multiLevelType w:val="hybridMultilevel"/>
    <w:lvl w:ilvl="0">
      <w:lvlJc w:val="left"/>
      <w:lvlText w:val="(%1)"/>
      <w:numFmt w:val="lowerRoman"/>
      <w:start w:val="7"/>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bullet"/>
      <w:start w:val="1"/>
    </w:lvl>
  </w:abstractNum>
  <w:abstractNum w:abstractNumId="41">
    <w:nsid w:val="725A06FB"/>
    <w:multiLevelType w:val="hybridMultilevel"/>
    <w:lvl w:ilvl="0">
      <w:lvlJc w:val="left"/>
      <w:lvlText w:val="5"/>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2019-12-29T10:24:35Z</dcterms:created>
  <dcterms:modified xsi:type="dcterms:W3CDTF">2019-12-29T10:24:35Z</dcterms:modified>
</cp:coreProperties>
</file>