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540" w:right="3939" w:hanging="530"/>
        <w:spacing w:after="0" w:line="261" w:lineRule="auto"/>
        <w:tabs>
          <w:tab w:leader="none" w:pos="5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 FOR THE QUARTERLY PERIOD ENDED JUNE 28, 2003</w:t>
      </w:r>
    </w:p>
    <w:p>
      <w:pPr>
        <w:spacing w:after="0" w:line="153"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540" w:right="3839" w:hanging="530"/>
        <w:spacing w:after="0" w:line="254" w:lineRule="auto"/>
        <w:tabs>
          <w:tab w:leader="none" w:pos="19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FOR THE TRANSITION PERIOD FROM __________</w:t>
      </w: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TO__________</w:t>
      </w:r>
    </w:p>
    <w:p>
      <w:pPr>
        <w:spacing w:after="0" w:line="33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1-13292</w:t>
      </w:r>
    </w:p>
    <w:p>
      <w:pPr>
        <w:spacing w:after="0" w:line="166"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SCOTTS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736" w:right="1440" w:bottom="1440" w:gutter="0" w:footer="0" w:header="0"/>
        </w:sectPr>
      </w:pPr>
    </w:p>
    <w:p>
      <w:pPr>
        <w:spacing w:after="0" w:line="167"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38" w:orient="portrait"/>
          <w:cols w:equalWidth="0" w:num="2">
            <w:col w:w="3060" w:space="720"/>
            <w:col w:w="6459"/>
          </w:cols>
          <w:pgMar w:left="220" w:top="736" w:right="1440" w:bottom="1440" w:gutter="0" w:footer="0" w:header="0"/>
          <w:type w:val="continuous"/>
        </w:sectPr>
      </w:pPr>
    </w:p>
    <w:p>
      <w:pPr>
        <w:jc w:val="center"/>
        <w:ind w:right="3139"/>
        <w:spacing w:after="0"/>
        <w:rPr>
          <w:sz w:val="20"/>
          <w:szCs w:val="20"/>
          <w:color w:val="auto"/>
        </w:rPr>
      </w:pPr>
      <w:r>
        <w:rPr>
          <w:rFonts w:ascii="Courier New" w:cs="Courier New" w:eastAsia="Courier New" w:hAnsi="Courier New"/>
          <w:sz w:val="15"/>
          <w:szCs w:val="15"/>
          <w:color w:val="auto"/>
        </w:rPr>
        <w:t>14111 SCOTTSLAWN ROAD, MARYSVILLE, OHIO 43041</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(937) 644-0011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 CHANGE</w:t>
      </w:r>
    </w:p>
    <w:p>
      <w:pPr>
        <w:jc w:val="center"/>
        <w:ind w:right="323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jc w:val="center"/>
        <w:ind w:right="3239"/>
        <w:spacing w:after="0" w:line="238" w:lineRule="auto"/>
        <w:rPr>
          <w:sz w:val="20"/>
          <w:szCs w:val="20"/>
          <w:color w:val="auto"/>
        </w:rPr>
      </w:pPr>
      <w:r>
        <w:rPr>
          <w:rFonts w:ascii="Courier New" w:cs="Courier New" w:eastAsia="Courier New" w:hAnsi="Courier New"/>
          <w:sz w:val="15"/>
          <w:szCs w:val="15"/>
          <w:color w:val="auto"/>
        </w:rPr>
        <w:t>Report.)</w:t>
      </w:r>
    </w:p>
    <w:p>
      <w:pPr>
        <w:spacing w:after="0" w:line="173" w:lineRule="exact"/>
        <w:rPr>
          <w:sz w:val="24"/>
          <w:szCs w:val="24"/>
          <w:color w:val="auto"/>
        </w:rPr>
      </w:pPr>
    </w:p>
    <w:p>
      <w:pPr>
        <w:jc w:val="both"/>
        <w:ind w:right="3499" w:firstLine="525"/>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w:t>
      </w:r>
    </w:p>
    <w:tbl>
      <w:tblPr>
        <w:tblLayout w:type="fixed"/>
        <w:tblInd w:w="0" w:type="dxa"/>
        <w:tblCellMar>
          <w:top w:w="0" w:type="dxa"/>
          <w:left w:w="0" w:type="dxa"/>
          <w:bottom w:w="0" w:type="dxa"/>
          <w:right w:w="0" w:type="dxa"/>
        </w:tblCellMar>
      </w:tblPr>
      <w:tr>
        <w:trPr>
          <w:trHeight w:val="164"/>
        </w:trPr>
        <w:tc>
          <w:tcPr>
            <w:tcW w:w="4780" w:type="dxa"/>
            <w:vAlign w:val="bottom"/>
            <w:gridSpan w:val="3"/>
          </w:tcPr>
          <w:p>
            <w:pPr>
              <w:spacing w:after="0" w:line="165" w:lineRule="exact"/>
              <w:rPr>
                <w:sz w:val="20"/>
                <w:szCs w:val="20"/>
                <w:color w:val="auto"/>
              </w:rPr>
            </w:pPr>
            <w:r>
              <w:rPr>
                <w:rFonts w:ascii="Courier New" w:cs="Courier New" w:eastAsia="Courier New" w:hAnsi="Courier New"/>
                <w:sz w:val="15"/>
                <w:szCs w:val="15"/>
                <w:color w:val="auto"/>
                <w:w w:val="97"/>
              </w:rPr>
              <w:t>registrant was required to file such reports), and (2)</w:t>
            </w:r>
          </w:p>
        </w:tc>
        <w:tc>
          <w:tcPr>
            <w:tcW w:w="2140" w:type="dxa"/>
            <w:vAlign w:val="bottom"/>
          </w:tcPr>
          <w:p>
            <w:pPr>
              <w:jc w:val="right"/>
              <w:spacing w:after="0" w:line="165" w:lineRule="exact"/>
              <w:rPr>
                <w:sz w:val="20"/>
                <w:szCs w:val="20"/>
                <w:color w:val="auto"/>
              </w:rPr>
            </w:pPr>
            <w:r>
              <w:rPr>
                <w:rFonts w:ascii="Courier New" w:cs="Courier New" w:eastAsia="Courier New" w:hAnsi="Courier New"/>
                <w:sz w:val="15"/>
                <w:szCs w:val="15"/>
                <w:color w:val="auto"/>
                <w:w w:val="98"/>
              </w:rPr>
              <w:t>has been subject to such</w:t>
            </w:r>
          </w:p>
        </w:tc>
      </w:tr>
      <w:tr>
        <w:trPr>
          <w:trHeight w:val="168"/>
        </w:trPr>
        <w:tc>
          <w:tcPr>
            <w:tcW w:w="47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filing requirements for the past 90 days. Yes [X] No [</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0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7"/>
              </w:rPr>
              <w:t>Indicate by check mark</w:t>
            </w:r>
          </w:p>
        </w:tc>
        <w:tc>
          <w:tcPr>
            <w:tcW w:w="2280" w:type="dxa"/>
            <w:vAlign w:val="bottom"/>
          </w:tcPr>
          <w:p>
            <w:pPr>
              <w:ind w:left="40"/>
              <w:spacing w:after="0"/>
              <w:rPr>
                <w:sz w:val="20"/>
                <w:szCs w:val="20"/>
                <w:color w:val="auto"/>
              </w:rPr>
            </w:pPr>
            <w:r>
              <w:rPr>
                <w:rFonts w:ascii="Courier New" w:cs="Courier New" w:eastAsia="Courier New" w:hAnsi="Courier New"/>
                <w:sz w:val="15"/>
                <w:szCs w:val="15"/>
                <w:color w:val="auto"/>
                <w:w w:val="98"/>
              </w:rPr>
              <w:t>whether the registrant is</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w w:val="98"/>
              </w:rPr>
              <w:t>an accelerated filer (as</w:t>
            </w:r>
          </w:p>
        </w:tc>
      </w:tr>
      <w:tr>
        <w:trPr>
          <w:trHeight w:val="168"/>
        </w:trPr>
        <w:tc>
          <w:tcPr>
            <w:tcW w:w="2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defined in Rule 12b-2 of the</w:t>
            </w:r>
          </w:p>
        </w:tc>
        <w:tc>
          <w:tcPr>
            <w:tcW w:w="2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Exchange Act). Yes [X] No</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w w:val="98"/>
              </w:rPr>
              <w:t>Indicate the number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shares outstanding of each of the issuer's classes</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 common stock as of the</w:t>
            </w:r>
          </w:p>
        </w:tc>
        <w:tc>
          <w:tcPr>
            <w:tcW w:w="2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latest practicable date.</w:t>
            </w:r>
          </w:p>
        </w:tc>
        <w:tc>
          <w:tcPr>
            <w:tcW w:w="2140" w:type="dxa"/>
            <w:vAlign w:val="bottom"/>
          </w:tcPr>
          <w:p>
            <w:pPr>
              <w:spacing w:after="0"/>
              <w:rPr>
                <w:sz w:val="14"/>
                <w:szCs w:val="14"/>
                <w:color w:val="auto"/>
              </w:rPr>
            </w:pPr>
          </w:p>
        </w:tc>
      </w:tr>
      <w:tr>
        <w:trPr>
          <w:trHeight w:val="336"/>
        </w:trPr>
        <w:tc>
          <w:tcPr>
            <w:tcW w:w="2240" w:type="dxa"/>
            <w:vAlign w:val="bottom"/>
          </w:tcPr>
          <w:p>
            <w:pPr>
              <w:ind w:left="980"/>
              <w:spacing w:after="0"/>
              <w:rPr>
                <w:sz w:val="20"/>
                <w:szCs w:val="20"/>
                <w:color w:val="auto"/>
              </w:rPr>
            </w:pPr>
            <w:r>
              <w:rPr>
                <w:rFonts w:ascii="Courier New" w:cs="Courier New" w:eastAsia="Courier New" w:hAnsi="Courier New"/>
                <w:sz w:val="15"/>
                <w:szCs w:val="15"/>
                <w:color w:val="auto"/>
              </w:rPr>
              <w:t>31,636,965</w:t>
            </w:r>
          </w:p>
        </w:tc>
        <w:tc>
          <w:tcPr>
            <w:tcW w:w="260" w:type="dxa"/>
            <w:vAlign w:val="bottom"/>
          </w:tcPr>
          <w:p>
            <w:pPr>
              <w:spacing w:after="0"/>
              <w:rPr>
                <w:sz w:val="24"/>
                <w:szCs w:val="24"/>
                <w:color w:val="auto"/>
              </w:rPr>
            </w:pPr>
          </w:p>
        </w:tc>
        <w:tc>
          <w:tcPr>
            <w:tcW w:w="4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OUTSTANDING AT AUGUST 1, 2003</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Common Shares, voting, no</w:t>
            </w:r>
          </w:p>
        </w:tc>
        <w:tc>
          <w:tcPr>
            <w:tcW w:w="25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par value</w:t>
            </w:r>
          </w:p>
        </w:tc>
        <w:tc>
          <w:tcPr>
            <w:tcW w:w="2140" w:type="dxa"/>
            <w:vAlign w:val="bottom"/>
          </w:tcPr>
          <w:p>
            <w:pPr>
              <w:spacing w:after="0"/>
              <w:rPr>
                <w:sz w:val="14"/>
                <w:szCs w:val="14"/>
                <w:color w:val="auto"/>
              </w:rPr>
            </w:pPr>
          </w:p>
        </w:tc>
      </w:tr>
    </w:tbl>
    <w:p>
      <w:pPr>
        <w:spacing w:after="0" w:line="34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36" w:right="1440" w:bottom="1440" w:gutter="0" w:footer="0" w:header="0"/>
          <w:type w:val="continuous"/>
        </w:sectPr>
      </w:pPr>
    </w:p>
    <w:bookmarkStart w:id="1" w:name="page2"/>
    <w:bookmarkEnd w:id="1"/>
    <w:p>
      <w:pPr>
        <w:jc w:val="center"/>
        <w:ind w:right="3139"/>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03" w:lineRule="exact"/>
        <w:rPr>
          <w:sz w:val="20"/>
          <w:szCs w:val="20"/>
          <w:color w:val="auto"/>
        </w:rPr>
      </w:pPr>
    </w:p>
    <w:p>
      <w:pPr>
        <w:jc w:val="right"/>
        <w:ind w:right="1299"/>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824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440" w:type="dxa"/>
            <w:vAlign w:val="bottom"/>
          </w:tcPr>
          <w:p>
            <w:pPr>
              <w:spacing w:after="0"/>
              <w:rPr>
                <w:sz w:val="14"/>
                <w:szCs w:val="14"/>
                <w:color w:val="auto"/>
              </w:rPr>
            </w:pPr>
          </w:p>
        </w:tc>
      </w:tr>
      <w:tr>
        <w:trPr>
          <w:trHeight w:val="336"/>
        </w:trPr>
        <w:tc>
          <w:tcPr>
            <w:tcW w:w="760" w:type="dxa"/>
            <w:vAlign w:val="bottom"/>
          </w:tcPr>
          <w:p>
            <w:pPr>
              <w:spacing w:after="0"/>
              <w:rPr>
                <w:sz w:val="24"/>
                <w:szCs w:val="24"/>
                <w:color w:val="auto"/>
              </w:rPr>
            </w:pP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Condensed, Consolidated Statements of Operations - Three and nine month</w:t>
            </w:r>
          </w:p>
        </w:tc>
        <w:tc>
          <w:tcPr>
            <w:tcW w:w="4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periods ended June 28, 2003 and June 29, 2002....................................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760" w:type="dxa"/>
            <w:vAlign w:val="bottom"/>
          </w:tcPr>
          <w:p>
            <w:pPr>
              <w:spacing w:after="0"/>
              <w:rPr>
                <w:sz w:val="24"/>
                <w:szCs w:val="24"/>
                <w:color w:val="auto"/>
              </w:rPr>
            </w:pP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Condensed, Consolidated Statements of Cash Flows - Nine month</w:t>
            </w:r>
          </w:p>
        </w:tc>
        <w:tc>
          <w:tcPr>
            <w:tcW w:w="4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periods ended June 28, 2003 and June 29, 2002....................................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760" w:type="dxa"/>
            <w:vAlign w:val="bottom"/>
          </w:tcPr>
          <w:p>
            <w:pPr>
              <w:spacing w:after="0"/>
              <w:rPr>
                <w:sz w:val="24"/>
                <w:szCs w:val="24"/>
                <w:color w:val="auto"/>
              </w:rPr>
            </w:pP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Condensed, Consolidated Balance Sheets - June 28, 2003,</w:t>
            </w:r>
          </w:p>
        </w:tc>
        <w:tc>
          <w:tcPr>
            <w:tcW w:w="4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June 29, 2002 and September 30, 2002.............................................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760" w:type="dxa"/>
            <w:vAlign w:val="bottom"/>
          </w:tcPr>
          <w:p>
            <w:pPr>
              <w:spacing w:after="0"/>
              <w:rPr>
                <w:sz w:val="24"/>
                <w:szCs w:val="24"/>
                <w:color w:val="auto"/>
              </w:rPr>
            </w:pP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w:t>
            </w:r>
          </w:p>
        </w:tc>
        <w:tc>
          <w:tcPr>
            <w:tcW w:w="44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7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Controls and Procedures..........................................................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44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Legal Proceedings................................................................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Changes in Securities and Use of Proceeds........................................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336"/>
        </w:trPr>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36"/>
        </w:trPr>
        <w:tc>
          <w:tcPr>
            <w:tcW w:w="8140" w:type="dxa"/>
            <w:vAlign w:val="bottom"/>
            <w:gridSpan w:val="2"/>
          </w:tcPr>
          <w:p>
            <w:pPr>
              <w:spacing w:after="0"/>
              <w:rPr>
                <w:sz w:val="20"/>
                <w:szCs w:val="20"/>
                <w:color w:val="auto"/>
              </w:rPr>
            </w:pPr>
            <w:r>
              <w:rPr>
                <w:rFonts w:ascii="Courier New" w:cs="Courier New" w:eastAsia="Courier New" w:hAnsi="Courier New"/>
                <w:sz w:val="15"/>
                <w:szCs w:val="15"/>
                <w:color w:val="auto"/>
              </w:rPr>
              <w:t>Index to Exhibits.........................................................................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841"/>
        </w:trPr>
        <w:tc>
          <w:tcPr>
            <w:tcW w:w="760" w:type="dxa"/>
            <w:vAlign w:val="bottom"/>
          </w:tcPr>
          <w:p>
            <w:pPr>
              <w:spacing w:after="0"/>
              <w:rPr>
                <w:sz w:val="24"/>
                <w:szCs w:val="24"/>
                <w:color w:val="auto"/>
              </w:rPr>
            </w:pPr>
          </w:p>
        </w:tc>
        <w:tc>
          <w:tcPr>
            <w:tcW w:w="7380" w:type="dxa"/>
            <w:vAlign w:val="bottom"/>
          </w:tcPr>
          <w:p>
            <w:pPr>
              <w:ind w:left="2660"/>
              <w:spacing w:after="0"/>
              <w:rPr>
                <w:sz w:val="20"/>
                <w:szCs w:val="20"/>
                <w:color w:val="auto"/>
              </w:rPr>
            </w:pPr>
            <w:r>
              <w:rPr>
                <w:rFonts w:ascii="Courier New" w:cs="Courier New" w:eastAsia="Courier New" w:hAnsi="Courier New"/>
                <w:sz w:val="15"/>
                <w:szCs w:val="15"/>
                <w:color w:val="auto"/>
              </w:rPr>
              <w:t>2</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6"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THE SCOTTS COMPANY</w:t>
      </w:r>
    </w:p>
    <w:p>
      <w:pPr>
        <w:jc w:val="center"/>
        <w:ind w:right="3920"/>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840"/>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6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3"/>
        </w:trPr>
        <w:tc>
          <w:tcPr>
            <w:tcW w:w="6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THREE MONTHS</w:t>
            </w:r>
          </w:p>
        </w:tc>
        <w:tc>
          <w:tcPr>
            <w:tcW w:w="4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w:t>
            </w:r>
          </w:p>
        </w:tc>
        <w:tc>
          <w:tcPr>
            <w:tcW w:w="600" w:type="dxa"/>
            <w:vAlign w:val="bottom"/>
          </w:tcPr>
          <w:p>
            <w:pPr>
              <w:spacing w:after="0"/>
              <w:rPr>
                <w:sz w:val="24"/>
                <w:szCs w:val="24"/>
                <w:color w:val="auto"/>
              </w:rPr>
            </w:pPr>
          </w:p>
        </w:tc>
      </w:tr>
      <w:tr>
        <w:trPr>
          <w:trHeight w:val="168"/>
        </w:trPr>
        <w:tc>
          <w:tcPr>
            <w:tcW w:w="6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JUNE 28,</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JUNE 29,</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JUNE 28,</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JUNE 29,</w:t>
            </w:r>
          </w:p>
        </w:tc>
      </w:tr>
      <w:tr>
        <w:trPr>
          <w:trHeight w:val="168"/>
        </w:trPr>
        <w:tc>
          <w:tcPr>
            <w:tcW w:w="6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2003</w:t>
            </w:r>
          </w:p>
        </w:tc>
        <w:tc>
          <w:tcPr>
            <w:tcW w:w="2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2002</w:t>
            </w:r>
          </w:p>
        </w:tc>
        <w:tc>
          <w:tcPr>
            <w:tcW w:w="40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2003</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6220" w:type="dxa"/>
            <w:vAlign w:val="bottom"/>
          </w:tcPr>
          <w:p>
            <w:pPr>
              <w:spacing w:after="0"/>
              <w:rPr>
                <w:sz w:val="14"/>
                <w:szCs w:val="14"/>
                <w:color w:val="auto"/>
              </w:rPr>
            </w:pPr>
          </w:p>
        </w:tc>
        <w:tc>
          <w:tcPr>
            <w:tcW w:w="15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62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4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$ 710.0</w:t>
            </w:r>
          </w:p>
        </w:tc>
        <w:tc>
          <w:tcPr>
            <w:tcW w:w="10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$ 689.0</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$1,567.0</w:t>
            </w:r>
          </w:p>
        </w:tc>
        <w:tc>
          <w:tcPr>
            <w:tcW w:w="8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$1,449.0</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428.6</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418.0</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985.3</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905.9</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0.6</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280.8</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270.6</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541.6</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Gross commission earned from marketing agreement...................</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23.6</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7.1</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21.3</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commission earned from marketing agreement.....................</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16.5</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Advertising.....................................................</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38.1</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30.6</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81.7</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85.0</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77.4</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243.8</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222.2</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Selling, general and administrative - lawn service business.....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11.8</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34.9</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Stock-based compensation........................................</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1.6</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1.2</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5.5</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2.2</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income, net...............................................</w:t>
            </w:r>
          </w:p>
        </w:tc>
        <w:tc>
          <w:tcPr>
            <w:tcW w:w="6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w:t>
            </w:r>
          </w:p>
        </w:tc>
        <w:tc>
          <w:tcPr>
            <w:tcW w:w="2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161.0</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174.5</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221.5</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243.7</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18.2</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53.4</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88"/>
              </w:rPr>
              <w:t>142.8</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155.8</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184.9</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51.6</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60.0</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61.2</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before cumulative effect of accounting change.........</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95.8</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106.9</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assets, net of tax.................................................</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91.2</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95.8</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$ 106.9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 the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period..........................................................</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31.1</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Before cumulative effect of accounting change...................</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2.93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6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assets, net of tax...........................................</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After cumulative effect of accounting change....................</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2.93</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 the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period..........................................................</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32.4</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32.1</w:t>
            </w:r>
          </w:p>
        </w:tc>
        <w:tc>
          <w:tcPr>
            <w:tcW w:w="2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per common share: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Before cumulative effect of accounting change...................</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2.81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62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assets, net of tax...........................................</w:t>
            </w:r>
          </w:p>
        </w:tc>
        <w:tc>
          <w:tcPr>
            <w:tcW w:w="62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(0.59)</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After cumulative effect of accounting change.......................</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2.81</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6220" w:type="dxa"/>
            <w:vAlign w:val="bottom"/>
          </w:tcPr>
          <w:p>
            <w:pPr>
              <w:spacing w:after="0"/>
              <w:rPr>
                <w:sz w:val="14"/>
                <w:szCs w:val="14"/>
                <w:color w:val="auto"/>
              </w:rPr>
            </w:pPr>
          </w:p>
        </w:tc>
        <w:tc>
          <w:tcPr>
            <w:tcW w:w="1540" w:type="dxa"/>
            <w:vAlign w:val="bottom"/>
            <w:gridSpan w:val="2"/>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940"/>
          </w:cols>
          <w:pgMar w:left="220" w:top="785" w:right="739" w:bottom="1440" w:gutter="0" w:footer="0" w:header="0"/>
        </w:sectPr>
      </w:pPr>
    </w:p>
    <w:bookmarkStart w:id="3" w:name="page4"/>
    <w:bookmarkEnd w:id="3"/>
    <w:p>
      <w:pPr>
        <w:jc w:val="center"/>
        <w:ind w:right="3659"/>
        <w:spacing w:after="0"/>
        <w:rPr>
          <w:sz w:val="20"/>
          <w:szCs w:val="20"/>
          <w:color w:val="auto"/>
        </w:rPr>
      </w:pPr>
      <w:r>
        <w:rPr>
          <w:rFonts w:ascii="Courier New" w:cs="Courier New" w:eastAsia="Courier New" w:hAnsi="Courier New"/>
          <w:sz w:val="15"/>
          <w:szCs w:val="15"/>
          <w:color w:val="auto"/>
        </w:rPr>
        <w:t>THE SCOTTS COMPANY</w:t>
      </w:r>
    </w:p>
    <w:p>
      <w:pPr>
        <w:jc w:val="center"/>
        <w:ind w:right="3659"/>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579"/>
        <w:spacing w:after="0" w:line="238" w:lineRule="auto"/>
        <w:rPr>
          <w:sz w:val="20"/>
          <w:szCs w:val="20"/>
          <w:color w:val="auto"/>
        </w:rPr>
      </w:pPr>
      <w:r>
        <w:rPr>
          <w:rFonts w:ascii="Courier New" w:cs="Courier New" w:eastAsia="Courier New" w:hAnsi="Courier New"/>
          <w:sz w:val="15"/>
          <w:szCs w:val="15"/>
          <w:color w:val="auto"/>
        </w:rPr>
        <w:t>(UNAUDITED)</w:t>
      </w:r>
    </w:p>
    <w:p>
      <w:pPr>
        <w:ind w:left="254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6660" w:type="dxa"/>
            <w:vAlign w:val="bottom"/>
          </w:tcPr>
          <w:p>
            <w:pPr>
              <w:spacing w:after="0"/>
              <w:rPr>
                <w:sz w:val="14"/>
                <w:szCs w:val="14"/>
                <w:color w:val="auto"/>
              </w:rPr>
            </w:pPr>
          </w:p>
        </w:tc>
        <w:tc>
          <w:tcPr>
            <w:tcW w:w="25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JUNE 28,</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6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2003</w:t>
            </w:r>
          </w:p>
        </w:tc>
        <w:tc>
          <w:tcPr>
            <w:tcW w:w="48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2002</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 net cash provided by</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Stock-based compensation expense.....................................</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3.1</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Depreciation.........................................................</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28.7</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Amortization.........................................................</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Deferred taxes.......................................................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(271.3)</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(214.3)</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Inventories.......................................................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(53.7)</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66.5</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Prepaid and other current assets..................................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Accounts payable..................................................</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121.4</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46.4</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taxes and liabilities.....................................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96.8</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127.4</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Restructuring reserves............................................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(28.0)</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assets......................................................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liabilities.................................................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0.5</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net...........................................................</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8.7</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42.1</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153.2</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(40.8)</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Investment in acquired businesses, net of cash acquired..............</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Payments on seller notes.............................................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(31.6)</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borrowings under revolving and bank lines of credit..............</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6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Issuance of 8 5/8% senior subordinated notes, net of issuance costs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Financing and issuance fees..........................................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Cash received from the exercise of stock options.....................</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used in financing activities.............................</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w:t>
            </w:r>
          </w:p>
        </w:tc>
        <w:tc>
          <w:tcPr>
            <w:tcW w:w="48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Effect of exchange rate changes on cash.................................</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increase (decrease) in cash.........................................</w:t>
            </w:r>
          </w:p>
        </w:tc>
        <w:tc>
          <w:tcPr>
            <w:tcW w:w="52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w:t>
            </w:r>
          </w:p>
        </w:tc>
        <w:tc>
          <w:tcPr>
            <w:tcW w:w="5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99.7</w:t>
            </w:r>
          </w:p>
        </w:tc>
        <w:tc>
          <w:tcPr>
            <w:tcW w:w="4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6660" w:type="dxa"/>
            <w:vAlign w:val="bottom"/>
          </w:tcPr>
          <w:p>
            <w:pPr>
              <w:spacing w:after="0"/>
              <w:rPr>
                <w:sz w:val="14"/>
                <w:szCs w:val="14"/>
                <w:color w:val="auto"/>
              </w:rPr>
            </w:pP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953" w:right="1440" w:bottom="1440" w:gutter="0" w:footer="0" w:header="0"/>
        </w:sectPr>
      </w:pPr>
    </w:p>
    <w:bookmarkStart w:id="4" w:name="page5"/>
    <w:bookmarkEnd w:id="4"/>
    <w:p>
      <w:pPr>
        <w:jc w:val="center"/>
        <w:ind w:right="3220"/>
        <w:spacing w:after="0"/>
        <w:rPr>
          <w:sz w:val="20"/>
          <w:szCs w:val="20"/>
          <w:color w:val="auto"/>
        </w:rPr>
      </w:pPr>
      <w:r>
        <w:rPr>
          <w:rFonts w:ascii="Courier New" w:cs="Courier New" w:eastAsia="Courier New" w:hAnsi="Courier New"/>
          <w:sz w:val="15"/>
          <w:szCs w:val="15"/>
          <w:color w:val="auto"/>
        </w:rPr>
        <w:t>THE SCOTTS COMPANY</w:t>
      </w:r>
    </w:p>
    <w:p>
      <w:pPr>
        <w:jc w:val="center"/>
        <w:ind w:right="3220"/>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220" w:type="dxa"/>
            <w:vAlign w:val="bottom"/>
          </w:tcPr>
          <w:p>
            <w:pPr>
              <w:jc w:val="right"/>
              <w:ind w:right="2027"/>
              <w:spacing w:after="0" w:line="169" w:lineRule="exact"/>
              <w:rPr>
                <w:sz w:val="20"/>
                <w:szCs w:val="20"/>
                <w:color w:val="auto"/>
              </w:rPr>
            </w:pPr>
            <w:r>
              <w:rPr>
                <w:rFonts w:ascii="Courier New" w:cs="Courier New" w:eastAsia="Courier New" w:hAnsi="Courier New"/>
                <w:sz w:val="15"/>
                <w:szCs w:val="15"/>
                <w:color w:val="auto"/>
              </w:rPr>
              <w:t>(in millions)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73"/>
        </w:trPr>
        <w:tc>
          <w:tcPr>
            <w:tcW w:w="6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220" w:type="dxa"/>
            <w:vAlign w:val="bottom"/>
          </w:tcPr>
          <w:p>
            <w:pPr>
              <w:spacing w:after="0"/>
              <w:rPr>
                <w:sz w:val="14"/>
                <w:szCs w:val="14"/>
                <w:color w:val="auto"/>
              </w:rPr>
            </w:pPr>
          </w:p>
        </w:tc>
        <w:tc>
          <w:tcPr>
            <w:tcW w:w="26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4"/>
              </w:rPr>
              <w:t>JUNE 28,</w:t>
            </w:r>
          </w:p>
        </w:tc>
        <w:tc>
          <w:tcPr>
            <w:tcW w:w="3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JUNE 29,</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6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w:t>
            </w:r>
          </w:p>
        </w:tc>
        <w:tc>
          <w:tcPr>
            <w:tcW w:w="1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jc w:val="right"/>
              <w:ind w:right="2907"/>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w:t>
            </w: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 of $26.5,</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$24.6 and $33.2, respectively..............................</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521.5</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435.1</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249.9</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Inventories, net..............................................</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323.3</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301.9</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269.1</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77.7</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52.1</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44.0</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45.2</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1,023.1</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910.7</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730.1</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341.4</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317.1</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329.2</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Goodwill and intangible assets, net..............................</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819.2</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765.3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791.7</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$2,229.1</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$ 2,070.1</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$ 1,901.4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LIABILITIES AND SHAREHOLDERS'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Current portion of debt.......................................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Accounts payable..............................................</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255.3</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197.4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227.4</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231.5</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206.4</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Accrued taxes.................................................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82.5</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91.8</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625.9</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589.5</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451.8</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754.9</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767.2</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731.2</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131.0</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91.6</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124.5</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1,511.8</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1,448.3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1,307.5</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9)</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 stated value per share, 31.6, 31.3 and 31.3 shares issued,</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respectively...............................................</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376.6</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402.0</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401.7</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307.5</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294.8</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Treasury stock................................................</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w:t>
            </w:r>
          </w:p>
        </w:tc>
        <w:tc>
          <w:tcPr>
            <w:tcW w:w="3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w:t>
            </w:r>
          </w:p>
        </w:tc>
        <w:tc>
          <w:tcPr>
            <w:tcW w:w="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(60.1)</w:t>
            </w:r>
          </w:p>
        </w:tc>
        <w:tc>
          <w:tcPr>
            <w:tcW w:w="3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w:t>
            </w:r>
          </w:p>
        </w:tc>
        <w:tc>
          <w:tcPr>
            <w:tcW w:w="6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40" w:type="dxa"/>
            <w:vAlign w:val="bottom"/>
          </w:tcPr>
          <w:p>
            <w:pPr>
              <w:spacing w:after="0"/>
              <w:rPr>
                <w:sz w:val="14"/>
                <w:szCs w:val="14"/>
                <w:color w:val="auto"/>
              </w:rPr>
            </w:pP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717.3</w:t>
            </w:r>
          </w:p>
        </w:tc>
        <w:tc>
          <w:tcPr>
            <w:tcW w:w="3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621.8</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593.9</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$2,229.1</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$ 2,070.1</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$ 1,901.4</w:t>
            </w:r>
          </w:p>
        </w:tc>
      </w:tr>
      <w:tr>
        <w:trPr>
          <w:trHeight w:val="168"/>
        </w:trPr>
        <w:tc>
          <w:tcPr>
            <w:tcW w:w="6220" w:type="dxa"/>
            <w:vAlign w:val="bottom"/>
          </w:tcPr>
          <w:p>
            <w:pPr>
              <w:spacing w:after="0"/>
              <w:rPr>
                <w:sz w:val="14"/>
                <w:szCs w:val="14"/>
                <w:color w:val="auto"/>
              </w:rPr>
            </w:pP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40"/>
          </w:cols>
          <w:pgMar w:left="220" w:top="785" w:right="1439" w:bottom="1440" w:gutter="0" w:footer="0" w:header="0"/>
        </w:sectPr>
      </w:pPr>
    </w:p>
    <w:bookmarkStart w:id="5" w:name="page6"/>
    <w:bookmarkEnd w:id="5"/>
    <w:p>
      <w:pPr>
        <w:ind w:left="35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3" w:lineRule="exact"/>
        <w:rPr>
          <w:sz w:val="20"/>
          <w:szCs w:val="20"/>
          <w:color w:val="auto"/>
        </w:rPr>
      </w:pPr>
    </w:p>
    <w:p>
      <w:pPr>
        <w:ind w:left="350" w:right="6199" w:hanging="350"/>
        <w:spacing w:after="0" w:line="465"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rFonts w:ascii="Courier New" w:cs="Courier New" w:eastAsia="Courier New" w:hAnsi="Courier New"/>
          <w:sz w:val="15"/>
          <w:szCs w:val="15"/>
          <w:color w:val="auto"/>
        </w:rPr>
      </w:pPr>
    </w:p>
    <w:p>
      <w:pPr>
        <w:ind w:left="35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Company and its subsidiaries (collectively "Scotts" or the "Company") are engaged in the manufacture, marketing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primarily in North America and the European Union. We also operate the Scotts LawnService(R) business which provides lawn and tree and shrub fertilization, insect control and other related services in the United States.</w:t>
      </w:r>
    </w:p>
    <w:p>
      <w:pPr>
        <w:spacing w:after="0" w:line="158"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w:t>
      </w:r>
    </w:p>
    <w:p>
      <w:pPr>
        <w:spacing w:after="0" w:line="172" w:lineRule="exact"/>
        <w:rPr>
          <w:rFonts w:ascii="Courier New" w:cs="Courier New" w:eastAsia="Courier New" w:hAnsi="Courier New"/>
          <w:sz w:val="15"/>
          <w:szCs w:val="15"/>
          <w:color w:val="auto"/>
        </w:rPr>
      </w:pPr>
    </w:p>
    <w:p>
      <w:pPr>
        <w:ind w:left="35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167"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2" w:lineRule="exact"/>
        <w:rPr>
          <w:rFonts w:ascii="Courier New" w:cs="Courier New" w:eastAsia="Courier New" w:hAnsi="Courier New"/>
          <w:sz w:val="15"/>
          <w:szCs w:val="15"/>
          <w:color w:val="auto"/>
        </w:rPr>
      </w:pPr>
    </w:p>
    <w:p>
      <w:pPr>
        <w:ind w:left="35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June 28, 2003 and June 29, 2002, and the related condensed, consolidated statements of operations for the three and nine month periods then ended and condensed, consolidated statements of cash flows for the nine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The Scotts Company's fiscal 2002 Annual Report on Form 10-K.</w:t>
      </w:r>
    </w:p>
    <w:p>
      <w:pPr>
        <w:spacing w:after="0" w:line="166"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title and risk of loss have transferred to the customer. Provisions for estimated returns and allowances are recorded at the time of shipment based on historical rates of returns applied as a percentage of sales. Scotts LawnService(R) revenues are recognized at the time service is provided to the customer.</w:t>
      </w:r>
    </w:p>
    <w:p>
      <w:pPr>
        <w:spacing w:after="0" w:line="167"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PROMOTIONAL ALLOWANCES</w:t>
      </w:r>
    </w:p>
    <w:p>
      <w:pPr>
        <w:spacing w:after="0" w:line="172" w:lineRule="exact"/>
        <w:rPr>
          <w:rFonts w:ascii="Courier New" w:cs="Courier New" w:eastAsia="Courier New" w:hAnsi="Courier New"/>
          <w:sz w:val="15"/>
          <w:szCs w:val="15"/>
          <w:color w:val="auto"/>
        </w:rPr>
      </w:pPr>
    </w:p>
    <w:p>
      <w:pPr>
        <w:ind w:left="35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Promotion costs (including allowances and rebates) incurred during the year are expensed to interim periods in relation to revenues and are recorded as a reduction of net sales. Costs accrued at June 28, 2002, June 29, 2002 and September 30, 2002 are $90.0 million, $66.9 million and $63.0 million, respectively.</w:t>
      </w:r>
    </w:p>
    <w:p>
      <w:pPr>
        <w:spacing w:after="0" w:line="15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w:t>
      </w:r>
    </w:p>
    <w:p>
      <w:pPr>
        <w:spacing w:after="0" w:line="172" w:lineRule="exact"/>
        <w:rPr>
          <w:rFonts w:ascii="Courier New" w:cs="Courier New" w:eastAsia="Courier New" w:hAnsi="Courier New"/>
          <w:sz w:val="15"/>
          <w:szCs w:val="15"/>
          <w:color w:val="auto"/>
        </w:rPr>
      </w:pPr>
    </w:p>
    <w:p>
      <w:pPr>
        <w:ind w:left="35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advertises its branded products through national and regional media. 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66"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promotes its service offerings through direct response mail campaigns. The external costs associated with these campaigns are deferred and recognized ratably in proportion to revenues as advertising costs over a period not in excess of one year. The costs deferred at June 28, 2003, June 29, 2002 and September 30, 2002 are $2.0 million, $1.7 million and $0.9 million, respectively.</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85" w:right="1440" w:bottom="1440" w:gutter="0" w:footer="0" w:header="0"/>
        </w:sectPr>
      </w:pPr>
    </w:p>
    <w:bookmarkStart w:id="6" w:name="page7"/>
    <w:bookmarkEnd w:id="6"/>
    <w:p>
      <w:pPr>
        <w:ind w:left="180"/>
        <w:spacing w:after="0"/>
        <w:rPr>
          <w:sz w:val="20"/>
          <w:szCs w:val="20"/>
          <w:color w:val="auto"/>
        </w:rPr>
      </w:pPr>
      <w:r>
        <w:rPr>
          <w:rFonts w:ascii="Courier New" w:cs="Courier New" w:eastAsia="Courier New" w:hAnsi="Courier New"/>
          <w:sz w:val="15"/>
          <w:szCs w:val="15"/>
          <w:color w:val="auto"/>
        </w:rPr>
        <w:t>STOCK-BASED COMPENSATION AWARDS</w:t>
      </w:r>
    </w:p>
    <w:p>
      <w:pPr>
        <w:spacing w:after="0" w:line="173"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In July 2002, the Company announced that it would begin expensing prospective grants of employee stock based compensation awards beginning in fiscal 2003 in accordance with Statement of Financial Accounting Standards No. 123, "Accounting for Stock-Based Compensation". The fair value of future awards will be expensed ratably over the vesting period, which has historically been three years, except for grants to Directors, which have a six month vesting period.</w:t>
      </w:r>
    </w:p>
    <w:p>
      <w:pPr>
        <w:spacing w:after="0" w:line="176"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In fiscal 2003, the Company granted 382,000 options to officers and other key employees, 63,000 options to members of the Board of Directors and 259,000 stock appreciation rights to executive officers. The exercise price for the option awards and the stated price for the stock appreciation rights awards were determined by the closing price of the Company's common shares on the date of grant. The related compensation expense recorded in the three and nine month periods ended June 28, 2003 was $1.6 million and $3.1 million, respectively.</w:t>
      </w:r>
    </w:p>
    <w:p>
      <w:pPr>
        <w:spacing w:after="0" w:line="177" w:lineRule="exact"/>
        <w:rPr>
          <w:sz w:val="20"/>
          <w:szCs w:val="20"/>
          <w:color w:val="auto"/>
        </w:rPr>
      </w:pPr>
    </w:p>
    <w:p>
      <w:pPr>
        <w:ind w:left="180" w:right="3319"/>
        <w:spacing w:after="0" w:line="236" w:lineRule="auto"/>
        <w:rPr>
          <w:sz w:val="20"/>
          <w:szCs w:val="20"/>
          <w:color w:val="auto"/>
        </w:rPr>
      </w:pPr>
      <w:r>
        <w:rPr>
          <w:rFonts w:ascii="Courier New" w:cs="Courier New" w:eastAsia="Courier New" w:hAnsi="Courier New"/>
          <w:sz w:val="15"/>
          <w:szCs w:val="15"/>
          <w:color w:val="auto"/>
        </w:rPr>
        <w:t>The Black-Scholes value of options granted in fiscal 2001 and fiscal 2002 was $10.0 million and $10.7 million, respectively. The value of all stock-based compensation grants awarded during the first nine months of fiscal 2003 is $13.1 million. Had compensation expense been recognized for the periods ended June 28, 2003 and June 29, 2002 in accordance with the recognition provisions of SFAS No. 123, the Company would have recorded net income and net income per share as follows: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31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THREE MONTHS ENDED</w:t>
            </w:r>
          </w:p>
        </w:tc>
        <w:tc>
          <w:tcPr>
            <w:tcW w:w="30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3760" w:type="dxa"/>
            <w:vAlign w:val="bottom"/>
          </w:tcPr>
          <w:p>
            <w:pPr>
              <w:spacing w:after="0"/>
              <w:rPr>
                <w:sz w:val="14"/>
                <w:szCs w:val="14"/>
                <w:color w:val="auto"/>
              </w:rPr>
            </w:pPr>
          </w:p>
        </w:tc>
        <w:tc>
          <w:tcPr>
            <w:tcW w:w="31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06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760" w:type="dxa"/>
            <w:vAlign w:val="bottom"/>
          </w:tcPr>
          <w:p>
            <w:pPr>
              <w:spacing w:after="0"/>
              <w:rPr>
                <w:sz w:val="14"/>
                <w:szCs w:val="14"/>
                <w:color w:val="auto"/>
              </w:rPr>
            </w:pPr>
          </w:p>
        </w:tc>
        <w:tc>
          <w:tcPr>
            <w:tcW w:w="1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JUNE 28,</w:t>
            </w:r>
          </w:p>
        </w:tc>
        <w:tc>
          <w:tcPr>
            <w:tcW w:w="15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JUNE 29,</w:t>
            </w:r>
          </w:p>
        </w:tc>
        <w:tc>
          <w:tcPr>
            <w:tcW w:w="184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JUNE 28,</w:t>
            </w:r>
          </w:p>
        </w:tc>
        <w:tc>
          <w:tcPr>
            <w:tcW w:w="4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JUNE 29,</w:t>
            </w:r>
          </w:p>
        </w:tc>
      </w:tr>
      <w:tr>
        <w:trPr>
          <w:trHeight w:val="168"/>
        </w:trPr>
        <w:tc>
          <w:tcPr>
            <w:tcW w:w="376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2003</w:t>
            </w:r>
          </w:p>
        </w:tc>
        <w:tc>
          <w:tcPr>
            <w:tcW w:w="4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76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3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 MILLIONS EXCEPT PER SHARE DATA)</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7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income...............................</w:t>
            </w:r>
          </w:p>
        </w:tc>
        <w:tc>
          <w:tcPr>
            <w:tcW w:w="16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$ 91.2</w:t>
            </w:r>
          </w:p>
        </w:tc>
        <w:tc>
          <w:tcPr>
            <w:tcW w:w="15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$ 95.8</w:t>
            </w: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$106.9</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95.2</w:t>
            </w:r>
          </w:p>
        </w:tc>
      </w:tr>
      <w:tr>
        <w:trPr>
          <w:trHeight w:val="168"/>
        </w:trPr>
        <w:tc>
          <w:tcPr>
            <w:tcW w:w="37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Stock-based compensation, net of tax.....</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1.0</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3.1</w:t>
            </w:r>
          </w:p>
        </w:tc>
        <w:tc>
          <w:tcPr>
            <w:tcW w:w="4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76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Net income as adjusted...................</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$ 90.2</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$ 94.6</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$103.8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w:t>
            </w:r>
          </w:p>
        </w:tc>
      </w:tr>
      <w:tr>
        <w:trPr>
          <w:trHeight w:val="168"/>
        </w:trPr>
        <w:tc>
          <w:tcPr>
            <w:tcW w:w="3760" w:type="dxa"/>
            <w:vAlign w:val="bottom"/>
          </w:tcPr>
          <w:p>
            <w:pPr>
              <w:spacing w:after="0"/>
              <w:rPr>
                <w:sz w:val="14"/>
                <w:szCs w:val="14"/>
                <w:color w:val="auto"/>
              </w:rPr>
            </w:pP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Adjusted net income per share:</w:t>
            </w:r>
          </w:p>
        </w:tc>
        <w:tc>
          <w:tcPr>
            <w:tcW w:w="1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7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Basic................................</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$ 2.90</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$ 3.21</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$ 3.38</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w:t>
            </w:r>
          </w:p>
        </w:tc>
      </w:tr>
      <w:tr>
        <w:trPr>
          <w:trHeight w:val="168"/>
        </w:trPr>
        <w:tc>
          <w:tcPr>
            <w:tcW w:w="37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Diluted..............................</w:t>
            </w:r>
          </w:p>
        </w:tc>
        <w:tc>
          <w:tcPr>
            <w:tcW w:w="16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$ 2.78</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$ 2.98</w:t>
            </w:r>
          </w:p>
        </w:tc>
        <w:tc>
          <w:tcPr>
            <w:tcW w:w="18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$ 3.23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r>
    </w:tbl>
    <w:p>
      <w:pPr>
        <w:spacing w:after="0" w:line="341" w:lineRule="exact"/>
        <w:rPr>
          <w:sz w:val="20"/>
          <w:szCs w:val="20"/>
          <w:color w:val="auto"/>
        </w:rPr>
      </w:pPr>
    </w:p>
    <w:p>
      <w:pPr>
        <w:jc w:val="both"/>
        <w:ind w:left="180" w:right="3319"/>
        <w:spacing w:after="0" w:line="234" w:lineRule="auto"/>
        <w:rPr>
          <w:sz w:val="20"/>
          <w:szCs w:val="20"/>
          <w:color w:val="auto"/>
        </w:rPr>
      </w:pPr>
      <w:r>
        <w:rPr>
          <w:rFonts w:ascii="Courier New" w:cs="Courier New" w:eastAsia="Courier New" w:hAnsi="Courier New"/>
          <w:sz w:val="15"/>
          <w:szCs w:val="15"/>
          <w:color w:val="auto"/>
        </w:rPr>
        <w:t>The pro forma amounts shown above are not necessarily representative of the impact on net income in future periods.</w:t>
      </w:r>
    </w:p>
    <w:p>
      <w:pPr>
        <w:spacing w:after="0" w:line="173" w:lineRule="exact"/>
        <w:rPr>
          <w:sz w:val="20"/>
          <w:szCs w:val="20"/>
          <w:color w:val="auto"/>
        </w:rPr>
      </w:pPr>
    </w:p>
    <w:p>
      <w:pPr>
        <w:jc w:val="both"/>
        <w:ind w:left="180" w:right="3319"/>
        <w:spacing w:after="0" w:line="235" w:lineRule="auto"/>
        <w:rPr>
          <w:sz w:val="20"/>
          <w:szCs w:val="20"/>
          <w:color w:val="auto"/>
        </w:rPr>
      </w:pPr>
      <w:r>
        <w:rPr>
          <w:rFonts w:ascii="Courier New" w:cs="Courier New" w:eastAsia="Courier New" w:hAnsi="Courier New"/>
          <w:sz w:val="15"/>
          <w:szCs w:val="15"/>
          <w:color w:val="auto"/>
        </w:rPr>
        <w:t>Prior to fiscal 2003, the Company accounted for stock options under APB 25, "Accounting for Stock Issued to Employees" and, as allowable, adopted only the disclosure provisions of SFAS No. 123.</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LONG-LIVED ASSETS</w:t>
      </w:r>
    </w:p>
    <w:p>
      <w:pPr>
        <w:spacing w:after="0" w:line="173" w:lineRule="exact"/>
        <w:rPr>
          <w:sz w:val="20"/>
          <w:szCs w:val="20"/>
          <w:color w:val="auto"/>
        </w:rPr>
      </w:pPr>
    </w:p>
    <w:p>
      <w:pPr>
        <w:ind w:left="180" w:right="3239"/>
        <w:spacing w:after="0" w:line="236"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expense as incurred. When properties are retired or otherwise disposed of, the cost of the assets and the related accumulated depreciation are removed from the accounts with the resulting gain or loss being reflected in results of operations.</w:t>
      </w:r>
    </w:p>
    <w:p>
      <w:pPr>
        <w:spacing w:after="0" w:line="175" w:lineRule="exact"/>
        <w:rPr>
          <w:sz w:val="20"/>
          <w:szCs w:val="20"/>
          <w:color w:val="auto"/>
        </w:rPr>
      </w:pPr>
    </w:p>
    <w:p>
      <w:pPr>
        <w:ind w:left="180" w:right="3319"/>
        <w:spacing w:after="0" w:line="236" w:lineRule="auto"/>
        <w:rPr>
          <w:sz w:val="20"/>
          <w:szCs w:val="20"/>
          <w:color w:val="auto"/>
        </w:rPr>
      </w:pPr>
      <w:r>
        <w:rPr>
          <w:rFonts w:ascii="Courier New" w:cs="Courier New" w:eastAsia="Courier New" w:hAnsi="Courier New"/>
          <w:sz w:val="15"/>
          <w:szCs w:val="15"/>
          <w:color w:val="auto"/>
        </w:rPr>
        <w:t>Interest is capitalized on capital projects with significant cost and duration. The Company capitalized $0.3 million and $1.3 million of interest costs during the three and nine month periods ended June 28, 2003 compared to $0.1 million and $0.8 million during the three and nine month periods ended June 29, 2002.</w:t>
      </w:r>
    </w:p>
    <w:p>
      <w:pPr>
        <w:spacing w:after="0" w:line="174" w:lineRule="exact"/>
        <w:rPr>
          <w:sz w:val="20"/>
          <w:szCs w:val="20"/>
          <w:color w:val="auto"/>
        </w:rPr>
      </w:pPr>
    </w:p>
    <w:p>
      <w:pPr>
        <w:ind w:left="180" w:right="3319"/>
        <w:spacing w:after="0" w:line="236" w:lineRule="auto"/>
        <w:rPr>
          <w:sz w:val="20"/>
          <w:szCs w:val="20"/>
          <w:color w:val="auto"/>
        </w:rPr>
      </w:pPr>
      <w:r>
        <w:rPr>
          <w:rFonts w:ascii="Courier New" w:cs="Courier New" w:eastAsia="Courier New" w:hAnsi="Courier New"/>
          <w:sz w:val="15"/>
          <w:szCs w:val="15"/>
          <w:color w:val="auto"/>
        </w:rPr>
        <w:t>Management assesses the recoverability of property and equipment whenever events or changes in circumstances indicate that the carrying amount of an asset may not be recoverable from its future undiscounted cash flows. If it is determined that an impairment has occurred, an impairment loss will be recognized for the amount by which the carrying amount of the asset exceeds its estimated fair value.</w:t>
      </w:r>
    </w:p>
    <w:p>
      <w:pPr>
        <w:spacing w:after="0" w:line="16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180" w:right="357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59"/>
          </w:cols>
          <w:pgMar w:left="400" w:top="785" w:right="1440" w:bottom="853" w:gutter="0" w:footer="0" w:header="0"/>
        </w:sectPr>
      </w:pPr>
    </w:p>
    <w:bookmarkStart w:id="7" w:name="page8"/>
    <w:bookmarkEnd w:id="7"/>
    <w:p>
      <w:pPr>
        <w:ind w:left="36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360" w:right="700"/>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2003 classifications.</w:t>
      </w:r>
    </w:p>
    <w:p>
      <w:pPr>
        <w:spacing w:after="0" w:line="167"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FINANCIAL STATEMENT ACCOUNTS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w:t>
      </w:r>
    </w:p>
    <w:p>
      <w:pPr>
        <w:spacing w:after="0" w:line="4"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$24.3 million, $26.2 million, and $25.9 million, respectively, consisted of:</w:t>
      </w:r>
    </w:p>
    <w:p>
      <w:pPr>
        <w:spacing w:after="0" w:line="200" w:lineRule="exact"/>
        <w:rPr>
          <w:sz w:val="20"/>
          <w:szCs w:val="20"/>
          <w:color w:val="auto"/>
        </w:rPr>
      </w:pPr>
    </w:p>
    <w:p>
      <w:pPr>
        <w:spacing w:after="0" w:line="308" w:lineRule="exact"/>
        <w:rPr>
          <w:sz w:val="20"/>
          <w:szCs w:val="20"/>
          <w:color w:val="auto"/>
        </w:rPr>
      </w:pPr>
    </w:p>
    <w:p>
      <w:pPr>
        <w:jc w:val="center"/>
        <w:ind w:left="5600"/>
        <w:spacing w:after="0"/>
        <w:rPr>
          <w:sz w:val="20"/>
          <w:szCs w:val="20"/>
          <w:color w:val="auto"/>
        </w:rPr>
      </w:pPr>
      <w:r>
        <w:rPr>
          <w:rFonts w:ascii="Courier New" w:cs="Courier New" w:eastAsia="Courier New" w:hAnsi="Courier New"/>
          <w:sz w:val="15"/>
          <w:szCs w:val="15"/>
          <w:color w:val="auto"/>
        </w:rPr>
        <w:t>JUNE 28,</w:t>
      </w:r>
    </w:p>
    <w:p>
      <w:pPr>
        <w:jc w:val="center"/>
        <w:ind w:left="5600"/>
        <w:spacing w:after="0" w:line="237" w:lineRule="auto"/>
        <w:rPr>
          <w:sz w:val="20"/>
          <w:szCs w:val="20"/>
          <w:color w:val="auto"/>
        </w:rPr>
      </w:pPr>
      <w:r>
        <w:rPr>
          <w:rFonts w:ascii="Courier New" w:cs="Courier New" w:eastAsia="Courier New" w:hAnsi="Courier New"/>
          <w:sz w:val="15"/>
          <w:szCs w:val="15"/>
          <w:color w:val="auto"/>
        </w:rPr>
        <w:t>2003</w:t>
      </w:r>
    </w:p>
    <w:p>
      <w:pPr>
        <w:ind w:left="5960"/>
        <w:spacing w:after="0" w:line="238"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INVENTORIES</w:t>
      </w:r>
    </w:p>
    <w:p>
      <w:pPr>
        <w:ind w:left="800"/>
        <w:spacing w:after="0"/>
        <w:tabs>
          <w:tab w:leader="none" w:pos="5940" w:val="left"/>
          <w:tab w:leader="none" w:pos="6280" w:val="left"/>
        </w:tabs>
        <w:rPr>
          <w:sz w:val="20"/>
          <w:szCs w:val="20"/>
          <w:color w:val="auto"/>
        </w:rPr>
      </w:pPr>
      <w:r>
        <w:rPr>
          <w:rFonts w:ascii="Courier New" w:cs="Courier New" w:eastAsia="Courier New" w:hAnsi="Courier New"/>
          <w:sz w:val="15"/>
          <w:szCs w:val="15"/>
          <w:color w:val="auto"/>
        </w:rPr>
        <w:t>Finished goods......................................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247.9</w:t>
      </w:r>
    </w:p>
    <w:p>
      <w:pPr>
        <w:ind w:left="800"/>
        <w:spacing w:after="0"/>
        <w:tabs>
          <w:tab w:leader="none" w:pos="6380" w:val="left"/>
        </w:tabs>
        <w:rPr>
          <w:sz w:val="20"/>
          <w:szCs w:val="20"/>
          <w:color w:val="auto"/>
        </w:rPr>
      </w:pPr>
      <w:r>
        <w:rPr>
          <w:rFonts w:ascii="Courier New" w:cs="Courier New" w:eastAsia="Courier New" w:hAnsi="Courier New"/>
          <w:sz w:val="15"/>
          <w:szCs w:val="15"/>
          <w:color w:val="auto"/>
        </w:rPr>
        <w:t>Raw materials.......................................</w:t>
      </w:r>
      <w:r>
        <w:rPr>
          <w:sz w:val="20"/>
          <w:szCs w:val="20"/>
          <w:color w:val="auto"/>
        </w:rPr>
        <w:tab/>
      </w:r>
      <w:r>
        <w:rPr>
          <w:rFonts w:ascii="Courier New" w:cs="Courier New" w:eastAsia="Courier New" w:hAnsi="Courier New"/>
          <w:sz w:val="14"/>
          <w:szCs w:val="14"/>
          <w:color w:val="auto"/>
        </w:rPr>
        <w:t>75.4</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tabs>
          <w:tab w:leader="none" w:pos="628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4"/>
          <w:szCs w:val="14"/>
          <w:color w:val="auto"/>
        </w:rPr>
        <w:t>323.3</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JUNE 28,</w:t>
            </w:r>
          </w:p>
        </w:tc>
      </w:tr>
      <w:tr>
        <w:trPr>
          <w:trHeight w:val="168"/>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4860" w:type="dxa"/>
            <w:vAlign w:val="bottom"/>
          </w:tcPr>
          <w:p>
            <w:pPr>
              <w:spacing w:after="0"/>
              <w:rPr>
                <w:sz w:val="14"/>
                <w:szCs w:val="14"/>
                <w:color w:val="auto"/>
              </w:rPr>
            </w:pP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 improvements...............................</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123.1</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Software............................................</w:t>
            </w:r>
          </w:p>
        </w:tc>
        <w:tc>
          <w:tcPr>
            <w:tcW w:w="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61.5</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w:t>
            </w:r>
          </w:p>
        </w:tc>
        <w:tc>
          <w:tcPr>
            <w:tcW w:w="4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(272.4)</w:t>
            </w:r>
          </w:p>
        </w:tc>
      </w:tr>
      <w:tr>
        <w:trPr>
          <w:trHeight w:val="168"/>
        </w:trPr>
        <w:tc>
          <w:tcPr>
            <w:tcW w:w="4860" w:type="dxa"/>
            <w:vAlign w:val="bottom"/>
          </w:tcPr>
          <w:p>
            <w:pPr>
              <w:spacing w:after="0"/>
              <w:rPr>
                <w:sz w:val="14"/>
                <w:szCs w:val="14"/>
                <w:color w:val="auto"/>
              </w:rPr>
            </w:pPr>
          </w:p>
        </w:tc>
        <w:tc>
          <w:tcPr>
            <w:tcW w:w="118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4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341.4</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hanging="350"/>
        <w:spacing w:after="0"/>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2" w:lineRule="exact"/>
        <w:rPr>
          <w:rFonts w:ascii="Courier New" w:cs="Courier New" w:eastAsia="Courier New" w:hAnsi="Courier New"/>
          <w:sz w:val="15"/>
          <w:szCs w:val="15"/>
          <w:color w:val="auto"/>
        </w:rPr>
      </w:pPr>
    </w:p>
    <w:p>
      <w:pPr>
        <w:ind w:left="36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80" w:lineRule="exact"/>
        <w:rPr>
          <w:rFonts w:ascii="Courier New" w:cs="Courier New" w:eastAsia="Courier New" w:hAnsi="Courier New"/>
          <w:sz w:val="15"/>
          <w:szCs w:val="15"/>
          <w:color w:val="auto"/>
        </w:rPr>
      </w:pPr>
    </w:p>
    <w:p>
      <w:pPr>
        <w:ind w:left="36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fiscal 2003,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63" w:lineRule="exact"/>
        <w:rPr>
          <w:rFonts w:ascii="Courier New" w:cs="Courier New" w:eastAsia="Courier New" w:hAnsi="Courier New"/>
          <w:sz w:val="15"/>
          <w:szCs w:val="15"/>
          <w:color w:val="auto"/>
        </w:rPr>
      </w:pPr>
    </w:p>
    <w:p>
      <w:pPr>
        <w:ind w:left="36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5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JUNE 29,</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 MILLIONS)</w:t>
            </w:r>
          </w:p>
        </w:tc>
        <w:tc>
          <w:tcPr>
            <w:tcW w:w="1360" w:type="dxa"/>
            <w:vAlign w:val="bottom"/>
          </w:tcPr>
          <w:p>
            <w:pPr>
              <w:spacing w:after="0"/>
              <w:rPr>
                <w:sz w:val="14"/>
                <w:szCs w:val="14"/>
                <w:color w:val="auto"/>
              </w:rPr>
            </w:pPr>
          </w:p>
        </w:tc>
      </w:tr>
      <w:tr>
        <w:trPr>
          <w:trHeight w:val="673"/>
        </w:trPr>
        <w:tc>
          <w:tcPr>
            <w:tcW w:w="12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228.7</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196.6</w:t>
            </w:r>
          </w:p>
        </w:tc>
      </w:tr>
      <w:tr>
        <w:trPr>
          <w:trHeight w:val="168"/>
        </w:trPr>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73.2</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72.5</w:t>
            </w:r>
          </w:p>
        </w:tc>
      </w:tr>
      <w:tr>
        <w:trPr>
          <w:trHeight w:val="168"/>
        </w:trPr>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301.9</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269.1</w:t>
            </w:r>
          </w:p>
        </w:tc>
      </w:tr>
      <w:tr>
        <w:trPr>
          <w:trHeight w:val="168"/>
        </w:trPr>
        <w:tc>
          <w:tcPr>
            <w:tcW w:w="12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w w:val="94"/>
              </w:rPr>
              <w:t>JUNE</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132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2002</w:t>
            </w:r>
          </w:p>
        </w:tc>
      </w:tr>
      <w:tr>
        <w:trPr>
          <w:trHeight w:val="168"/>
        </w:trPr>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MILLIONS)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38.0</w:t>
            </w:r>
          </w:p>
        </w:tc>
      </w:tr>
      <w:tr>
        <w:trPr>
          <w:trHeight w:val="168"/>
        </w:trPr>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107.4</w:t>
            </w: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120.9</w:t>
            </w:r>
          </w:p>
        </w:tc>
      </w:tr>
      <w:tr>
        <w:trPr>
          <w:trHeight w:val="168"/>
        </w:trPr>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251.6</w:t>
            </w: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289.9</w:t>
            </w:r>
          </w:p>
        </w:tc>
      </w:tr>
      <w:tr>
        <w:trPr>
          <w:trHeight w:val="168"/>
        </w:trPr>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w:t>
            </w: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w:t>
            </w:r>
          </w:p>
        </w:tc>
      </w:tr>
      <w:tr>
        <w:trPr>
          <w:trHeight w:val="168"/>
        </w:trPr>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w:t>
            </w: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47.6</w:t>
            </w:r>
          </w:p>
        </w:tc>
      </w:tr>
      <w:tr>
        <w:trPr>
          <w:trHeight w:val="168"/>
        </w:trPr>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81.6</w:t>
            </w:r>
          </w:p>
        </w:tc>
        <w:tc>
          <w:tcPr>
            <w:tcW w:w="4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(238.1)</w:t>
            </w:r>
          </w:p>
        </w:tc>
        <w:tc>
          <w:tcPr>
            <w:tcW w:w="4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(246.0)</w:t>
            </w:r>
          </w:p>
        </w:tc>
      </w:tr>
      <w:tr>
        <w:trPr>
          <w:trHeight w:val="168"/>
        </w:trPr>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317.1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329.2</w:t>
            </w:r>
          </w:p>
        </w:tc>
      </w:tr>
      <w:tr>
        <w:trPr>
          <w:trHeight w:val="168"/>
        </w:trPr>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180"/>
            <w:col w:w="3059"/>
          </w:cols>
          <w:pgMar w:left="220" w:top="785" w:right="1440" w:bottom="349" w:gutter="0" w:footer="0" w:header="0"/>
        </w:sectPr>
      </w:pPr>
    </w:p>
    <w:bookmarkStart w:id="8" w:name="page9"/>
    <w:bookmarkEnd w:id="8"/>
    <w:p>
      <w:pPr>
        <w:ind w:left="350" w:right="3239"/>
        <w:spacing w:after="0" w:line="255"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Roundup(R)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331"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6" w:lineRule="exact"/>
        <w:rPr>
          <w:sz w:val="20"/>
          <w:szCs w:val="20"/>
          <w:color w:val="auto"/>
        </w:rPr>
      </w:pPr>
    </w:p>
    <w:p>
      <w:pPr>
        <w:ind w:left="350" w:right="3319"/>
        <w:spacing w:after="0" w:line="236"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June 28, 2003, contribution payments and related per annum charges of approximately $49.5 million had been deferred under the agreement. This amount is considered a contingent obligation and has not been reflected in the financial statements as of and for the year then ended.</w:t>
      </w:r>
    </w:p>
    <w:p>
      <w:pPr>
        <w:spacing w:after="0" w:line="179" w:lineRule="exact"/>
        <w:rPr>
          <w:sz w:val="20"/>
          <w:szCs w:val="20"/>
          <w:color w:val="auto"/>
        </w:rPr>
      </w:pPr>
    </w:p>
    <w:p>
      <w:pPr>
        <w:ind w:left="350" w:right="3679"/>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4" w:lineRule="exact"/>
        <w:rPr>
          <w:sz w:val="20"/>
          <w:szCs w:val="20"/>
          <w:color w:val="auto"/>
        </w:rPr>
      </w:pPr>
    </w:p>
    <w:p>
      <w:pPr>
        <w:ind w:left="350" w:right="3239"/>
        <w:spacing w:after="0" w:line="255"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332" w:lineRule="exact"/>
        <w:rPr>
          <w:sz w:val="20"/>
          <w:szCs w:val="20"/>
          <w:color w:val="auto"/>
        </w:rPr>
      </w:pPr>
    </w:p>
    <w:p>
      <w:pPr>
        <w:ind w:left="350" w:right="3239"/>
        <w:spacing w:after="0" w:line="255" w:lineRule="auto"/>
        <w:rPr>
          <w:sz w:val="20"/>
          <w:szCs w:val="20"/>
          <w:color w:val="auto"/>
        </w:rPr>
      </w:pPr>
      <w:r>
        <w:rPr>
          <w:rFonts w:ascii="Courier New" w:cs="Courier New" w:eastAsia="Courier New" w:hAnsi="Courier New"/>
          <w:sz w:val="14"/>
          <w:szCs w:val="14"/>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66" w:lineRule="exact"/>
        <w:rPr>
          <w:sz w:val="20"/>
          <w:szCs w:val="20"/>
          <w:color w:val="auto"/>
        </w:rPr>
      </w:pPr>
    </w:p>
    <w:p>
      <w:pPr>
        <w:ind w:left="350" w:right="7159" w:hanging="350"/>
        <w:spacing w:after="0" w:line="465" w:lineRule="auto"/>
        <w:tabs>
          <w:tab w:leader="none" w:pos="3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FISCAL 2003 CHARGES</w:t>
      </w:r>
    </w:p>
    <w:p>
      <w:pPr>
        <w:spacing w:after="0" w:line="14" w:lineRule="exact"/>
        <w:rPr>
          <w:rFonts w:ascii="Courier New" w:cs="Courier New" w:eastAsia="Courier New" w:hAnsi="Courier New"/>
          <w:sz w:val="15"/>
          <w:szCs w:val="15"/>
          <w:color w:val="auto"/>
        </w:rPr>
      </w:pPr>
    </w:p>
    <w:p>
      <w:pPr>
        <w:ind w:left="35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and nine month periods ended June 28, 2003, the Company recorded $1.8 million and $11.2 million of restructuring and other charges, respectively.</w:t>
      </w:r>
    </w:p>
    <w:p>
      <w:pPr>
        <w:spacing w:after="0" w:line="173"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$5.0 million for warehouse lease buyouts and relocation of inventory associated with exiting certain warehouses in North America, and $0.7 million of accelerated depreciation for the Bramford, England facility, were included in cost of sales. Severance and consulting costs of $3.9 million for the continued European integration efforts that began in the fourth quarter of fiscal 2002, and $1.6 million of administrative facility exit costs in North America were charged to selling, general and administrative expense.</w:t>
      </w:r>
    </w:p>
    <w:p>
      <w:pPr>
        <w:spacing w:after="0" w:line="200" w:lineRule="exact"/>
        <w:rPr>
          <w:sz w:val="20"/>
          <w:szCs w:val="20"/>
          <w:color w:val="auto"/>
        </w:rPr>
      </w:pPr>
    </w:p>
    <w:p>
      <w:pPr>
        <w:spacing w:after="0" w:line="30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9" w:name="page10"/>
    <w:bookmarkEnd w:id="9"/>
    <w:p>
      <w:pPr>
        <w:ind w:left="350"/>
        <w:spacing w:after="0"/>
        <w:rPr>
          <w:sz w:val="20"/>
          <w:szCs w:val="20"/>
          <w:color w:val="auto"/>
        </w:rPr>
      </w:pPr>
      <w:r>
        <w:rPr>
          <w:rFonts w:ascii="Courier New" w:cs="Courier New" w:eastAsia="Courier New" w:hAnsi="Courier New"/>
          <w:sz w:val="15"/>
          <w:szCs w:val="15"/>
          <w:color w:val="auto"/>
        </w:rPr>
        <w:t>FISCAL 2002 CHARGES</w:t>
      </w:r>
    </w:p>
    <w:p>
      <w:pPr>
        <w:spacing w:after="0" w:line="173" w:lineRule="exact"/>
        <w:rPr>
          <w:sz w:val="20"/>
          <w:szCs w:val="20"/>
          <w:color w:val="auto"/>
        </w:rPr>
      </w:pPr>
    </w:p>
    <w:p>
      <w:pPr>
        <w:ind w:left="350" w:right="3399"/>
        <w:spacing w:after="0" w:line="234" w:lineRule="auto"/>
        <w:rPr>
          <w:sz w:val="20"/>
          <w:szCs w:val="20"/>
          <w:color w:val="auto"/>
        </w:rPr>
      </w:pPr>
      <w:r>
        <w:rPr>
          <w:rFonts w:ascii="Courier New" w:cs="Courier New" w:eastAsia="Courier New" w:hAnsi="Courier New"/>
          <w:sz w:val="15"/>
          <w:szCs w:val="15"/>
          <w:color w:val="auto"/>
        </w:rPr>
        <w:t>During fiscal 2002, the Company recorded $8.1 million of restructuring and other charges.</w:t>
      </w:r>
    </w:p>
    <w:p>
      <w:pPr>
        <w:spacing w:after="0" w:line="173" w:lineRule="exact"/>
        <w:rPr>
          <w:sz w:val="20"/>
          <w:szCs w:val="20"/>
          <w:color w:val="auto"/>
        </w:rPr>
      </w:pPr>
    </w:p>
    <w:p>
      <w:pPr>
        <w:ind w:left="350" w:right="3319"/>
        <w:spacing w:after="0" w:line="236" w:lineRule="auto"/>
        <w:rPr>
          <w:sz w:val="20"/>
          <w:szCs w:val="20"/>
          <w:color w:val="auto"/>
        </w:rPr>
      </w:pPr>
      <w:r>
        <w:rPr>
          <w:rFonts w:ascii="Courier New" w:cs="Courier New" w:eastAsia="Courier New" w:hAnsi="Courier New"/>
          <w:sz w:val="15"/>
          <w:szCs w:val="15"/>
          <w:color w:val="auto"/>
        </w:rPr>
        <w:t>During the fourth quarter of fiscal 2002, the Company recorded $4.0 million of restructuring and other charges associated with reductions of headcount from the closure of a manufacturing facility in Bramford, England. All fiscal 2002 restructuring related activities and costs are expected to be completed by the end of fiscal 2003.</w:t>
      </w:r>
    </w:p>
    <w:p>
      <w:pPr>
        <w:spacing w:after="0" w:line="174" w:lineRule="exact"/>
        <w:rPr>
          <w:sz w:val="20"/>
          <w:szCs w:val="20"/>
          <w:color w:val="auto"/>
        </w:rPr>
      </w:pPr>
    </w:p>
    <w:p>
      <w:pPr>
        <w:ind w:left="350" w:right="3399"/>
        <w:spacing w:after="0" w:line="236" w:lineRule="auto"/>
        <w:rPr>
          <w:sz w:val="20"/>
          <w:szCs w:val="20"/>
          <w:color w:val="auto"/>
        </w:rPr>
      </w:pPr>
      <w:r>
        <w:rPr>
          <w:rFonts w:ascii="Courier New" w:cs="Courier New" w:eastAsia="Courier New" w:hAnsi="Courier New"/>
          <w:sz w:val="15"/>
          <w:szCs w:val="15"/>
          <w:color w:val="auto"/>
        </w:rPr>
        <w:t>The remaining $4.1 million expensed as restructuring and other costs in fiscal 2002 pertained to personnel and inventory relocation. These relocation charges related to a plan to optimize the North American supply chain that was initiated in the third and fourth quarters of fiscal 2001. Under accounting principles generally accepted in the United States of America, certain restructuring costs related to relocation of personnel, equipment and inventory are to be expensed in the period the costs are actually incurred.</w:t>
      </w:r>
    </w:p>
    <w:p>
      <w:pPr>
        <w:spacing w:after="0" w:line="171"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FISCAL 2001 CHARGES</w:t>
      </w:r>
    </w:p>
    <w:p>
      <w:pPr>
        <w:spacing w:after="0" w:line="173" w:lineRule="exact"/>
        <w:rPr>
          <w:sz w:val="20"/>
          <w:szCs w:val="20"/>
          <w:color w:val="auto"/>
        </w:rPr>
      </w:pPr>
    </w:p>
    <w:p>
      <w:pPr>
        <w:ind w:left="350" w:right="3319"/>
        <w:spacing w:after="0" w:line="235" w:lineRule="auto"/>
        <w:rPr>
          <w:sz w:val="20"/>
          <w:szCs w:val="20"/>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reductions in headcount and the closure or relocation of certain manufacturing and administrative facilities.</w:t>
      </w:r>
    </w:p>
    <w:p>
      <w:pPr>
        <w:spacing w:after="0" w:line="175" w:lineRule="exact"/>
        <w:rPr>
          <w:sz w:val="20"/>
          <w:szCs w:val="20"/>
          <w:color w:val="auto"/>
        </w:rPr>
      </w:pPr>
    </w:p>
    <w:p>
      <w:pPr>
        <w:ind w:left="350" w:right="3319"/>
        <w:spacing w:after="0" w:line="236" w:lineRule="auto"/>
        <w:rPr>
          <w:sz w:val="20"/>
          <w:szCs w:val="20"/>
          <w:color w:val="auto"/>
        </w:rPr>
      </w:pPr>
      <w:r>
        <w:rPr>
          <w:rFonts w:ascii="Courier New" w:cs="Courier New" w:eastAsia="Courier New" w:hAnsi="Courier New"/>
          <w:sz w:val="15"/>
          <w:szCs w:val="15"/>
          <w:color w:val="auto"/>
        </w:rPr>
        <w:t>The following is a rollforward of the cash portion of the restructuring and other charges accrued in fiscal 2001, 2002 and thus far in fiscal 2003. The balances remaining at June 28, 2003 are included in accrued liabilities and other long-term liabilities in the condensed, consolidated balance sheets. The portion classified as other long-term liabilities is future lease obligations that extend beyond one year.</w:t>
      </w:r>
    </w:p>
    <w:p>
      <w:pPr>
        <w:spacing w:after="0" w:line="200" w:lineRule="exact"/>
        <w:rPr>
          <w:sz w:val="20"/>
          <w:szCs w:val="20"/>
          <w:color w:val="auto"/>
        </w:rPr>
      </w:pPr>
    </w:p>
    <w:p>
      <w:pPr>
        <w:spacing w:after="0" w:line="305" w:lineRule="exact"/>
        <w:rPr>
          <w:sz w:val="20"/>
          <w:szCs w:val="20"/>
          <w:color w:val="auto"/>
        </w:rPr>
      </w:pPr>
    </w:p>
    <w:tbl>
      <w:tblPr>
        <w:tblLayout w:type="fixed"/>
        <w:tblInd w:w="69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SEPTEMBER 30,</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4"/>
              </w:rPr>
              <w:t>JUNE 28,</w:t>
            </w:r>
          </w:p>
        </w:tc>
      </w:tr>
      <w:tr>
        <w:trPr>
          <w:trHeight w:val="168"/>
        </w:trPr>
        <w:tc>
          <w:tcPr>
            <w:tcW w:w="1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DESCRIPTION</w:t>
            </w:r>
          </w:p>
        </w:tc>
        <w:tc>
          <w:tcPr>
            <w:tcW w:w="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TYPE</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CLASSIFICATION</w:t>
            </w:r>
          </w:p>
        </w:tc>
        <w:tc>
          <w:tcPr>
            <w:tcW w:w="48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PAYMENT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2003</w:t>
            </w:r>
          </w:p>
        </w:tc>
      </w:tr>
      <w:tr>
        <w:trPr>
          <w:trHeight w:val="168"/>
        </w:trPr>
        <w:tc>
          <w:tcPr>
            <w:tcW w:w="1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MILLIONS)</w:t>
            </w: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94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Severance............</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SG&amp;A</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(5.4)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w:t>
            </w:r>
          </w:p>
        </w:tc>
      </w:tr>
      <w:tr>
        <w:trPr>
          <w:trHeight w:val="168"/>
        </w:trPr>
        <w:tc>
          <w:tcPr>
            <w:tcW w:w="19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Facility exit costs..</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Cash</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SG&amp;A</w:t>
            </w:r>
          </w:p>
        </w:tc>
        <w:tc>
          <w:tcPr>
            <w:tcW w:w="4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9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Other related costs..</w:t>
            </w:r>
          </w:p>
        </w:tc>
        <w:tc>
          <w:tcPr>
            <w:tcW w:w="6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Cash</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SG&amp;A</w:t>
            </w:r>
          </w:p>
        </w:tc>
        <w:tc>
          <w:tcPr>
            <w:tcW w:w="4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Total cash...</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12.0</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(8.9)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$ 4.5</w:t>
            </w:r>
          </w:p>
        </w:tc>
      </w:tr>
      <w:tr>
        <w:trPr>
          <w:trHeight w:val="168"/>
        </w:trPr>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50" w:hanging="350"/>
        <w:spacing w:after="0"/>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172" w:lineRule="exact"/>
        <w:rPr>
          <w:rFonts w:ascii="Courier New" w:cs="Courier New" w:eastAsia="Courier New" w:hAnsi="Courier New"/>
          <w:sz w:val="15"/>
          <w:szCs w:val="15"/>
          <w:color w:val="auto"/>
        </w:rPr>
      </w:pPr>
    </w:p>
    <w:p>
      <w:pPr>
        <w:ind w:left="35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2001, the Company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76" w:lineRule="exact"/>
        <w:rPr>
          <w:rFonts w:ascii="Courier New" w:cs="Courier New" w:eastAsia="Courier New" w:hAnsi="Courier New"/>
          <w:sz w:val="15"/>
          <w:szCs w:val="15"/>
          <w:color w:val="auto"/>
        </w:rPr>
      </w:pPr>
    </w:p>
    <w:p>
      <w:pPr>
        <w:ind w:left="35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175" w:lineRule="exact"/>
        <w:rPr>
          <w:rFonts w:ascii="Courier New" w:cs="Courier New" w:eastAsia="Courier New" w:hAnsi="Courier New"/>
          <w:sz w:val="15"/>
          <w:szCs w:val="15"/>
          <w:color w:val="auto"/>
        </w:rPr>
      </w:pPr>
    </w:p>
    <w:p>
      <w:pPr>
        <w:ind w:left="35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assesses the recoverability of goodwill, tradenames and other intangible assets whenever events or changes in circumstances indicate that the carrying amount of an asset may not be recoverable from its discounted future cash flows. Goodwill</w:t>
      </w:r>
    </w:p>
    <w:p>
      <w:pPr>
        <w:spacing w:after="0" w:line="200" w:lineRule="exact"/>
        <w:rPr>
          <w:sz w:val="20"/>
          <w:szCs w:val="20"/>
          <w:color w:val="auto"/>
        </w:rPr>
      </w:pPr>
    </w:p>
    <w:p>
      <w:pPr>
        <w:spacing w:after="0" w:line="30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953" w:right="1440" w:bottom="180" w:gutter="0" w:footer="0" w:header="0"/>
        </w:sectPr>
      </w:pPr>
    </w:p>
    <w:bookmarkStart w:id="10" w:name="page11"/>
    <w:bookmarkEnd w:id="10"/>
    <w:p>
      <w:pPr>
        <w:ind w:left="360" w:right="3680"/>
        <w:spacing w:after="0" w:line="235" w:lineRule="auto"/>
        <w:rPr>
          <w:sz w:val="20"/>
          <w:szCs w:val="20"/>
          <w:color w:val="auto"/>
        </w:rPr>
      </w:pPr>
      <w:r>
        <w:rPr>
          <w:rFonts w:ascii="Courier New" w:cs="Courier New" w:eastAsia="Courier New" w:hAnsi="Courier New"/>
          <w:sz w:val="15"/>
          <w:szCs w:val="15"/>
          <w:color w:val="auto"/>
        </w:rPr>
        <w:t>and unamortizable intangible assets are reviewed for impairment at least annually. If it is determined that an impairment has occurred, an impairment loss is recognized for the amount by which the carrying of the asset exceeds its estimated fair value.</w:t>
      </w:r>
    </w:p>
    <w:p>
      <w:pPr>
        <w:spacing w:after="0" w:line="175" w:lineRule="exact"/>
        <w:rPr>
          <w:sz w:val="20"/>
          <w:szCs w:val="20"/>
          <w:color w:val="auto"/>
        </w:rPr>
      </w:pPr>
    </w:p>
    <w:p>
      <w:pPr>
        <w:ind w:left="360" w:right="3840"/>
        <w:spacing w:after="0" w:line="235" w:lineRule="auto"/>
        <w:rPr>
          <w:sz w:val="20"/>
          <w:szCs w:val="20"/>
          <w:color w:val="auto"/>
        </w:rPr>
      </w:pPr>
      <w:r>
        <w:rPr>
          <w:rFonts w:ascii="Courier New" w:cs="Courier New" w:eastAsia="Courier New" w:hAnsi="Courier New"/>
          <w:sz w:val="15"/>
          <w:szCs w:val="15"/>
          <w:color w:val="auto"/>
        </w:rPr>
        <w:t>In the first quarter of fiscal 2003, the Company completed its annual impairment analysis and determined that a charge for annual impairment was not required at that time.</w:t>
      </w:r>
    </w:p>
    <w:p>
      <w:pPr>
        <w:spacing w:after="0" w:line="174" w:lineRule="exact"/>
        <w:rPr>
          <w:sz w:val="20"/>
          <w:szCs w:val="20"/>
          <w:color w:val="auto"/>
        </w:rPr>
      </w:pPr>
    </w:p>
    <w:p>
      <w:pPr>
        <w:jc w:val="both"/>
        <w:ind w:left="360" w:right="3680"/>
        <w:spacing w:after="0" w:line="234" w:lineRule="auto"/>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303"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JUNE 28, 2003</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JUNE 29, 2002</w:t>
            </w: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WEIGHTED</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GROSS</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NET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GROSS</w:t>
            </w:r>
          </w:p>
        </w:tc>
        <w:tc>
          <w:tcPr>
            <w:tcW w:w="1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28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AVERAGE</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CARRYING</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CARRYING</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CARRYING</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ACCUMULATED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r>
      <w:tr>
        <w:trPr>
          <w:trHeight w:val="168"/>
        </w:trPr>
        <w:tc>
          <w:tcPr>
            <w:tcW w:w="32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LIFE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28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MILLIONS)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Technology..........................</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(21.8)</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$ 44.5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$62.1</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$ 44.1</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Customer accounts...................</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39.7</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34.3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27.7</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Tradenames..........................</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53.1</w:t>
            </w:r>
          </w:p>
        </w:tc>
        <w:tc>
          <w:tcPr>
            <w:tcW w:w="4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(36.9)</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9"/>
              </w:rPr>
              <w:t>Total amortized intangible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assets, net.......................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103.5</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Intangible Assets: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Tradenames.........................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319.1</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315.7</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intangible assets, net......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425.8</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413.1</w:t>
            </w: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Goodwill...........................</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393.4</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352.2</w:t>
            </w: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Total goodwill and intangible</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assets, net......................</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$819.2</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$765.3</w:t>
            </w:r>
          </w:p>
        </w:tc>
      </w:tr>
      <w:tr>
        <w:trPr>
          <w:trHeight w:val="168"/>
        </w:trPr>
        <w:tc>
          <w:tcPr>
            <w:tcW w:w="3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9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SEPTEMBER 30, 2002</w:t>
            </w: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2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GROSS</w:t>
            </w:r>
          </w:p>
        </w:tc>
        <w:tc>
          <w:tcPr>
            <w:tcW w:w="17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4380" w:type="dxa"/>
            <w:vAlign w:val="bottom"/>
          </w:tcPr>
          <w:p>
            <w:pPr>
              <w:spacing w:after="0"/>
              <w:rPr>
                <w:sz w:val="14"/>
                <w:szCs w:val="14"/>
                <w:color w:val="auto"/>
              </w:rPr>
            </w:pP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CARRYING</w:t>
            </w:r>
          </w:p>
        </w:tc>
        <w:tc>
          <w:tcPr>
            <w:tcW w:w="17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ACCUMULATED</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CARRYING</w:t>
            </w:r>
          </w:p>
        </w:tc>
      </w:tr>
      <w:tr>
        <w:trPr>
          <w:trHeight w:val="168"/>
        </w:trPr>
        <w:tc>
          <w:tcPr>
            <w:tcW w:w="43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AMOUNT</w:t>
            </w:r>
          </w:p>
        </w:tc>
        <w:tc>
          <w:tcPr>
            <w:tcW w:w="17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AMORTIZATION</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4380" w:type="dxa"/>
            <w:vAlign w:val="bottom"/>
          </w:tcPr>
          <w:p>
            <w:pPr>
              <w:spacing w:after="0"/>
              <w:rPr>
                <w:sz w:val="14"/>
                <w:szCs w:val="14"/>
                <w:color w:val="auto"/>
              </w:rPr>
            </w:pP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1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Technology....................................</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$ 61.9</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(18.8)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$ 43.1</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Customer accounts.............................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33.2</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Tradenames....................................</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11.3</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50.6</w:t>
            </w:r>
          </w:p>
        </w:tc>
        <w:tc>
          <w:tcPr>
            <w:tcW w:w="17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amortized intangible assets, net......</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Intangible Assets:</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Tradenames....................................</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312.7</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intangible assets, net................</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414.2</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Goodwill......................................</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377.5</w:t>
            </w:r>
          </w:p>
        </w:tc>
      </w:tr>
      <w:tr>
        <w:trPr>
          <w:trHeight w:val="168"/>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 goodwill and intangible assets, net...</w:t>
            </w: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$791.7</w:t>
            </w:r>
          </w:p>
        </w:tc>
      </w:tr>
      <w:tr>
        <w:trPr>
          <w:trHeight w:val="168"/>
        </w:trPr>
        <w:tc>
          <w:tcPr>
            <w:tcW w:w="4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940" w:firstLine="350"/>
        <w:spacing w:after="0" w:line="234" w:lineRule="auto"/>
        <w:rPr>
          <w:sz w:val="20"/>
          <w:szCs w:val="20"/>
          <w:color w:val="auto"/>
        </w:rPr>
      </w:pPr>
      <w:r>
        <w:rPr>
          <w:rFonts w:ascii="Courier New" w:cs="Courier New" w:eastAsia="Courier New" w:hAnsi="Courier New"/>
          <w:sz w:val="15"/>
          <w:szCs w:val="15"/>
          <w:color w:val="auto"/>
        </w:rPr>
        <w:t>The changes to the net carrying value of goodwill by segment for the nine months ended June 28, 2003 are as follows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136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N.A.</w:t>
            </w:r>
          </w:p>
        </w:tc>
        <w:tc>
          <w:tcPr>
            <w:tcW w:w="18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SCOTTS</w:t>
            </w:r>
          </w:p>
        </w:tc>
        <w:tc>
          <w:tcPr>
            <w:tcW w:w="17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INTERNATIONAL</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GLOBAL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20" w:type="dxa"/>
            <w:vAlign w:val="bottom"/>
          </w:tcPr>
          <w:p>
            <w:pPr>
              <w:spacing w:after="0"/>
              <w:rPr>
                <w:sz w:val="14"/>
                <w:szCs w:val="14"/>
                <w:color w:val="auto"/>
              </w:rPr>
            </w:pPr>
          </w:p>
        </w:tc>
        <w:tc>
          <w:tcPr>
            <w:tcW w:w="136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CONSUMER</w:t>
            </w:r>
          </w:p>
        </w:tc>
        <w:tc>
          <w:tcPr>
            <w:tcW w:w="1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LAWNSERVICE(R)</w:t>
            </w:r>
          </w:p>
        </w:tc>
        <w:tc>
          <w:tcPr>
            <w:tcW w:w="17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CONSUMER</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PROFESSIONAL</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120" w:type="dxa"/>
            <w:vAlign w:val="bottom"/>
          </w:tcPr>
          <w:p>
            <w:pPr>
              <w:spacing w:after="0"/>
              <w:rPr>
                <w:sz w:val="14"/>
                <w:szCs w:val="14"/>
                <w:color w:val="auto"/>
              </w:rPr>
            </w:pP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w:t>
            </w:r>
          </w:p>
        </w:tc>
        <w:tc>
          <w:tcPr>
            <w:tcW w:w="8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2002</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$ 178.3</w:t>
            </w:r>
          </w:p>
        </w:tc>
        <w:tc>
          <w:tcPr>
            <w:tcW w:w="18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$ 68.5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78.2</w:t>
            </w:r>
          </w:p>
        </w:tc>
        <w:tc>
          <w:tcPr>
            <w:tcW w:w="15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$ 52.5</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Increases due to acquisitions</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0.8</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13.9</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Reduction of final purchase price</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previous acquisition</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(reclassifications and</w:t>
            </w: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translation)</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w:t>
            </w: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31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as of June 28, 2003</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$ 173.9</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$ 82.4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84.6</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$ 52.5</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393.4</w:t>
            </w:r>
          </w:p>
        </w:tc>
      </w:tr>
      <w:tr>
        <w:trPr>
          <w:trHeight w:val="168"/>
        </w:trPr>
        <w:tc>
          <w:tcPr>
            <w:tcW w:w="312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360" w:right="3680"/>
        <w:spacing w:after="0" w:line="235" w:lineRule="auto"/>
        <w:rPr>
          <w:sz w:val="20"/>
          <w:szCs w:val="20"/>
          <w:color w:val="auto"/>
        </w:rPr>
      </w:pPr>
      <w:r>
        <w:rPr>
          <w:rFonts w:ascii="Courier New" w:cs="Courier New" w:eastAsia="Courier New" w:hAnsi="Courier New"/>
          <w:sz w:val="15"/>
          <w:szCs w:val="15"/>
          <w:color w:val="auto"/>
        </w:rPr>
        <w:t>Estimated amortization expense for the intangible assets existing as of June 28, 2003 for the remainder of fiscal year ending September 30, 2003 is $2.4 million.</w:t>
      </w:r>
    </w:p>
    <w:p>
      <w:pPr>
        <w:sectPr>
          <w:pgSz w:w="11900" w:h="16838" w:orient="portrait"/>
          <w:cols w:equalWidth="0" w:num="1">
            <w:col w:w="10680"/>
          </w:cols>
          <w:pgMar w:left="220" w:top="624" w:right="999" w:bottom="0" w:gutter="0" w:footer="0" w:header="0"/>
        </w:sectPr>
      </w:pPr>
    </w:p>
    <w:bookmarkStart w:id="11" w:name="page12"/>
    <w:bookmarkEnd w:id="11"/>
    <w:p>
      <w:pPr>
        <w:ind w:left="2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019"/>
          </w:cols>
          <w:pgMar w:left="1440" w:top="471" w:right="1440" w:bottom="1440" w:gutter="0" w:footer="0" w:header="0"/>
        </w:sectPr>
      </w:pPr>
    </w:p>
    <w:bookmarkStart w:id="12" w:name="page13"/>
    <w:bookmarkEnd w:id="12"/>
    <w:p>
      <w:pPr>
        <w:ind w:left="360" w:right="3319"/>
        <w:spacing w:after="0" w:line="234" w:lineRule="auto"/>
        <w:rPr>
          <w:sz w:val="20"/>
          <w:szCs w:val="20"/>
          <w:color w:val="auto"/>
        </w:rPr>
      </w:pPr>
      <w:r>
        <w:rPr>
          <w:rFonts w:ascii="Courier New" w:cs="Courier New" w:eastAsia="Courier New" w:hAnsi="Courier New"/>
          <w:sz w:val="15"/>
          <w:szCs w:val="15"/>
          <w:color w:val="auto"/>
        </w:rPr>
        <w:t>Estimated future amortization expense for the intangible assets existing as of June 28, 2003 is as follows (in millions)</w:t>
      </w:r>
    </w:p>
    <w:p>
      <w:pPr>
        <w:spacing w:after="0" w:line="200" w:lineRule="exact"/>
        <w:rPr>
          <w:sz w:val="20"/>
          <w:szCs w:val="20"/>
          <w:color w:val="auto"/>
        </w:rPr>
      </w:pPr>
    </w:p>
    <w:p>
      <w:pPr>
        <w:spacing w:after="0" w:line="303"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5"/>
          <w:szCs w:val="15"/>
          <w:color w:val="auto"/>
        </w:rPr>
        <w:t>YEAR ENDING</w:t>
      </w:r>
    </w:p>
    <w:p>
      <w:pPr>
        <w:jc w:val="center"/>
        <w:ind w:right="7859"/>
        <w:spacing w:after="0" w:line="237" w:lineRule="auto"/>
        <w:rPr>
          <w:sz w:val="20"/>
          <w:szCs w:val="20"/>
          <w:color w:val="auto"/>
        </w:rPr>
      </w:pPr>
      <w:r>
        <w:rPr>
          <w:rFonts w:ascii="Courier New" w:cs="Courier New" w:eastAsia="Courier New" w:hAnsi="Courier New"/>
          <w:sz w:val="15"/>
          <w:szCs w:val="15"/>
          <w:color w:val="auto"/>
        </w:rPr>
        <w:t>SEPTEMBER 30,</w:t>
      </w:r>
    </w:p>
    <w:p>
      <w:pPr>
        <w:ind w:left="6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57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2004..........................................................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7.5</w:t>
            </w:r>
          </w:p>
        </w:tc>
      </w:tr>
      <w:tr>
        <w:trPr>
          <w:trHeight w:val="168"/>
        </w:trPr>
        <w:tc>
          <w:tcPr>
            <w:tcW w:w="5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2008..........................................................</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bl>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6.  LONG-TERM DEBT</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13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JUNE 28,</w:t>
            </w:r>
          </w:p>
        </w:tc>
        <w:tc>
          <w:tcPr>
            <w:tcW w:w="17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JUNE 29,</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2003</w:t>
            </w:r>
          </w:p>
        </w:tc>
        <w:tc>
          <w:tcPr>
            <w:tcW w:w="740" w:type="dxa"/>
            <w:vAlign w:val="bottom"/>
          </w:tcPr>
          <w:p>
            <w:pPr>
              <w:spacing w:after="0"/>
              <w:rPr>
                <w:sz w:val="14"/>
                <w:szCs w:val="14"/>
                <w:color w:val="auto"/>
              </w:rPr>
            </w:pPr>
          </w:p>
        </w:tc>
        <w:tc>
          <w:tcPr>
            <w:tcW w:w="1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88"/>
              </w:rPr>
              <w:t>2002</w:t>
            </w:r>
          </w:p>
        </w:tc>
        <w:tc>
          <w:tcPr>
            <w:tcW w:w="62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120" w:type="dxa"/>
            <w:vAlign w:val="bottom"/>
          </w:tcPr>
          <w:p>
            <w:pPr>
              <w:spacing w:after="0"/>
              <w:rPr>
                <w:sz w:val="14"/>
                <w:szCs w:val="14"/>
                <w:color w:val="auto"/>
              </w:rPr>
            </w:pPr>
          </w:p>
        </w:tc>
        <w:tc>
          <w:tcPr>
            <w:tcW w:w="1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MILLIONS)</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4120" w:type="dxa"/>
            <w:vAlign w:val="bottom"/>
          </w:tcPr>
          <w:p>
            <w:pPr>
              <w:ind w:left="180"/>
              <w:spacing w:after="0"/>
              <w:rPr>
                <w:sz w:val="20"/>
                <w:szCs w:val="20"/>
                <w:color w:val="auto"/>
              </w:rPr>
            </w:pPr>
            <w:r>
              <w:rPr>
                <w:rFonts w:ascii="Courier New" w:cs="Courier New" w:eastAsia="Courier New" w:hAnsi="Courier New"/>
                <w:sz w:val="15"/>
                <w:szCs w:val="15"/>
                <w:color w:val="auto"/>
              </w:rPr>
              <w:t>Revolving loans under credit facility......</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Term loans under credit facility...........</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344.2</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383.4</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375.5</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Senior subordinated notes..................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392.8</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391.5</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391.8</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due to sellers.......................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21.1</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38.7</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43.4</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Foreign bank borrowings and term loans.....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10.7</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lease obligations and other........</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11.4</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412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815.6</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836.0</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829.4</w:t>
            </w:r>
          </w:p>
        </w:tc>
      </w:tr>
      <w:tr>
        <w:trPr>
          <w:trHeight w:val="168"/>
        </w:trPr>
        <w:tc>
          <w:tcPr>
            <w:tcW w:w="4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current portions......................</w:t>
            </w:r>
          </w:p>
        </w:tc>
        <w:tc>
          <w:tcPr>
            <w:tcW w:w="360" w:type="dxa"/>
            <w:vAlign w:val="bottom"/>
          </w:tcPr>
          <w:p>
            <w:pPr>
              <w:spacing w:after="0"/>
              <w:rPr>
                <w:sz w:val="14"/>
                <w:szCs w:val="14"/>
                <w:color w:val="auto"/>
              </w:rPr>
            </w:pP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60.7</w:t>
            </w:r>
          </w:p>
        </w:tc>
        <w:tc>
          <w:tcPr>
            <w:tcW w:w="74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68.8</w:t>
            </w:r>
          </w:p>
        </w:tc>
        <w:tc>
          <w:tcPr>
            <w:tcW w:w="62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412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754.9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767.2</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$ 731.2</w:t>
            </w:r>
          </w:p>
        </w:tc>
      </w:tr>
      <w:tr>
        <w:trPr>
          <w:trHeight w:val="168"/>
        </w:trPr>
        <w:tc>
          <w:tcPr>
            <w:tcW w:w="4120" w:type="dxa"/>
            <w:vAlign w:val="bottom"/>
          </w:tcPr>
          <w:p>
            <w:pPr>
              <w:spacing w:after="0"/>
              <w:rPr>
                <w:sz w:val="14"/>
                <w:szCs w:val="14"/>
                <w:color w:val="auto"/>
              </w:rPr>
            </w:pP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The revolving credit facility under the Credit Agreement ("Credit Agreement") provides for borrowings of up to $575 million, which are available on a revolving basis over a term of 6 1/2 years ending June 30, 2005. A 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must be reduced below $150 million for at least 30 consecutive days during any calendar year.</w:t>
      </w:r>
    </w:p>
    <w:p>
      <w:pPr>
        <w:spacing w:after="0" w:line="180" w:lineRule="exact"/>
        <w:rPr>
          <w:sz w:val="20"/>
          <w:szCs w:val="20"/>
          <w:color w:val="auto"/>
        </w:rPr>
      </w:pPr>
    </w:p>
    <w:p>
      <w:pPr>
        <w:ind w:left="360" w:right="3579"/>
        <w:spacing w:after="0" w:line="256" w:lineRule="auto"/>
        <w:rPr>
          <w:sz w:val="20"/>
          <w:szCs w:val="20"/>
          <w:color w:val="auto"/>
        </w:rPr>
      </w:pPr>
      <w:r>
        <w:rPr>
          <w:rFonts w:ascii="Courier New" w:cs="Courier New" w:eastAsia="Courier New" w:hAnsi="Courier New"/>
          <w:sz w:val="14"/>
          <w:szCs w:val="14"/>
          <w:color w:val="auto"/>
        </w:rPr>
        <w:t>Spreads on rates and commitment fees under the Credit Agreement vary according to the Company's leverage ratios and interest rates also vary within tranches. The weighted-average interest rate on the Company's borrowings under the revolving credit facility for the nine months ended June 28, 2003 and June 29, 2002 was 4.78% and 5.62%, respectively.</w:t>
      </w:r>
    </w:p>
    <w:p>
      <w:pPr>
        <w:spacing w:after="0" w:line="16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Credit Agreement. The Scotts Company and its subsidiaries also pledged the stock in foreign subsidiaries that borrow under the Credit Agreement. At June 28, 2003, the Company is in compliance with all applicable affirmative and negative covenants.</w:t>
      </w:r>
    </w:p>
    <w:p>
      <w:pPr>
        <w:spacing w:after="0" w:line="179" w:lineRule="exact"/>
        <w:rPr>
          <w:sz w:val="20"/>
          <w:szCs w:val="20"/>
          <w:color w:val="auto"/>
        </w:rPr>
      </w:pPr>
    </w:p>
    <w:p>
      <w:pPr>
        <w:ind w:left="360" w:right="3239"/>
        <w:spacing w:after="0" w:line="255" w:lineRule="auto"/>
        <w:rPr>
          <w:sz w:val="20"/>
          <w:szCs w:val="20"/>
          <w:color w:val="auto"/>
        </w:rPr>
      </w:pPr>
      <w:r>
        <w:rPr>
          <w:rFonts w:ascii="Courier New" w:cs="Courier New" w:eastAsia="Courier New" w:hAnsi="Courier New"/>
          <w:sz w:val="14"/>
          <w:szCs w:val="14"/>
          <w:color w:val="auto"/>
        </w:rPr>
        <w:t>The term loan facilities under the Credit Agreement consist of two tranches. The Tranche A Term Loan Facility consists of three sub-tranches of Euros and British Pounds Sterling in the aggregate principal amount of $265 million which are to be repaid quarterly over a 6 1/2 year period ending June 30, 2005. The Tranche B Term Loan Facility has an aggregate principal amount of $260 million and is to be repaid quarterly over a 6 1/2 year period ending December 31, 2007. At June 28, 2003, the outstanding balances of the Tranche A and Tranche B Term Loan Facilities are $103.2 and $241.0, respectively. Minimum required repayments by fiscal years are as follows:</w:t>
      </w:r>
    </w:p>
    <w:p>
      <w:pPr>
        <w:spacing w:after="0" w:line="200" w:lineRule="exact"/>
        <w:rPr>
          <w:sz w:val="20"/>
          <w:szCs w:val="20"/>
          <w:color w:val="auto"/>
        </w:rPr>
      </w:pPr>
    </w:p>
    <w:p>
      <w:pPr>
        <w:spacing w:after="0" w:line="29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040" w:type="dxa"/>
            <w:vAlign w:val="bottom"/>
          </w:tcPr>
          <w:p>
            <w:pPr>
              <w:spacing w:after="0"/>
              <w:rPr>
                <w:sz w:val="14"/>
                <w:szCs w:val="14"/>
                <w:color w:val="auto"/>
              </w:rPr>
            </w:pPr>
          </w:p>
        </w:tc>
        <w:tc>
          <w:tcPr>
            <w:tcW w:w="26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FOR THE REMAINDER</w:t>
            </w:r>
          </w:p>
        </w:tc>
        <w:tc>
          <w:tcPr>
            <w:tcW w:w="780" w:type="dxa"/>
            <w:vAlign w:val="bottom"/>
          </w:tcPr>
          <w:p>
            <w:pPr>
              <w:spacing w:after="0"/>
              <w:rPr>
                <w:sz w:val="14"/>
                <w:szCs w:val="14"/>
                <w:color w:val="auto"/>
              </w:rPr>
            </w:pPr>
          </w:p>
        </w:tc>
        <w:tc>
          <w:tcPr>
            <w:tcW w:w="25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9"/>
              </w:rPr>
              <w:t>FOR THE FISCAL YEARS ENDING</w:t>
            </w:r>
          </w:p>
        </w:tc>
        <w:tc>
          <w:tcPr>
            <w:tcW w:w="520" w:type="dxa"/>
            <w:vAlign w:val="bottom"/>
          </w:tcPr>
          <w:p>
            <w:pPr>
              <w:spacing w:after="0"/>
              <w:rPr>
                <w:sz w:val="14"/>
                <w:szCs w:val="14"/>
                <w:color w:val="auto"/>
              </w:rPr>
            </w:pPr>
          </w:p>
        </w:tc>
      </w:tr>
      <w:tr>
        <w:trPr>
          <w:trHeight w:val="168"/>
        </w:trPr>
        <w:tc>
          <w:tcPr>
            <w:tcW w:w="1040" w:type="dxa"/>
            <w:vAlign w:val="bottom"/>
          </w:tcPr>
          <w:p>
            <w:pPr>
              <w:spacing w:after="0"/>
              <w:rPr>
                <w:sz w:val="14"/>
                <w:szCs w:val="14"/>
                <w:color w:val="auto"/>
              </w:rPr>
            </w:pPr>
          </w:p>
        </w:tc>
        <w:tc>
          <w:tcPr>
            <w:tcW w:w="26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OF FISCAL YEAR</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SEPTEMBER 30,</w:t>
            </w:r>
          </w:p>
        </w:tc>
        <w:tc>
          <w:tcPr>
            <w:tcW w:w="520" w:type="dxa"/>
            <w:vAlign w:val="bottom"/>
          </w:tcPr>
          <w:p>
            <w:pPr>
              <w:spacing w:after="0"/>
              <w:rPr>
                <w:sz w:val="14"/>
                <w:szCs w:val="14"/>
                <w:color w:val="auto"/>
              </w:rPr>
            </w:pPr>
          </w:p>
        </w:tc>
      </w:tr>
      <w:tr>
        <w:trPr>
          <w:trHeight w:val="168"/>
        </w:trPr>
        <w:tc>
          <w:tcPr>
            <w:tcW w:w="1040" w:type="dxa"/>
            <w:vAlign w:val="bottom"/>
          </w:tcPr>
          <w:p>
            <w:pPr>
              <w:spacing w:after="0"/>
              <w:rPr>
                <w:sz w:val="14"/>
                <w:szCs w:val="14"/>
                <w:color w:val="auto"/>
              </w:rPr>
            </w:pPr>
          </w:p>
        </w:tc>
        <w:tc>
          <w:tcPr>
            <w:tcW w:w="2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ENDING SEPTEMBER 30, 2003</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2004</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2005</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2006</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2008</w:t>
            </w:r>
          </w:p>
        </w:tc>
      </w:tr>
      <w:tr>
        <w:trPr>
          <w:trHeight w:val="168"/>
        </w:trPr>
        <w:tc>
          <w:tcPr>
            <w:tcW w:w="1040" w:type="dxa"/>
            <w:vAlign w:val="bottom"/>
          </w:tcPr>
          <w:p>
            <w:pPr>
              <w:spacing w:after="0"/>
              <w:rPr>
                <w:sz w:val="14"/>
                <w:szCs w:val="14"/>
                <w:color w:val="auto"/>
              </w:rPr>
            </w:pPr>
          </w:p>
        </w:tc>
        <w:tc>
          <w:tcPr>
            <w:tcW w:w="2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MILLIONS)</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6"/>
        </w:trPr>
        <w:tc>
          <w:tcPr>
            <w:tcW w:w="1040" w:type="dxa"/>
            <w:vAlign w:val="bottom"/>
          </w:tcPr>
          <w:p>
            <w:pPr>
              <w:spacing w:after="0"/>
              <w:rPr>
                <w:sz w:val="20"/>
                <w:szCs w:val="20"/>
                <w:color w:val="auto"/>
              </w:rPr>
            </w:pPr>
            <w:r>
              <w:rPr>
                <w:rFonts w:ascii="Courier New" w:cs="Courier New" w:eastAsia="Courier New" w:hAnsi="Courier New"/>
                <w:sz w:val="15"/>
                <w:szCs w:val="15"/>
                <w:color w:val="auto"/>
              </w:rPr>
              <w:t>Tranche A</w:t>
            </w:r>
          </w:p>
        </w:tc>
        <w:tc>
          <w:tcPr>
            <w:tcW w:w="26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$18.5</w:t>
            </w:r>
          </w:p>
        </w:tc>
        <w:tc>
          <w:tcPr>
            <w:tcW w:w="780" w:type="dxa"/>
            <w:vAlign w:val="bottom"/>
          </w:tcPr>
          <w:p>
            <w:pPr>
              <w:ind w:left="260"/>
              <w:spacing w:after="0"/>
              <w:rPr>
                <w:sz w:val="20"/>
                <w:szCs w:val="20"/>
                <w:color w:val="auto"/>
              </w:rPr>
            </w:pPr>
            <w:r>
              <w:rPr>
                <w:rFonts w:ascii="Courier New" w:cs="Courier New" w:eastAsia="Courier New" w:hAnsi="Courier New"/>
                <w:sz w:val="15"/>
                <w:szCs w:val="15"/>
                <w:color w:val="auto"/>
              </w:rPr>
              <w:t>$37.1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$47.6</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68"/>
        </w:trPr>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Tranche B</w:t>
            </w:r>
          </w:p>
        </w:tc>
        <w:tc>
          <w:tcPr>
            <w:tcW w:w="264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0.5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178.4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59.4</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These future payments are presented at foreign exchange rates in effect at</w:t>
      </w:r>
    </w:p>
    <w:p>
      <w:pPr>
        <w:sectPr>
          <w:pgSz w:w="11900" w:h="16838" w:orient="portrait"/>
          <w:cols w:equalWidth="0" w:num="1">
            <w:col w:w="10239"/>
          </w:cols>
          <w:pgMar w:left="220" w:top="1128"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June 28, 2003.</w:t>
      </w:r>
    </w:p>
    <w:p>
      <w:pPr>
        <w:spacing w:after="0" w:line="166"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879"/>
          </w:cols>
          <w:pgMar w:left="580" w:top="135" w:right="1440" w:bottom="1440" w:gutter="0" w:footer="0" w:header="0"/>
        </w:sectPr>
      </w:pPr>
    </w:p>
    <w:bookmarkStart w:id="14" w:name="page15"/>
    <w:bookmarkEnd w:id="14"/>
    <w:p>
      <w:pPr>
        <w:ind w:left="350" w:right="3399"/>
        <w:spacing w:after="0" w:line="234" w:lineRule="auto"/>
        <w:rPr>
          <w:sz w:val="20"/>
          <w:szCs w:val="20"/>
          <w:color w:val="auto"/>
        </w:rPr>
      </w:pPr>
      <w:r>
        <w:rPr>
          <w:rFonts w:ascii="Courier New" w:cs="Courier New" w:eastAsia="Courier New" w:hAnsi="Courier New"/>
          <w:sz w:val="15"/>
          <w:szCs w:val="15"/>
          <w:color w:val="auto"/>
        </w:rPr>
        <w:t>The term loan facilities have a variable interest rate, which was 3.77% at June 28, 2003.</w:t>
      </w:r>
    </w:p>
    <w:p>
      <w:pPr>
        <w:spacing w:after="0" w:line="173" w:lineRule="exact"/>
        <w:rPr>
          <w:sz w:val="20"/>
          <w:szCs w:val="20"/>
          <w:color w:val="auto"/>
        </w:rPr>
      </w:pPr>
    </w:p>
    <w:p>
      <w:pPr>
        <w:ind w:left="350" w:right="3499"/>
        <w:spacing w:after="0" w:line="235" w:lineRule="auto"/>
        <w:rPr>
          <w:sz w:val="20"/>
          <w:szCs w:val="20"/>
          <w:color w:val="auto"/>
        </w:rPr>
      </w:pPr>
      <w:r>
        <w:rPr>
          <w:rFonts w:ascii="Courier New" w:cs="Courier New" w:eastAsia="Courier New" w:hAnsi="Courier New"/>
          <w:sz w:val="15"/>
          <w:szCs w:val="15"/>
          <w:color w:val="auto"/>
        </w:rPr>
        <w:t>Approximately $17.3 million of financing costs associated with the Credit Agreement have been deferred and are being amortized over a period which ends June 30, 2005. The unamortized balance at June 28, 2003, was $6.5 million.</w:t>
      </w:r>
    </w:p>
    <w:p>
      <w:pPr>
        <w:spacing w:after="0" w:line="175" w:lineRule="exact"/>
        <w:rPr>
          <w:sz w:val="20"/>
          <w:szCs w:val="20"/>
          <w:color w:val="auto"/>
        </w:rPr>
      </w:pPr>
    </w:p>
    <w:p>
      <w:pPr>
        <w:ind w:left="350" w:right="3319"/>
        <w:spacing w:after="0" w:line="255" w:lineRule="auto"/>
        <w:rPr>
          <w:sz w:val="20"/>
          <w:szCs w:val="20"/>
          <w:color w:val="auto"/>
        </w:rPr>
      </w:pPr>
      <w:r>
        <w:rPr>
          <w:rFonts w:ascii="Courier New" w:cs="Courier New" w:eastAsia="Courier New" w:hAnsi="Courier New"/>
          <w:sz w:val="14"/>
          <w:szCs w:val="14"/>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effective interest rate for the notes is 8 3/8%. The issuance costs associated with the offering totaled $1.6 million. Both the premium and the issuance costs are being amortized over the remaining life of the notes.</w:t>
      </w:r>
    </w:p>
    <w:p>
      <w:pPr>
        <w:spacing w:after="0" w:line="166"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In January 1999, the Company completed an offering of $330 million of 8 5/8% Senior Subordinated Notes due 2009. The Company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 The effective interest rate for the Notes including the cost of the interest rate locks is 9.24%.</w:t>
      </w:r>
    </w:p>
    <w:p>
      <w:pPr>
        <w:spacing w:after="0" w:line="179"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In conjunction with past acquisitions, notes were issued for certain portions of the total purchase price that are to be paid in future periods. The present value of the remaining note payments is $21.1 million of which $14.8 million pertains to lawn service business acquisitions. The Company is imputing interest on the notes using the stated interest rate or an interest rate prevalent for similar instruments at the time of acquisition for non-interest bearing notes.</w:t>
      </w:r>
    </w:p>
    <w:p>
      <w:pPr>
        <w:spacing w:after="0" w:line="176" w:lineRule="exact"/>
        <w:rPr>
          <w:sz w:val="20"/>
          <w:szCs w:val="20"/>
          <w:color w:val="auto"/>
        </w:rPr>
      </w:pPr>
    </w:p>
    <w:p>
      <w:pPr>
        <w:ind w:left="350" w:right="3239"/>
        <w:spacing w:after="0" w:line="236" w:lineRule="auto"/>
        <w:rPr>
          <w:sz w:val="20"/>
          <w:szCs w:val="20"/>
          <w:color w:val="auto"/>
        </w:rPr>
      </w:pPr>
      <w:r>
        <w:rPr>
          <w:rFonts w:ascii="Courier New" w:cs="Courier New" w:eastAsia="Courier New" w:hAnsi="Courier New"/>
          <w:sz w:val="15"/>
          <w:szCs w:val="15"/>
          <w:color w:val="auto"/>
        </w:rPr>
        <w:t>Foreign notes of $6.0 million issued on December 12, 1997, have an 8-year term and bear interest at 1% below LIBOR. The remaining principal balance of these loans at June 28, 2003 and June 29, 2002 was $0.6 million and $2.7 million, respectively. The loans are denominated in British Pounds Sterling and can be redeemed, on demand, by the note holder. The foreign bank borrowings of $9.5 million at June 28, 2003 and $8.0 million at June 29, 2002 represent lines of credit for foreign operations and are primarily denominated in Euros.</w:t>
      </w:r>
    </w:p>
    <w:p>
      <w:pPr>
        <w:spacing w:after="0" w:line="171"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2"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information necessary to calculate basic and diluted earnings per common share. Basic earnings per common share are computed by dividing net income available to common shareholders by the weighted average number of common share outstanding. Options to purchase 0.3 million shares of common stock for the nine month period ended June 28, 2003, and 0.1 and 0.1 million shares for the three and nine month periods ended June 29, 2002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34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9"/>
          </w:cols>
          <w:pgMar w:left="230" w:top="624" w:right="1440" w:bottom="1440" w:gutter="0" w:footer="0" w:header="0"/>
        </w:sectPr>
      </w:pPr>
    </w:p>
    <w:bookmarkStart w:id="15" w:name="page16"/>
    <w:bookmarkEnd w:id="15"/>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210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JUNE 28,</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29,</w:t>
            </w:r>
          </w:p>
        </w:tc>
        <w:tc>
          <w:tcPr>
            <w:tcW w:w="12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JUNE 28,</w:t>
            </w:r>
          </w:p>
        </w:tc>
        <w:tc>
          <w:tcPr>
            <w:tcW w:w="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2003</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2002</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w w:val="96"/>
              </w:rPr>
              <w:t>($ MILLIONS, EXCEPT PER SHARE DATA)</w:t>
            </w:r>
          </w:p>
        </w:tc>
        <w:tc>
          <w:tcPr>
            <w:tcW w:w="620" w:type="dxa"/>
            <w:vAlign w:val="bottom"/>
          </w:tcPr>
          <w:p>
            <w:pPr>
              <w:spacing w:after="0"/>
              <w:rPr>
                <w:sz w:val="14"/>
                <w:szCs w:val="14"/>
                <w:color w:val="auto"/>
              </w:rPr>
            </w:pP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Income before cumulative effect of accounting change............................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70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Cumulative effect of change in accounting for intangible assets, net of tax.....</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6"/>
              </w:rPr>
              <w:t>Net income.....................................................................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91.2</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95.8</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106.9</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Weighted-average common shares outstanding during the period....................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income per common 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Before cumulative effect of accounting change................................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70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6"/>
              </w:rPr>
              <w:t>Cumulative effect of change in accounting for intangible assets, net of tax..</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After cumulative effect of accounting change.................................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3.25</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3.48</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1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4"/>
              </w:rPr>
              <w:t>Weighted-average common shares outstanding during the period....................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31.1</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29.1</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Assuming exercise of options.................................................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Assuming exercise of warrants................................................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0.4</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number of common shares outstanding</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dilutive potential common shares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c>
          <w:tcPr>
            <w:tcW w:w="26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56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income per common share: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Before cumulative effect of accounting change................................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w:t>
            </w:r>
          </w:p>
        </w:tc>
      </w:tr>
      <w:tr>
        <w:trPr>
          <w:trHeight w:val="168"/>
        </w:trPr>
        <w:tc>
          <w:tcPr>
            <w:tcW w:w="7000" w:type="dxa"/>
            <w:vAlign w:val="bottom"/>
            <w:gridSpan w:val="4"/>
          </w:tcPr>
          <w:p>
            <w:pPr>
              <w:ind w:left="280"/>
              <w:spacing w:after="0" w:line="168" w:lineRule="exact"/>
              <w:rPr>
                <w:sz w:val="20"/>
                <w:szCs w:val="20"/>
                <w:color w:val="auto"/>
              </w:rPr>
            </w:pPr>
            <w:r>
              <w:rPr>
                <w:rFonts w:ascii="Courier New" w:cs="Courier New" w:eastAsia="Courier New" w:hAnsi="Courier New"/>
                <w:sz w:val="15"/>
                <w:szCs w:val="15"/>
                <w:color w:val="auto"/>
                <w:w w:val="96"/>
              </w:rPr>
              <w:t>Cumulative effect of change in accounting for intangible assets, net of tax..</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(0.59)</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84"/>
              </w:rPr>
              <w:t>After cumulative effect of accounting change.................................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600" w:type="dxa"/>
            <w:vAlign w:val="bottom"/>
          </w:tcPr>
          <w:p>
            <w:pPr>
              <w:spacing w:after="0"/>
              <w:rPr>
                <w:sz w:val="20"/>
                <w:szCs w:val="20"/>
                <w:color w:val="auto"/>
              </w:rPr>
            </w:pPr>
            <w:r>
              <w:rPr>
                <w:rFonts w:ascii="Courier New" w:cs="Courier New" w:eastAsia="Courier New" w:hAnsi="Courier New"/>
                <w:sz w:val="15"/>
                <w:szCs w:val="15"/>
                <w:color w:val="auto"/>
              </w:rPr>
              <w:t>8.  STATEMENT OF COMPREHENSIVE INCOME</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7000" w:type="dxa"/>
            <w:vAlign w:val="bottom"/>
            <w:gridSpan w:val="4"/>
          </w:tcPr>
          <w:p>
            <w:pPr>
              <w:ind w:left="360"/>
              <w:spacing w:after="0"/>
              <w:rPr>
                <w:sz w:val="20"/>
                <w:szCs w:val="20"/>
                <w:color w:val="auto"/>
              </w:rPr>
            </w:pPr>
            <w:r>
              <w:rPr>
                <w:rFonts w:ascii="Courier New" w:cs="Courier New" w:eastAsia="Courier New" w:hAnsi="Courier New"/>
                <w:sz w:val="15"/>
                <w:szCs w:val="15"/>
                <w:color w:val="auto"/>
                <w:w w:val="98"/>
              </w:rPr>
              <w:t>The components of other comprehensive income and total comprehensive income</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68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for the three and nine month periods ended June 28, 2003 and June 29, 2002</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are as follows: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3"/>
        </w:trPr>
        <w:tc>
          <w:tcPr>
            <w:tcW w:w="5600" w:type="dxa"/>
            <w:vAlign w:val="bottom"/>
          </w:tcPr>
          <w:p>
            <w:pPr>
              <w:spacing w:after="0"/>
              <w:rPr>
                <w:sz w:val="24"/>
                <w:szCs w:val="24"/>
                <w:color w:val="auto"/>
              </w:rPr>
            </w:pPr>
          </w:p>
        </w:tc>
        <w:tc>
          <w:tcPr>
            <w:tcW w:w="17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THREE MONTHS ENDED</w:t>
            </w:r>
          </w:p>
        </w:tc>
        <w:tc>
          <w:tcPr>
            <w:tcW w:w="700" w:type="dxa"/>
            <w:vAlign w:val="bottom"/>
          </w:tcPr>
          <w:p>
            <w:pPr>
              <w:spacing w:after="0"/>
              <w:rPr>
                <w:sz w:val="24"/>
                <w:szCs w:val="24"/>
                <w:color w:val="auto"/>
              </w:rPr>
            </w:pPr>
          </w:p>
        </w:tc>
        <w:tc>
          <w:tcPr>
            <w:tcW w:w="236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NINE MONTHS ENDED</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600" w:type="dxa"/>
            <w:vAlign w:val="bottom"/>
          </w:tcPr>
          <w:p>
            <w:pPr>
              <w:spacing w:after="0"/>
              <w:rPr>
                <w:sz w:val="14"/>
                <w:szCs w:val="14"/>
                <w:color w:val="auto"/>
              </w:rPr>
            </w:pPr>
          </w:p>
        </w:tc>
        <w:tc>
          <w:tcPr>
            <w:tcW w:w="1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JUNE 28,</w:t>
            </w:r>
          </w:p>
        </w:tc>
        <w:tc>
          <w:tcPr>
            <w:tcW w:w="122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JUNE 29</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JUNE 28</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JUNE 29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2003</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2002</w:t>
            </w:r>
          </w:p>
        </w:tc>
        <w:tc>
          <w:tcPr>
            <w:tcW w:w="70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2002</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w:t>
            </w:r>
          </w:p>
        </w:tc>
        <w:tc>
          <w:tcPr>
            <w:tcW w:w="700" w:type="dxa"/>
            <w:vAlign w:val="bottom"/>
          </w:tcPr>
          <w:p>
            <w:pPr>
              <w:spacing w:after="0"/>
              <w:rPr>
                <w:sz w:val="14"/>
                <w:szCs w:val="14"/>
                <w:color w:val="auto"/>
              </w:rPr>
            </w:pPr>
          </w:p>
        </w:tc>
        <w:tc>
          <w:tcPr>
            <w:tcW w:w="11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 MILLIONS)</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600" w:type="dxa"/>
            <w:vAlign w:val="bottom"/>
          </w:tcPr>
          <w:p>
            <w:pPr>
              <w:ind w:left="1140"/>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91.2</w:t>
            </w:r>
          </w:p>
        </w:tc>
        <w:tc>
          <w:tcPr>
            <w:tcW w:w="1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95.8</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106.9</w:t>
            </w:r>
          </w:p>
        </w:tc>
        <w:tc>
          <w:tcPr>
            <w:tcW w:w="440" w:type="dxa"/>
            <w:vAlign w:val="bottom"/>
          </w:tcPr>
          <w:p>
            <w:pPr>
              <w:ind w:left="3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95.2</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6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Other comprehensive income (expense):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Foreign currency translation adjustments........</w:t>
            </w:r>
          </w:p>
        </w:tc>
        <w:tc>
          <w:tcPr>
            <w:tcW w:w="54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(2.0)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4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Change in valuation of derivative instruments...</w:t>
            </w:r>
          </w:p>
        </w:tc>
        <w:tc>
          <w:tcPr>
            <w:tcW w:w="54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89.4</w:t>
            </w:r>
          </w:p>
        </w:tc>
        <w:tc>
          <w:tcPr>
            <w:tcW w:w="160" w:type="dxa"/>
            <w:vAlign w:val="bottom"/>
          </w:tcPr>
          <w:p>
            <w:pPr>
              <w:spacing w:after="0"/>
              <w:rPr>
                <w:sz w:val="14"/>
                <w:szCs w:val="14"/>
                <w:color w:val="auto"/>
              </w:rPr>
            </w:pP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96.2</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104.8</w:t>
            </w:r>
          </w:p>
        </w:tc>
        <w:tc>
          <w:tcPr>
            <w:tcW w:w="4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96.5</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5600" w:type="dxa"/>
            <w:vAlign w:val="bottom"/>
          </w:tcPr>
          <w:p>
            <w:pPr>
              <w:spacing w:after="0"/>
              <w:rPr>
                <w:sz w:val="14"/>
                <w:szCs w:val="14"/>
                <w:color w:val="auto"/>
              </w:rPr>
            </w:pPr>
          </w:p>
        </w:tc>
        <w:tc>
          <w:tcPr>
            <w:tcW w:w="12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335"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360" w:right="430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58"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360" w:right="446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sought corrective action under the federal Resource Conservation Recovery Act. The action relates to several discontinued on-site disposal areas which date back</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300"/>
          </w:cols>
          <w:pgMar w:left="220" w:top="1440" w:right="379" w:bottom="517"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to the early operations of the Marysville facility that we had already been assessing voluntarily. Since initiation of the action, the Company was able to negotiate an amicable resolution of these issues. On December 3, 2001, an agreed judicial Consent Order was submitted to the Union County Common Pleas Court and was entered by the court on January 25, 2002. We are continuing our remediation activities with the knowledge and oversight of the Ohio EPA.</w:t>
      </w:r>
    </w:p>
    <w:p>
      <w:pPr>
        <w:spacing w:after="0" w:line="16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are negotiating with the Philadelphia District of the U.S. Army Corps of Engineers ("Corps") regarding the terms of site remediation and the resolution of the Corps' civil penalty demand in connection with our prior peat harvesting operations at our Lafayette, New Jersey facility. A New Jersey Site Recovery ACT (ISRA) investigation has been conducted for the non-wetlands portion of the Layfayette property. The investigation is still in progress in order to obtain a No Further Action (NFA) determination for the wetlands portion of the property. A NFA has been granted for the non-wetlands areas.</w:t>
      </w:r>
    </w:p>
    <w:p>
      <w:pPr>
        <w:spacing w:after="0" w:line="178"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are also addressing remediation concerns raised by the Environment Agency of the United Kingdom with respect to emissions to air and groundwater at our Bramford (Suffolk), United Kingdom facility.</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The Company has determined that building materials at certain manufacturing facilities in the United Kingdom contain asbestos which may require removal in the future.</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At June 28, 2003, $3.9 million, which is our estimate of the probable costs to be incurred, is accrued for the environmental matters described herein. The accrual is for future costs for site remediation. The significant portion of the costs accrued as of June 28, 2003 are expected to be paid in fiscal 2003 and 2004; however, payments could be made for a period thereafter.</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believe that the amounts accrued as of June 28, 2003 are adequate to cover known environmental exposures based on current facts and estimates of likely outcome. However, the adequacy of these accruals is based on several significant assumptions:</w:t>
      </w:r>
    </w:p>
    <w:p>
      <w:pPr>
        <w:spacing w:after="0" w:line="175" w:lineRule="exact"/>
        <w:rPr>
          <w:sz w:val="20"/>
          <w:szCs w:val="20"/>
          <w:color w:val="auto"/>
        </w:rPr>
      </w:pPr>
    </w:p>
    <w:p>
      <w:pPr>
        <w:ind w:left="520" w:right="3679" w:hanging="520"/>
        <w:spacing w:after="0" w:line="234"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520" w:right="3499" w:hanging="520"/>
        <w:spacing w:after="0" w:line="234"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73" w:lineRule="exact"/>
        <w:rPr>
          <w:rFonts w:ascii="Courier New" w:cs="Courier New" w:eastAsia="Courier New" w:hAnsi="Courier New"/>
          <w:sz w:val="15"/>
          <w:szCs w:val="15"/>
          <w:color w:val="auto"/>
        </w:rPr>
      </w:pPr>
    </w:p>
    <w:p>
      <w:pPr>
        <w:ind w:left="520" w:right="3399" w:hanging="520"/>
        <w:spacing w:after="0" w:line="235"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As noted in the discussion above under "Environmental Matters", we are involved in several pending environmental matters. We believe that our assessment of contingencies is reasonable and that related reserves, in the aggregate, are adequate; however, there can be no assurance that the final resolution of these matters will not have a material adverse affect on our results of operations, financial position and cash flows.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material legal proceedings are as follows: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AGREVO ENVIRONMENTAL HEALTH, INC.</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 District of New York ("the New York Action"),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agreements between AgrEvo and Scotts.</w:t>
      </w:r>
    </w:p>
    <w:p>
      <w:pPr>
        <w:spacing w:after="0" w:line="16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880"/>
          </w:cols>
          <w:pgMar w:left="580" w:top="624" w:right="1440" w:bottom="1440" w:gutter="0" w:footer="0" w:header="0"/>
        </w:sectPr>
      </w:pPr>
    </w:p>
    <w:bookmarkStart w:id="17" w:name="page18"/>
    <w:bookmarkEnd w:id="17"/>
    <w:p>
      <w:pPr>
        <w:ind w:right="3399"/>
        <w:spacing w:after="0" w:line="236"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 invalidate the Roundup(R) marketing agreement as violative of the federal antitrust laws. Under the indemnification provisions of the Roundup(R) marketing agreement, Monsanto and Scotts each have requested that the other indemnify against any losses arising from this lawsuit.</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18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January 10, 2003, Scotts filed a supplemental counterclaim against AgrEvo for breach of contract. Scotts alleges that AgrEvo owes Scotts for amounts that Scotts overpaid to AgrEvo. Scotts' counterclaim is now part of the underlying litigation.</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On June 30, 2000, Scotts filed suit against Central Garden &amp; Pet Company in the U.S. District Court for the Southern District of Ohio ("the Ohio Action") to recover approximately $24 million in accounts receivable and additional damages for other breaches of duty.</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Pharmacia Corporation (formerly Monsanto). The court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were filed. As a result of those motions, the trial court has reduced Central Garden's verdict by $750,000, denied Central Garden's motion for a new trial on two of its counterclaims and granted the parties pre-judgment interest on their respective verdicts.</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Scotts has moved for summary judgment on these claims. Pending resolution of the summary judgment motions, a trial date of October 6, 2003 has been set on these remaining claims.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On July 28, 2002, Central Garden filed a notice of appeal. The case is now pending on appeal in the Ninth Circuit Court of Appeals.</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879"/>
          </w:cols>
          <w:pgMar w:left="580" w:top="624"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October 31, 2000, Central Garden filed a complaint against Scotts and Pharmacia in the California Superior Court for Contra Costa County. That complaint seeks to assert breach of contract claims and claims under 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w:t>
      </w:r>
    </w:p>
    <w:p>
      <w:pPr>
        <w:spacing w:after="0" w:line="177"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All claims in the Contra Costa action currently remain stayed. Central Garden and Pharmacia have settled their claims relating to this action.</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for which Scotts believes it has adequate reserves recorded for the amounts it may ultimately be required to pay.</w:t>
      </w:r>
    </w:p>
    <w:p>
      <w:pPr>
        <w:spacing w:after="0" w:line="16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U.S. HORTICULTURAL SUPPLY, INC. (F/K/A E.C. GEIGER, INC.) V. SCOTTS, EASTERN DISTRICT OF PENNSYLVANIA</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7, 2003, U.S. Horticultural Supply filed suit against Scotts in the U.S. District Court for the Eastern District of Pennsylvania. U.S. Horticultural Supply alleges claims of breach of contract, promissory estoppel, and a violation of federal antitrust laws, and seeks an unspecified amount of damages.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March 14, 2003, Scotts filed a motion to dismiss the antitrust claim, and a motion to dismiss, or in the alternative stay, the promissory estoppel claims pending arbitration. The motion is pending. Discovery has commenced. No trial date has been set.</w:t>
      </w:r>
    </w:p>
    <w:p>
      <w:pPr>
        <w:spacing w:after="0" w:line="17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Scotts believes that U.S. Horticultural Supply's claims are without merit and intends to vigorously defend against them. If the above action is determined adversely to Scotts, the result could have a material adverse effect on Scotts' results of operations, financial position and cash flows. Any potential exposure that Scotts may face cannot be reasonably estimated. Therefore, no accrual has been established related to this matter.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recently has been named a defendant in a number of cases alleging injuries that the lawsuits claim resulted from exposure to asbestos-containing products. The complaints in these cases, which are in their very preliminary stages, are not specific about the plaintiffs' contacts with the Company or its products. Scotts in each case is one of numerous defendants and none of the claims seek damages from the Company alone. The Company intends to vigorously defend the cases and does not believe they are material to the Company's financial position or results of operations.</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It is not currently possible to reasonably estimate a probable loss, if any, associated with the cases and, accordingly, no accrual or reserves have been recorded in the Company's consolidated financial statements as of June 28, 2003. There can be no assurance that these cases, whether as a result of adverse outcomes or as a result of significant defense costs, will not have a material adverse effect on the Company, its financial condition or its results of operations. The Company is reviewing policies and agreements that may provide insurance coverage or indemnity as to these claims.</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6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879"/>
          </w:cols>
          <w:pgMar w:left="580" w:top="617" w:right="1440" w:bottom="1440" w:gutter="0" w:footer="0" w:header="0"/>
        </w:sectPr>
      </w:pPr>
    </w:p>
    <w:bookmarkStart w:id="19" w:name="page20"/>
    <w:bookmarkEnd w:id="19"/>
    <w:p>
      <w:pPr>
        <w:ind w:left="350"/>
        <w:spacing w:after="0"/>
        <w:rPr>
          <w:sz w:val="20"/>
          <w:szCs w:val="20"/>
          <w:color w:val="auto"/>
        </w:rPr>
      </w:pPr>
      <w:r>
        <w:rPr>
          <w:rFonts w:ascii="Courier New" w:cs="Courier New" w:eastAsia="Courier New" w:hAnsi="Courier New"/>
          <w:sz w:val="15"/>
          <w:szCs w:val="15"/>
          <w:color w:val="auto"/>
        </w:rPr>
        <w:t>GUARANTEES</w:t>
      </w:r>
    </w:p>
    <w:p>
      <w:pPr>
        <w:spacing w:after="0" w:line="173" w:lineRule="exact"/>
        <w:rPr>
          <w:sz w:val="20"/>
          <w:szCs w:val="20"/>
          <w:color w:val="auto"/>
        </w:rPr>
      </w:pPr>
    </w:p>
    <w:p>
      <w:pPr>
        <w:ind w:left="350" w:right="3239"/>
        <w:spacing w:after="0" w:line="237" w:lineRule="auto"/>
        <w:rPr>
          <w:sz w:val="20"/>
          <w:szCs w:val="20"/>
          <w:color w:val="auto"/>
        </w:rPr>
      </w:pPr>
      <w:r>
        <w:rPr>
          <w:rFonts w:ascii="Courier New" w:cs="Courier New" w:eastAsia="Courier New" w:hAnsi="Courier New"/>
          <w:sz w:val="15"/>
          <w:szCs w:val="15"/>
          <w:color w:val="auto"/>
        </w:rPr>
        <w:t>In November 2002, the Financial Accounting Standards Board (FASB) issued Interpretation 45, "Guarantor's Accounting and Disclosure Requirements for Guarantees, Including Indirect Guarantees of Indebtedness of Others" ("FIN45"). FIN45 elaborates on the existing disclosure requirements for most guarantees, including loan guarantees and certain indemnification arrangements. For new guarantees and indemnifications provided after December 31, 2002, it requires that the Company must recognize an initial liability for the fair value, or market value, of the obligations it assumes and must disclose that information in its interim and annual financial statements. The Company has determined that it has no material guarantees or indemnifications that would require disclosure or valuation under this new standard.</w:t>
      </w:r>
    </w:p>
    <w:p>
      <w:pPr>
        <w:spacing w:after="0" w:line="167" w:lineRule="exact"/>
        <w:rPr>
          <w:sz w:val="20"/>
          <w:szCs w:val="20"/>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2" w:lineRule="exact"/>
        <w:rPr>
          <w:rFonts w:ascii="Courier New" w:cs="Courier New" w:eastAsia="Courier New" w:hAnsi="Courier New"/>
          <w:sz w:val="15"/>
          <w:szCs w:val="15"/>
          <w:color w:val="auto"/>
        </w:rPr>
      </w:pPr>
    </w:p>
    <w:p>
      <w:pPr>
        <w:ind w:left="35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2003, the Company is divided into four reportable segments - North American Consumer, Scotts LawnService(R), International Consumer and Global Professional. The North American Consumer segment consists of the Lawns, Gardening Products, Ortho and Canadian business units.</w:t>
      </w:r>
    </w:p>
    <w:p>
      <w:pPr>
        <w:spacing w:after="0" w:line="175" w:lineRule="exact"/>
        <w:rPr>
          <w:rFonts w:ascii="Courier New" w:cs="Courier New" w:eastAsia="Courier New" w:hAnsi="Courier New"/>
          <w:sz w:val="15"/>
          <w:szCs w:val="15"/>
          <w:color w:val="auto"/>
        </w:rPr>
      </w:pPr>
    </w:p>
    <w:p>
      <w:pPr>
        <w:ind w:left="35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combination lawn fertilizer and control products, grass seed, spreaders, water-soluble and controlled-release garden and indoor plant foods, plant care products, potting soils, barks, mulches and other growing media products, and pesticide products. Products are marketed to mass merchandisers, home improvement centers, large hardware chains, nurseries and gardens centers.</w:t>
      </w:r>
    </w:p>
    <w:p>
      <w:pPr>
        <w:spacing w:after="0" w:line="175" w:lineRule="exact"/>
        <w:rPr>
          <w:rFonts w:ascii="Courier New" w:cs="Courier New" w:eastAsia="Courier New" w:hAnsi="Courier New"/>
          <w:sz w:val="15"/>
          <w:szCs w:val="15"/>
          <w:color w:val="auto"/>
        </w:rPr>
      </w:pPr>
    </w:p>
    <w:p>
      <w:pPr>
        <w:ind w:left="35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LawnService(R) segment provides lawn fertilization, insect and disease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perimeter pest control service.</w:t>
      </w:r>
    </w:p>
    <w:p>
      <w:pPr>
        <w:spacing w:after="0" w:line="166" w:lineRule="exact"/>
        <w:rPr>
          <w:rFonts w:ascii="Courier New" w:cs="Courier New" w:eastAsia="Courier New" w:hAnsi="Courier New"/>
          <w:sz w:val="15"/>
          <w:szCs w:val="15"/>
          <w:color w:val="auto"/>
        </w:rPr>
      </w:pPr>
    </w:p>
    <w:p>
      <w:pPr>
        <w:ind w:left="350" w:right="36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3" w:lineRule="exact"/>
        <w:rPr>
          <w:rFonts w:ascii="Courier New" w:cs="Courier New" w:eastAsia="Courier New" w:hAnsi="Courier New"/>
          <w:sz w:val="15"/>
          <w:szCs w:val="15"/>
          <w:color w:val="auto"/>
        </w:rPr>
      </w:pPr>
    </w:p>
    <w:p>
      <w:pPr>
        <w:ind w:left="35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w:t>
      </w:r>
    </w:p>
    <w:p>
      <w:pPr>
        <w:spacing w:after="0" w:line="163" w:lineRule="exact"/>
        <w:rPr>
          <w:rFonts w:ascii="Courier New" w:cs="Courier New" w:eastAsia="Courier New" w:hAnsi="Courier New"/>
          <w:sz w:val="15"/>
          <w:szCs w:val="15"/>
          <w:color w:val="auto"/>
        </w:rPr>
      </w:pPr>
    </w:p>
    <w:p>
      <w:pPr>
        <w:ind w:left="35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785"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NORTH AMERICAN</w:t>
            </w:r>
          </w:p>
        </w:tc>
        <w:tc>
          <w:tcPr>
            <w:tcW w:w="800" w:type="dxa"/>
            <w:vAlign w:val="bottom"/>
          </w:tcPr>
          <w:p>
            <w:pPr>
              <w:spacing w:after="0"/>
              <w:rPr>
                <w:sz w:val="14"/>
                <w:szCs w:val="14"/>
                <w:color w:val="auto"/>
              </w:rPr>
            </w:pP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9"/>
              </w:rPr>
              <w:t>SCOTTS</w:t>
            </w:r>
          </w:p>
        </w:tc>
        <w:tc>
          <w:tcPr>
            <w:tcW w:w="17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INTERNATIONAL</w:t>
            </w:r>
          </w:p>
        </w:tc>
        <w:tc>
          <w:tcPr>
            <w:tcW w:w="22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GLOBAL</w:t>
            </w:r>
          </w:p>
        </w:tc>
      </w:tr>
      <w:tr>
        <w:trPr>
          <w:trHeight w:val="168"/>
        </w:trPr>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CONSUMER</w:t>
            </w:r>
          </w:p>
        </w:tc>
        <w:tc>
          <w:tcPr>
            <w:tcW w:w="19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LAWNSERVICE(R)</w:t>
            </w:r>
          </w:p>
        </w:tc>
        <w:tc>
          <w:tcPr>
            <w:tcW w:w="17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CONSUMER</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PROFESSIONAL</w:t>
            </w:r>
          </w:p>
        </w:tc>
      </w:tr>
      <w:tr>
        <w:trPr>
          <w:trHeight w:val="168"/>
        </w:trPr>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7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(IN MILLIONS)</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0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YTD 2003...........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1,101.9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67.3</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241.6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156.2</w:t>
            </w:r>
          </w:p>
        </w:tc>
      </w:tr>
      <w:tr>
        <w:trPr>
          <w:trHeight w:val="168"/>
        </w:trPr>
        <w:tc>
          <w:tcPr>
            <w:tcW w:w="20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YTD 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1,053.4</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44.8</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142.2</w:t>
            </w:r>
          </w:p>
        </w:tc>
      </w:tr>
      <w:tr>
        <w:trPr>
          <w:trHeight w:val="336"/>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2003............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524.0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40.5</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90.2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55.3</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528.6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28.7</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50.5</w:t>
            </w:r>
          </w:p>
        </w:tc>
      </w:tr>
      <w:tr>
        <w:trPr>
          <w:trHeight w:val="336"/>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2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20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YTD 2003...........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246.9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(6.8)</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20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YTD 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258.0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15.7</w:t>
            </w:r>
          </w:p>
        </w:tc>
      </w:tr>
      <w:tr>
        <w:trPr>
          <w:trHeight w:val="336"/>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2003............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10.4</w:t>
            </w:r>
          </w:p>
        </w:tc>
        <w:tc>
          <w:tcPr>
            <w:tcW w:w="56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162.7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7.1</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r>
      <w:tr>
        <w:trPr>
          <w:trHeight w:val="336"/>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Operating margin:</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YTD</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22.4%</w:t>
            </w:r>
          </w:p>
        </w:tc>
        <w:tc>
          <w:tcPr>
            <w:tcW w:w="8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5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9.3%</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88"/>
              </w:rPr>
              <w:t>YTD</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w:t>
            </w:r>
          </w:p>
        </w:tc>
        <w:tc>
          <w:tcPr>
            <w:tcW w:w="8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(6.7)%</w:t>
            </w:r>
          </w:p>
        </w:tc>
        <w:tc>
          <w:tcPr>
            <w:tcW w:w="5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12.6%</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11.0%</w:t>
            </w:r>
          </w:p>
        </w:tc>
      </w:tr>
      <w:tr>
        <w:trPr>
          <w:trHeight w:val="336"/>
        </w:trPr>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2003............</w:t>
            </w:r>
          </w:p>
        </w:tc>
        <w:tc>
          <w:tcPr>
            <w:tcW w:w="48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28.6%</w:t>
            </w:r>
          </w:p>
        </w:tc>
        <w:tc>
          <w:tcPr>
            <w:tcW w:w="800" w:type="dxa"/>
            <w:vAlign w:val="bottom"/>
          </w:tcPr>
          <w:p>
            <w:pPr>
              <w:spacing w:after="0"/>
              <w:rPr>
                <w:sz w:val="24"/>
                <w:szCs w:val="2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25.7%</w:t>
            </w:r>
          </w:p>
        </w:tc>
        <w:tc>
          <w:tcPr>
            <w:tcW w:w="560" w:type="dxa"/>
            <w:vAlign w:val="bottom"/>
          </w:tcPr>
          <w:p>
            <w:pPr>
              <w:spacing w:after="0"/>
              <w:rPr>
                <w:sz w:val="24"/>
                <w:szCs w:val="2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11.5%</w:t>
            </w:r>
          </w:p>
        </w:tc>
        <w:tc>
          <w:tcPr>
            <w:tcW w:w="220" w:type="dxa"/>
            <w:vAlign w:val="bottom"/>
          </w:tcPr>
          <w:p>
            <w:pPr>
              <w:spacing w:after="0"/>
              <w:rPr>
                <w:sz w:val="24"/>
                <w:szCs w:val="2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19.5%</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2002............</w:t>
            </w:r>
          </w:p>
        </w:tc>
        <w:tc>
          <w:tcPr>
            <w:tcW w:w="4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30.8%</w:t>
            </w:r>
          </w:p>
        </w:tc>
        <w:tc>
          <w:tcPr>
            <w:tcW w:w="8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24.7%</w:t>
            </w:r>
          </w:p>
        </w:tc>
        <w:tc>
          <w:tcPr>
            <w:tcW w:w="5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21.4%</w:t>
            </w:r>
          </w:p>
        </w:tc>
        <w:tc>
          <w:tcPr>
            <w:tcW w:w="22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w:t>
            </w:r>
          </w:p>
        </w:tc>
      </w:tr>
      <w:tr>
        <w:trPr>
          <w:trHeight w:val="336"/>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173.9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82.4</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146.1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47.0</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96.5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50.4</w:t>
            </w: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1"/>
              </w:rPr>
              <w:t>assets: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1,351.5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114.6</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486.3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153.7</w:t>
            </w:r>
          </w:p>
        </w:tc>
      </w:tr>
      <w:tr>
        <w:trPr>
          <w:trHeight w:val="168"/>
        </w:trPr>
        <w:tc>
          <w:tcPr>
            <w:tcW w:w="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Q3</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5"/>
              </w:rPr>
              <w:t>1,273.1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69.8</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481.5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148.5</w:t>
            </w:r>
          </w:p>
        </w:tc>
      </w:tr>
    </w:tbl>
    <w:p>
      <w:pPr>
        <w:spacing w:after="0" w:line="33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nm</w:t>
        <w:tab/>
        <w:t>Not meaningful.</w:t>
      </w:r>
    </w:p>
    <w:p>
      <w:pPr>
        <w:spacing w:after="0" w:line="173" w:lineRule="exact"/>
        <w:rPr>
          <w:sz w:val="20"/>
          <w:szCs w:val="20"/>
          <w:color w:val="auto"/>
        </w:rPr>
      </w:pPr>
    </w:p>
    <w:p>
      <w:pPr>
        <w:ind w:left="440" w:right="1760"/>
        <w:spacing w:after="0" w:line="236" w:lineRule="auto"/>
        <w:rPr>
          <w:sz w:val="20"/>
          <w:szCs w:val="20"/>
          <w:color w:val="auto"/>
        </w:rPr>
      </w:pPr>
      <w:r>
        <w:rPr>
          <w:rFonts w:ascii="Courier New" w:cs="Courier New" w:eastAsia="Courier New" w:hAnsi="Courier New"/>
          <w:sz w:val="15"/>
          <w:szCs w:val="15"/>
          <w:color w:val="auto"/>
        </w:rPr>
        <w:t>Operating income (loss) reported for Scotts' four operating segments represents earnings before interest, taxes, and amortization, since this is the measure of profitability used by management. Accordingly, Corporate operating loss for the three and nine months ended June 28, 2003 and June 29, 2002 includes amortization of certain intangible assets, unallocated corporate general and administrative expenses, and certain "other" income/expense not allocated to the business segments and North America restructuring charges.</w:t>
      </w:r>
    </w:p>
    <w:p>
      <w:pPr>
        <w:spacing w:after="0" w:line="177" w:lineRule="exact"/>
        <w:rPr>
          <w:sz w:val="20"/>
          <w:szCs w:val="20"/>
          <w:color w:val="auto"/>
        </w:rPr>
      </w:pPr>
    </w:p>
    <w:p>
      <w:pPr>
        <w:ind w:left="440" w:right="1920"/>
        <w:spacing w:after="0" w:line="235" w:lineRule="auto"/>
        <w:rPr>
          <w:sz w:val="20"/>
          <w:szCs w:val="20"/>
          <w:color w:val="auto"/>
        </w:rPr>
      </w:pPr>
      <w:r>
        <w:rPr>
          <w:rFonts w:ascii="Courier New" w:cs="Courier New" w:eastAsia="Courier New" w:hAnsi="Courier New"/>
          <w:sz w:val="15"/>
          <w:szCs w:val="15"/>
          <w:color w:val="auto"/>
        </w:rPr>
        <w:t>During the first nine months of fiscal 2003, the Company's Scotts LawnService(R) segment acquired 15 individual lawn service entities for a total cost of $17.1 million. Of the total cost, $9.9 million was paid in cash, with notes being issued for the remaining $7.2 million.</w:t>
      </w:r>
    </w:p>
    <w:p>
      <w:pPr>
        <w:spacing w:after="0" w:line="175" w:lineRule="exact"/>
        <w:rPr>
          <w:sz w:val="20"/>
          <w:szCs w:val="20"/>
          <w:color w:val="auto"/>
        </w:rPr>
      </w:pPr>
    </w:p>
    <w:p>
      <w:pPr>
        <w:ind w:left="440" w:right="1920"/>
        <w:spacing w:after="0" w:line="236" w:lineRule="auto"/>
        <w:rPr>
          <w:sz w:val="20"/>
          <w:szCs w:val="20"/>
          <w:color w:val="auto"/>
        </w:rPr>
      </w:pPr>
      <w:r>
        <w:rPr>
          <w:rFonts w:ascii="Courier New" w:cs="Courier New" w:eastAsia="Courier New" w:hAnsi="Courier New"/>
          <w:sz w:val="15"/>
          <w:szCs w:val="15"/>
          <w:color w:val="auto"/>
        </w:rPr>
        <w:t>Goodwill recognized in all fiscal 2003 acquisitions amounted to $14.7 million all of which is deductible for tax purposes. Other intangible assets, primarily customer accounts and non-compete agreements, of $2.9 million and working capital and property, plant and equipment of $1.2 million were also recorded. These acquired assets are recorded within the Scotts LawnService(R) and North American Consumer segments.</w:t>
      </w:r>
    </w:p>
    <w:p>
      <w:pPr>
        <w:spacing w:after="0" w:line="175" w:lineRule="exact"/>
        <w:rPr>
          <w:sz w:val="20"/>
          <w:szCs w:val="20"/>
          <w:color w:val="auto"/>
        </w:rPr>
      </w:pPr>
    </w:p>
    <w:p>
      <w:pPr>
        <w:ind w:left="440" w:right="1760"/>
        <w:spacing w:after="0" w:line="235"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169" w:lineRule="exact"/>
        <w:rPr>
          <w:sz w:val="20"/>
          <w:szCs w:val="20"/>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2" w:lineRule="exact"/>
        <w:rPr>
          <w:rFonts w:ascii="Courier New" w:cs="Courier New" w:eastAsia="Courier New" w:hAnsi="Courier New"/>
          <w:sz w:val="15"/>
          <w:szCs w:val="15"/>
          <w:color w:val="auto"/>
        </w:rPr>
      </w:pPr>
    </w:p>
    <w:p>
      <w:pPr>
        <w:ind w:left="440" w:right="176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In January 2002, the Company issued an additional $70 million of 8 5/8% Senior Subordinated Notes due 2009 to qualified institutional buyers under the provisions of Rule 144A of the Securities Act of 1933.</w:t>
      </w:r>
    </w:p>
    <w:p>
      <w:pPr>
        <w:spacing w:after="0" w:line="174" w:lineRule="exact"/>
        <w:rPr>
          <w:rFonts w:ascii="Courier New" w:cs="Courier New" w:eastAsia="Courier New" w:hAnsi="Courier New"/>
          <w:sz w:val="15"/>
          <w:szCs w:val="15"/>
          <w:color w:val="auto"/>
        </w:rPr>
      </w:pPr>
    </w:p>
    <w:p>
      <w:pPr>
        <w:ind w:left="440" w:right="184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general obligations of The Scotts Company and are guaranteed by all of the existing wholly-owned, domestic</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OTHER/</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0" w:type="dxa"/>
            <w:vAlign w:val="bottom"/>
          </w:tcPr>
          <w:p>
            <w:pPr>
              <w:spacing w:after="0"/>
              <w:rPr>
                <w:sz w:val="14"/>
                <w:szCs w:val="14"/>
                <w:color w:val="auto"/>
              </w:rPr>
            </w:pP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CORPORATE</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36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1,567.0</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1,449.0</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710.0</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689.0</w:t>
            </w:r>
          </w:p>
        </w:tc>
      </w:tr>
      <w:tr>
        <w:trPr>
          <w:trHeight w:val="673"/>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(53.7)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230.3</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(47.0)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250.0</w:t>
            </w:r>
          </w:p>
        </w:tc>
      </w:tr>
      <w:tr>
        <w:trPr>
          <w:trHeight w:val="336"/>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(17.6)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164.0</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(18.4)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175.5</w:t>
            </w:r>
          </w:p>
        </w:tc>
      </w:tr>
      <w:tr>
        <w:trPr>
          <w:trHeight w:val="505"/>
        </w:trPr>
        <w:tc>
          <w:tcPr>
            <w:tcW w:w="220" w:type="dxa"/>
            <w:vAlign w:val="bottom"/>
          </w:tcPr>
          <w:p>
            <w:pPr>
              <w:spacing w:after="0"/>
              <w:rPr>
                <w:sz w:val="24"/>
                <w:szCs w:val="2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nm</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68"/>
        </w:trPr>
        <w:tc>
          <w:tcPr>
            <w:tcW w:w="22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nm</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17.3%</w:t>
            </w:r>
          </w:p>
        </w:tc>
      </w:tr>
      <w:tr>
        <w:trPr>
          <w:trHeight w:val="336"/>
        </w:trPr>
        <w:tc>
          <w:tcPr>
            <w:tcW w:w="220" w:type="dxa"/>
            <w:vAlign w:val="bottom"/>
          </w:tcPr>
          <w:p>
            <w:pPr>
              <w:spacing w:after="0"/>
              <w:rPr>
                <w:sz w:val="24"/>
                <w:szCs w:val="24"/>
                <w:color w:val="auto"/>
              </w:rPr>
            </w:pPr>
          </w:p>
        </w:tc>
        <w:tc>
          <w:tcPr>
            <w:tcW w:w="114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nm</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68"/>
        </w:trPr>
        <w:tc>
          <w:tcPr>
            <w:tcW w:w="220" w:type="dxa"/>
            <w:vAlign w:val="bottom"/>
          </w:tcPr>
          <w:p>
            <w:pPr>
              <w:spacing w:after="0"/>
              <w:rPr>
                <w:sz w:val="14"/>
                <w:szCs w:val="14"/>
                <w:color w:val="auto"/>
              </w:rPr>
            </w:pPr>
          </w:p>
        </w:tc>
        <w:tc>
          <w:tcPr>
            <w:tcW w:w="114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nm</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505"/>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393.4</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r>
      <w:tr>
        <w:trPr>
          <w:trHeight w:val="505"/>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123.0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2,229.1</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97.2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2,070.1</w:t>
            </w:r>
          </w:p>
        </w:tc>
      </w:tr>
    </w:tbl>
    <w:p>
      <w:pPr>
        <w:sectPr>
          <w:pgSz w:w="11900" w:h="16838" w:orient="portrait"/>
          <w:cols w:equalWidth="0" w:num="2">
            <w:col w:w="8760" w:space="340"/>
            <w:col w:w="2360"/>
          </w:cols>
          <w:pgMar w:left="220" w:top="1290" w:right="219" w:bottom="1440" w:gutter="0" w:footer="0" w:header="0"/>
        </w:sectPr>
      </w:pPr>
    </w:p>
    <w:bookmarkStart w:id="21" w:name="page22"/>
    <w:bookmarkEnd w:id="21"/>
    <w:p>
      <w:pPr>
        <w:ind w:right="3319"/>
        <w:spacing w:after="0" w:line="255" w:lineRule="auto"/>
        <w:rPr>
          <w:sz w:val="20"/>
          <w:szCs w:val="20"/>
          <w:color w:val="auto"/>
        </w:rPr>
      </w:pPr>
      <w:r>
        <w:rPr>
          <w:rFonts w:ascii="Courier New" w:cs="Courier New" w:eastAsia="Courier New" w:hAnsi="Courier New"/>
          <w:sz w:val="14"/>
          <w:szCs w:val="14"/>
          <w:color w:val="auto"/>
        </w:rPr>
        <w:t>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6" w:lineRule="exact"/>
        <w:rPr>
          <w:sz w:val="20"/>
          <w:szCs w:val="20"/>
          <w:color w:val="auto"/>
        </w:rPr>
      </w:pPr>
    </w:p>
    <w:p>
      <w:pPr>
        <w:ind w:left="80" w:right="3239"/>
        <w:spacing w:after="0" w:line="236" w:lineRule="auto"/>
        <w:rPr>
          <w:sz w:val="20"/>
          <w:szCs w:val="20"/>
          <w:color w:val="auto"/>
        </w:rPr>
      </w:pPr>
      <w:r>
        <w:rPr>
          <w:rFonts w:ascii="Courier New" w:cs="Courier New" w:eastAsia="Courier New" w:hAnsi="Courier New"/>
          <w:sz w:val="15"/>
          <w:szCs w:val="15"/>
          <w:color w:val="auto"/>
        </w:rPr>
        <w:t>The following unaudited information presents consolidating Statements of Operations for the three and nine-month periods ended June 28, 2003 and June 29, 2002 and consolidating Statements of Cash Flows and Balance Sheets for the nine month periods ended June 28, 2003 and June 29, 2003. Separate unaudited financial statements of the individual guarantor subsidiaries have not been provided because management does not believe they would be meaningful to investors.</w:t>
      </w:r>
    </w:p>
    <w:p>
      <w:pPr>
        <w:spacing w:after="0" w:line="33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879"/>
          </w:cols>
          <w:pgMar w:left="580" w:top="624" w:right="1440" w:bottom="1440" w:gutter="0" w:footer="0" w:header="0"/>
        </w:sectPr>
      </w:pPr>
    </w:p>
    <w:bookmarkStart w:id="22" w:name="page23"/>
    <w:bookmarkEnd w:id="22"/>
    <w:p>
      <w:pPr>
        <w:ind w:left="2180"/>
        <w:spacing w:after="0"/>
        <w:rPr>
          <w:sz w:val="20"/>
          <w:szCs w:val="20"/>
          <w:color w:val="auto"/>
        </w:rPr>
      </w:pPr>
      <w:r>
        <w:rPr>
          <w:rFonts w:ascii="Courier New" w:cs="Courier New" w:eastAsia="Courier New" w:hAnsi="Courier New"/>
          <w:sz w:val="15"/>
          <w:szCs w:val="15"/>
          <w:color w:val="auto"/>
        </w:rPr>
        <w:t>THE SCOTTS COMPANY</w:t>
      </w:r>
    </w:p>
    <w:p>
      <w:pPr>
        <w:ind w:left="200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600"/>
        <w:spacing w:after="0" w:line="238" w:lineRule="auto"/>
        <w:rPr>
          <w:sz w:val="20"/>
          <w:szCs w:val="20"/>
          <w:color w:val="auto"/>
        </w:rPr>
      </w:pPr>
      <w:r>
        <w:rPr>
          <w:rFonts w:ascii="Courier New" w:cs="Courier New" w:eastAsia="Courier New" w:hAnsi="Courier New"/>
          <w:sz w:val="15"/>
          <w:szCs w:val="15"/>
          <w:color w:val="auto"/>
        </w:rPr>
        <w:t>FOR THE THREE MONTHS ENDED JUNE 28, 2003 (in millions)</w:t>
      </w:r>
    </w:p>
    <w:tbl>
      <w:tblPr>
        <w:tblLayout w:type="fixed"/>
        <w:tblInd w:w="0" w:type="dxa"/>
        <w:tblCellMar>
          <w:top w:w="0" w:type="dxa"/>
          <w:left w:w="0" w:type="dxa"/>
          <w:bottom w:w="0" w:type="dxa"/>
          <w:right w:w="0" w:type="dxa"/>
        </w:tblCellMar>
      </w:tblPr>
      <w:tr>
        <w:trPr>
          <w:trHeight w:val="168"/>
        </w:trPr>
        <w:tc>
          <w:tcPr>
            <w:tcW w:w="3660" w:type="dxa"/>
            <w:vAlign w:val="bottom"/>
          </w:tcPr>
          <w:p>
            <w:pPr>
              <w:jc w:val="center"/>
              <w:ind w:left="23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3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SUBSIDIARY</w:t>
            </w:r>
          </w:p>
        </w:tc>
        <w:tc>
          <w:tcPr>
            <w:tcW w:w="580" w:type="dxa"/>
            <w:vAlign w:val="bottom"/>
          </w:tcPr>
          <w:p>
            <w:pPr>
              <w:spacing w:after="0"/>
              <w:rPr>
                <w:sz w:val="24"/>
                <w:szCs w:val="24"/>
                <w:color w:val="auto"/>
              </w:rPr>
            </w:pPr>
          </w:p>
        </w:tc>
        <w:tc>
          <w:tcPr>
            <w:tcW w:w="960" w:type="dxa"/>
            <w:vAlign w:val="bottom"/>
          </w:tcPr>
          <w:p>
            <w:pPr>
              <w:jc w:val="center"/>
              <w:ind w:right="547"/>
              <w:spacing w:after="0"/>
              <w:rPr>
                <w:sz w:val="20"/>
                <w:szCs w:val="20"/>
                <w:color w:val="auto"/>
              </w:rPr>
            </w:pPr>
            <w:r>
              <w:rPr>
                <w:rFonts w:ascii="Courier New" w:cs="Courier New" w:eastAsia="Courier New" w:hAnsi="Courier New"/>
                <w:sz w:val="15"/>
                <w:szCs w:val="15"/>
                <w:color w:val="auto"/>
                <w:w w:val="94"/>
              </w:rPr>
              <w:t>NON-</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PARENT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ELIMINATIONS</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$ 521.7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9.9</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$ 178.4</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$ 710.0</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394.8</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(70.4)</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428.6</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126.6</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73.9</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280.8</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commission earned from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w:t>
            </w:r>
          </w:p>
        </w:tc>
        <w:tc>
          <w:tcPr>
            <w:tcW w:w="56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Advertising..........................</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38.1</w:t>
            </w: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62.7</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0.9</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(66.9)</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66.9</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(income) expenses, net...........</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122.2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26.4</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161.0</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Interest (income) expense..............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w:t>
            </w:r>
          </w:p>
        </w:tc>
        <w:tc>
          <w:tcPr>
            <w:tcW w:w="5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104.4</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83.3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142.8</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53.0</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w:t>
            </w: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91.2</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accounting for intangible assets,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tax...........................</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$(66.9)</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91.2</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500" w:type="dxa"/>
            <w:vAlign w:val="bottom"/>
            <w:gridSpan w:val="4"/>
          </w:tcPr>
          <w:p>
            <w:pPr>
              <w:jc w:val="center"/>
              <w:ind w:left="447"/>
              <w:spacing w:after="0"/>
              <w:rPr>
                <w:sz w:val="20"/>
                <w:szCs w:val="20"/>
                <w:color w:val="auto"/>
              </w:rPr>
            </w:pPr>
            <w:r>
              <w:rPr>
                <w:rFonts w:ascii="Courier New" w:cs="Courier New" w:eastAsia="Courier New" w:hAnsi="Courier New"/>
                <w:sz w:val="15"/>
                <w:szCs w:val="15"/>
                <w:color w:val="auto"/>
                <w:w w:val="96"/>
              </w:rPr>
              <w:t>FOR THE NINE MONTHS ENDED JUNE 28, 2003 (in millions)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660" w:type="dxa"/>
            <w:vAlign w:val="bottom"/>
          </w:tcPr>
          <w:p>
            <w:pPr>
              <w:jc w:val="center"/>
              <w:ind w:left="23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73"/>
        </w:trPr>
        <w:tc>
          <w:tcPr>
            <w:tcW w:w="3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SUBSIDIARY</w:t>
            </w:r>
          </w:p>
        </w:tc>
        <w:tc>
          <w:tcPr>
            <w:tcW w:w="580" w:type="dxa"/>
            <w:vAlign w:val="bottom"/>
          </w:tcPr>
          <w:p>
            <w:pPr>
              <w:spacing w:after="0"/>
              <w:rPr>
                <w:sz w:val="24"/>
                <w:szCs w:val="24"/>
                <w:color w:val="auto"/>
              </w:rPr>
            </w:pPr>
          </w:p>
        </w:tc>
        <w:tc>
          <w:tcPr>
            <w:tcW w:w="960" w:type="dxa"/>
            <w:vAlign w:val="bottom"/>
          </w:tcPr>
          <w:p>
            <w:pPr>
              <w:jc w:val="center"/>
              <w:ind w:right="387"/>
              <w:spacing w:after="0"/>
              <w:rPr>
                <w:sz w:val="20"/>
                <w:szCs w:val="20"/>
                <w:color w:val="auto"/>
              </w:rPr>
            </w:pPr>
            <w:r>
              <w:rPr>
                <w:rFonts w:ascii="Courier New" w:cs="Courier New" w:eastAsia="Courier New" w:hAnsi="Courier New"/>
                <w:sz w:val="15"/>
                <w:szCs w:val="15"/>
                <w:color w:val="auto"/>
                <w:w w:val="94"/>
              </w:rPr>
              <w:t>NON-</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PARENT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GUARANTORS</w:t>
            </w:r>
          </w:p>
        </w:tc>
        <w:tc>
          <w:tcPr>
            <w:tcW w:w="15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3660" w:type="dxa"/>
            <w:vAlign w:val="bottom"/>
          </w:tcPr>
          <w:p>
            <w:pPr>
              <w:spacing w:after="0"/>
              <w:rPr>
                <w:sz w:val="14"/>
                <w:szCs w:val="14"/>
                <w:color w:val="auto"/>
              </w:rPr>
            </w:pPr>
          </w:p>
        </w:tc>
        <w:tc>
          <w:tcPr>
            <w:tcW w:w="1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Net sales..............................</w:t>
            </w:r>
          </w:p>
        </w:tc>
        <w:tc>
          <w:tcPr>
            <w:tcW w:w="12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$ 1,092.7</w:t>
            </w:r>
          </w:p>
        </w:tc>
        <w:tc>
          <w:tcPr>
            <w:tcW w:w="14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$ 51.1</w:t>
            </w:r>
          </w:p>
        </w:tc>
        <w:tc>
          <w:tcPr>
            <w:tcW w:w="15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$ 423.2</w:t>
            </w:r>
          </w:p>
        </w:tc>
        <w:tc>
          <w:tcPr>
            <w:tcW w:w="1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$ 1,567.0</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Cost of sales..........................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802.9</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(79.2)</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261.6</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985.3</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Gross profit...........................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284.8</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130.3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160.9</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576.0</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32.6</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34.8</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21.3</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Net commission earned from marketing</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agreement..........................</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11.3</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Advertising..........................</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57.9</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81.7</w:t>
            </w: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176.7</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104.7</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281.8</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0.3</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(92.7)</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92.7</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(14.5)</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(income) expenses, net...........</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58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168.0</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124.7</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(92.7)</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221.5</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53.0</w:t>
            </w:r>
          </w:p>
        </w:tc>
        <w:tc>
          <w:tcPr>
            <w:tcW w:w="56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(11.8)</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12.2</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115.0</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136.5</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(92.7)</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168.1</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49.7</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61.2</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106.9</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86.8</w:t>
            </w:r>
          </w:p>
        </w:tc>
        <w:tc>
          <w:tcPr>
            <w:tcW w:w="5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(92.7)</w:t>
            </w: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106.9</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accounting for intangible assets,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tax...........................</w:t>
            </w:r>
          </w:p>
        </w:tc>
        <w:tc>
          <w:tcPr>
            <w:tcW w:w="5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106.9</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$ 86.8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$(92.7)</w:t>
            </w:r>
          </w:p>
        </w:tc>
        <w:tc>
          <w:tcPr>
            <w:tcW w:w="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3660" w:type="dxa"/>
            <w:vAlign w:val="bottom"/>
          </w:tcPr>
          <w:p>
            <w:pPr>
              <w:spacing w:after="0"/>
              <w:rPr>
                <w:sz w:val="14"/>
                <w:szCs w:val="14"/>
                <w:color w:val="auto"/>
              </w:rPr>
            </w:pPr>
          </w:p>
        </w:tc>
        <w:tc>
          <w:tcPr>
            <w:tcW w:w="12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00"/>
          </w:cols>
          <w:pgMar w:left="760" w:top="785" w:right="139" w:bottom="0" w:gutter="0" w:footer="0" w:header="0"/>
        </w:sectPr>
      </w:pPr>
    </w:p>
    <w:bookmarkStart w:id="23" w:name="page24"/>
    <w:bookmarkEnd w:id="23"/>
    <w:p>
      <w:pPr>
        <w:ind w:left="2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808" w:right="1440" w:bottom="1440" w:gutter="0" w:footer="0" w:header="0"/>
        </w:sectPr>
      </w:pPr>
    </w:p>
    <w:bookmarkStart w:id="24" w:name="page25"/>
    <w:bookmarkEnd w:id="24"/>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NINE MONTH PERIOD ENDED JUNE 28, 2003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SUBSIDIARY</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w:t>
            </w: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PARENT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GUARANTORS</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GUARANTORS</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ELIMINATIONS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$106.9</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$86.8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$(92.7)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to</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activities: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for intangible assets....................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Stock-based compensation expense...........</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(income) loss in non-guarantors.....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(92.7)</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92.7</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certain components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working capital.........................</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(27.1)</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(49.4)</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(44.6)</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and other adjustments..........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(38.9)</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39.0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(23.2)</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on seller notes.....................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(32.4)</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(13.7)</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(37.4)</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borrowings under revolving</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bank lines of credit...................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8 5/8% senior subordinated</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notes, net of issuance costs..............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(17.5)</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and issuance fees..................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(0.5)</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received from the exercise of stock</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15.5</w:t>
            </w: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(52.5)</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76.8</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(55.0)</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74.8</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(15.9)</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w:t>
            </w:r>
          </w:p>
        </w:tc>
        <w:tc>
          <w:tcPr>
            <w:tcW w:w="158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(43.1)</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54.7</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0.2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44.8</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99.7</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$ 38.8</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$ 16.6</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56.6</w:t>
            </w:r>
          </w:p>
        </w:tc>
      </w:tr>
      <w:tr>
        <w:trPr>
          <w:trHeight w:val="168"/>
        </w:trPr>
        <w:tc>
          <w:tcPr>
            <w:tcW w:w="41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1380"/>
          </w:cols>
          <w:pgMar w:left="220" w:top="617" w:right="299" w:bottom="1440" w:gutter="0" w:footer="0" w:header="0"/>
        </w:sectPr>
      </w:pPr>
    </w:p>
    <w:bookmarkStart w:id="25" w:name="page26"/>
    <w:bookmarkEnd w:id="25"/>
    <w:p>
      <w:pPr>
        <w:jc w:val="center"/>
        <w:ind w:right="4520"/>
        <w:spacing w:after="0"/>
        <w:rPr>
          <w:sz w:val="20"/>
          <w:szCs w:val="20"/>
          <w:color w:val="auto"/>
        </w:rPr>
      </w:pPr>
      <w:r>
        <w:rPr>
          <w:rFonts w:ascii="Courier New" w:cs="Courier New" w:eastAsia="Courier New" w:hAnsi="Courier New"/>
          <w:sz w:val="15"/>
          <w:szCs w:val="15"/>
          <w:color w:val="auto"/>
        </w:rPr>
        <w:t>THE SCOTTS COMPANY</w:t>
      </w:r>
    </w:p>
    <w:p>
      <w:pPr>
        <w:jc w:val="center"/>
        <w:ind w:right="444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4440"/>
        <w:spacing w:after="0" w:line="238" w:lineRule="auto"/>
        <w:rPr>
          <w:sz w:val="20"/>
          <w:szCs w:val="20"/>
          <w:color w:val="auto"/>
        </w:rPr>
      </w:pPr>
      <w:r>
        <w:rPr>
          <w:rFonts w:ascii="Courier New" w:cs="Courier New" w:eastAsia="Courier New" w:hAnsi="Courier New"/>
          <w:sz w:val="15"/>
          <w:szCs w:val="15"/>
          <w:color w:val="auto"/>
        </w:rPr>
        <w:t>AS OF JUNE 28, 2003 (in millions)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SUBSIDIARY</w:t>
            </w:r>
          </w:p>
        </w:tc>
        <w:tc>
          <w:tcPr>
            <w:tcW w:w="440" w:type="dxa"/>
            <w:vAlign w:val="bottom"/>
          </w:tcPr>
          <w:p>
            <w:pPr>
              <w:spacing w:after="0"/>
              <w:rPr>
                <w:sz w:val="14"/>
                <w:szCs w:val="1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ASSETS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56.6</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194.8</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138.7</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521.5</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Inventories, net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189.6</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45.7</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323.3</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77.3</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77.7</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21.6</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522.1</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188.4</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1,023.1</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Property, plant and equipment, net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212.2</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88.9</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341.4</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Goodwill and intangible assets, net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473.5</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323.7</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819.2</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45.0</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45.4</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Investment in affiliates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1,031.9</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(1,031.9)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Intracompany assets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297.9</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assets ...........................</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1,833.2</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1,051.5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674.2</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(1,329.8)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2,229.1</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LIABILITIES AND SHAREHOLDERS' EQUITY</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Current portion of debt .....................</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42.0</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107.7</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118.1</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255.3</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123.9</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20.4</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83.1</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227.4</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Accrued taxes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74.8</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348.4</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53.4</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224.1</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625.9</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Long-term debt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604.8</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754.9</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113.9</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0.8</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131.0</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Intracompany liabilities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48.8</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249.1</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1,115.9</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56.3</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637.5</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1,511.8</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Investment from parent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486.2</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62.1</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(548.3)</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$.01 stated value per share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376.6</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376.6</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401.7</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510.6</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(510.2)</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401.7</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Treasury stock ..............................</w:t>
            </w:r>
          </w:p>
        </w:tc>
        <w:tc>
          <w:tcPr>
            <w:tcW w:w="6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Accumulated other comprehensive expense .....</w:t>
            </w:r>
          </w:p>
        </w:tc>
        <w:tc>
          <w:tcPr>
            <w:tcW w:w="6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(60.1)</w:t>
            </w:r>
          </w:p>
        </w:tc>
        <w:tc>
          <w:tcPr>
            <w:tcW w:w="4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c>
          <w:tcPr>
            <w:tcW w:w="5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(60.1)</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6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717.3</w:t>
            </w:r>
          </w:p>
        </w:tc>
        <w:tc>
          <w:tcPr>
            <w:tcW w:w="4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995.2</w:t>
            </w:r>
          </w:p>
        </w:tc>
        <w:tc>
          <w:tcPr>
            <w:tcW w:w="4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w:t>
            </w:r>
          </w:p>
        </w:tc>
        <w:tc>
          <w:tcPr>
            <w:tcW w:w="44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(1,031.9)</w:t>
            </w:r>
          </w:p>
        </w:tc>
        <w:tc>
          <w:tcPr>
            <w:tcW w:w="5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717.3</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6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1,833.2</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1,051.5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674.2</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(1,329.8)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2,229.1</w:t>
            </w:r>
          </w:p>
        </w:tc>
      </w:tr>
      <w:tr>
        <w:trPr>
          <w:trHeight w:val="168"/>
        </w:trPr>
        <w:tc>
          <w:tcPr>
            <w:tcW w:w="4480" w:type="dxa"/>
            <w:vAlign w:val="bottom"/>
          </w:tcPr>
          <w:p>
            <w:pPr>
              <w:spacing w:after="0"/>
              <w:rPr>
                <w:sz w:val="14"/>
                <w:szCs w:val="14"/>
                <w:color w:val="auto"/>
              </w:rPr>
            </w:pPr>
          </w:p>
        </w:tc>
        <w:tc>
          <w:tcPr>
            <w:tcW w:w="15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1540"/>
          </w:cols>
          <w:pgMar w:left="220" w:top="785" w:right="139" w:bottom="1440" w:gutter="0" w:footer="0" w:header="0"/>
        </w:sectPr>
      </w:pPr>
    </w:p>
    <w:bookmarkStart w:id="26" w:name="page27"/>
    <w:bookmarkEnd w:id="26"/>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JUNE 29, 2002 (in millions)</w:t>
      </w:r>
    </w:p>
    <w:tbl>
      <w:tblPr>
        <w:tblLayout w:type="fixed"/>
        <w:tblInd w:w="0" w:type="dxa"/>
        <w:tblCellMar>
          <w:top w:w="0" w:type="dxa"/>
          <w:left w:w="0" w:type="dxa"/>
          <w:bottom w:w="0" w:type="dxa"/>
          <w:right w:w="0" w:type="dxa"/>
        </w:tblCellMar>
      </w:tblPr>
      <w:tr>
        <w:trPr>
          <w:trHeight w:val="168"/>
        </w:trPr>
        <w:tc>
          <w:tcPr>
            <w:tcW w:w="4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(unaudited)</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673"/>
        </w:trPr>
        <w:tc>
          <w:tcPr>
            <w:tcW w:w="4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SUBSIDIARY</w:t>
            </w:r>
          </w:p>
        </w:tc>
        <w:tc>
          <w:tcPr>
            <w:tcW w:w="14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NON-</w:t>
            </w: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2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PARENT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GUARANTORS</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$45.7</w:t>
            </w: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$494.7</w:t>
            </w:r>
          </w:p>
        </w:tc>
        <w:tc>
          <w:tcPr>
            <w:tcW w:w="1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$148.6</w:t>
            </w:r>
          </w:p>
        </w:tc>
        <w:tc>
          <w:tcPr>
            <w:tcW w:w="168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$689.0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(59.9)</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391.6</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86.3</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418.0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105.2</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103.1</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62.3</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270.6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agreement...............................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21.7</w:t>
            </w:r>
          </w:p>
        </w:tc>
        <w:tc>
          <w:tcPr>
            <w:tcW w:w="158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Net commission earned from marketing</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agreement...............................</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15.9</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0.7</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Advertising.............................</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28.3</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86.4</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w:t>
            </w:r>
          </w:p>
        </w:tc>
        <w:tc>
          <w:tcPr>
            <w:tcW w:w="158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(72.2)</w:t>
            </w: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72.2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(4.7)</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Other (income) expenses, net..............</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(0.4)</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w:t>
            </w:r>
          </w:p>
        </w:tc>
        <w:tc>
          <w:tcPr>
            <w:tcW w:w="14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w:t>
            </w:r>
          </w:p>
        </w:tc>
        <w:tc>
          <w:tcPr>
            <w:tcW w:w="168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128.9</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93.4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24.4</w:t>
            </w:r>
          </w:p>
        </w:tc>
        <w:tc>
          <w:tcPr>
            <w:tcW w:w="1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174.5</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Interest (income) expense.................</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18.3</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4.1</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110.6</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97.1</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20.3</w:t>
            </w:r>
          </w:p>
        </w:tc>
        <w:tc>
          <w:tcPr>
            <w:tcW w:w="1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155.8</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37.4</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7.8</w:t>
            </w: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w:t>
            </w:r>
          </w:p>
        </w:tc>
        <w:tc>
          <w:tcPr>
            <w:tcW w:w="1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for intangible assets, net of tax.......</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$95.8</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$59.7</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$12.5</w:t>
            </w:r>
          </w:p>
        </w:tc>
        <w:tc>
          <w:tcPr>
            <w:tcW w:w="16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$(72.2)</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$95.8</w:t>
            </w:r>
          </w:p>
        </w:tc>
      </w:tr>
      <w:tr>
        <w:trPr>
          <w:trHeight w:val="168"/>
        </w:trPr>
        <w:tc>
          <w:tcPr>
            <w:tcW w:w="4260" w:type="dxa"/>
            <w:vAlign w:val="bottom"/>
          </w:tcPr>
          <w:p>
            <w:pPr>
              <w:spacing w:after="0"/>
              <w:rPr>
                <w:sz w:val="14"/>
                <w:szCs w:val="14"/>
                <w:color w:val="auto"/>
              </w:rPr>
            </w:pP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360"/>
        <w:spacing w:after="0"/>
        <w:rPr>
          <w:sz w:val="20"/>
          <w:szCs w:val="20"/>
          <w:color w:val="auto"/>
        </w:rPr>
      </w:pPr>
      <w:r>
        <w:rPr>
          <w:rFonts w:ascii="Courier New" w:cs="Courier New" w:eastAsia="Courier New" w:hAnsi="Courier New"/>
          <w:sz w:val="15"/>
          <w:szCs w:val="15"/>
          <w:color w:val="auto"/>
        </w:rPr>
        <w:t>FOR THE NINE MONTHS ENDED JUNE 29, 2002 (in millions)</w:t>
      </w:r>
    </w:p>
    <w:p>
      <w:pPr>
        <w:jc w:val="center"/>
        <w:ind w:right="436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SUBSIDIARY</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PARENT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GUARANTORS</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$531.7</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$573.8</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$343.5</w:t>
            </w:r>
          </w:p>
        </w:tc>
        <w:tc>
          <w:tcPr>
            <w:tcW w:w="162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$1,449.0</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288.7</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404.9</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212.3</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905.9</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1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0.1</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241.6</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168.9</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131.1</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marketing</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agreement...............................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w:t>
            </w:r>
          </w:p>
        </w:tc>
        <w:tc>
          <w:tcPr>
            <w:tcW w:w="1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Costs associated with marketing agreement.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Net commission earned from marketing</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agreement...............................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w:t>
            </w:r>
          </w:p>
        </w:tc>
        <w:tc>
          <w:tcPr>
            <w:tcW w:w="156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Advertising.............................</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38.8</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19.4</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68.6</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147.2</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84.9</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245.9</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0.4</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Amortization of intangibles.............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3.3</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(66.2)</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Other (income) expenses, net..............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w:t>
            </w:r>
          </w:p>
        </w:tc>
        <w:tc>
          <w:tcPr>
            <w:tcW w:w="16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150.3</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137.3</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22.3</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243.7</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55.2</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14.4</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95.1</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148.1</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184.9</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taxes..............................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11.2</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57.0</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62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83.9</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91.1</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for intangible assets, net of tax.......</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(26.5)</w:t>
            </w:r>
          </w:p>
        </w:tc>
        <w:tc>
          <w:tcPr>
            <w:tcW w:w="162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$95.2</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$87.8</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$(21.6)</w:t>
            </w: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95.2</w:t>
            </w:r>
          </w:p>
        </w:tc>
      </w:tr>
      <w:tr>
        <w:trPr>
          <w:trHeight w:val="168"/>
        </w:trPr>
        <w:tc>
          <w:tcPr>
            <w:tcW w:w="40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460"/>
          </w:cols>
          <w:pgMar w:left="220" w:top="785" w:right="219" w:bottom="517" w:gutter="0" w:footer="0" w:header="0"/>
        </w:sectPr>
      </w:pPr>
    </w:p>
    <w:bookmarkStart w:id="27" w:name="page28"/>
    <w:bookmarkEnd w:id="27"/>
    <w:p>
      <w:pPr>
        <w:ind w:left="22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019"/>
          </w:cols>
          <w:pgMar w:left="1440" w:top="303" w:right="1440" w:bottom="1440" w:gutter="0" w:footer="0" w:header="0"/>
        </w:sectPr>
      </w:pPr>
    </w:p>
    <w:bookmarkStart w:id="28" w:name="page29"/>
    <w:bookmarkEnd w:id="28"/>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NINE MONTH PERIOD ENDED JUNE 29, 2002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SUBSIDIARY</w:t>
            </w:r>
          </w:p>
        </w:tc>
        <w:tc>
          <w:tcPr>
            <w:tcW w:w="15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NON-</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PARENT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GUARANTORS</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GUARANTORS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ELIMINATIONS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$95.2</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$87.8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w:t>
            </w:r>
          </w:p>
        </w:tc>
        <w:tc>
          <w:tcPr>
            <w:tcW w:w="16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to</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 in accounting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intangible assets....................</w:t>
            </w:r>
          </w:p>
        </w:tc>
        <w:tc>
          <w:tcPr>
            <w:tcW w:w="1260" w:type="dxa"/>
            <w:vAlign w:val="bottom"/>
          </w:tcPr>
          <w:p>
            <w:pPr>
              <w:spacing w:after="0"/>
              <w:rPr>
                <w:sz w:val="14"/>
                <w:szCs w:val="14"/>
                <w:color w:val="auto"/>
              </w:rPr>
            </w:pP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3.3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26.5</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Stock-based compensation expense...........</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0.2</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Taxes.............................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(income) loss in non-guarantors.....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(66.2)</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certain components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working capital.........................</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81.4</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(25.5)</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 and other adjustments..........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26.3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operating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118.4</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55.8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153.2</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property, plant and equipment.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Payments on seller notes.....................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(28.6)</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borrowings under revolving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bank lines of credit...................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154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(92.0)</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8 5/8% senior subordinated</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net of issuance costs...............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70.2</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repayments under term loans............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w:t>
            </w:r>
          </w:p>
        </w:tc>
        <w:tc>
          <w:tcPr>
            <w:tcW w:w="154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(22.8)</w:t>
            </w: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and issuance fees..................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received  from the  exercise  of stock</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financing.......................</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(132.0)</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170.7</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(used in) financing</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activities.................................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(47.3)</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(38.7)</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exchange rate changes on cash......</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51.1</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(0.9)</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 of</w:t>
            </w:r>
          </w:p>
        </w:tc>
        <w:tc>
          <w:tcPr>
            <w:tcW w:w="1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0.6</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14.7</w:t>
            </w:r>
          </w:p>
        </w:tc>
        <w:tc>
          <w:tcPr>
            <w:tcW w:w="166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 period.....</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54.5</w:t>
            </w:r>
          </w:p>
        </w:tc>
        <w:tc>
          <w:tcPr>
            <w:tcW w:w="15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$22.2</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$ 76.4</w:t>
            </w:r>
          </w:p>
        </w:tc>
      </w:tr>
      <w:tr>
        <w:trPr>
          <w:trHeight w:val="168"/>
        </w:trPr>
        <w:tc>
          <w:tcPr>
            <w:tcW w:w="4260" w:type="dxa"/>
            <w:vAlign w:val="bottom"/>
          </w:tcPr>
          <w:p>
            <w:pPr>
              <w:spacing w:after="0"/>
              <w:rPr>
                <w:sz w:val="14"/>
                <w:szCs w:val="14"/>
                <w:color w:val="auto"/>
              </w:rPr>
            </w:pP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1540"/>
          </w:cols>
          <w:pgMar w:left="220" w:top="785" w:right="139" w:bottom="1440" w:gutter="0" w:footer="0" w:header="0"/>
        </w:sectPr>
      </w:pPr>
    </w:p>
    <w:bookmarkStart w:id="29" w:name="page30"/>
    <w:bookmarkEnd w:id="29"/>
    <w:p>
      <w:pPr>
        <w:jc w:val="center"/>
        <w:ind w:right="4520"/>
        <w:spacing w:after="0"/>
        <w:rPr>
          <w:sz w:val="20"/>
          <w:szCs w:val="20"/>
          <w:color w:val="auto"/>
        </w:rPr>
      </w:pPr>
      <w:r>
        <w:rPr>
          <w:rFonts w:ascii="Courier New" w:cs="Courier New" w:eastAsia="Courier New" w:hAnsi="Courier New"/>
          <w:sz w:val="15"/>
          <w:szCs w:val="15"/>
          <w:color w:val="auto"/>
        </w:rPr>
        <w:t>THE SCOTTS COMPANY</w:t>
      </w:r>
    </w:p>
    <w:p>
      <w:pPr>
        <w:jc w:val="center"/>
        <w:ind w:right="444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4440"/>
        <w:spacing w:after="0" w:line="238" w:lineRule="auto"/>
        <w:rPr>
          <w:sz w:val="20"/>
          <w:szCs w:val="20"/>
          <w:color w:val="auto"/>
        </w:rPr>
      </w:pPr>
      <w:r>
        <w:rPr>
          <w:rFonts w:ascii="Courier New" w:cs="Courier New" w:eastAsia="Courier New" w:hAnsi="Courier New"/>
          <w:sz w:val="15"/>
          <w:szCs w:val="15"/>
          <w:color w:val="auto"/>
        </w:rPr>
        <w:t>AS OF JUNE 29, 2002 (in millions)</w:t>
      </w:r>
    </w:p>
    <w:p>
      <w:pPr>
        <w:jc w:val="center"/>
        <w:ind w:right="44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SUBSIDIARY</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NON-</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GUARANTORS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ASSETS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$54.5</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$22.2</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148.8</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127.4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158.9</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435.1</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Inventories, net...........................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175.4</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46.8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79.7</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301.9</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52.2</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0.5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(0.6)</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20.4</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451.3</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176.7</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282.7</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910.7</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Property, plant and equipment, net............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201.4</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77.1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317.1</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Goodwill and intangible assets, net...........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30.0</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473.0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262.3</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765.3</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60.0</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Investment in affiliates......................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940.1</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Intracompany assets...........................</w:t>
            </w:r>
          </w:p>
        </w:tc>
        <w:tc>
          <w:tcPr>
            <w:tcW w:w="1280" w:type="dxa"/>
            <w:vAlign w:val="bottom"/>
          </w:tcPr>
          <w:p>
            <w:pPr>
              <w:spacing w:after="0"/>
              <w:rPr>
                <w:sz w:val="14"/>
                <w:szCs w:val="14"/>
                <w:color w:val="auto"/>
              </w:rPr>
            </w:pP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231.5</w:t>
            </w:r>
          </w:p>
        </w:tc>
        <w:tc>
          <w:tcPr>
            <w:tcW w:w="1520" w:type="dxa"/>
            <w:vAlign w:val="bottom"/>
          </w:tcPr>
          <w:p>
            <w:pPr>
              <w:spacing w:after="0"/>
              <w:rPr>
                <w:sz w:val="14"/>
                <w:szCs w:val="14"/>
                <w:color w:val="auto"/>
              </w:rPr>
            </w:pP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assets...........................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$1,682.8</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$960.8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$(1,171.6)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$2,070.1</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Short-term debt............................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$39.6</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$27.9</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78.4</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25.4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93.6</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197.4</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131.2</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22.8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77.5</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231.5</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taxes..............................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84.5</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91.8</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333.7</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51.9</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203.9</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589.5</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624.7</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137.1</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767.2</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Other liabilities.............................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50.3</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39.3</w:t>
            </w: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91.6</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Intracompany liabilities......................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52.3</w:t>
            </w:r>
          </w:p>
        </w:tc>
        <w:tc>
          <w:tcPr>
            <w:tcW w:w="1580" w:type="dxa"/>
            <w:vAlign w:val="bottom"/>
          </w:tcPr>
          <w:p>
            <w:pPr>
              <w:spacing w:after="0"/>
              <w:rPr>
                <w:sz w:val="14"/>
                <w:szCs w:val="14"/>
                <w:color w:val="auto"/>
              </w:rPr>
            </w:pP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179.2</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1,061.0</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59.3</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559.5</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(231.5)</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1,448.3</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1280" w:type="dxa"/>
            <w:vAlign w:val="bottom"/>
          </w:tcPr>
          <w:p>
            <w:pPr>
              <w:spacing w:after="0"/>
              <w:rPr>
                <w:sz w:val="14"/>
                <w:szCs w:val="14"/>
                <w:color w:val="auto"/>
              </w:rPr>
            </w:pP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486.8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(548.4)</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 stated value per share..............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402.0</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402.0</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307.5</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417.1</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(415.8)</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307.5</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Treasury stock, 2.1 shares at cost.........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w:t>
            </w: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(33.4)</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(2.4)</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621.8</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901.5</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(940.1)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621.8</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 liabilities and shareholders'</w:t>
            </w: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2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equity................................</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$1,682.8</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$960.8</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$598.1</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$(1,171.6)</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$2,070.1</w:t>
            </w:r>
          </w:p>
        </w:tc>
      </w:tr>
      <w:tr>
        <w:trPr>
          <w:trHeight w:val="168"/>
        </w:trPr>
        <w:tc>
          <w:tcPr>
            <w:tcW w:w="4200" w:type="dxa"/>
            <w:vAlign w:val="bottom"/>
          </w:tcPr>
          <w:p>
            <w:pPr>
              <w:spacing w:after="0"/>
              <w:rPr>
                <w:sz w:val="14"/>
                <w:szCs w:val="14"/>
                <w:color w:val="auto"/>
              </w:rPr>
            </w:pP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540"/>
          </w:cols>
          <w:pgMar w:left="220" w:top="785" w:right="139" w:bottom="1440" w:gutter="0" w:footer="0" w:header="0"/>
        </w:sectPr>
      </w:pPr>
    </w:p>
    <w:bookmarkStart w:id="30" w:name="page31"/>
    <w:bookmarkEnd w:id="30"/>
    <w:p>
      <w:pPr>
        <w:ind w:right="3319"/>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Scotts is a leading manufacturer and marketer of consumer branded products for lawn and garden care and professional horticulture in the United States and Europe. We also have a presence in Australia, the Far East, Latin America and South America. Our operations are divided into four business segments: North American Consumer, Scotts LawnService(R), International Consumer, and Global Professional. The North American Consumer segment includes the Lawns, Gardening Products, Ortho and Canadian business groups. Gardening Products is the combined operations of our Gardens and Growing Media businesses.</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gross sales annually on media advertising to support and promote our branded products. We believe this level of spending gives us the largest share of advertising voice in the lawn and garden category in North America.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2003, we expect to increase significantly our advertising spending and our advertising to net sales ratio.</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the United States, we operate the second largest residential lawn service business, Scotts LawnService(R). In fiscal 2002, we continued the rapid expansion of this business. Through acquisitions and internal growth, revenues increased from nearly $42 million in fiscal 2001 to over $75 million in fiscal 2002 and are expected to grow by at least 50% in fiscal 2003. We expect to make at least $30 million of lawn service acquisitions annually for the foreseeable future.</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Scotts LawnService's(R) expansion and growth also adds revenue to the second half of the fiscal year. And, as Scotts LawnService(R) grows in revenues and profitability, the second half of the fiscal year will show further growth in profitability compared to past trends because our third and fourth fiscal quarters are historically highly profitable periods for the lawn service business.</w:t>
      </w:r>
    </w:p>
    <w:p>
      <w:pPr>
        <w:spacing w:after="0" w:line="175" w:lineRule="exact"/>
        <w:rPr>
          <w:sz w:val="20"/>
          <w:szCs w:val="20"/>
          <w:color w:val="auto"/>
        </w:rPr>
      </w:pPr>
    </w:p>
    <w:p>
      <w:pPr>
        <w:jc w:val="both"/>
        <w:ind w:right="3319" w:firstLine="350"/>
        <w:spacing w:after="0" w:line="258" w:lineRule="auto"/>
        <w:rPr>
          <w:sz w:val="20"/>
          <w:szCs w:val="20"/>
          <w:color w:val="auto"/>
        </w:rPr>
      </w:pPr>
      <w:r>
        <w:rPr>
          <w:rFonts w:ascii="Courier New" w:cs="Courier New" w:eastAsia="Courier New" w:hAnsi="Courier New"/>
          <w:sz w:val="14"/>
          <w:szCs w:val="14"/>
          <w:color w:val="auto"/>
        </w:rPr>
        <w:t>Our sales are susceptible to global weather conditions, primarily in North America and Europe. We believe that our past acquisitions have diversified both our product line risk and geographic risk to weather conditions.</w:t>
      </w:r>
    </w:p>
    <w:p>
      <w:pPr>
        <w:spacing w:after="0" w:line="161"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followed a somewhat different pattern than our historical experience due to retailer initiatives to reduce their investment in inventory and improve their inventory turns. This caused a sales shift from the second quarter to the third and fourth quarters that coincided more closely to when consumers buy our products. Net sales by quarter were 9.3%, 34.2%, 39.3% and 17.2% in fiscal 2002. The trend of operating losses in the first and fourth quarters and significant operating profits in the second and third quarters continued in fiscal 2002. There was also a slight shift in profitability between the second and third quarters with the third quarter now more profitable than the second. The trend towards more of our sales occurring in the latter half of the fiscal year is expected to continue in fiscal 2003 as retailers maintain emphasis on inventory investment more closely timed to consumer takeaway. As Scotts LawnService(R) grows in size and profitability, we expect results for the fourth quarter will shift from a historical loss to modest profitability.</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 of America.</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Late in fiscal 2002, we announced a major initiative to improve the operations and profitability of our European-based consumer and professional businesses. Over the next several years, we anticipate spending as much as $50 to $60 million on various projects, approximately 25% of which will be capital expenditures. Certain projects will result in the recognition of restructuring and other charges over the duration of this initiative. In the fourth quarter of fiscal 2002, as part of this initiative, we announced the closure of a manufacturing plant in Bramford, England. The closure will occur in late fiscal 2003. The depreciation of fixed assets at the facility will be accelerated so that they are fully depreciated by the closure date. In the fourth quarter of fiscal 2002, approximately $4.0 million of severance and additional pension costs related to the closure were recorded and reported as restructuring and other charges.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2" w:gutter="0" w:footer="0" w:header="0"/>
        </w:sectPr>
      </w:pPr>
    </w:p>
    <w:bookmarkStart w:id="31" w:name="page32"/>
    <w:bookmarkEnd w:id="31"/>
    <w:p>
      <w:pPr>
        <w:ind w:right="3399"/>
        <w:spacing w:after="0" w:line="234" w:lineRule="auto"/>
        <w:rPr>
          <w:sz w:val="20"/>
          <w:szCs w:val="20"/>
          <w:color w:val="auto"/>
        </w:rPr>
      </w:pPr>
      <w:r>
        <w:rPr>
          <w:rFonts w:ascii="Courier New" w:cs="Courier New" w:eastAsia="Courier New" w:hAnsi="Courier New"/>
          <w:sz w:val="15"/>
          <w:szCs w:val="15"/>
          <w:color w:val="auto"/>
        </w:rPr>
        <w:t>Additional restructuring and other charges will be incurred in fiscal 2003 and future periods as various aspects of the plan are implemented.</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fiscal 2002, we adopted Statement of Financial Accounting Standards No. 142, "Goodwill and Other Intangible Assets." This statement eliminates the requirement to amortize indefinite-lived assets and goodwill. It also requires an initial impairment test on all indefinite-lived assets as of the date of adoption of this standard and impairment tests done at least annually thereafter. 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income taxes, the net charge was $18.5 million which was recorded as a cumulative effect of a change in accounting principle. There was no goodwill impairment as of the date of adoption. For fiscal 2003, we completed the annual update of our impairment analysis in the first quarter and concluded that there was no impairment of indefinite-lived assets to record.</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Effective October 1, 2002, we elected to begin expensing prospectively the cost of grants of stock-based compensation awards to employees and Directors in accordance with Statement of Financial Accounting Standards No. 123, "Accounting for Stock-Based Compensation". We use the Black-Scholes valuation model to value stock-based compensation grants. The Company intends to continue to grant awards with a value of $10-12 million annually, in line with past practice. Most awards have a three-year vesting period. The annual expense for stock-based awards is expected to increase by approximately $4 million per year from fiscal 2003 through fiscal 2005 based on the vesting period and the prospective adoption of this accounting standard. In fiscal 2003, the Company also began awarding stock appreciation rights in lieu of stock options in part because they are less dilutive than stock options when exercised.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Our Annual Report on Form 10-K for the fiscal year ended September 30, 2002 includes additional information about the Company, our operations, and our financial position, and should be read in conjunction with this Quarterly Report on Form 10-Q.</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174" w:lineRule="exact"/>
        <w:rPr>
          <w:sz w:val="20"/>
          <w:szCs w:val="20"/>
          <w:color w:val="auto"/>
        </w:rPr>
      </w:pPr>
    </w:p>
    <w:p>
      <w:pPr>
        <w:ind w:left="800" w:right="3239" w:hanging="790"/>
        <w:spacing w:after="0" w:line="255"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used for internal purposes and are also the basis for communication with outside parties (lenders, analysts, etc.)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332" w:lineRule="exact"/>
        <w:rPr>
          <w:rFonts w:ascii="Courier New" w:cs="Courier New" w:eastAsia="Courier New" w:hAnsi="Courier New"/>
          <w:sz w:val="14"/>
          <w:szCs w:val="14"/>
          <w:color w:val="auto"/>
        </w:rPr>
      </w:pPr>
    </w:p>
    <w:p>
      <w:pPr>
        <w:ind w:left="800" w:right="3319" w:hanging="790"/>
        <w:spacing w:after="0" w:line="256" w:lineRule="auto"/>
        <w:tabs>
          <w:tab w:leader="none" w:pos="80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63" w:lineRule="exact"/>
        <w:rPr>
          <w:rFonts w:ascii="Courier New" w:cs="Courier New" w:eastAsia="Courier New" w:hAnsi="Courier New"/>
          <w:sz w:val="14"/>
          <w:szCs w:val="14"/>
          <w:color w:val="auto"/>
        </w:rPr>
      </w:pPr>
    </w:p>
    <w:p>
      <w:pPr>
        <w:ind w:left="800" w:right="3239" w:hanging="790"/>
        <w:spacing w:after="0" w:line="236" w:lineRule="auto"/>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from the amounts provided for in our interim or annual results of operations.</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685" w:gutter="0" w:footer="0" w:header="0"/>
        </w:sectPr>
      </w:pPr>
    </w:p>
    <w:bookmarkStart w:id="32" w:name="page33"/>
    <w:bookmarkEnd w:id="32"/>
    <w:p>
      <w:pPr>
        <w:ind w:left="800" w:right="3239" w:hanging="790"/>
        <w:spacing w:after="0" w:line="236"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74" w:lineRule="exact"/>
        <w:rPr>
          <w:rFonts w:ascii="Courier New" w:cs="Courier New" w:eastAsia="Courier New" w:hAnsi="Courier New"/>
          <w:sz w:val="15"/>
          <w:szCs w:val="15"/>
          <w:color w:val="auto"/>
        </w:rPr>
      </w:pPr>
    </w:p>
    <w:p>
      <w:pPr>
        <w:ind w:left="800" w:right="3239" w:hanging="790"/>
        <w:spacing w:after="0" w:line="236" w:lineRule="auto"/>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179" w:lineRule="exact"/>
        <w:rPr>
          <w:rFonts w:ascii="Courier New" w:cs="Courier New" w:eastAsia="Courier New" w:hAnsi="Courier New"/>
          <w:sz w:val="15"/>
          <w:szCs w:val="15"/>
          <w:color w:val="auto"/>
        </w:rPr>
      </w:pPr>
    </w:p>
    <w:p>
      <w:pPr>
        <w:ind w:left="800" w:right="3239" w:hanging="790"/>
        <w:spacing w:after="0" w:line="255"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consolidated financial statements for the year ended September 30, 2002, and in the notes to the unaudited condensed consolidated financial statements included in this Quarterly Report on Form 10-Q,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4" w:lineRule="exact"/>
        <w:rPr>
          <w:rFonts w:ascii="Courier New" w:cs="Courier New" w:eastAsia="Courier New" w:hAnsi="Courier New"/>
          <w:sz w:val="14"/>
          <w:szCs w:val="14"/>
          <w:color w:val="auto"/>
        </w:rPr>
      </w:pPr>
    </w:p>
    <w:p>
      <w:pPr>
        <w:ind w:left="800" w:right="3239" w:hanging="790"/>
        <w:spacing w:after="0" w:line="254"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following table sets forth net sales by business segment for the three and nine month periods ended June 28, 2003 and June 29, 2002:</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FOR THE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218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2380" w:type="dxa"/>
            <w:vAlign w:val="bottom"/>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4"/>
              </w:rPr>
              <w: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JUNE 28,</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29,</w:t>
            </w:r>
          </w:p>
        </w:tc>
        <w:tc>
          <w:tcPr>
            <w:tcW w:w="360" w:type="dxa"/>
            <w:vAlign w:val="bottom"/>
          </w:tcPr>
          <w:p>
            <w:pPr>
              <w:spacing w:after="0"/>
              <w:rPr>
                <w:sz w:val="14"/>
                <w:szCs w:val="14"/>
                <w:color w:val="auto"/>
              </w:rPr>
            </w:pPr>
          </w:p>
        </w:tc>
        <w:tc>
          <w:tcPr>
            <w:tcW w:w="13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JUNE 28,</w:t>
            </w:r>
          </w:p>
        </w:tc>
        <w:tc>
          <w:tcPr>
            <w:tcW w:w="8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JUNE 29,</w:t>
            </w: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2002</w:t>
            </w:r>
          </w:p>
        </w:tc>
        <w:tc>
          <w:tcPr>
            <w:tcW w:w="360" w:type="dxa"/>
            <w:vAlign w:val="bottom"/>
          </w:tcPr>
          <w:p>
            <w:pPr>
              <w:spacing w:after="0"/>
              <w:rPr>
                <w:sz w:val="14"/>
                <w:szCs w:val="14"/>
                <w:color w:val="auto"/>
              </w:rPr>
            </w:pPr>
          </w:p>
        </w:tc>
        <w:tc>
          <w:tcPr>
            <w:tcW w:w="13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2003</w:t>
            </w:r>
          </w:p>
        </w:tc>
        <w:tc>
          <w:tcPr>
            <w:tcW w:w="8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38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 MILLIONS)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Lawns ................</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476.2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432.5</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Gardening Products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225.7</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234.8</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409.9</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Ortho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96.6</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100.7</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182.6</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184.1</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Canada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31.7</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Other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524.0</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528.6</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1,101.9</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1,053.4</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 LawnService(R)</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40.5</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67.3</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International Consumer</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90.2</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81.2</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241.6</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208.6</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Global Professional ..</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55.3</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50.5</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156.2</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142.2</w:t>
            </w:r>
          </w:p>
        </w:tc>
      </w:tr>
      <w:tr>
        <w:trPr>
          <w:trHeight w:val="168"/>
        </w:trPr>
        <w:tc>
          <w:tcPr>
            <w:tcW w:w="2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Consolidated ..</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689.0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1,567.0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1,449.0</w:t>
            </w:r>
          </w:p>
        </w:tc>
      </w:tr>
      <w:tr>
        <w:trPr>
          <w:trHeight w:val="168"/>
        </w:trPr>
        <w:tc>
          <w:tcPr>
            <w:tcW w:w="238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24" w:right="1440" w:bottom="1440" w:gutter="0" w:footer="0" w:header="0"/>
        </w:sectPr>
      </w:pPr>
    </w:p>
    <w:bookmarkStart w:id="33" w:name="page34"/>
    <w:bookmarkEnd w:id="33"/>
    <w:p>
      <w:pPr>
        <w:ind w:right="700"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net sales for the three and nine month periods ended June 28, 2003 and June 29, 2002:</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spacing w:after="0"/>
              <w:rPr>
                <w:sz w:val="14"/>
                <w:szCs w:val="14"/>
                <w:color w:val="auto"/>
              </w:rPr>
            </w:pPr>
          </w:p>
        </w:tc>
        <w:tc>
          <w:tcPr>
            <w:tcW w:w="24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FOR THE</w:t>
            </w:r>
          </w:p>
        </w:tc>
      </w:tr>
      <w:tr>
        <w:trPr>
          <w:trHeight w:val="168"/>
        </w:trPr>
        <w:tc>
          <w:tcPr>
            <w:tcW w:w="5300" w:type="dxa"/>
            <w:vAlign w:val="bottom"/>
          </w:tcPr>
          <w:p>
            <w:pPr>
              <w:spacing w:after="0"/>
              <w:rPr>
                <w:sz w:val="14"/>
                <w:szCs w:val="14"/>
                <w:color w:val="auto"/>
              </w:rPr>
            </w:pPr>
          </w:p>
        </w:tc>
        <w:tc>
          <w:tcPr>
            <w:tcW w:w="2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THREE MONTHS ENDED</w:t>
            </w:r>
          </w:p>
        </w:tc>
      </w:tr>
      <w:tr>
        <w:trPr>
          <w:trHeight w:val="168"/>
        </w:trPr>
        <w:tc>
          <w:tcPr>
            <w:tcW w:w="5300" w:type="dxa"/>
            <w:vAlign w:val="bottom"/>
          </w:tcPr>
          <w:p>
            <w:pPr>
              <w:spacing w:after="0"/>
              <w:rPr>
                <w:sz w:val="14"/>
                <w:szCs w:val="14"/>
                <w:color w:val="auto"/>
              </w:rPr>
            </w:pPr>
          </w:p>
        </w:tc>
        <w:tc>
          <w:tcPr>
            <w:tcW w:w="2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28,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6"/>
              </w:rPr>
              <w:t>Net sales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Cost of sales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60.7</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Restructuring and other charges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Gross profit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Commission earned from agency agreement, net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Advertising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Amortization of intangibles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 income, net ..................................</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from operations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before income taxes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Income taxes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Net income before cumulative effect of accounting change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53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6"/>
              </w:rPr>
              <w:t>Net income .............................................</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530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JUNE 28, 2003 COMPARED TO THREE MONTHS ENDED JUNE 29, 2002</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sales for the three months ended June 28, 2003 were $710.0 million, an</w:t>
      </w:r>
    </w:p>
    <w:p>
      <w:pPr>
        <w:spacing w:after="0" w:line="237" w:lineRule="auto"/>
        <w:rPr>
          <w:sz w:val="20"/>
          <w:szCs w:val="20"/>
          <w:color w:val="auto"/>
        </w:rPr>
      </w:pPr>
      <w:r>
        <w:rPr>
          <w:rFonts w:ascii="Courier New" w:cs="Courier New" w:eastAsia="Courier New" w:hAnsi="Courier New"/>
          <w:sz w:val="15"/>
          <w:szCs w:val="15"/>
          <w:color w:val="auto"/>
        </w:rPr>
        <w:t>increase of 3.0% from net sales for the three months ended June 28, 2002 of</w:t>
      </w:r>
    </w:p>
    <w:p>
      <w:pPr>
        <w:spacing w:after="0" w:line="238" w:lineRule="auto"/>
        <w:rPr>
          <w:sz w:val="20"/>
          <w:szCs w:val="20"/>
          <w:color w:val="auto"/>
        </w:rPr>
      </w:pPr>
      <w:r>
        <w:rPr>
          <w:rFonts w:ascii="Courier New" w:cs="Courier New" w:eastAsia="Courier New" w:hAnsi="Courier New"/>
          <w:sz w:val="15"/>
          <w:szCs w:val="15"/>
          <w:color w:val="auto"/>
        </w:rPr>
        <w:t>$689.0 million. After adjusting for the impact of exchange rates on sales by our</w:t>
      </w:r>
    </w:p>
    <w:p>
      <w:pPr>
        <w:spacing w:after="0" w:line="237" w:lineRule="auto"/>
        <w:rPr>
          <w:sz w:val="20"/>
          <w:szCs w:val="20"/>
          <w:color w:val="auto"/>
        </w:rPr>
      </w:pPr>
      <w:r>
        <w:rPr>
          <w:rFonts w:ascii="Courier New" w:cs="Courier New" w:eastAsia="Courier New" w:hAnsi="Courier New"/>
          <w:sz w:val="15"/>
          <w:szCs w:val="15"/>
          <w:color w:val="auto"/>
        </w:rPr>
        <w:t>foreign entities, the increase in net sales due to shipments was minimal.</w:t>
      </w:r>
    </w:p>
    <w:p>
      <w:pPr>
        <w:spacing w:after="0" w:line="238" w:lineRule="auto"/>
        <w:rPr>
          <w:sz w:val="20"/>
          <w:szCs w:val="20"/>
          <w:color w:val="auto"/>
        </w:rPr>
      </w:pPr>
      <w:r>
        <w:rPr>
          <w:rFonts w:ascii="Courier New" w:cs="Courier New" w:eastAsia="Courier New" w:hAnsi="Courier New"/>
          <w:sz w:val="15"/>
          <w:szCs w:val="15"/>
          <w:color w:val="auto"/>
        </w:rPr>
        <w:t>Changes in prices are not material to the discussion of net sales in total or by</w:t>
      </w:r>
    </w:p>
    <w:p>
      <w:pPr>
        <w:spacing w:after="0" w:line="237" w:lineRule="auto"/>
        <w:rPr>
          <w:sz w:val="20"/>
          <w:szCs w:val="20"/>
          <w:color w:val="auto"/>
        </w:rPr>
      </w:pPr>
      <w:r>
        <w:rPr>
          <w:rFonts w:ascii="Courier New" w:cs="Courier New" w:eastAsia="Courier New" w:hAnsi="Courier New"/>
          <w:sz w:val="15"/>
          <w:szCs w:val="15"/>
          <w:color w:val="auto"/>
        </w:rPr>
        <w:t>business segment for either fiscal period presented.</w:t>
      </w:r>
    </w:p>
    <w:p>
      <w:pPr>
        <w:spacing w:after="0" w:line="174" w:lineRule="exact"/>
        <w:rPr>
          <w:sz w:val="20"/>
          <w:szCs w:val="20"/>
          <w:color w:val="auto"/>
        </w:rPr>
      </w:pPr>
    </w:p>
    <w:p>
      <w:pPr>
        <w:ind w:right="700" w:firstLine="350"/>
        <w:spacing w:after="0" w:line="255" w:lineRule="auto"/>
        <w:rPr>
          <w:sz w:val="20"/>
          <w:szCs w:val="20"/>
          <w:color w:val="auto"/>
        </w:rPr>
      </w:pPr>
      <w:r>
        <w:rPr>
          <w:rFonts w:ascii="Courier New" w:cs="Courier New" w:eastAsia="Courier New" w:hAnsi="Courier New"/>
          <w:sz w:val="14"/>
          <w:szCs w:val="14"/>
          <w:color w:val="auto"/>
        </w:rPr>
        <w:t>North American Consumer segment net sales were $524.0 million in the third quarter of fiscal 2003, a decrease of 0.9% from net sales for the third quarter of fiscal 2002 of $528.6 million. Sales of all categories in the United States were hampered by cold, wet weather in April. Net sales in Canada increased 46.4% to $16.4 million in the third quarter of fiscal 2003 compared to $11.2 million in the third quarter of fiscal 2002. Excluding the effects of the stronger Canadian dollar, net sales increased 32.6% on new products and listings and increased support for the lawn and garden category at key retailers.</w:t>
      </w:r>
    </w:p>
    <w:p>
      <w:pPr>
        <w:spacing w:after="0" w:line="166" w:lineRule="exact"/>
        <w:rPr>
          <w:sz w:val="20"/>
          <w:szCs w:val="20"/>
          <w:color w:val="auto"/>
        </w:rPr>
      </w:pPr>
    </w:p>
    <w:p>
      <w:pPr>
        <w:ind w:right="1040" w:firstLine="350"/>
        <w:spacing w:after="0" w:line="236" w:lineRule="auto"/>
        <w:rPr>
          <w:sz w:val="20"/>
          <w:szCs w:val="20"/>
          <w:color w:val="auto"/>
        </w:rPr>
      </w:pPr>
      <w:r>
        <w:rPr>
          <w:rFonts w:ascii="Courier New" w:cs="Courier New" w:eastAsia="Courier New" w:hAnsi="Courier New"/>
          <w:sz w:val="15"/>
          <w:szCs w:val="15"/>
          <w:color w:val="auto"/>
        </w:rPr>
        <w:t>Scotts LawnService(R) revenues increased 41.1% from $28.7 million in the third quarter of fiscal 2002 to $40.5 million in the third quarter of fiscal 2003. The growth in revenue reflects the growth in the business from acquisitions completed in fiscal 2002, and thus far in fiscal 2003, and the growth in customers from our marketing campaigns.</w:t>
      </w:r>
    </w:p>
    <w:p>
      <w:pPr>
        <w:spacing w:after="0" w:line="174" w:lineRule="exact"/>
        <w:rPr>
          <w:sz w:val="20"/>
          <w:szCs w:val="20"/>
          <w:color w:val="auto"/>
        </w:rPr>
      </w:pPr>
    </w:p>
    <w:p>
      <w:pPr>
        <w:ind w:right="700" w:firstLine="350"/>
        <w:spacing w:after="0" w:line="255" w:lineRule="auto"/>
        <w:rPr>
          <w:sz w:val="20"/>
          <w:szCs w:val="20"/>
          <w:color w:val="auto"/>
        </w:rPr>
      </w:pPr>
      <w:r>
        <w:rPr>
          <w:rFonts w:ascii="Courier New" w:cs="Courier New" w:eastAsia="Courier New" w:hAnsi="Courier New"/>
          <w:sz w:val="14"/>
          <w:szCs w:val="14"/>
          <w:color w:val="auto"/>
        </w:rPr>
        <w:t>Net sales for the International Consumer segment were $90.2 million in the third quarter of fiscal 2003, an increase of 11.1%, over net sales for the third quarter of fiscal 2002 of $81.2 million. Fiscal 2002 net sales included a supply agreement in the United Kingdom that was terminated at the end of fiscal 2002, and also included $2.9 million of sales of bulk peat to an environmental group as part of the agreement to cease peat extraction activities. Excluding the impact of the transactions identified in the preceding sentence and the effects of exchange rates, net sales of the international business increased 1.6%. Net sales growth was muted by unusually hot dry weather in Europe during the quarter which cut down on insect and weed activity.</w:t>
      </w:r>
    </w:p>
    <w:p>
      <w:pPr>
        <w:spacing w:after="0" w:line="165" w:lineRule="exact"/>
        <w:rPr>
          <w:sz w:val="20"/>
          <w:szCs w:val="20"/>
          <w:color w:val="auto"/>
        </w:rPr>
      </w:pPr>
    </w:p>
    <w:p>
      <w:pPr>
        <w:ind w:right="860" w:firstLine="350"/>
        <w:spacing w:after="0" w:line="235" w:lineRule="auto"/>
        <w:rPr>
          <w:sz w:val="20"/>
          <w:szCs w:val="20"/>
          <w:color w:val="auto"/>
        </w:rPr>
      </w:pPr>
      <w:r>
        <w:rPr>
          <w:rFonts w:ascii="Courier New" w:cs="Courier New" w:eastAsia="Courier New" w:hAnsi="Courier New"/>
          <w:sz w:val="15"/>
          <w:szCs w:val="15"/>
          <w:color w:val="auto"/>
        </w:rPr>
        <w:t>Net sales for the Global Professional segment were $55.3 million in the third quarter of fiscal 2003, an increase of 9.5% over net sales for the third quarter of fiscal 2002 of $50.5 million. Excluding the effects of exchange rates, net sales were flat.</w:t>
      </w:r>
    </w:p>
    <w:p>
      <w:pPr>
        <w:spacing w:after="0" w:line="175" w:lineRule="exact"/>
        <w:rPr>
          <w:sz w:val="20"/>
          <w:szCs w:val="20"/>
          <w:color w:val="auto"/>
        </w:rPr>
      </w:pPr>
    </w:p>
    <w:p>
      <w:pPr>
        <w:ind w:right="780" w:firstLine="350"/>
        <w:spacing w:after="0" w:line="235" w:lineRule="auto"/>
        <w:rPr>
          <w:sz w:val="20"/>
          <w:szCs w:val="20"/>
          <w:color w:val="auto"/>
        </w:rPr>
      </w:pPr>
      <w:r>
        <w:rPr>
          <w:rFonts w:ascii="Courier New" w:cs="Courier New" w:eastAsia="Courier New" w:hAnsi="Courier New"/>
          <w:sz w:val="15"/>
          <w:szCs w:val="15"/>
          <w:color w:val="auto"/>
        </w:rPr>
        <w:t>Gross profit was $280.8 million in the third quarter of fiscal 2003, an increase of $10.2 million from gross profit of $270.6 million in the third quarter of fiscal 2002. As a percentage of net sales, gross profit was 39.5% of net sales in the third quarter of fiscal 2003</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28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FOR THE</w:t>
            </w:r>
          </w:p>
        </w:tc>
      </w:tr>
      <w:tr>
        <w:trPr>
          <w:trHeight w:val="168"/>
        </w:trPr>
        <w:tc>
          <w:tcPr>
            <w:tcW w:w="22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NINE MONTHS ENDED</w:t>
            </w:r>
          </w:p>
        </w:tc>
      </w:tr>
      <w:tr>
        <w:trPr>
          <w:trHeight w:val="168"/>
        </w:trPr>
        <w:tc>
          <w:tcPr>
            <w:tcW w:w="2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JUNE 28,</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JUNE 29,</w:t>
            </w:r>
          </w:p>
        </w:tc>
      </w:tr>
      <w:tr>
        <w:trPr>
          <w:trHeight w:val="168"/>
        </w:trPr>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2003</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12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62.5</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37.4</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r>
      <w:tr>
        <w:trPr>
          <w:trHeight w:val="336"/>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w:t>
            </w:r>
          </w:p>
        </w:tc>
      </w:tr>
      <w:tr>
        <w:trPr>
          <w:trHeight w:val="336"/>
        </w:trPr>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700" w:space="360"/>
            <w:col w:w="2280"/>
          </w:cols>
          <w:pgMar w:left="220" w:top="792" w:right="1339" w:bottom="685" w:gutter="0" w:footer="0" w:header="0"/>
        </w:sectPr>
      </w:pPr>
    </w:p>
    <w:bookmarkStart w:id="34" w:name="page35"/>
    <w:bookmarkEnd w:id="34"/>
    <w:p>
      <w:pPr>
        <w:ind w:right="3399"/>
        <w:spacing w:after="0" w:line="236" w:lineRule="auto"/>
        <w:rPr>
          <w:sz w:val="20"/>
          <w:szCs w:val="20"/>
          <w:color w:val="auto"/>
        </w:rPr>
      </w:pPr>
      <w:r>
        <w:rPr>
          <w:rFonts w:ascii="Courier New" w:cs="Courier New" w:eastAsia="Courier New" w:hAnsi="Courier New"/>
          <w:sz w:val="15"/>
          <w:szCs w:val="15"/>
          <w:color w:val="auto"/>
        </w:rPr>
        <w:t>compared to 39.3% in the third quarter of fiscal 2002. The slight increase in gross profit percentage was due to the higher margins of the Scotts LawnService(R) business, which with the growth of that business, was a higher proportion of the total margin in fiscal 2003 than in fiscal 2002, and a sales mix towards higher margin products in North America in the Ortho and Gardening Products businesses.</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net commission earned from agency agreement in the third quarter of fiscal 2003 declined to $16.5 million compared to $16.6 million in the third quarter of fiscal 2002. A slight increase in the gross commission earned was offset by the increase in the contribution payment due to Monsanto to $25 million in fiscal 2003 from $20 million in fiscal 2002 or $1.25 million each quarter.</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Advertising expenses in the third quarter of fiscal 2003 were $38.1 million, an increase of 24.5% over the $30.6 million in the third quarter of fiscal 2002. As a percentage of net sales, advertising expense was 5.3% in the third quarter of fiscal 2003 compared to 4.4% in the third quarter of fiscal 2002 which is in line with our stated intent to spend more aggressively on advertising in fiscal 2003.</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Selling, general and administrative expenses ("S, G&amp;A") in the third quarter of fiscal 2003 were $85.0 million compared to $77.4 million in the third quarter of fiscal 2002 excluding stock-based compensation expense, the lawn service business and restructuring and other charges. The increase in S,G&amp;A costs is due to new business development initiatives in North America, additional in-store sales support in North America, increased pension and healthcare costs, and the effects of changes in foreign currencies converting results from our foreign operations into higher U.S. dollars in fiscal 2003 compared to fiscal 2002. S, G&amp;A in the Scotts LawnService(R) business increased from $9.0 million in the third quarter of fiscal 2002 to $11.8 million in the third quarter of fiscal 2003 reflecting the increased number of locations added over the past year from acquisitions and branch openings and expansions. S, G&amp;A related to restructuring activities increased from $0.6 million in fiscal 2002's third quarter to $1.2 million in fiscal 2003's third quarter due to the costs associated with the ongoing European integration initiatives which were initiated late in the fourth quarter of fiscal 2002.</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Other income was $3.6 million for the third quarter of fiscal 2003, compared to $5.1 million in the third quarter of fiscal 2002. The decrease is due to the gain of approximately $5.6 million recognized in the third quarter of fiscal 2002 from the payment for cessation of peat extraction activities in the United Kingdom. The fiscal 2003 period includes ongoing income from the peat arrangement, and foreign exchange transaction gains, as well as increased royalty income from Scotts LawnService(R) franchise operations and other income.</w:t>
      </w:r>
    </w:p>
    <w:p>
      <w:pPr>
        <w:spacing w:after="0" w:line="166"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For segment reporting purposes, earnings before interest, taxes and amortization ("EBITA") is used by management as the measure for income from operations in assessing performance. Segment performance for the third quarter of fiscal 2003 compared to the third quarter of fiscal 2002 was as follows:</w:t>
      </w:r>
    </w:p>
    <w:p>
      <w:pPr>
        <w:spacing w:after="0" w:line="164" w:lineRule="exact"/>
        <w:rPr>
          <w:sz w:val="20"/>
          <w:szCs w:val="20"/>
          <w:color w:val="auto"/>
        </w:rPr>
      </w:pPr>
    </w:p>
    <w:p>
      <w:pPr>
        <w:ind w:left="540" w:right="3499" w:hanging="355"/>
        <w:spacing w:after="0" w:line="23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North American Consumer income from operations declined from $162.7 million in fiscal 2002 to $150.0 million in fiscal 2003 due to slightly lower sales in the fiscal 2003 period, higher distribution costs and higher S,G&amp;A costs due to investments in advertising, new business development and in-store counselors;</w:t>
      </w:r>
    </w:p>
    <w:p>
      <w:pPr>
        <w:spacing w:after="0" w:line="173" w:lineRule="exact"/>
        <w:rPr>
          <w:rFonts w:ascii="Courier New" w:cs="Courier New" w:eastAsia="Courier New" w:hAnsi="Courier New"/>
          <w:sz w:val="15"/>
          <w:szCs w:val="15"/>
          <w:color w:val="auto"/>
        </w:rPr>
      </w:pPr>
    </w:p>
    <w:p>
      <w:pPr>
        <w:ind w:left="540" w:right="3239" w:hanging="355"/>
        <w:spacing w:after="0" w:line="23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($40.5 million compared to $28.7 million) and increased income ($10.4 million compared to $7.1 million) from operations. As this highly seasonal business grows, it will have larger losses in the first and second quarters of the fiscal year due to seasonally low revenues and high fixed overhead costs. Conversely, the second half of the fiscal year is expected to provide higher revenues, margins and operating income;</w:t>
      </w:r>
    </w:p>
    <w:p>
      <w:pPr>
        <w:spacing w:after="0" w:line="175" w:lineRule="exact"/>
        <w:rPr>
          <w:rFonts w:ascii="Courier New" w:cs="Courier New" w:eastAsia="Courier New" w:hAnsi="Courier New"/>
          <w:sz w:val="15"/>
          <w:szCs w:val="15"/>
          <w:color w:val="auto"/>
        </w:rPr>
      </w:pPr>
    </w:p>
    <w:p>
      <w:pPr>
        <w:ind w:left="540" w:right="3319" w:hanging="355"/>
        <w:spacing w:after="0" w:line="255" w:lineRule="auto"/>
        <w:tabs>
          <w:tab w:leader="none" w:pos="5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Consumer's operating income declined to $10.4 million from $17.4 million on an increase in net sales from $81.2 million in 2002 to $90.2 million in 2003. Restructuring charges were $0.9 million in fiscal 2003 compared to $0.4 million in fiscal 2002. The third quarter of fiscal 2002 also included the $5.6 million gain from the peat extraction cessation agreement which did not recur in fiscal 2003. Foreign exchange rates favorably impacted operating income by $1.1 million.</w:t>
      </w:r>
    </w:p>
    <w:p>
      <w:pPr>
        <w:spacing w:after="0" w:line="166" w:lineRule="exact"/>
        <w:rPr>
          <w:rFonts w:ascii="Courier New" w:cs="Courier New" w:eastAsia="Courier New" w:hAnsi="Courier New"/>
          <w:sz w:val="14"/>
          <w:szCs w:val="14"/>
          <w:color w:val="auto"/>
        </w:rPr>
      </w:pPr>
    </w:p>
    <w:p>
      <w:pPr>
        <w:ind w:left="540" w:right="3239" w:hanging="355"/>
        <w:spacing w:after="0" w:line="23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business showed an operating profit of $10.8 million in fiscal 2003 compared to income from operations of $6.7 million in fiscal 2002. Worldwide spending restraint and stronger margins in the North American business along with the roll-out of branded plants on a national scale with a large U.S. retailer boosted profitability in this segment. Foreign currency translation favorably impacted operating results $0.9 million.</w:t>
      </w:r>
    </w:p>
    <w:p>
      <w:pPr>
        <w:spacing w:after="0" w:line="175" w:lineRule="exact"/>
        <w:rPr>
          <w:rFonts w:ascii="Courier New" w:cs="Courier New" w:eastAsia="Courier New" w:hAnsi="Courier New"/>
          <w:sz w:val="15"/>
          <w:szCs w:val="15"/>
          <w:color w:val="auto"/>
        </w:rPr>
      </w:pPr>
    </w:p>
    <w:p>
      <w:pPr>
        <w:ind w:left="540" w:right="3319" w:hanging="355"/>
        <w:spacing w:after="0" w:line="236" w:lineRule="auto"/>
        <w:tabs>
          <w:tab w:leader="none" w:pos="5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loss for the other/corporate segment declined from $18.4 million in the third quarter of fiscal 2002 to $17.6 million in the third quarter of fiscal 2003 due to lower legal and environmental costs offsetting higher costs related to the expensing of stock-based compensatory awards in fiscal 2003, higher pension costs and increased health care costs.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349" w:gutter="0" w:footer="0" w:header="0"/>
        </w:sectPr>
      </w:pPr>
    </w:p>
    <w:bookmarkStart w:id="35" w:name="page36"/>
    <w:bookmarkEnd w:id="35"/>
    <w:p>
      <w:pPr>
        <w:ind w:right="3239" w:firstLine="350"/>
        <w:spacing w:after="0" w:line="236" w:lineRule="auto"/>
        <w:rPr>
          <w:sz w:val="20"/>
          <w:szCs w:val="20"/>
          <w:color w:val="auto"/>
        </w:rPr>
      </w:pPr>
      <w:r>
        <w:rPr>
          <w:rFonts w:ascii="Courier New" w:cs="Courier New" w:eastAsia="Courier New" w:hAnsi="Courier New"/>
          <w:sz w:val="15"/>
          <w:szCs w:val="15"/>
          <w:color w:val="auto"/>
        </w:rPr>
        <w:t>Interest expense for the third quarter of fiscal 2003 was $18.2 million, a decrease of $0.5 million from interest expense for the third quarter of fiscal 2002 of $18.7 million. The decrease in interest expense was primarily due to lower interest rates offset by higher average borrowings for the quarter as compared to the prior year. Average borrowings on our revolving credit line were $261.5 million in the three months ended June 28, 2003 compared to $157.6 million in the three months ended June 29, 2002. The weighted average interest rate for the three months ended June 28, 2003 on the portion of our Credit Agreement that has a variable rate was 4.70% compared to 6.2% for the three months ended June 29, 2002.</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Income tax expense in the third quarter of fiscal 2003 was $51.6 million, compared to $60.0 million in the third quarter of fiscal 2002. The effective tax rate for the third quarter of fiscal 2003 was 36.1% compared to 38.5% for the third quarter of fiscal 2002. The effective tax rate for fiscal 2002 was later adjusted to 38.0% by the end of fiscal 2002. The tax rate reduction in the third quarter of fiscal 2003 results from a favorable adjustment to the company's deferred tax assets as a result of a jurisdictional analysis of the deferred tax accounts and changes in state tax rates.</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reported net income of $91.2 million for the third quarter of fiscal 2003, compared to $95.8 million for the third quarter of fiscal 2002. In addition to the matters described above, stronger foreign currencies compared to the U.S. dollar favorably impacted net income by $1.2 million in fiscal 2003's third quarter.</w:t>
      </w:r>
    </w:p>
    <w:p>
      <w:pPr>
        <w:spacing w:after="0" w:line="17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Diluted earnings per share were $2.81 for the three months ended June 28, 2003 compared to $3.02 for the three months ended June 29, 2002. Average shares outstanding increased from 31.8 million at June 29, 2002 to 32.4 million at June 28, 2003 due to option and warrant exercises and grants of options and other stock-based compensatory awards during the intervening period.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28, 2003 COMPARED TO NINE MONTHS ENDED JUNE 29, 2002</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sales for the nine months ended June 28, 2003 were $1,567.0 million,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of 8.1% from net sales for the nine months ended June 29, 2002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$1,449.0 million. Excluding the impact of exchange rates on sales by our foreign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entities net sales increased 4.7%. Through the first six months of the year, net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excluding foreign exchange had increased 8.8%. The poor weather in April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United Sates and the unseasonably hot weather in Europe during the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combined to temper what had been a very strong start to the lawn and</w:t>
      </w:r>
    </w:p>
    <w:p>
      <w:pPr>
        <w:spacing w:after="0" w:line="237" w:lineRule="auto"/>
        <w:rPr>
          <w:sz w:val="20"/>
          <w:szCs w:val="20"/>
          <w:color w:val="auto"/>
        </w:rPr>
      </w:pPr>
      <w:r>
        <w:rPr>
          <w:rFonts w:ascii="Courier New" w:cs="Courier New" w:eastAsia="Courier New" w:hAnsi="Courier New"/>
          <w:sz w:val="15"/>
          <w:szCs w:val="15"/>
          <w:color w:val="auto"/>
        </w:rPr>
        <w:t>garden season in North America and Europe in the second quarter.</w:t>
      </w:r>
    </w:p>
    <w:p>
      <w:pPr>
        <w:spacing w:after="0" w:line="173"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Price changes are not material to the discussion of net sales in total or by business segment for either fiscal period presented.</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North American Consumer segment net sales were $1,101.9 million in the first three quarters of fiscal 2003, an increase of 4.6% over net sales for the first three quarters of fiscal 2002 of $1,053.4 million. The Lawns group was up 10.1% due to strong early season sales of seed, durables and fertilizers in the second quarter. Gardening Products and Ortho were down slightly from the prior year due to the poor weather in April having a more pronounced impact on sales of garden fertilizers and control products than on lawn-related products which have an earlier start to their season.</w:t>
      </w:r>
    </w:p>
    <w:p>
      <w:pPr>
        <w:spacing w:after="0" w:line="177"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Scotts LawnService(R) revenues increased 50.2% from $44.8 million in the first three quarters of fiscal 2002 to $67.3 million in the first three quarters of fiscal 2003. The growth in revenue reflects the growth in the business from acquisitions completed in fiscal 2002 and thus far in fiscal 2003 and the growth in customers from our spring and fall marketing campaigns.</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Net sales for the International Consumer segment were $241.6 million in the first three quarters of fiscal 2003, 15.8% higher than net sales for the first three quarters of fiscal 2002. Excluding the effect of exchange rates, one-time sales of peat in the United Kingdom and sales from a supply agreement discontinued at the end of fiscal 2002, net sales increased 3.6% from 2002. The increase in sales reflects favorable late Winter/early Spring weather throughout Europe in 2003 as well as the positive effects of increased advertising in the United Kingdom and regained listings in the food channel in France.</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Net sales for the Global Professional segment were $156.2 million in the first three quarters of fiscal 2003, or 9.8% higher than net sales for the first three quarters of fiscal 2002. Excluding the effect of exchange rates, net sales rose 1.1%.</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Gross profit was $576.0 million in the first three quarters of fiscal 2003, an increase of $34.4 million from gross profit of $541.6 million in the first three quarters of fiscal 2002. As a percentage of net sales, year-to-date gross profit was 36.8% of sales in fiscal 2003 compared to 37.4% in the first three quarters of fiscal 2002. Excluding restructuring and other charges, the gross profit percentage was 37.1% in the first three quarters of fiscal 2003 compared to 37.5% in the first three quarters of fiscal 2002. The gross profit percentage declined due to higher warehousing and distribution costs due to a decision to interrupt and delay the implementation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021"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of the North American logistics outsourcing project.</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net commission earned from agency agreement in the first three quarters of fiscal 2003 was $13.5 million compared to $13.3 million in the first three quarters of fiscal 2002. The contribution payment due to Monsanto increased to $25 million in fiscal 2003 from $20 million in fiscal 2002. Excluding the additional $3.8 million of contribution expense recorded in the first nine months of fiscal 2003, the net commission improved by $4.0 million in fiscal 2003, reflecting strong worldwide early season sales of Roundup.</w:t>
      </w:r>
    </w:p>
    <w:p>
      <w:pPr>
        <w:spacing w:after="0" w:line="166"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Advertising expenses in the first three quarters of fiscal 2003 were $81.7 million, an increase of 19.1% over the $68.6 million in the first three quarters of fiscal 2002. As a percentage of net sales, advertising expense was 5.2% in the first three quarters of fiscal 2003 compared to 4.7% in fiscal 2002.</w:t>
      </w:r>
    </w:p>
    <w:p>
      <w:pPr>
        <w:spacing w:after="0" w:line="16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Selling, general and administrative expenses ("S,G&amp;A") in the first three quarters of fiscal 2003 increased 9.7% to $243.8 million from $222.2 million in the first three quarters of fiscal 2002 excluding stock-based compensation expense, the lawn service business and restructuring and other charges. SG&amp;A increased due to higher costs for pensions and health care costs, investments in business development initiatives and in-store sales support and the impact of higher foreign exchange conversion rates in fiscal 2003. S,G&amp;A for the Scotts Lawnservice(R) business increased from $23.7 million in the first three quarters of fiscal 2002 to $34.9 million in the first three quarters of fiscal 2003 reflecting the increased number of locations added over the past year from acquisitions and branch openings and expansions. S, G&amp;A related to restructuring activities increased from $1.8 million in fiscal 2002's first three quarters to $5.5 million in fiscal 2003's first three quarters due to the costs associated with the ongoing European integration initiatives which kicked off late in the fourth quarter of fiscal 2002.</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Other income was $7.3 million for the first three quarters of fiscal 2003, compared to $8.9 million in the first three quarters of fiscal 2002. The decrease is due to the $5.6 million gain recorded in the third quarter of fiscal 2002 from the cessation of peat extraction in the United Kingdom offset by other income related to the UK peat arrangement which is being recognized ratably through the end of fiscal 2004.</w:t>
      </w:r>
    </w:p>
    <w:p>
      <w:pPr>
        <w:spacing w:after="0" w:line="17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For segment reporting purposes, earnings before interest, taxes and amortization ("EBITA") is used by management as the measure for income from operations in assessing performance. Segment performance for the first half of fiscal 2003 compared to the first half of fiscal 2002 was as follows:</w:t>
      </w:r>
    </w:p>
    <w:p>
      <w:pPr>
        <w:spacing w:after="0" w:line="175" w:lineRule="exact"/>
        <w:rPr>
          <w:sz w:val="20"/>
          <w:szCs w:val="20"/>
          <w:color w:val="auto"/>
        </w:rPr>
      </w:pPr>
    </w:p>
    <w:p>
      <w:pPr>
        <w:ind w:left="540" w:right="3239" w:hanging="355"/>
        <w:spacing w:after="0" w:line="255" w:lineRule="auto"/>
        <w:tabs>
          <w:tab w:leader="none" w:pos="5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Consumer income from operations declined from $258.0 million in fiscal 2002 to $246.9 million in fiscal 2003. Net sales increased 4.6% in the fiscal 2003 period but margins declined by 70 points to 37.1% of net sales due to higher distribution costs and less favorable product mix. Also contributing to the lowered earnings were planned increases in spending on advertising, new business development and in-store sales support partly offset by discretionary expense restraint;</w:t>
      </w:r>
    </w:p>
    <w:p>
      <w:pPr>
        <w:spacing w:after="0" w:line="166" w:lineRule="exact"/>
        <w:rPr>
          <w:rFonts w:ascii="Courier New" w:cs="Courier New" w:eastAsia="Courier New" w:hAnsi="Courier New"/>
          <w:sz w:val="14"/>
          <w:szCs w:val="14"/>
          <w:color w:val="auto"/>
        </w:rPr>
      </w:pPr>
    </w:p>
    <w:p>
      <w:pPr>
        <w:ind w:left="540" w:right="3239" w:hanging="355"/>
        <w:spacing w:after="0" w:line="236"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 LawnService(R) reported higher net sales ($67.3 million compared to $44.8 million) but a larger loss from operations of $6.8 million in fiscal 2003 compared to $3.0 million in fiscal 2002. As this highly seasonal business grows it will have larger losses in the first and second quarters of the fiscal year due to seasonally low revenues and high fixed overhead costs that are offset by higher revenues and operating profits in the third and fourth quarters of the fiscal year;</w:t>
      </w:r>
    </w:p>
    <w:p>
      <w:pPr>
        <w:spacing w:after="0" w:line="175" w:lineRule="exact"/>
        <w:rPr>
          <w:rFonts w:ascii="Courier New" w:cs="Courier New" w:eastAsia="Courier New" w:hAnsi="Courier New"/>
          <w:sz w:val="15"/>
          <w:szCs w:val="15"/>
          <w:color w:val="auto"/>
        </w:rPr>
      </w:pPr>
    </w:p>
    <w:p>
      <w:pPr>
        <w:ind w:left="540" w:right="3239" w:hanging="355"/>
        <w:spacing w:after="0" w:line="255" w:lineRule="auto"/>
        <w:tabs>
          <w:tab w:leader="none" w:pos="5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Consumer's operating income declined to $22.5 million from $26.3 million. Excluding the $5.6 million gain in 2002 from the peat extraction cessation agreement, operating income increased by $1.8 million. Net sales increased nearly 16%, but were flat after excluding the impact of exchange rates. Net sales increased 3.6% after excluding from fiscal 2002's net sales the one-time sales of bulk peat and sales under a supply agreement which was discontinued after 2002. Margins were unfavorably impacted by 60 basis points due to higher distribution costs. Restructuring and other charges were $4.6 million, up from $0.5 million in 2002. Offsetting the unfavorable effect of the higher restructuring charges were a $2.1 million increase in the net Roundup commission earned and $3.1 million of foreign exchange rate driven favorability.</w:t>
      </w:r>
    </w:p>
    <w:p>
      <w:pPr>
        <w:spacing w:after="0" w:line="164" w:lineRule="exact"/>
        <w:rPr>
          <w:rFonts w:ascii="Courier New" w:cs="Courier New" w:eastAsia="Courier New" w:hAnsi="Courier New"/>
          <w:sz w:val="14"/>
          <w:szCs w:val="14"/>
          <w:color w:val="auto"/>
        </w:rPr>
      </w:pPr>
    </w:p>
    <w:p>
      <w:pPr>
        <w:ind w:left="540" w:right="3239" w:hanging="355"/>
        <w:spacing w:after="0" w:line="256" w:lineRule="auto"/>
        <w:tabs>
          <w:tab w:leader="none" w:pos="5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Global Professional business showed a profit of $21.4 million in fiscal 2003 compared to income from operations of $15.7 million in fiscal 2002 due to improved product sales mix, expense control, the national rollout of branded plants and $2.3 million of favorable impact of exchange rates on results from our operations outside the United States.</w:t>
      </w:r>
    </w:p>
    <w:p>
      <w:pPr>
        <w:spacing w:after="0" w:line="163" w:lineRule="exact"/>
        <w:rPr>
          <w:rFonts w:ascii="Courier New" w:cs="Courier New" w:eastAsia="Courier New" w:hAnsi="Courier New"/>
          <w:sz w:val="14"/>
          <w:szCs w:val="14"/>
          <w:color w:val="auto"/>
        </w:rPr>
      </w:pPr>
    </w:p>
    <w:p>
      <w:pPr>
        <w:ind w:left="540" w:right="3239" w:hanging="355"/>
        <w:spacing w:after="0" w:line="236" w:lineRule="auto"/>
        <w:tabs>
          <w:tab w:leader="none" w:pos="5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loss for the other/corporate segment increased from $47.0 million in the first three quarters of fiscal 2002 to $53.7 million in the first three quarters of fiscal 2003 due to higher costs related to the expensing of stock-based compensatory awards in fiscal 2003, higher pension costs, increased health care costs, systems related costs and North American restructuring and other related activities.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853" w:gutter="0" w:footer="0" w:header="0"/>
        </w:sectPr>
      </w:pPr>
    </w:p>
    <w:bookmarkStart w:id="37" w:name="page38"/>
    <w:bookmarkEnd w:id="37"/>
    <w:p>
      <w:pPr>
        <w:ind w:right="3239" w:firstLine="350"/>
        <w:spacing w:after="0" w:line="255" w:lineRule="auto"/>
        <w:rPr>
          <w:sz w:val="20"/>
          <w:szCs w:val="20"/>
          <w:color w:val="auto"/>
        </w:rPr>
      </w:pPr>
      <w:r>
        <w:rPr>
          <w:rFonts w:ascii="Courier New" w:cs="Courier New" w:eastAsia="Courier New" w:hAnsi="Courier New"/>
          <w:sz w:val="14"/>
          <w:szCs w:val="14"/>
          <w:color w:val="auto"/>
        </w:rPr>
        <w:t>Interest expense for the first three quarters of fiscal 2003 was $53.4 million, a decrease of $5.4 million from interest expense for the first three quarters of fiscal 2002 of $58.8 million. The decrease in interest expense was due to lower interest rates and lower average borrowings as compared to the prior year as a result of fiscal 2002's strong cash flows providing for a large cash carryover balance of nearly $100 million at September 30, 2002. Average monthly borrowings on our revolving line of credit were $182.8 in the first nine months of fiscal 2003 compared to $217.0 in the first nine months of fiscal 2002. The average interest rate for the nine month period on all borrowings with a variable rate were 4.8% in fiscal 2003 compared to 5.6% in fiscal 2002.</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Income tax expense in the three quarters of fiscal 2003 was $61.2 million compared with income tax expense for the first three quarters of fiscal 2002 of $71.2 million. The effective income tax rate for the first three quarters of fiscal 2003 was 36.4% compared to 38.5% for the first three quarters of fiscal 2002. The full year fiscal 2002 effective tax rate was subsequently adjusted to 38.0% in the fourth quarter of fiscal 2004. The decline in the effective tax rate from 2002 to 2003 is due to the favorable adjustment to deferred tax assets recorded in the third quarter of fiscal 2003.</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reported income before cumulative effect of accounting changes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$106.9 million for the first three quarters of fiscal 2003,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$113.7 million for the first three quarters of fiscal 2002. After the charge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$29.8 million ($18.5 million, net of tax) for the impairment of tradenames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German, French and United Kingdom businesses, net income for the first nine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fiscal 2002 was $95.2 million, or $3.01 per diluted share, compared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of $106.9 million or $3.33 per diluted share for the first nine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fiscal 2003. Average shares outstanding were 31.6 million at June 29,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and 32.1 million at June 28,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Cash provided by operating activities was $42.1 million for the nine months ended June 28, 2003 compared to $153.2 million for the nine months ended June 29, 2002. Cash provided by operations in the first three quarters of fiscal 2003 was less than in the comparable fiscal 2002 period because of larger increases in accounts receivable and inventory, partially offset by a corresponding larger increase in accounts payable. Receivables increased from $435.1 million at June 2002 to $521.5 million at June 2003 due to higher sales in June 2003 compared to June 2002, a shift in sales towards retailers with longer payment terms and the effect of foreign exchange rates. Inventories increased from $301.9 million at June 29, 2002 to $323.3 million at June 28, 2003. However, inventories at the beginning of fiscal 2002 were $368.4 million compared to only $269.1 million at the beginning of fiscal 2003. Thus, the change in inventory at the end of June 2003 required $53.7 million in funds in fiscal 2003 compared to providing funds of $66.5 million in fiscal 2002. Accounts payable was similarly affected by the increased production activity during the fiscal 2003 period and increased $121.4 million compared to increasing only $46.4 in the fiscal 2002 period. Inventories and accounts payable also increased because of a step-up in production in May in North America in preparation for a production shut down in the fourth quarter.</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Cash used in investing activities was $83.5 million for the first nine months of fiscal 2003 compared to $66.6 million in the fiscal 2002 period. Capital expenditures increased from $33.9 million in fiscal 2002 to $40.8 million in fiscal 2003 in line with higher projected spending on plant, equipment and technology systems in fiscal 2003. Scotts LawnService(R) completed 15 acquisitions costing $17.1 million ($9.9 million of cash paid and $7.2 million of seller notes) thus far in fiscal 2003 compared to 13 acquisitions costing $24.1 million ($11.0 million of cash paid and $13.1 million of seller notes) in the first three quarters of fiscal 2002. In addition the acquisition of a pottery business was completed in May 2003 for $1.2 million. Payments on seller notes were $31.6 million in fiscal 2003 compared to $28.7 million in fiscal 2002. The timing of actual payments for acquisitions and seller notes reflects the terms and conditions of the various acquisition agreements.</w:t>
      </w:r>
    </w:p>
    <w:p>
      <w:pPr>
        <w:spacing w:after="0" w:line="164"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Financing activities used cash of $4.5 million for the nine months of fiscal 2003 compared to using $30.1 million in the prior year period. The decrease in cash used in financing activities was primarily due to lower repayments on the revolving credit facility. At June 29, 2002 the revolver balance had been paid down to $0.3 million, whereas at June 28, 2003, $37.0 remained outstanding.</w:t>
      </w:r>
    </w:p>
    <w:p>
      <w:pPr>
        <w:spacing w:after="0" w:line="16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Our primary sources of liquidity are funds generated by operations and borrowings under our Credit Agreement. The Credit Agreement initially provided for borrowings in the aggregate principal amount of $1.1 billion consisting of term loan facilities in the aggregate amount of $525 million and a revolving credit facility in the amount of $575 million. Due to paydowns on our term loans, the amount remaining under the term loan facilities has been reduced to approximately $344.2 million as of June 28, 2003. Also, as of June 28, 2003, approximately $10.8 million of the $575 million revolving credit facility is committed for letters of credit; the balance of approximately $564.2 million is available for use against which $37.0 million was outstanding at June 28, 2003.</w:t>
      </w:r>
    </w:p>
    <w:p>
      <w:pPr>
        <w:spacing w:after="0" w:line="16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Total debt was $815.6 million as of June 28, 2003, a decrease of $20.4 million compared with total debt at June 29, 2002 of $836.0 million. This decrease is due to the payments made on the term loans and seller notes during fiscal 2003. The impact of foreign</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24" w:right="1440" w:bottom="685" w:gutter="0" w:footer="0" w:header="0"/>
        </w:sectPr>
      </w:pPr>
    </w:p>
    <w:bookmarkStart w:id="38" w:name="page39"/>
    <w:bookmarkEnd w:id="38"/>
    <w:p>
      <w:pPr>
        <w:ind w:right="3319"/>
        <w:spacing w:after="0" w:line="235" w:lineRule="auto"/>
        <w:rPr>
          <w:sz w:val="20"/>
          <w:szCs w:val="20"/>
          <w:color w:val="auto"/>
        </w:rPr>
      </w:pPr>
      <w:r>
        <w:rPr>
          <w:rFonts w:ascii="Courier New" w:cs="Courier New" w:eastAsia="Courier New" w:hAnsi="Courier New"/>
          <w:sz w:val="15"/>
          <w:szCs w:val="15"/>
          <w:color w:val="auto"/>
        </w:rPr>
        <w:t>exchange rates on our borrowings denominated in foreign currencies caused the June 28, 2003 total debt balance to be higher by $17.4 million compared to June 2002.</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As of June 28, 2003, we were in compliance with all debt covenants. The Credit Agreement contains covenants on interest coverage and leverage. The Credit Agreement and the Subordinated Note indenture also contain numerous negative covenants which we are also in compliance with thus far in fiscal 2003. There are no rating triggers in our Credit Agreement or the Subordinated Note indenture.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did not repurchase any common shares for treasury in fiscal 2001 or fiscal 2002, or thus far in fiscal 2003. We have not paid dividends on the common shares in the past and currently do not pay dividends on the common shares. We anticipate that cash will be retained and reinvested to support the growth of our business or to pay down indebtedness. The payment of future dividends, if any, on common shares will be determined by the Board of Directors of Scotts in light of conditions then existing, including our earnings and cash flows, financial condition and capital requirements, restrictions in financing agreements, business conditions and other factors.</w:t>
      </w:r>
    </w:p>
    <w:p>
      <w:pPr>
        <w:spacing w:after="0" w:line="178"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All of our off-balance sheet financing is in the form of operating leases which are disclosed in the notes to consolidated financial statements included in our Annual Report of Form 10-K for the year ended September 30, 2002. We have no financial guarantees or other arrangements with any related parties other than our subsidiaries. All material intercompany transactions are eliminated in our consolidated financial statements. Certain transactions with executive officers are fully described and disclosed in our proxy statement. Such transactions do not exceed $150,000 per annum.</w:t>
      </w:r>
    </w:p>
    <w:p>
      <w:pPr>
        <w:spacing w:after="0" w:line="177"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July 2002, the Company's Board of Directors approved a plan designed to significantly improve the profitability of the International Consumer and Professional businesses. The plan includes implementation of an SAP platform throughout Europe, as well as efforts to optimize operations in the United Kingdom, France and Germany, including the creation of a global supply chain. We estimate that there will be a cash outlay of $50-$60 million, of which approximately 25% will be capital expenditures, to implement this plan fully over the next several years.</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we have established what we believe to be appropriate reserves. We believe that any liabilities that may result from these proceedings are not likely to have a material adverse effect on our liquidity, financial condition or results of operations. However, there can be no assurance that the final outcomes of these proceedings will not be material to the future cash flows, results of operations or financial condition of the Company.</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2003,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of the Notes to Condensed, Consolidated Financial Statements (unaudited) as of and for the three month and nine month periods ended June 28, 2003 and in the fiscal 2002 Annual Report on Form 10-K under the "ITEM 1. BUSINESS - ENVIRONMENTAL AND REGULATORY CONSIDERATIONS" and "ITEM 3. LEGAL PROCEEDINGS" sections.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this Form 10-Q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Some forward-looking statements that we make in this Form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7" w:lineRule="exact"/>
        <w:rPr>
          <w:sz w:val="20"/>
          <w:szCs w:val="20"/>
          <w:color w:val="auto"/>
        </w:rPr>
      </w:pPr>
    </w:p>
    <w:p>
      <w:pPr>
        <w:ind w:left="360" w:right="3059" w:hanging="350"/>
        <w:spacing w:after="0" w:line="234"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SUBSTANTIAL INDEBTEDNESS COULD ADVERSELY AFFECT OUR FINANCIAL HEALTH AND PREVENT US FROM FULFILLING OUR OBLIGATIONS.</w:t>
      </w:r>
    </w:p>
    <w:p>
      <w:pPr>
        <w:spacing w:after="0" w:line="173"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73" w:lineRule="exact"/>
        <w:rPr>
          <w:sz w:val="20"/>
          <w:szCs w:val="20"/>
          <w:color w:val="auto"/>
        </w:rPr>
      </w:pPr>
    </w:p>
    <w:p>
      <w:pPr>
        <w:ind w:left="800" w:right="4019" w:hanging="440"/>
        <w:spacing w:after="0" w:line="234"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 under outstanding indebtedness and otherwise;</w:t>
      </w:r>
    </w:p>
    <w:p>
      <w:pPr>
        <w:spacing w:after="0" w:line="173" w:lineRule="exact"/>
        <w:rPr>
          <w:rFonts w:ascii="Courier New" w:cs="Courier New" w:eastAsia="Courier New" w:hAnsi="Courier New"/>
          <w:sz w:val="15"/>
          <w:szCs w:val="15"/>
          <w:color w:val="auto"/>
        </w:rPr>
      </w:pPr>
    </w:p>
    <w:p>
      <w:pPr>
        <w:ind w:left="800" w:right="3579" w:hanging="440"/>
        <w:spacing w:after="0" w:line="234"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800" w:right="3579" w:hanging="440"/>
        <w:spacing w:after="0" w:line="236"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800" w:right="3399" w:hanging="440"/>
        <w:spacing w:after="0" w:line="234"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73" w:lineRule="exact"/>
        <w:rPr>
          <w:rFonts w:ascii="Courier New" w:cs="Courier New" w:eastAsia="Courier New" w:hAnsi="Courier New"/>
          <w:sz w:val="15"/>
          <w:szCs w:val="15"/>
          <w:color w:val="auto"/>
        </w:rPr>
      </w:pPr>
    </w:p>
    <w:p>
      <w:pPr>
        <w:ind w:left="800" w:right="3679" w:hanging="440"/>
        <w:spacing w:after="0" w:line="234"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66" w:lineRule="exact"/>
        <w:rPr>
          <w:rFonts w:ascii="Courier New" w:cs="Courier New" w:eastAsia="Courier New" w:hAnsi="Courier New"/>
          <w:sz w:val="15"/>
          <w:szCs w:val="15"/>
          <w:color w:val="auto"/>
        </w:rPr>
      </w:pPr>
    </w:p>
    <w:p>
      <w:pPr>
        <w:ind w:left="800" w:hanging="440"/>
        <w:spacing w:after="0"/>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2" w:lineRule="exact"/>
        <w:rPr>
          <w:rFonts w:ascii="Courier New" w:cs="Courier New" w:eastAsia="Courier New" w:hAnsi="Courier New"/>
          <w:sz w:val="15"/>
          <w:szCs w:val="15"/>
          <w:color w:val="auto"/>
        </w:rPr>
      </w:pPr>
    </w:p>
    <w:p>
      <w:pPr>
        <w:ind w:left="800" w:right="3319" w:hanging="440"/>
        <w:spacing w:after="0" w:line="235" w:lineRule="auto"/>
        <w:tabs>
          <w:tab w:leader="none" w:pos="80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acquisitions will depend on our ability to generate cash in the future. This, to some extent, is subject to general economic, financial, competitive, legislative, regulatory and other factors that are beyond our control.</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We cannot assure you that our business will generate sufficient cash flow from operations or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16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Agreement and/or our outstanding senior subordinated notes. Upon the occurrence</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85" w:right="1440" w:bottom="1440" w:gutter="0" w:footer="0" w:header="0"/>
        </w:sectPr>
      </w:pPr>
    </w:p>
    <w:bookmarkStart w:id="40" w:name="page41"/>
    <w:bookmarkEnd w:id="40"/>
    <w:p>
      <w:pPr>
        <w:ind w:right="3239"/>
        <w:spacing w:after="0" w:line="236" w:lineRule="auto"/>
        <w:rPr>
          <w:sz w:val="20"/>
          <w:szCs w:val="20"/>
          <w:color w:val="auto"/>
        </w:rPr>
      </w:pPr>
      <w:r>
        <w:rPr>
          <w:rFonts w:ascii="Courier New" w:cs="Courier New" w:eastAsia="Courier New" w:hAnsi="Courier New"/>
          <w:sz w:val="15"/>
          <w:szCs w:val="15"/>
          <w:color w:val="auto"/>
        </w:rPr>
        <w:t>of an event of default under our Credit Agreement and/or the senior subordinated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68"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164" w:lineRule="exact"/>
        <w:rPr>
          <w:sz w:val="20"/>
          <w:szCs w:val="20"/>
          <w:color w:val="auto"/>
        </w:rPr>
      </w:pPr>
    </w:p>
    <w:p>
      <w:pPr>
        <w:ind w:left="280" w:right="3399" w:hanging="270"/>
        <w:spacing w:after="0" w:line="234" w:lineRule="auto"/>
        <w:tabs>
          <w:tab w:leader="none" w:pos="19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OUR HISTORICAL SEASONALITY COULD IMPAIR OUR ABILITY TO PAY OBLIGATIONS AS THEY COME DUE IN ADDITION TO OUR OPERATING EXPENSES.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180" w:lineRule="exact"/>
        <w:rPr>
          <w:sz w:val="20"/>
          <w:szCs w:val="20"/>
          <w:color w:val="auto"/>
        </w:rPr>
      </w:pPr>
    </w:p>
    <w:p>
      <w:pPr>
        <w:ind w:left="280" w:right="3679" w:hanging="270"/>
        <w:spacing w:after="0" w:line="234" w:lineRule="auto"/>
        <w:tabs>
          <w:tab w:leader="none" w:pos="19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PERCEPTIONS THAT THE PRODUCTS WE PRODUCE AND MARKET ARE NOT SAFE COULD ADVERSELY AFFECT US.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179" w:lineRule="exact"/>
        <w:rPr>
          <w:sz w:val="20"/>
          <w:szCs w:val="20"/>
          <w:color w:val="auto"/>
        </w:rPr>
      </w:pPr>
    </w:p>
    <w:p>
      <w:pPr>
        <w:ind w:left="280" w:right="3139" w:hanging="270"/>
        <w:spacing w:after="0" w:line="234" w:lineRule="auto"/>
        <w:tabs>
          <w:tab w:leader="none" w:pos="19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NATURE OF CERTAIN OF OUR PRODUCTS AND OUR BUSINESS SUCCESS CONTRIBUTE TO THE RISK THAT THE COMPANY WILL BE SUBJECTED TO LAWSUITS.</w:t>
      </w:r>
    </w:p>
    <w:p>
      <w:pPr>
        <w:spacing w:after="0" w:line="173" w:lineRule="exact"/>
        <w:rPr>
          <w:sz w:val="20"/>
          <w:szCs w:val="20"/>
          <w:color w:val="auto"/>
        </w:rPr>
      </w:pPr>
    </w:p>
    <w:p>
      <w:pPr>
        <w:ind w:right="3759" w:firstLine="700"/>
        <w:spacing w:after="0" w:line="258" w:lineRule="auto"/>
        <w:rPr>
          <w:sz w:val="20"/>
          <w:szCs w:val="20"/>
          <w:color w:val="auto"/>
        </w:rPr>
      </w:pPr>
      <w:r>
        <w:rPr>
          <w:rFonts w:ascii="Courier New" w:cs="Courier New" w:eastAsia="Courier New" w:hAnsi="Courier New"/>
          <w:sz w:val="14"/>
          <w:szCs w:val="14"/>
          <w:color w:val="auto"/>
        </w:rPr>
        <w:t>The nature of certain of our products and our business success contribute to the risk that the Company will be subjected to lawsuits. The following are among the factors that contribute to this litigation risk:</w:t>
      </w:r>
    </w:p>
    <w:p>
      <w:pPr>
        <w:spacing w:after="0" w:line="161" w:lineRule="exact"/>
        <w:rPr>
          <w:sz w:val="20"/>
          <w:szCs w:val="20"/>
          <w:color w:val="auto"/>
        </w:rPr>
      </w:pPr>
    </w:p>
    <w:p>
      <w:pPr>
        <w:ind w:left="880" w:right="3239" w:hanging="433"/>
        <w:spacing w:after="0" w:line="236"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manufacture and market a number of complex chemical products bearing our brand names, including fertilizers, growing media, herbicides and pesticides. There is a portion of the population that perceives all chemical products as potentially hazardous. This perception, regardless of its merits, enhances the risk that the Company will be subjected to product liability claims that allege harm from exposure to our products. Product liability claims are brought against the Company from time to time.</w:t>
      </w:r>
    </w:p>
    <w:p>
      <w:pPr>
        <w:spacing w:after="0" w:line="177" w:lineRule="exact"/>
        <w:rPr>
          <w:rFonts w:ascii="Courier New" w:cs="Courier New" w:eastAsia="Courier New" w:hAnsi="Courier New"/>
          <w:sz w:val="15"/>
          <w:szCs w:val="15"/>
          <w:color w:val="auto"/>
        </w:rPr>
      </w:pPr>
    </w:p>
    <w:p>
      <w:pPr>
        <w:ind w:left="880" w:right="3499" w:hanging="433"/>
        <w:spacing w:after="0" w:line="236" w:lineRule="auto"/>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vendor supplied contaminated vermiculite ore to the Company. Although our use of vermiculite ore from the contaminated source ended over twenty years ago, our relationship with this supplier enhances the risk that the Company will be subjected to personal injury and product liability claims relating to the use of vermiculite in some of our products.</w:t>
      </w:r>
    </w:p>
    <w:p>
      <w:pPr>
        <w:spacing w:after="0" w:line="174"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are a significant competitor in many of the markets in which we compete. Our success in our markets enhances the risk that the Company will be targeted by plaintiffs' lawyers, consumer groups, competitors and others asserting antitrust claims. Antitrust claims are brought against the Company from time to time. The Company believes that the antitrust claims of which it is aware are without merit.</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Please see Part II -- OTHER INFORMATION, Item 1. LEGAL PROCEEDINGS and Note 9 of the Notes to Condensed, Consolidated Financial Statements (unaudited) of the Company as of and for the three month and nine months ended June 28, 2003 for information regarding material litigation of the Company.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1" w:name="page42"/>
    <w:bookmarkEnd w:id="41"/>
    <w:p>
      <w:pPr>
        <w:ind w:left="280" w:right="3239" w:hanging="270"/>
        <w:spacing w:after="0" w:line="235" w:lineRule="auto"/>
        <w:tabs>
          <w:tab w:leader="none" w:pos="19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BECAUSE OF THE CONCENTRATION OF OUR SALES TO A SMALL NUMBER OF RETAIL CUSTOMERS, THE LOSS OF ONE OR MORE OF, OR SIGNIFICANT DECLINE IN ORDERS FROM, OUR TOP CUSTOMERS COULD ADVERSELY AFFECT OUR FINANCIAL RESULTS.</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North American Consumer net sales represent approximately 70% of our worldwide net sales. Our top four North American retail customers together accounted for over 75% of our North American Consumer fiscal 2002 net sales and 42% of our outstanding accounts receivable as of September 30, 2002. Home Depot, Wal-Mart, Lowe's and Kmart represented approximately 37%, 18%, 11% and 10%, respectively, of our fiscal 2002 North American Consumer net sales.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w:t>
      </w:r>
    </w:p>
    <w:p>
      <w:pPr>
        <w:spacing w:after="0" w:line="17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Kmart, one of our top customers, filed for bankruptcy relief under Chapter 11 of the bankruptcy code on January 22, 2002. Following such filing, and their successful obtaining of debtor-in-possession financing, we recommenced shipping products to Kmart, and we intend to continue shipping products to Kmart for the foreseeable future. Kmart emerged from its bankruptcy reorganization in April 2003. However, we are unable to assess at this time the impact changes in their business going forward may have on our future sales or earnings.</w:t>
      </w:r>
    </w:p>
    <w:p>
      <w:pPr>
        <w:spacing w:after="0" w:line="166" w:lineRule="exact"/>
        <w:rPr>
          <w:sz w:val="20"/>
          <w:szCs w:val="20"/>
          <w:color w:val="auto"/>
        </w:rPr>
      </w:pPr>
    </w:p>
    <w:p>
      <w:pPr>
        <w:ind w:left="280" w:right="3059" w:hanging="270"/>
        <w:spacing w:after="0" w:line="234" w:lineRule="auto"/>
        <w:tabs>
          <w:tab w:leader="none" w:pos="19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HIGHLY COMPETITIVE NATURE OF THE COMPANY'S MARKETS COULD ADVERSELY AFFECT THE ABILITY OF THE COMPANY TO GROW OR MAINTAIN REVENUES.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177" w:lineRule="exact"/>
        <w:rPr>
          <w:sz w:val="20"/>
          <w:szCs w:val="20"/>
          <w:color w:val="auto"/>
        </w:rPr>
      </w:pPr>
    </w:p>
    <w:p>
      <w:pPr>
        <w:ind w:left="280" w:right="3059" w:hanging="270"/>
        <w:spacing w:after="0" w:line="235" w:lineRule="auto"/>
        <w:tabs>
          <w:tab w:leader="none" w:pos="193"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IF MONSANTO WERE TO TERMINATE THE MARKETING AGREEMENT FOR CONSUMER ROUNDUP(R) PRODUCTS WITHOUT BEING REQUIRED TO PAY ANY TERMINATION FEE, WE WOULD LOSE A SUBSTANTIAL SOURCE OF FUTURE EARNINGS.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172" w:lineRule="exact"/>
        <w:rPr>
          <w:sz w:val="20"/>
          <w:szCs w:val="20"/>
          <w:color w:val="auto"/>
        </w:rPr>
      </w:pPr>
    </w:p>
    <w:p>
      <w:pPr>
        <w:ind w:left="540" w:hanging="355"/>
        <w:spacing w:after="0"/>
        <w:tabs>
          <w:tab w:leader="none" w:pos="5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280" w:right="3399" w:hanging="270"/>
        <w:spacing w:after="0" w:line="234" w:lineRule="auto"/>
        <w:tabs>
          <w:tab w:leader="none" w:pos="193"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HAGEDORN PARTNERSHIP, L.P. BENEFICIALLY OWNS APPROXIMATELY 34% OF OUR OUTSTANDING COMMON SHARES ON A FULLY DILUTED BASIS.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Hagedorn Partnership, L.P. beneficially owns approximately 34% of our outstanding common shares on a fully diluted basis and has sufficient voting power to significantly influence the election of directors and the approval of other actions requiring the approval of our shareholders.</w:t>
      </w:r>
    </w:p>
    <w:p>
      <w:pPr>
        <w:spacing w:after="0" w:line="200" w:lineRule="exact"/>
        <w:rPr>
          <w:sz w:val="20"/>
          <w:szCs w:val="20"/>
          <w:color w:val="auto"/>
        </w:rPr>
      </w:pPr>
    </w:p>
    <w:p>
      <w:pPr>
        <w:spacing w:after="0" w:line="312" w:lineRule="exact"/>
        <w:rPr>
          <w:sz w:val="20"/>
          <w:szCs w:val="20"/>
          <w:color w:val="auto"/>
        </w:rPr>
      </w:pPr>
    </w:p>
    <w:p>
      <w:pPr>
        <w:ind w:left="280" w:right="3579" w:hanging="270"/>
        <w:spacing w:after="0" w:line="234" w:lineRule="auto"/>
        <w:tabs>
          <w:tab w:leader="none" w:pos="19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COMPLIANCE WITH ENVIRONMENTAL AND OTHER PUBLIC HEALTH REGULATIONS COULD INCREASE OUR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2" w:name="page43"/>
    <w:bookmarkEnd w:id="42"/>
    <w:p>
      <w:pPr>
        <w:ind w:left="360"/>
        <w:spacing w:after="0"/>
        <w:rPr>
          <w:sz w:val="20"/>
          <w:szCs w:val="20"/>
          <w:color w:val="auto"/>
        </w:rPr>
      </w:pPr>
      <w:r>
        <w:rPr>
          <w:rFonts w:ascii="Courier New" w:cs="Courier New" w:eastAsia="Courier New" w:hAnsi="Courier New"/>
          <w:sz w:val="15"/>
          <w:szCs w:val="15"/>
          <w:color w:val="auto"/>
        </w:rPr>
        <w:t>COST OF DOING BUSINESS.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331"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180"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In fiscal 2002, we made $0.3 in environmental capital expenditures and incurred approximately $5.4 million in other environmental expenses, compared with approximately $0.6 million in environmental capital expenditures and $2.1 million in other environmental expenses in fiscal 2001. We expect spending on environmental matters in fiscal 2003 will not vary materially from the amounts spent in the past two fiscal years.</w:t>
      </w:r>
    </w:p>
    <w:p>
      <w:pPr>
        <w:spacing w:after="0" w:line="175"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adequacy of these estimated future expenditures is based on our operating in substantial compliance with applicable environmental and public health laws and regulations and several significant assumptions:</w:t>
      </w:r>
    </w:p>
    <w:p>
      <w:pPr>
        <w:spacing w:after="0" w:line="174" w:lineRule="exact"/>
        <w:rPr>
          <w:sz w:val="20"/>
          <w:szCs w:val="20"/>
          <w:color w:val="auto"/>
        </w:rPr>
      </w:pPr>
    </w:p>
    <w:p>
      <w:pPr>
        <w:ind w:left="800" w:right="3759" w:hanging="440"/>
        <w:spacing w:after="0" w:line="234"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800" w:right="3579" w:hanging="440"/>
        <w:spacing w:after="0" w:line="234"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3" w:lineRule="exact"/>
        <w:rPr>
          <w:rFonts w:ascii="Courier New" w:cs="Courier New" w:eastAsia="Courier New" w:hAnsi="Courier New"/>
          <w:sz w:val="15"/>
          <w:szCs w:val="15"/>
          <w:color w:val="auto"/>
        </w:rPr>
      </w:pPr>
    </w:p>
    <w:p>
      <w:pPr>
        <w:ind w:left="800" w:right="3499" w:hanging="440"/>
        <w:spacing w:after="0" w:line="256" w:lineRule="auto"/>
        <w:tabs>
          <w:tab w:leader="none" w:pos="8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2" w:gutter="0" w:footer="0" w:header="0"/>
        </w:sectPr>
      </w:pPr>
    </w:p>
    <w:bookmarkStart w:id="43" w:name="page44"/>
    <w:bookmarkEnd w:id="43"/>
    <w:p>
      <w:pPr>
        <w:ind w:right="3239" w:firstLine="350"/>
        <w:spacing w:after="0" w:line="236"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280" w:right="3139" w:hanging="270"/>
        <w:spacing w:after="0" w:line="261" w:lineRule="auto"/>
        <w:tabs>
          <w:tab w:leader="none" w:pos="19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OUR SIGNIFICANT INTERNATIONAL OPERATIONS MAKE US SUSCEPTIBLE TO FLUCTUATIONS IN CURRENCY EXCHANGE RATES AND TO THE COSTS OF INTERNATIONAL REGULATION.</w:t>
      </w:r>
    </w:p>
    <w:p>
      <w:pPr>
        <w:spacing w:after="0" w:line="16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France and the Netherlands. In fiscal 2002, international sales accounted for approximately 24% of our total sales. Accordingly, we are subject to risks associated with operations in foreign countries, including:</w:t>
      </w:r>
    </w:p>
    <w:p>
      <w:pPr>
        <w:spacing w:after="0" w:line="167" w:lineRule="exact"/>
        <w:rPr>
          <w:sz w:val="20"/>
          <w:szCs w:val="20"/>
          <w:color w:val="auto"/>
        </w:rPr>
      </w:pPr>
    </w:p>
    <w:p>
      <w:pPr>
        <w:ind w:left="540" w:hanging="355"/>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2" w:lineRule="exact"/>
        <w:rPr>
          <w:rFonts w:ascii="Courier New" w:cs="Courier New" w:eastAsia="Courier New" w:hAnsi="Courier New"/>
          <w:sz w:val="15"/>
          <w:szCs w:val="15"/>
          <w:color w:val="auto"/>
        </w:rPr>
      </w:pPr>
    </w:p>
    <w:p>
      <w:pPr>
        <w:ind w:left="540" w:right="3399" w:hanging="355"/>
        <w:spacing w:after="0" w:line="234" w:lineRule="auto"/>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66" w:lineRule="exact"/>
        <w:rPr>
          <w:rFonts w:ascii="Courier New" w:cs="Courier New" w:eastAsia="Courier New" w:hAnsi="Courier New"/>
          <w:sz w:val="15"/>
          <w:szCs w:val="15"/>
          <w:color w:val="auto"/>
        </w:rPr>
      </w:pPr>
    </w:p>
    <w:p>
      <w:pPr>
        <w:ind w:left="540" w:hanging="355"/>
        <w:spacing w:after="0"/>
        <w:tabs>
          <w:tab w:leader="none" w:pos="5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CONTROLS AND PROCEDURES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With the participation of management of The Scotts Company (the "Registrant"), including the Registrant's principal executive officer and principal financial officer, the Registrant has evaluated the effectiveness of the Registrant's disclosure controls and procedures (as defined in Rule 13a-15 of the Securities Exchange Act of 1934 (the "Exchange Act")) as of the end of the period covered by this Quarterly Report on Form 10-Q. Based upon that evaluation, the Registrant's principal executive officer and principal financial officer have concluded that</w:t>
      </w:r>
    </w:p>
    <w:p>
      <w:pPr>
        <w:spacing w:after="0" w:line="177" w:lineRule="exact"/>
        <w:rPr>
          <w:sz w:val="20"/>
          <w:szCs w:val="20"/>
          <w:color w:val="auto"/>
        </w:rPr>
      </w:pPr>
    </w:p>
    <w:p>
      <w:pPr>
        <w:ind w:left="880" w:right="3239" w:hanging="433"/>
        <w:spacing w:after="0" w:line="236"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accumulated and communicated to the Registrant's management, including its principal executive and principal financial officers, as appropriate to allow timely decisions regarding required disclosure;</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required to be disclosed by the Registrant in this Quarterly Report on Form 10-Q would be recorded, processed and summarized and would be reported within the time periods specified in the SEC's rules and forms; and</w:t>
      </w:r>
    </w:p>
    <w:p>
      <w:pPr>
        <w:spacing w:after="0" w:line="175"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disclosure controls and procedures are effective as of the end of the period covered by this Quarterly Report on Form 10-Q to ensure that material information relating to the Registrant and its consolidated subsidiaries is made known to them, particularly during the period for which the Registrant's periodic reports, including this Quarterly Report on Form 10-Q, are being prepared.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there were no significant changes during the period covered by this Quarterly Report on Form 10-Q in the Registrant's internal control over financial reporting (as defined in Rule 13a-15 of the Exchange Act)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24" w:right="1440" w:bottom="1440" w:gutter="0" w:footer="0" w:header="0"/>
        </w:sectPr>
      </w:pPr>
    </w:p>
    <w:bookmarkStart w:id="44" w:name="page45"/>
    <w:bookmarkEnd w:id="44"/>
    <w:p>
      <w:pPr>
        <w:ind w:left="2380"/>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SCOTTS V. UNITED INDUSTRIES, SOUTHERN DISTRICT OF FLORIDA</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On April 15, 2002, Scotts and OMS Investments, Inc., a subsidiary of Scotts that holds various Scotts intellectual property assets, filed a six count complaint against United Industries Corp. and Pursell Industries, Inc. -- now known as U.S. Fertilizer Corporation -- for acts of (1) federal trademark and trade dress infringement; (2) federal unfair competition; (3) federal dilution;</w:t>
      </w:r>
    </w:p>
    <w:p>
      <w:pPr>
        <w:spacing w:after="0" w:line="2" w:lineRule="exact"/>
        <w:rPr>
          <w:sz w:val="20"/>
          <w:szCs w:val="20"/>
          <w:color w:val="auto"/>
        </w:rPr>
      </w:pPr>
    </w:p>
    <w:p>
      <w:pPr>
        <w:ind w:right="3239" w:firstLine="10"/>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law trademark and trade dress infringement in violation of Florida law and other applicable law; (5) common law unfair competition in violation of Florida law and other applicable law; and (6) dilution in violation of Florida law and other applicable law. The claims against U.S. Fertilizer were subsequently resolved by a Settlement Agreement and Release dated February 6, 2003. In this Settlement Agreement and Release, U.S. Fertilizer acknowledged and agreed "that Scotts' trade dress as well the overall color designs and design layout that are utilized on the packaging of Scotts' TURF BUILDER(R) line as identified in the Civil Action (the `Turf Builder Trade Dress') are valid, protectable, and non-functional trade dress." U.S. Fertilizer is no longer a party to this action.</w:t>
      </w:r>
    </w:p>
    <w:p>
      <w:pPr>
        <w:spacing w:after="0" w:line="180"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Shortly after filing the original complaint in this matter, Scotts filed its motion for preliminary injunction, which motion sought an injunction enjoining United Industries, pending trial, from manufacturing, producing, shipping, distributing, advertising, promoting, displaying, selling or offering for sale products in the then current packaging for its Spectracide(R) No Odor Fire Ant Killer Ready-to-Use Dust product and from otherwise using any trademarks, trade dress, packaging, promotional materials or other items which incorporated or were confusingly similar to the trademarks and trade dress featured in Scotts' Ortho(R) Orthene(R) Fire Ant Killer product packaging. Despite finding that United had intentionally copied Scotts' trade dress, the trial court denied the motion for preliminary injunction. Scotts appealed, but the United States Court of Appeals for the Eleventh Circuit affirmed.</w:t>
      </w:r>
    </w:p>
    <w:p>
      <w:pPr>
        <w:spacing w:after="0" w:line="16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On December 13, 2002, Scotts filed its amended complaint. The amended complaint contains the same causes of action as the original complaint, but asserts additional grounds in support of plaintiffs' claim that United has infringed and diluted plaintiffs' Miracle-Gro(R) trade dress. The amended complaint also revises certain of the allegations in the original complaint to conform to facts recently learned.</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United Industries subsequently filed its answer and counterclaim to the amended complaint. This answer and counterclaim is virtually identical to its original answer and counterclaim in that it seeks to cancel a specific Scotts' Miracle-Gro(R)and Design trademark registration (Reg. No. 2,139,929) and Scotts' pending Ortho(R)Orthene(R)Fire Ant Killer and Design trademark application (Serial No. 76/126,545). We believe that this counterclaim is without merit.</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On April 21, 2003, the parties mediated the matters. While several points of tentative agreement were reached, no settlement agreement has been reached or entered into.</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do not anticipate incurring any damages relating to this action.</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SCOTTS V. AVENTIS S.A. AND STARLINK LOGISTICS, INC.</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On August 9, 2002, Scotts filed suit against Aventis S.A. and its wholly-owned subsidiary Starlink Logistics, Inc. in the U.S. District Court for the Southern District of Ohio. In the complaint, Scotts alleges it is entitled to injunctive and monetary relief arising from Aventis' and Starlink's interference with Scotts' 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16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On December 17, 2002, Aventis filed a similar motion. A referee has recommended that those motions be granted, and the question whether the referee's recommendation will be followed is currently pending before the United States District Judge to whom the</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85" w:right="1440" w:bottom="1440" w:gutter="0" w:footer="0" w:header="0"/>
        </w:sectPr>
      </w:pPr>
    </w:p>
    <w:bookmarkStart w:id="45" w:name="page46"/>
    <w:bookmarkEnd w:id="45"/>
    <w:p>
      <w:pPr>
        <w:ind w:right="3499"/>
        <w:spacing w:after="0" w:line="234" w:lineRule="auto"/>
        <w:rPr>
          <w:sz w:val="20"/>
          <w:szCs w:val="20"/>
          <w:color w:val="auto"/>
        </w:rPr>
      </w:pPr>
      <w:r>
        <w:rPr>
          <w:rFonts w:ascii="Courier New" w:cs="Courier New" w:eastAsia="Courier New" w:hAnsi="Courier New"/>
          <w:sz w:val="15"/>
          <w:szCs w:val="15"/>
          <w:color w:val="auto"/>
        </w:rPr>
        <w:t>action is assigned. Scotts intends to vigorously prosecute its claims against Aventis and Starlink. A trial date has not been set.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 ADDITIONAL INFORMATION ON MATERIAL LITIGATION, PLEASE SEE NOTE 9 OF THE NOTES TO THE COMPANY'S CONDENSED, CONSOLIDATED FINANCIAL STATEMENTS (UNAUDITED) AS OF AND FOR THE NINE MONTHS ENDED JUNE 28, 2003.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 AND USE OF PROCEEDS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part of the consideration for the Miracle-Gro merger in 1995, the Company issued Series A Warrants, Series B Warrants and Series C Warrants to purchase an aggregate of three million common shares of the Company.</w:t>
      </w:r>
    </w:p>
    <w:p>
      <w:pPr>
        <w:spacing w:after="0" w:line="174" w:lineRule="exact"/>
        <w:rPr>
          <w:sz w:val="20"/>
          <w:szCs w:val="20"/>
          <w:color w:val="auto"/>
        </w:rPr>
      </w:pPr>
    </w:p>
    <w:p>
      <w:pPr>
        <w:jc w:val="both"/>
        <w:ind w:right="3679"/>
        <w:spacing w:after="0" w:line="258" w:lineRule="auto"/>
        <w:rPr>
          <w:sz w:val="20"/>
          <w:szCs w:val="20"/>
          <w:color w:val="auto"/>
        </w:rPr>
      </w:pPr>
      <w:r>
        <w:rPr>
          <w:rFonts w:ascii="Courier New" w:cs="Courier New" w:eastAsia="Courier New" w:hAnsi="Courier New"/>
          <w:sz w:val="14"/>
          <w:szCs w:val="14"/>
          <w:color w:val="auto"/>
        </w:rPr>
        <w:t>Hagedorn Partnership, L.P. exercised Series A Warrants during the Company's third quarter of fiscal 2003, all of which were done on a cashless basis in accordance with the terms of the Series A Warrants,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Series A Warrants</w:t>
            </w:r>
          </w:p>
        </w:tc>
        <w:tc>
          <w:tcPr>
            <w:tcW w:w="2360" w:type="dxa"/>
            <w:vAlign w:val="bottom"/>
          </w:tcPr>
          <w:p>
            <w:pPr>
              <w:spacing w:after="0"/>
              <w:rPr>
                <w:sz w:val="14"/>
                <w:szCs w:val="14"/>
                <w:color w:val="auto"/>
              </w:rPr>
            </w:pP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Shares</w:t>
            </w: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Date</w:t>
            </w:r>
          </w:p>
        </w:tc>
        <w:tc>
          <w:tcPr>
            <w:tcW w:w="25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Exercised</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Exercise Price</w:t>
            </w: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Received</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4/23/03</w:t>
            </w:r>
          </w:p>
        </w:tc>
        <w:tc>
          <w:tcPr>
            <w:tcW w:w="250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211,855</w:t>
            </w:r>
          </w:p>
        </w:tc>
        <w:tc>
          <w:tcPr>
            <w:tcW w:w="23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133,803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5/5/03</w:t>
            </w:r>
          </w:p>
        </w:tc>
        <w:tc>
          <w:tcPr>
            <w:tcW w:w="25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32,593</w:t>
            </w:r>
          </w:p>
        </w:tc>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20,543</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6/3/03</w:t>
            </w:r>
          </w:p>
        </w:tc>
        <w:tc>
          <w:tcPr>
            <w:tcW w:w="25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48,890</w:t>
            </w:r>
          </w:p>
        </w:tc>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27,886</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6/18/03</w:t>
            </w:r>
          </w:p>
        </w:tc>
        <w:tc>
          <w:tcPr>
            <w:tcW w:w="25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73,335</w:t>
            </w:r>
          </w:p>
        </w:tc>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$21</w:t>
            </w:r>
          </w:p>
        </w:tc>
        <w:tc>
          <w:tcPr>
            <w:tcW w:w="1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42,129</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Series A Warrants to purchase an aggregate of 611,113 common shares of the Company remained outstanding as of the end of the Company's third quarter of fiscal 2003. The exercise term for the remaining Series A Warrants expires in November 2003.</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Hagedorn Partnership, L.P. exercised the balance of their Series B Warrants during the Company's third quarter of fiscal 2003, all of which were done on a cashless basis in accordance with the terms of the Series B Warrants: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2500" w:type="dxa"/>
            <w:vAlign w:val="bottom"/>
          </w:tcPr>
          <w:p>
            <w:pPr>
              <w:ind w:left="480"/>
              <w:spacing w:after="0"/>
              <w:rPr>
                <w:sz w:val="20"/>
                <w:szCs w:val="20"/>
                <w:color w:val="auto"/>
              </w:rPr>
            </w:pPr>
            <w:r>
              <w:rPr>
                <w:rFonts w:ascii="Courier New" w:cs="Courier New" w:eastAsia="Courier New" w:hAnsi="Courier New"/>
                <w:sz w:val="15"/>
                <w:szCs w:val="15"/>
                <w:color w:val="auto"/>
              </w:rPr>
              <w:t>Series B Warrants</w:t>
            </w:r>
          </w:p>
        </w:tc>
        <w:tc>
          <w:tcPr>
            <w:tcW w:w="2360" w:type="dxa"/>
            <w:vAlign w:val="bottom"/>
          </w:tcPr>
          <w:p>
            <w:pPr>
              <w:spacing w:after="0"/>
              <w:rPr>
                <w:sz w:val="14"/>
                <w:szCs w:val="14"/>
                <w:color w:val="auto"/>
              </w:rPr>
            </w:pPr>
          </w:p>
        </w:tc>
        <w:tc>
          <w:tcPr>
            <w:tcW w:w="1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Shares</w:t>
            </w:r>
          </w:p>
        </w:tc>
      </w:tr>
      <w:tr>
        <w:trPr>
          <w:trHeight w:val="168"/>
        </w:trPr>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Date</w:t>
            </w:r>
          </w:p>
        </w:tc>
        <w:tc>
          <w:tcPr>
            <w:tcW w:w="25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Exercised</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Exercise Price</w:t>
            </w:r>
          </w:p>
        </w:tc>
        <w:tc>
          <w:tcPr>
            <w:tcW w:w="19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Received</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2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4/4/03</w:t>
            </w:r>
          </w:p>
        </w:tc>
        <w:tc>
          <w:tcPr>
            <w:tcW w:w="2500" w:type="dxa"/>
            <w:vAlign w:val="bottom"/>
          </w:tcPr>
          <w:p>
            <w:pPr>
              <w:ind w:left="660"/>
              <w:spacing w:after="0"/>
              <w:rPr>
                <w:sz w:val="20"/>
                <w:szCs w:val="20"/>
                <w:color w:val="auto"/>
              </w:rPr>
            </w:pPr>
            <w:r>
              <w:rPr>
                <w:rFonts w:ascii="Courier New" w:cs="Courier New" w:eastAsia="Courier New" w:hAnsi="Courier New"/>
                <w:sz w:val="15"/>
                <w:szCs w:val="15"/>
                <w:color w:val="auto"/>
              </w:rPr>
              <w:t>76,750</w:t>
            </w:r>
          </w:p>
        </w:tc>
        <w:tc>
          <w:tcPr>
            <w:tcW w:w="236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$25</w:t>
            </w:r>
          </w:p>
        </w:tc>
        <w:tc>
          <w:tcPr>
            <w:tcW w:w="1920" w:type="dxa"/>
            <w:vAlign w:val="bottom"/>
          </w:tcPr>
          <w:p>
            <w:pPr>
              <w:jc w:val="center"/>
              <w:ind w:left="267"/>
              <w:spacing w:after="0"/>
              <w:rPr>
                <w:sz w:val="20"/>
                <w:szCs w:val="20"/>
                <w:color w:val="auto"/>
              </w:rPr>
            </w:pPr>
            <w:r>
              <w:rPr>
                <w:rFonts w:ascii="Courier New" w:cs="Courier New" w:eastAsia="Courier New" w:hAnsi="Courier New"/>
                <w:sz w:val="15"/>
                <w:szCs w:val="15"/>
                <w:color w:val="auto"/>
                <w:w w:val="99"/>
              </w:rPr>
              <w:t>41,902</w:t>
            </w:r>
          </w:p>
        </w:tc>
      </w:tr>
      <w:tr>
        <w:trPr>
          <w:trHeight w:val="168"/>
        </w:trPr>
        <w:tc>
          <w:tcPr>
            <w:tcW w:w="1280" w:type="dxa"/>
            <w:vAlign w:val="bottom"/>
          </w:tcPr>
          <w:p>
            <w:pPr>
              <w:spacing w:after="0" w:line="168" w:lineRule="exact"/>
              <w:rPr>
                <w:sz w:val="20"/>
                <w:szCs w:val="20"/>
                <w:color w:val="auto"/>
              </w:rPr>
            </w:pPr>
            <w:r>
              <w:rPr>
                <w:rFonts w:ascii="Courier New" w:cs="Courier New" w:eastAsia="Courier New" w:hAnsi="Courier New"/>
                <w:sz w:val="15"/>
                <w:szCs w:val="15"/>
                <w:color w:val="auto"/>
              </w:rPr>
              <w:t>4/23/03</w:t>
            </w:r>
          </w:p>
        </w:tc>
        <w:tc>
          <w:tcPr>
            <w:tcW w:w="25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54,320</w:t>
            </w:r>
          </w:p>
        </w:tc>
        <w:tc>
          <w:tcPr>
            <w:tcW w:w="236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$25</w:t>
            </w:r>
          </w:p>
        </w:tc>
        <w:tc>
          <w:tcPr>
            <w:tcW w:w="192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9"/>
              </w:rPr>
              <w:t>30,495</w:t>
            </w:r>
          </w:p>
        </w:tc>
      </w:tr>
    </w:tbl>
    <w:p>
      <w:pPr>
        <w:spacing w:after="0" w:line="200" w:lineRule="exact"/>
        <w:rPr>
          <w:sz w:val="20"/>
          <w:szCs w:val="20"/>
          <w:color w:val="auto"/>
        </w:rPr>
      </w:pPr>
    </w:p>
    <w:p>
      <w:pPr>
        <w:spacing w:after="0" w:line="30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All Series C Warrants were exercised prior to the commencement of the Company's third quarter of fiscal 2003.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Series A Warrants and Series B Warrants as well as the common shares issuable upon exercise of the Series A Warrants and Series B Warrants were registered pursuant to a Registration Statement on Form S-4 (Registration No. 33-57595) declared effective on March 15, 1995. If and to the extent that the Securities and Exchange Commission were to determine that such registration did not extend to the issuance of common shares of the Company upon exercise of the Series A Warrants and Series B Warrants, the Company may also be deemed to have issued the common shares in reliance upon the exemptions from registration provided in Section 4(2) and other related provisions of the Securities Act of 1933.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3" w:lineRule="exact"/>
        <w:rPr>
          <w:sz w:val="20"/>
          <w:szCs w:val="20"/>
          <w:color w:val="auto"/>
        </w:rPr>
      </w:pPr>
    </w:p>
    <w:p>
      <w:pPr>
        <w:ind w:right="3939" w:firstLine="797"/>
        <w:spacing w:after="0" w:line="234" w:lineRule="auto"/>
        <w:tabs>
          <w:tab w:leader="none" w:pos="113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45 for a list of the exhibits included herewith.</w:t>
      </w:r>
    </w:p>
    <w:p>
      <w:pPr>
        <w:spacing w:after="0" w:line="173" w:lineRule="exact"/>
        <w:rPr>
          <w:rFonts w:ascii="Courier New" w:cs="Courier New" w:eastAsia="Courier New" w:hAnsi="Courier New"/>
          <w:sz w:val="15"/>
          <w:szCs w:val="15"/>
          <w:color w:val="auto"/>
        </w:rPr>
      </w:pPr>
    </w:p>
    <w:p>
      <w:pPr>
        <w:ind w:right="3399" w:firstLine="797"/>
        <w:spacing w:after="0" w:line="236" w:lineRule="auto"/>
        <w:tabs>
          <w:tab w:leader="none" w:pos="1137"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24, 2003 the Registrant furnished information to the SEC on a Current Report on Form 8-K dated that same date, reporting under "Item 9. Regulation FD Disclosure," (which information was also deemed provided under Item 12. "Results of Operations and Financial Condition") that on April 24, 2003, the Registrant issued a press release reporting its second quarter financial results. The press release included the following non-GAAP financial measures as defined in Regulation G: (1) adjusted net income, (2) adjusted diluted earnings per share, (3) EBITDA and (4) adjusted EBITDA. The Form 8-K included the disclosure</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685" w:gutter="0" w:footer="0" w:header="0"/>
        </w:sectPr>
      </w:pPr>
    </w:p>
    <w:bookmarkStart w:id="46" w:name="page47"/>
    <w:bookmarkEnd w:id="46"/>
    <w:p>
      <w:pPr>
        <w:ind w:right="3759"/>
        <w:spacing w:after="0" w:line="234" w:lineRule="auto"/>
        <w:rPr>
          <w:sz w:val="20"/>
          <w:szCs w:val="20"/>
          <w:color w:val="auto"/>
        </w:rPr>
      </w:pPr>
      <w:r>
        <w:rPr>
          <w:rFonts w:ascii="Courier New" w:cs="Courier New" w:eastAsia="Courier New" w:hAnsi="Courier New"/>
          <w:sz w:val="15"/>
          <w:szCs w:val="15"/>
          <w:color w:val="auto"/>
        </w:rPr>
        <w:t>required by Regulation G and Item 10 of Regulation S-K in respect of these non-GAAP financial measures.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624" w:right="1440" w:bottom="1440" w:gutter="0" w:footer="0" w:header="0"/>
        </w:sectPr>
      </w:pPr>
    </w:p>
    <w:bookmarkStart w:id="47" w:name="page48"/>
    <w:bookmarkEnd w:id="47"/>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12, 2003</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Christopher L. Nagel</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238" w:lineRule="auto"/>
        <w:rPr>
          <w:sz w:val="20"/>
          <w:szCs w:val="20"/>
          <w:color w:val="auto"/>
        </w:rPr>
      </w:pPr>
      <w:r>
        <w:rPr>
          <w:rFonts w:ascii="Courier New" w:cs="Courier New" w:eastAsia="Courier New" w:hAnsi="Courier New"/>
          <w:sz w:val="15"/>
          <w:szCs w:val="15"/>
          <w:color w:val="auto"/>
        </w:rPr>
        <w:t>and Chief Financial Officer</w:t>
      </w:r>
    </w:p>
    <w:p>
      <w:pPr>
        <w:spacing w:after="0" w:line="237" w:lineRule="auto"/>
        <w:rPr>
          <w:sz w:val="20"/>
          <w:szCs w:val="20"/>
          <w:color w:val="auto"/>
        </w:rPr>
      </w:pPr>
      <w:r>
        <w:rPr>
          <w:rFonts w:ascii="Courier New" w:cs="Courier New" w:eastAsia="Courier New" w:hAnsi="Courier New"/>
          <w:sz w:val="15"/>
          <w:szCs w:val="15"/>
          <w:color w:val="auto"/>
        </w:rPr>
        <w:t>(Duly Authorized Officer) (Principal Financial</w:t>
      </w:r>
    </w:p>
    <w:p>
      <w:pPr>
        <w:spacing w:after="0" w:line="238" w:lineRule="auto"/>
        <w:rPr>
          <w:sz w:val="20"/>
          <w:szCs w:val="20"/>
          <w:color w:val="auto"/>
        </w:rPr>
      </w:pPr>
      <w:r>
        <w:rPr>
          <w:rFonts w:ascii="Courier New" w:cs="Courier New" w:eastAsia="Courier New" w:hAnsi="Courier New"/>
          <w:sz w:val="15"/>
          <w:szCs w:val="15"/>
          <w:color w:val="auto"/>
        </w:rPr>
        <w:t>Officer)</w:t>
      </w:r>
    </w:p>
    <w:p>
      <w:pPr>
        <w:spacing w:after="0" w:line="200" w:lineRule="exact"/>
        <w:rPr>
          <w:sz w:val="20"/>
          <w:szCs w:val="20"/>
          <w:color w:val="auto"/>
        </w:rPr>
      </w:pPr>
    </w:p>
    <w:p>
      <w:pPr>
        <w:sectPr>
          <w:pgSz w:w="11900" w:h="16838" w:orient="portrait"/>
          <w:cols w:equalWidth="0" w:num="2">
            <w:col w:w="2000" w:space="720"/>
            <w:col w:w="7519"/>
          </w:cols>
          <w:pgMar w:left="220" w:top="617"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17" w:right="1440" w:bottom="1440" w:gutter="0" w:footer="0" w:header="0"/>
          <w:type w:val="continuous"/>
        </w:sectPr>
      </w:pPr>
    </w:p>
    <w:bookmarkStart w:id="48" w:name="page49"/>
    <w:bookmarkEnd w:id="48"/>
    <w:p>
      <w:pPr>
        <w:ind w:left="2720"/>
        <w:spacing w:after="0"/>
        <w:rPr>
          <w:sz w:val="20"/>
          <w:szCs w:val="20"/>
          <w:color w:val="auto"/>
        </w:rPr>
      </w:pPr>
      <w:r>
        <w:rPr>
          <w:rFonts w:ascii="Courier New" w:cs="Courier New" w:eastAsia="Courier New" w:hAnsi="Courier New"/>
          <w:sz w:val="15"/>
          <w:szCs w:val="15"/>
          <w:color w:val="auto"/>
        </w:rPr>
        <w:t>THE SCOTTS COMPANY</w:t>
      </w:r>
    </w:p>
    <w:p>
      <w:pPr>
        <w:ind w:left="2280"/>
        <w:spacing w:after="0" w:line="237" w:lineRule="auto"/>
        <w:rPr>
          <w:sz w:val="20"/>
          <w:szCs w:val="20"/>
          <w:color w:val="auto"/>
        </w:rPr>
      </w:pPr>
      <w:r>
        <w:rPr>
          <w:rFonts w:ascii="Courier New" w:cs="Courier New" w:eastAsia="Courier New" w:hAnsi="Courier New"/>
          <w:sz w:val="15"/>
          <w:szCs w:val="15"/>
          <w:color w:val="auto"/>
        </w:rPr>
        <w:t>QUARTERLY REPORT ON FORM 10-Q</w:t>
      </w:r>
    </w:p>
    <w:p>
      <w:pPr>
        <w:ind w:left="1680"/>
        <w:spacing w:after="0" w:line="238" w:lineRule="auto"/>
        <w:rPr>
          <w:sz w:val="20"/>
          <w:szCs w:val="20"/>
          <w:color w:val="auto"/>
        </w:rPr>
      </w:pPr>
      <w:r>
        <w:rPr>
          <w:rFonts w:ascii="Courier New" w:cs="Courier New" w:eastAsia="Courier New" w:hAnsi="Courier New"/>
          <w:sz w:val="15"/>
          <w:szCs w:val="15"/>
          <w:color w:val="auto"/>
        </w:rPr>
        <w:t>FOR THE FISCAL QUARTER ENDED JUNE 28, 2003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5480" w:type="dxa"/>
            <w:vAlign w:val="bottom"/>
          </w:tcPr>
          <w:p>
            <w:pPr>
              <w:ind w:left="1400"/>
              <w:spacing w:after="0"/>
              <w:rPr>
                <w:sz w:val="20"/>
                <w:szCs w:val="20"/>
                <w:color w:val="auto"/>
              </w:rPr>
            </w:pPr>
            <w:r>
              <w:rPr>
                <w:rFonts w:ascii="Courier New" w:cs="Courier New" w:eastAsia="Courier New" w:hAnsi="Courier New"/>
                <w:sz w:val="15"/>
                <w:szCs w:val="15"/>
                <w:color w:val="auto"/>
              </w:rPr>
              <w:t>INDEX TO EXHIBITS</w:t>
            </w:r>
          </w:p>
        </w:tc>
        <w:tc>
          <w:tcPr>
            <w:tcW w:w="1180" w:type="dxa"/>
            <w:vAlign w:val="bottom"/>
          </w:tcPr>
          <w:p>
            <w:pPr>
              <w:spacing w:after="0"/>
              <w:rPr>
                <w:sz w:val="14"/>
                <w:szCs w:val="14"/>
                <w:color w:val="auto"/>
              </w:rPr>
            </w:pPr>
          </w:p>
        </w:tc>
      </w:tr>
      <w:tr>
        <w:trPr>
          <w:trHeight w:val="841"/>
        </w:trPr>
        <w:tc>
          <w:tcPr>
            <w:tcW w:w="140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480" w:type="dxa"/>
            <w:vAlign w:val="bottom"/>
          </w:tcPr>
          <w:p>
            <w:pPr>
              <w:ind w:left="2020"/>
              <w:spacing w:after="0"/>
              <w:rPr>
                <w:sz w:val="20"/>
                <w:szCs w:val="20"/>
                <w:color w:val="auto"/>
              </w:rPr>
            </w:pPr>
            <w:r>
              <w:rPr>
                <w:rFonts w:ascii="Courier New" w:cs="Courier New" w:eastAsia="Courier New" w:hAnsi="Courier New"/>
                <w:sz w:val="15"/>
                <w:szCs w:val="15"/>
                <w:color w:val="auto"/>
              </w:rPr>
              <w:t>DESCRIPTION</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LOCATION</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480" w:type="dxa"/>
            <w:vAlign w:val="bottom"/>
          </w:tcPr>
          <w:p>
            <w:pPr>
              <w:ind w:left="22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10(x)</w:t>
            </w:r>
          </w:p>
        </w:tc>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Letter agreement, dated April 23, 2003, between the</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Registrant and Robert F. Bernstock</w:t>
            </w:r>
          </w:p>
        </w:tc>
        <w:tc>
          <w:tcPr>
            <w:tcW w:w="118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31(a)</w:t>
            </w:r>
          </w:p>
        </w:tc>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18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31(b)</w:t>
            </w:r>
          </w:p>
        </w:tc>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Rule 13a-14(a)/15d-14(a) Certification (Principal</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Financial Officer)</w:t>
            </w:r>
          </w:p>
        </w:tc>
        <w:tc>
          <w:tcPr>
            <w:tcW w:w="118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5480" w:type="dxa"/>
            <w:vAlign w:val="bottom"/>
          </w:tcPr>
          <w:p>
            <w:pPr>
              <w:ind w:left="280"/>
              <w:spacing w:after="0"/>
              <w:rPr>
                <w:sz w:val="20"/>
                <w:szCs w:val="20"/>
                <w:color w:val="auto"/>
              </w:rPr>
            </w:pPr>
            <w:r>
              <w:rPr>
                <w:rFonts w:ascii="Courier New" w:cs="Courier New" w:eastAsia="Courier New" w:hAnsi="Courier New"/>
                <w:sz w:val="15"/>
                <w:szCs w:val="15"/>
                <w:color w:val="auto"/>
              </w:rPr>
              <w:t>Section 1350 Certifications (Principal Executive Officer</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1400" w:type="dxa"/>
            <w:vAlign w:val="bottom"/>
          </w:tcPr>
          <w:p>
            <w:pPr>
              <w:spacing w:after="0"/>
              <w:rPr>
                <w:sz w:val="14"/>
                <w:szCs w:val="14"/>
                <w:color w:val="auto"/>
              </w:rPr>
            </w:pPr>
          </w:p>
        </w:tc>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Principal Financial Officer)</w:t>
            </w:r>
          </w:p>
        </w:tc>
        <w:tc>
          <w:tcPr>
            <w:tcW w:w="11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954" w:right="1440" w:bottom="1440" w:gutter="0" w:footer="0" w:header="0"/>
        </w:sectPr>
      </w:pPr>
    </w:p>
    <w:bookmarkStart w:id="49" w:name="page50"/>
    <w:bookmarkEnd w:id="49"/>
    <w:p>
      <w:pPr>
        <w:jc w:val="right"/>
        <w:ind w:right="3239"/>
        <w:spacing w:after="0"/>
        <w:rPr>
          <w:sz w:val="20"/>
          <w:szCs w:val="20"/>
          <w:color w:val="auto"/>
        </w:rPr>
      </w:pPr>
      <w:r>
        <w:rPr>
          <w:rFonts w:ascii="Courier New" w:cs="Courier New" w:eastAsia="Courier New" w:hAnsi="Courier New"/>
          <w:sz w:val="15"/>
          <w:szCs w:val="15"/>
          <w:color w:val="auto"/>
        </w:rPr>
        <w:t>Exhibit 10(x)</w:t>
      </w:r>
    </w:p>
    <w:p>
      <w:pPr>
        <w:spacing w:after="0" w:line="335"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5"/>
          <w:szCs w:val="15"/>
          <w:color w:val="auto"/>
        </w:rPr>
        <w:t>The Scotts Company</w:t>
      </w:r>
      <w:r>
        <w:rPr>
          <w:sz w:val="20"/>
          <w:szCs w:val="20"/>
          <w:color w:val="auto"/>
        </w:rPr>
        <w:tab/>
      </w:r>
      <w:r>
        <w:rPr>
          <w:rFonts w:ascii="Courier New" w:cs="Courier New" w:eastAsia="Courier New" w:hAnsi="Courier New"/>
          <w:sz w:val="14"/>
          <w:szCs w:val="14"/>
          <w:color w:val="auto"/>
        </w:rPr>
        <w:t>[Scotts Logo]</w:t>
      </w:r>
    </w:p>
    <w:p>
      <w:pPr>
        <w:ind w:left="180" w:hanging="170"/>
        <w:spacing w:after="0" w:line="237"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 Subsidiaries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Denise Stump</w:t>
      </w:r>
    </w:p>
    <w:p>
      <w:pPr>
        <w:spacing w:after="0" w:line="237" w:lineRule="auto"/>
        <w:rPr>
          <w:sz w:val="20"/>
          <w:szCs w:val="20"/>
          <w:color w:val="auto"/>
        </w:rPr>
      </w:pPr>
      <w:r>
        <w:rPr>
          <w:rFonts w:ascii="Courier New" w:cs="Courier New" w:eastAsia="Courier New" w:hAnsi="Courier New"/>
          <w:sz w:val="15"/>
          <w:szCs w:val="15"/>
          <w:color w:val="auto"/>
        </w:rPr>
        <w:t>Executive Vice President, Human Resources Global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23, 2003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Robert F. Bernstock</w:t>
      </w:r>
    </w:p>
    <w:p>
      <w:pPr>
        <w:spacing w:after="0" w:line="237" w:lineRule="auto"/>
        <w:rPr>
          <w:sz w:val="20"/>
          <w:szCs w:val="20"/>
          <w:color w:val="auto"/>
        </w:rPr>
      </w:pPr>
      <w:r>
        <w:rPr>
          <w:rFonts w:ascii="Courier New" w:cs="Courier New" w:eastAsia="Courier New" w:hAnsi="Courier New"/>
          <w:sz w:val="15"/>
          <w:szCs w:val="15"/>
          <w:color w:val="auto"/>
        </w:rPr>
        <w:t>[ADDRESS]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Bob:</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On behalf of Jim Hagedorn, I am pleased to extend to you this offer of employment with The Scotts Company as the President, North America (for Corporate Officer purposes your title will be Executive Vice President and President, North America) with a start date of June 1, 2003. In this role the Supply Chain function will be added to your responsibilities by September 30, 2004. It is expected that you will continue your outside Board of Director responsibilities as appropriate.</w:t>
      </w:r>
    </w:p>
    <w:p>
      <w:pPr>
        <w:spacing w:after="0" w:line="176"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Your initial base salary will be at a monthly rate of $39,583.33 with a target bonus under the Executive/Management Incentive Plan of 65%. For FY2003 you will be guaranteed a pro-rated incentive payment at a minimum of the 100% of target.</w:t>
      </w:r>
    </w:p>
    <w:p>
      <w:pPr>
        <w:spacing w:after="0" w:line="16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addition, as a key member of the team, your initial grant of Stock Appreciation Rights (SAR's) will be guaranteed at 50,000 and will be issued effective as of your start date. On a go forward annual basis you will be eligible for a grant of Stock Appreciation Rights consistent with the level of your position and individual performance.</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will receive a one-time signing bonus of $300,000 paid as a lump-sum in a supplemental payroll check payable at the time of your first paycheck. Should you leave Scotts for any reason before completing twenty-four months, you agree to immediately pay back to Scotts the pro rata balance of this payment based on the time remaining in the period. Should you die, become totally disabled, or be terminated without cause (as defined on the next page) during the 24-month period following your hire, the requirement to repay the signing bonus will be waived.</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You are eligible for relocation benefits as outlined in the attached Relocation Policy. You are required to sign and return the enclosed Relocation Payback Agreement prior to initiating your relocation. A Personal Move Manager from Weichert Relocation will contact you to initiate the process and to discuss the services available to you.</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the event of a Change-in-Control (as defined by the 2003 Stock Option Plan) should your employment be terminated within 18 months following the Change-in-Control you will be eligible for a lump-sum payment of</w:t>
      </w:r>
    </w:p>
    <w:p>
      <w:pPr>
        <w:sectPr>
          <w:pgSz w:w="11900" w:h="16838" w:orient="portrait"/>
          <w:cols w:equalWidth="0" w:num="1">
            <w:col w:w="10239"/>
          </w:cols>
          <w:pgMar w:left="220" w:top="639" w:right="1440" w:bottom="1440" w:gutter="0" w:footer="0" w:header="0"/>
        </w:sectPr>
      </w:pPr>
    </w:p>
    <w:bookmarkStart w:id="50" w:name="page51"/>
    <w:bookmarkEnd w:id="50"/>
    <w:p>
      <w:pPr>
        <w:ind w:right="3239"/>
        <w:spacing w:after="0" w:line="234" w:lineRule="auto"/>
        <w:rPr>
          <w:sz w:val="20"/>
          <w:szCs w:val="20"/>
          <w:color w:val="auto"/>
        </w:rPr>
      </w:pPr>
      <w:r>
        <w:rPr>
          <w:rFonts w:ascii="Courier New" w:cs="Courier New" w:eastAsia="Courier New" w:hAnsi="Courier New"/>
          <w:sz w:val="15"/>
          <w:szCs w:val="15"/>
          <w:color w:val="auto"/>
        </w:rPr>
        <w:t>two years base salary plus target incentive. Your Stock Appreciation Rights will vest at the time of a Change-in Control per the plan language.</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In the event of termination, for other than cause, The Scotts Company will provide you with two-year's base pay plus a pro-rated incentive payment for the applicable plan year in which the termination occurs. Cause is defined as:</w:t>
      </w:r>
    </w:p>
    <w:p>
      <w:pPr>
        <w:spacing w:after="0" w:line="161"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Gross misconduct or Gross negligence, which results in material injury to the property or business of the Company. The commission by the Employee of an act of fraud upon or an act evidencing dishonesty toward the Company, including the willful and wrongful misappropriation by the Employee of any funds, property or rights of the Company. Conviction of the Employee for a misdemeanor involving moral turpitude or for any felony. Willful failure, after reasonable notice, to comply with lawful rules, policies, standards and guidelines promulgated by the Company for application to its employees generally.</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In the event of your death, disability or total disability you will be eligible for a severance payment to your designated beneficiary.</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Personal financial planning is also provided through the AYCO Corporation. The value of this confidential service will be added to your W-2. Some or all of this value may be tax deductible. In addition, you will also be eligible for a car allowance of $12,000 per year, which is paid monthly in accordance with IRS regulations. The value of this car allowance will also be reflected in your W-2.</w:t>
      </w:r>
    </w:p>
    <w:p>
      <w:pPr>
        <w:spacing w:after="0" w:line="16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Legal fees for review of your employment letter will be reimbursable in the full amount not to exceed $5,000 net of taxes.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You will be eligible for coverage under The Scotts Company Comprehensive Benefit Program, which will be available the first day of the month following your date of employment. This coverage includes: four weeks of vacation, participation in our medical, dental and vision coverage; life insurance (basic and supplemental life, including dependent coverage); voluntary AD&amp;D; The Scotts Company Retirement Savings Plan; Flexible Spending Account Programs (health care and dependent); Tuition Reimbursement Program; vacation and a stock purchase plan. Short and Long-Term Disability benefits will also be available once the required waiting periods are met. Benefit enrollment forms must be completed and returned to The Benefits Department no later than 31 days from the eligibility date.</w:t>
      </w:r>
    </w:p>
    <w:p>
      <w:pPr>
        <w:spacing w:after="0" w:line="16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In addition, you will be eligible for an annual executive physical at either the Cleveland Clinic or OSU Health Center.</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You will be eligible for participation in our qualified and no-qualified retirement plans. The company retirement (base) contribution is 2% of eligible earnings up to 50% of the Social Security wage base ($43,750) and 4% of eligible earnings above that. Eligible earnings for this plan include your base salary and incentive payments. The company match in both the 401k and the non-qualified plan is 100% on the first 3% you defer and 50% on the next 2% that you defer. Eligible earnings under this plan are your base salary.</w:t>
      </w:r>
    </w:p>
    <w:p>
      <w:pPr>
        <w:spacing w:after="0" w:line="176"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This offer is contingent upon a satisfactory completion of a reference check and drug screen as required by all Scotts associates.</w:t>
      </w:r>
    </w:p>
    <w:p>
      <w:pPr>
        <w:sectPr>
          <w:pgSz w:w="11900" w:h="16838" w:orient="portrait"/>
          <w:cols w:equalWidth="0" w:num="1">
            <w:col w:w="10239"/>
          </w:cols>
          <w:pgMar w:left="220" w:top="624" w:right="1440" w:bottom="1440" w:gutter="0" w:footer="0" w:header="0"/>
        </w:sectPr>
      </w:pPr>
    </w:p>
    <w:bookmarkStart w:id="51" w:name="page52"/>
    <w:bookmarkEnd w:id="51"/>
    <w:p>
      <w:pPr>
        <w:ind w:right="3239"/>
        <w:spacing w:after="0" w:line="235" w:lineRule="auto"/>
        <w:rPr>
          <w:sz w:val="20"/>
          <w:szCs w:val="20"/>
          <w:color w:val="auto"/>
        </w:rPr>
      </w:pPr>
      <w:r>
        <w:rPr>
          <w:rFonts w:ascii="Courier New" w:cs="Courier New" w:eastAsia="Courier New" w:hAnsi="Courier New"/>
          <w:sz w:val="15"/>
          <w:szCs w:val="15"/>
          <w:color w:val="auto"/>
        </w:rPr>
        <w:t>A new hire orientation will take place on your first day of employment at 8:00 am. We will be sending the appropriate paperwork to you in advance of your first day.</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By signing in the space below, you acknowledge that you have received and read this letter and all the enclosures hereto, and you further acknowledge your acceptance of the terms set forth herein and in the enclosures. If the terms are acceptable to you, please sign and return this letter prior to your first day.</w:t>
      </w:r>
    </w:p>
    <w:p>
      <w:pPr>
        <w:spacing w:after="0" w:line="16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Bob, we are excited to have you join our team as a full-time Scotts' associate and are confident that you will enjoy and contribute to the continued success of The Scotts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Denise Stump</w:t>
      </w:r>
    </w:p>
    <w:p>
      <w:pPr>
        <w:spacing w:after="0" w:line="237" w:lineRule="auto"/>
        <w:rPr>
          <w:sz w:val="20"/>
          <w:szCs w:val="20"/>
          <w:color w:val="auto"/>
        </w:rPr>
      </w:pPr>
      <w:r>
        <w:rPr>
          <w:rFonts w:ascii="Courier New" w:cs="Courier New" w:eastAsia="Courier New" w:hAnsi="Courier New"/>
          <w:sz w:val="15"/>
          <w:szCs w:val="15"/>
          <w:color w:val="auto"/>
        </w:rPr>
        <w:t>Denise Stump</w:t>
      </w:r>
    </w:p>
    <w:p>
      <w:pPr>
        <w:spacing w:after="0" w:line="238" w:lineRule="auto"/>
        <w:rPr>
          <w:sz w:val="20"/>
          <w:szCs w:val="20"/>
          <w:color w:val="auto"/>
        </w:rPr>
      </w:pPr>
      <w:r>
        <w:rPr>
          <w:rFonts w:ascii="Courier New" w:cs="Courier New" w:eastAsia="Courier New" w:hAnsi="Courier New"/>
          <w:sz w:val="15"/>
          <w:szCs w:val="15"/>
          <w:color w:val="auto"/>
        </w:rPr>
        <w:t>Executive Vice President, Human Resources Global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ectPr>
          <w:pgSz w:w="11900" w:h="16838" w:orient="portrait"/>
          <w:cols w:equalWidth="0" w:num="1">
            <w:col w:w="10239"/>
          </w:cols>
          <w:pgMar w:left="220" w:top="624"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F. Bernstock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Bernstock</w:t>
      </w:r>
    </w:p>
    <w:p>
      <w:pPr>
        <w:spacing w:after="0" w:line="237" w:lineRule="auto"/>
        <w:rPr>
          <w:sz w:val="20"/>
          <w:szCs w:val="20"/>
          <w:color w:val="auto"/>
        </w:rPr>
      </w:pPr>
      <w:r>
        <w:rPr>
          <w:rFonts w:ascii="Courier New" w:cs="Courier New" w:eastAsia="Courier New" w:hAnsi="Courier New"/>
          <w:sz w:val="15"/>
          <w:szCs w:val="15"/>
          <w:color w:val="auto"/>
        </w:rPr>
        <w:t>CC: Jim Hagedorn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5/2/03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3140" w:space="720"/>
            <w:col w:w="6379"/>
          </w:cols>
          <w:pgMar w:left="220" w:top="624" w:right="1440" w:bottom="1440" w:gutter="0" w:footer="0" w:header="0"/>
          <w:type w:val="continuous"/>
        </w:sectPr>
      </w:pPr>
    </w:p>
    <w:bookmarkStart w:id="52" w:name="page53"/>
    <w:bookmarkEnd w:id="52"/>
    <w:p>
      <w:pPr>
        <w:jc w:val="right"/>
        <w:ind w:right="3239"/>
        <w:spacing w:after="0"/>
        <w:rPr>
          <w:sz w:val="20"/>
          <w:szCs w:val="20"/>
          <w:color w:val="auto"/>
        </w:rPr>
      </w:pPr>
      <w:r>
        <w:rPr>
          <w:rFonts w:ascii="Courier New" w:cs="Courier New" w:eastAsia="Courier New" w:hAnsi="Courier New"/>
          <w:sz w:val="15"/>
          <w:szCs w:val="15"/>
          <w:color w:val="auto"/>
        </w:rPr>
        <w:t>Exhibit 31(a)</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PRINCIPAL EXECUTIVE OFFICER 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James Hagedorn, certify that:</w:t>
      </w:r>
    </w:p>
    <w:p>
      <w:pPr>
        <w:spacing w:after="0" w:line="166"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2" w:lineRule="exact"/>
        <w:rPr>
          <w:rFonts w:ascii="Courier New" w:cs="Courier New" w:eastAsia="Courier New" w:hAnsi="Courier New"/>
          <w:sz w:val="15"/>
          <w:szCs w:val="15"/>
          <w:color w:val="auto"/>
        </w:rPr>
      </w:pPr>
    </w:p>
    <w:p>
      <w:pPr>
        <w:ind w:left="280" w:right="3239" w:hanging="270"/>
        <w:spacing w:after="0" w:line="256" w:lineRule="auto"/>
        <w:tabs>
          <w:tab w:leader="none" w:pos="2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280" w:right="3319" w:hanging="270"/>
        <w:spacing w:after="0" w:line="235" w:lineRule="auto"/>
        <w:tabs>
          <w:tab w:leader="none" w:pos="2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ind w:left="280" w:right="3399" w:hanging="270"/>
        <w:spacing w:after="0" w:line="258" w:lineRule="auto"/>
        <w:tabs>
          <w:tab w:leader="none" w:pos="2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54" w:lineRule="exact"/>
        <w:rPr>
          <w:rFonts w:ascii="Courier New" w:cs="Courier New" w:eastAsia="Courier New" w:hAnsi="Courier New"/>
          <w:sz w:val="14"/>
          <w:szCs w:val="14"/>
          <w:color w:val="auto"/>
        </w:rPr>
      </w:pPr>
    </w:p>
    <w:p>
      <w:pPr>
        <w:ind w:left="980" w:hanging="358"/>
        <w:spacing w:after="0"/>
        <w:tabs>
          <w:tab w:leader="none" w:pos="9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w:t>
      </w:r>
    </w:p>
    <w:p>
      <w:pPr>
        <w:spacing w:after="0" w:line="4" w:lineRule="exact"/>
        <w:rPr>
          <w:rFonts w:ascii="Courier New" w:cs="Courier New" w:eastAsia="Courier New" w:hAnsi="Courier New"/>
          <w:sz w:val="15"/>
          <w:szCs w:val="15"/>
          <w:color w:val="auto"/>
        </w:rPr>
      </w:pPr>
    </w:p>
    <w:p>
      <w:pPr>
        <w:ind w:left="6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ourier New" w:cs="Courier New" w:eastAsia="Courier New" w:hAnsi="Courier New"/>
          <w:sz w:val="15"/>
          <w:szCs w:val="15"/>
          <w:color w:val="auto"/>
        </w:rPr>
      </w:pPr>
    </w:p>
    <w:p>
      <w:pPr>
        <w:ind w:left="620" w:right="3239" w:firstLine="2"/>
        <w:spacing w:after="0" w:line="256" w:lineRule="auto"/>
        <w:tabs>
          <w:tab w:leader="none" w:pos="97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620" w:right="3239" w:firstLine="2"/>
        <w:spacing w:after="0" w:line="236" w:lineRule="auto"/>
        <w:tabs>
          <w:tab w:leader="none" w:pos="97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Courier New" w:cs="Courier New" w:eastAsia="Courier New" w:hAnsi="Courier New"/>
          <w:sz w:val="15"/>
          <w:szCs w:val="15"/>
          <w:color w:val="auto"/>
        </w:rPr>
      </w:pPr>
    </w:p>
    <w:p>
      <w:pPr>
        <w:ind w:left="280" w:right="3319" w:hanging="270"/>
        <w:spacing w:after="0" w:line="235" w:lineRule="auto"/>
        <w:tabs>
          <w:tab w:leader="none" w:pos="2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620" w:right="3239" w:firstLine="2"/>
        <w:spacing w:after="0" w:line="235" w:lineRule="auto"/>
        <w:tabs>
          <w:tab w:leader="none" w:pos="97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620" w:right="3239" w:firstLine="2"/>
        <w:spacing w:after="0" w:line="235" w:lineRule="auto"/>
        <w:tabs>
          <w:tab w:leader="none" w:pos="97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6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12, 2003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and Chairman of the Board</w:t>
      </w:r>
    </w:p>
    <w:p>
      <w:pPr>
        <w:sectPr>
          <w:pgSz w:w="11900" w:h="16838" w:orient="portrait"/>
          <w:cols w:equalWidth="0" w:num="2">
            <w:col w:w="2000" w:space="720"/>
            <w:col w:w="7519"/>
          </w:cols>
          <w:pgMar w:left="220" w:top="640" w:right="1440" w:bottom="1440" w:gutter="0" w:footer="0" w:header="0"/>
          <w:type w:val="continuous"/>
        </w:sectPr>
      </w:pPr>
    </w:p>
    <w:bookmarkStart w:id="53" w:name="page54"/>
    <w:bookmarkEnd w:id="53"/>
    <w:p>
      <w:pPr>
        <w:jc w:val="right"/>
        <w:ind w:right="3239"/>
        <w:spacing w:after="0"/>
        <w:rPr>
          <w:sz w:val="20"/>
          <w:szCs w:val="20"/>
          <w:color w:val="auto"/>
        </w:rPr>
      </w:pPr>
      <w:r>
        <w:rPr>
          <w:rFonts w:ascii="Courier New" w:cs="Courier New" w:eastAsia="Courier New" w:hAnsi="Courier New"/>
          <w:sz w:val="15"/>
          <w:szCs w:val="15"/>
          <w:color w:val="auto"/>
        </w:rPr>
        <w:t>Exhibit 31(b)</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PRINCIPAL FINANCIAL OFFICER CERTIFICATION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Christopher L. Nagel, certify that:</w:t>
      </w:r>
    </w:p>
    <w:p>
      <w:pPr>
        <w:spacing w:after="0" w:line="166" w:lineRule="exact"/>
        <w:rPr>
          <w:sz w:val="20"/>
          <w:szCs w:val="20"/>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reviewed this Quarterly Report on Form 10-Q of The Scotts Company;</w:t>
      </w:r>
    </w:p>
    <w:p>
      <w:pPr>
        <w:spacing w:after="0" w:line="172" w:lineRule="exact"/>
        <w:rPr>
          <w:rFonts w:ascii="Courier New" w:cs="Courier New" w:eastAsia="Courier New" w:hAnsi="Courier New"/>
          <w:sz w:val="15"/>
          <w:szCs w:val="15"/>
          <w:color w:val="auto"/>
        </w:rPr>
      </w:pPr>
    </w:p>
    <w:p>
      <w:pPr>
        <w:ind w:left="280" w:right="3239" w:hanging="270"/>
        <w:spacing w:after="0" w:line="256" w:lineRule="auto"/>
        <w:tabs>
          <w:tab w:leader="none" w:pos="2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Courier New" w:cs="Courier New" w:eastAsia="Courier New" w:hAnsi="Courier New"/>
          <w:sz w:val="14"/>
          <w:szCs w:val="14"/>
          <w:color w:val="auto"/>
        </w:rPr>
      </w:pPr>
    </w:p>
    <w:p>
      <w:pPr>
        <w:ind w:left="280" w:right="3319" w:hanging="270"/>
        <w:spacing w:after="0" w:line="235" w:lineRule="auto"/>
        <w:tabs>
          <w:tab w:leader="none" w:pos="2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Courier New" w:cs="Courier New" w:eastAsia="Courier New" w:hAnsi="Courier New"/>
          <w:sz w:val="15"/>
          <w:szCs w:val="15"/>
          <w:color w:val="auto"/>
        </w:rPr>
      </w:pPr>
    </w:p>
    <w:p>
      <w:pPr>
        <w:ind w:left="280" w:right="3399" w:hanging="270"/>
        <w:spacing w:after="0" w:line="258" w:lineRule="auto"/>
        <w:tabs>
          <w:tab w:leader="none" w:pos="2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54" w:lineRule="exact"/>
        <w:rPr>
          <w:rFonts w:ascii="Courier New" w:cs="Courier New" w:eastAsia="Courier New" w:hAnsi="Courier New"/>
          <w:sz w:val="14"/>
          <w:szCs w:val="14"/>
          <w:color w:val="auto"/>
        </w:rPr>
      </w:pPr>
    </w:p>
    <w:p>
      <w:pPr>
        <w:ind w:left="980" w:hanging="358"/>
        <w:spacing w:after="0"/>
        <w:tabs>
          <w:tab w:leader="none" w:pos="98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w:t>
      </w:r>
    </w:p>
    <w:p>
      <w:pPr>
        <w:spacing w:after="0" w:line="4" w:lineRule="exact"/>
        <w:rPr>
          <w:rFonts w:ascii="Courier New" w:cs="Courier New" w:eastAsia="Courier New" w:hAnsi="Courier New"/>
          <w:sz w:val="15"/>
          <w:szCs w:val="15"/>
          <w:color w:val="auto"/>
        </w:rPr>
      </w:pPr>
    </w:p>
    <w:p>
      <w:pPr>
        <w:ind w:left="6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Courier New" w:cs="Courier New" w:eastAsia="Courier New" w:hAnsi="Courier New"/>
          <w:sz w:val="15"/>
          <w:szCs w:val="15"/>
          <w:color w:val="auto"/>
        </w:rPr>
      </w:pPr>
    </w:p>
    <w:p>
      <w:pPr>
        <w:ind w:left="620" w:right="3239" w:firstLine="2"/>
        <w:spacing w:after="0" w:line="256" w:lineRule="auto"/>
        <w:tabs>
          <w:tab w:leader="none" w:pos="97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Courier New" w:cs="Courier New" w:eastAsia="Courier New" w:hAnsi="Courier New"/>
          <w:sz w:val="14"/>
          <w:szCs w:val="14"/>
          <w:color w:val="auto"/>
        </w:rPr>
      </w:pPr>
    </w:p>
    <w:p>
      <w:pPr>
        <w:ind w:left="620" w:right="3239" w:firstLine="2"/>
        <w:spacing w:after="0" w:line="236" w:lineRule="auto"/>
        <w:tabs>
          <w:tab w:leader="none" w:pos="97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3" w:lineRule="exact"/>
        <w:rPr>
          <w:rFonts w:ascii="Courier New" w:cs="Courier New" w:eastAsia="Courier New" w:hAnsi="Courier New"/>
          <w:sz w:val="15"/>
          <w:szCs w:val="15"/>
          <w:color w:val="auto"/>
        </w:rPr>
      </w:pPr>
    </w:p>
    <w:p>
      <w:pPr>
        <w:ind w:left="280" w:right="3319" w:hanging="270"/>
        <w:spacing w:after="0" w:line="235" w:lineRule="auto"/>
        <w:tabs>
          <w:tab w:leader="none" w:pos="2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Courier New" w:cs="Courier New" w:eastAsia="Courier New" w:hAnsi="Courier New"/>
          <w:sz w:val="15"/>
          <w:szCs w:val="15"/>
          <w:color w:val="auto"/>
        </w:rPr>
      </w:pPr>
    </w:p>
    <w:p>
      <w:pPr>
        <w:ind w:left="620" w:right="3239" w:firstLine="2"/>
        <w:spacing w:after="0" w:line="235" w:lineRule="auto"/>
        <w:tabs>
          <w:tab w:leader="none" w:pos="97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Courier New" w:cs="Courier New" w:eastAsia="Courier New" w:hAnsi="Courier New"/>
          <w:sz w:val="15"/>
          <w:szCs w:val="15"/>
          <w:color w:val="auto"/>
        </w:rPr>
      </w:pPr>
    </w:p>
    <w:p>
      <w:pPr>
        <w:ind w:left="620" w:right="3239" w:firstLine="2"/>
        <w:spacing w:after="0" w:line="235" w:lineRule="auto"/>
        <w:tabs>
          <w:tab w:leader="none" w:pos="97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640"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August 12, 2003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Christopher L. Nagel, Executive Vice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Financial Officer</w:t>
      </w:r>
    </w:p>
    <w:p>
      <w:pPr>
        <w:sectPr>
          <w:pgSz w:w="11900" w:h="16838" w:orient="portrait"/>
          <w:cols w:equalWidth="0" w:num="2">
            <w:col w:w="3060" w:space="720"/>
            <w:col w:w="6459"/>
          </w:cols>
          <w:pgMar w:left="220" w:top="640" w:right="1440" w:bottom="1440" w:gutter="0" w:footer="0" w:header="0"/>
          <w:type w:val="continuous"/>
        </w:sectPr>
      </w:pPr>
    </w:p>
    <w:bookmarkStart w:id="54" w:name="page55"/>
    <w:bookmarkEnd w:id="54"/>
    <w:p>
      <w:pPr>
        <w:jc w:val="right"/>
        <w:ind w:right="3239"/>
        <w:spacing w:after="0"/>
        <w:rPr>
          <w:sz w:val="20"/>
          <w:szCs w:val="20"/>
          <w:color w:val="auto"/>
        </w:rPr>
      </w:pPr>
      <w:r>
        <w:rPr>
          <w:rFonts w:ascii="Courier New" w:cs="Courier New" w:eastAsia="Courier New" w:hAnsi="Courier New"/>
          <w:sz w:val="15"/>
          <w:szCs w:val="15"/>
          <w:color w:val="auto"/>
        </w:rPr>
        <w:t>Exhibit 32</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SECTION 1350 CERTIFICATION*</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connection with the Quarterly Report of The Scotts Company (the "Company") on Form 10-Q for the period ended June 28, 2003 as filed with the Securities and Exchange Commission on the date hereof (the "Report"), the undersigned James Hagedorn, President, Chief Executive Officer and Chairman of the Board of the Company, and Christopher L. Nagel,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66" w:lineRule="exact"/>
        <w:rPr>
          <w:sz w:val="20"/>
          <w:szCs w:val="20"/>
          <w:color w:val="auto"/>
        </w:rPr>
      </w:pPr>
    </w:p>
    <w:p>
      <w:pPr>
        <w:ind w:left="540" w:right="3499" w:hanging="355"/>
        <w:spacing w:after="0" w:line="234"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540" w:right="3399" w:hanging="355"/>
        <w:spacing w:after="0" w:line="235" w:lineRule="auto"/>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ectPr>
          <w:pgSz w:w="11900" w:h="16838" w:orient="portrait"/>
          <w:cols w:equalWidth="0" w:num="1">
            <w:col w:w="10239"/>
          </w:cols>
          <w:pgMar w:left="220" w:top="640" w:right="1440" w:bottom="1440" w:gutter="0" w:footer="0" w:header="0"/>
        </w:sectPr>
      </w:pP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James Hagedorn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James Hagedorn</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 Chairman of the Board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Christopher L. Nagel</w:t>
      </w:r>
    </w:p>
    <w:p>
      <w:pPr>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Chief Financial Officer</w:t>
      </w:r>
    </w:p>
    <w:p>
      <w:pPr>
        <w:spacing w:after="0" w:line="177" w:lineRule="exact"/>
        <w:rPr>
          <w:sz w:val="20"/>
          <w:szCs w:val="20"/>
          <w:color w:val="auto"/>
        </w:rPr>
      </w:pPr>
    </w:p>
    <w:p>
      <w:pPr>
        <w:sectPr>
          <w:pgSz w:w="11900" w:h="16838" w:orient="portrait"/>
          <w:cols w:equalWidth="0" w:num="2">
            <w:col w:w="3600" w:space="700"/>
            <w:col w:w="5939"/>
          </w:cols>
          <w:pgMar w:left="220" w:top="64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August 12, 2003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August 12, 2003</w:t>
      </w:r>
    </w:p>
    <w:p>
      <w:pPr>
        <w:spacing w:after="0" w:line="178" w:lineRule="exact"/>
        <w:rPr>
          <w:sz w:val="20"/>
          <w:szCs w:val="20"/>
          <w:color w:val="auto"/>
        </w:rPr>
      </w:pPr>
    </w:p>
    <w:p>
      <w:pPr>
        <w:sectPr>
          <w:pgSz w:w="11900" w:h="16838" w:orient="portrait"/>
          <w:cols w:equalWidth="0" w:num="2">
            <w:col w:w="3580" w:space="720"/>
            <w:col w:w="5939"/>
          </w:cols>
          <w:pgMar w:left="220" w:top="640"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sectPr>
      <w:pgSz w:w="11900" w:h="16838" w:orient="portrait"/>
      <w:cols w:equalWidth="0" w:num="1">
        <w:col w:w="10239"/>
      </w:cols>
      <w:pgMar w:left="220" w:top="6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upperLetter"/>
      <w:start w:val="24"/>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3"/>
    </w:lvl>
  </w:abstractNum>
  <w:abstractNum w:abstractNumId="5">
    <w:nsid w:val="721DA317"/>
    <w:multiLevelType w:val="hybridMultilevel"/>
    <w:lvl w:ilvl="0">
      <w:lvlJc w:val="left"/>
      <w:lvlText w:val="%1."/>
      <w:numFmt w:val="decimal"/>
      <w:start w:val="4"/>
    </w:lvl>
  </w:abstractNum>
  <w:abstractNum w:abstractNumId="6">
    <w:nsid w:val="2443A858"/>
    <w:multiLevelType w:val="hybridMultilevel"/>
    <w:lvl w:ilvl="0">
      <w:lvlJc w:val="left"/>
      <w:lvlText w:val="%1."/>
      <w:numFmt w:val="decimal"/>
      <w:start w:val="5"/>
    </w:lvl>
  </w:abstractNum>
  <w:abstractNum w:abstractNumId="7">
    <w:nsid w:val="2D1D5AE9"/>
    <w:multiLevelType w:val="hybridMultilevel"/>
    <w:lvl w:ilvl="0">
      <w:lvlJc w:val="left"/>
      <w:lvlText w:val="%1."/>
      <w:numFmt w:val="decimal"/>
      <w:start w:val="7"/>
    </w:lvl>
  </w:abstractNum>
  <w:abstractNum w:abstractNumId="8">
    <w:nsid w:val="6763845E"/>
    <w:multiLevelType w:val="hybridMultilevel"/>
    <w:lvl w:ilvl="0">
      <w:lvlJc w:val="left"/>
      <w:lvlText w:val="%1."/>
      <w:numFmt w:val="decimal"/>
      <w:start w:val="9"/>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1."/>
      <w:numFmt w:val="decimal"/>
      <w:start w:val="10"/>
    </w:lvl>
  </w:abstractNum>
  <w:abstractNum w:abstractNumId="11">
    <w:nsid w:val="79838CB2"/>
    <w:multiLevelType w:val="hybridMultilevel"/>
    <w:lvl w:ilvl="0">
      <w:lvlJc w:val="left"/>
      <w:lvlText w:val="%1."/>
      <w:numFmt w:val="decimal"/>
      <w:start w:val="11"/>
    </w:lvl>
  </w:abstractNum>
  <w:abstractNum w:abstractNumId="12">
    <w:nsid w:val="4353D0CD"/>
    <w:multiLevelType w:val="hybridMultilevel"/>
    <w:lvl w:ilvl="0">
      <w:lvlJc w:val="left"/>
      <w:lvlText w:val="o"/>
      <w:numFmt w:val="bullet"/>
      <w:start w:val="1"/>
    </w:lvl>
  </w:abstractNum>
  <w:abstractNum w:abstractNumId="13">
    <w:nsid w:val="B03E0C6"/>
    <w:multiLevelType w:val="hybridMultilevel"/>
    <w:lvl w:ilvl="0">
      <w:lvlJc w:val="left"/>
      <w:lvlText w:val="o"/>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o"/>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lvl w:ilvl="1">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o"/>
      <w:numFmt w:val="bullet"/>
      <w:start w:val="1"/>
    </w:lvl>
  </w:abstractNum>
  <w:abstractNum w:abstractNumId="31">
    <w:nsid w:val="5577F8E1"/>
    <w:multiLevelType w:val="hybridMultilevel"/>
    <w:lvl w:ilvl="0">
      <w:lvlJc w:val="left"/>
      <w:lvlText w:val="(%1)"/>
      <w:numFmt w:val="decimal"/>
      <w:start w:val="4"/>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2019-12-11T22:00:04Z</dcterms:created>
  <dcterms:modified xsi:type="dcterms:W3CDTF">2019-12-11T22:00:04Z</dcterms:modified>
</cp:coreProperties>
</file>