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40"/>
        <w:spacing w:after="0"/>
        <w:rPr>
          <w:sz w:val="20"/>
          <w:szCs w:val="20"/>
          <w:color w:val="auto"/>
        </w:rPr>
      </w:pPr>
      <w:r>
        <w:rPr>
          <w:rFonts w:ascii="Courier New" w:cs="Courier New" w:eastAsia="Courier New" w:hAnsi="Courier New"/>
          <w:sz w:val="17"/>
          <w:szCs w:val="17"/>
          <w:color w:val="auto"/>
        </w:rPr>
        <w:t>FORM 10-Q/A</w:t>
      </w:r>
    </w:p>
    <w:p>
      <w:pPr>
        <w:spacing w:after="0" w:line="19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AMENDMENT NUMBER 1</w:t>
      </w:r>
    </w:p>
    <w:p>
      <w:pPr>
        <w:spacing w:after="0" w:line="196" w:lineRule="exact"/>
        <w:rPr>
          <w:sz w:val="24"/>
          <w:szCs w:val="24"/>
          <w:color w:val="auto"/>
        </w:rPr>
      </w:pPr>
    </w:p>
    <w:p>
      <w:pPr>
        <w:ind w:left="22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WASHINGTON, D. C. 20549</w:t>
      </w:r>
    </w:p>
    <w:p>
      <w:pPr>
        <w:spacing w:after="0" w:line="196" w:lineRule="exact"/>
        <w:rPr>
          <w:sz w:val="24"/>
          <w:szCs w:val="24"/>
          <w:color w:val="auto"/>
        </w:rPr>
      </w:pPr>
    </w:p>
    <w:p>
      <w:pPr>
        <w:ind w:left="1720" w:hanging="402"/>
        <w:spacing w:after="0"/>
        <w:tabs>
          <w:tab w:leader="none" w:pos="17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w:t>
      </w:r>
    </w:p>
    <w:p>
      <w:pPr>
        <w:spacing w:after="0" w:line="1" w:lineRule="exact"/>
        <w:rPr>
          <w:rFonts w:ascii="Courier New" w:cs="Courier New" w:eastAsia="Courier New" w:hAnsi="Courier New"/>
          <w:sz w:val="17"/>
          <w:szCs w:val="17"/>
          <w:color w:val="auto"/>
        </w:rPr>
      </w:pPr>
    </w:p>
    <w:p>
      <w:pPr>
        <w:ind w:left="2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SECURITIES EXCHANGE ACT OF 1934</w:t>
      </w:r>
    </w:p>
    <w:p>
      <w:pPr>
        <w:spacing w:after="0" w:line="19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For the quarterly period ended April 1, 1995</w:t>
      </w:r>
    </w:p>
    <w:p>
      <w:pPr>
        <w:spacing w:after="0" w:line="196" w:lineRule="exact"/>
        <w:rPr>
          <w:sz w:val="24"/>
          <w:szCs w:val="24"/>
          <w:color w:val="auto"/>
        </w:rPr>
      </w:pPr>
    </w:p>
    <w:p>
      <w:pPr>
        <w:ind w:left="3840"/>
        <w:spacing w:after="0"/>
        <w:rPr>
          <w:sz w:val="20"/>
          <w:szCs w:val="20"/>
          <w:color w:val="auto"/>
        </w:rPr>
      </w:pPr>
      <w:r>
        <w:rPr>
          <w:rFonts w:ascii="Courier New" w:cs="Courier New" w:eastAsia="Courier New" w:hAnsi="Courier New"/>
          <w:sz w:val="17"/>
          <w:szCs w:val="17"/>
          <w:color w:val="auto"/>
        </w:rPr>
        <w:t>OR</w:t>
      </w:r>
    </w:p>
    <w:p>
      <w:pPr>
        <w:spacing w:after="0" w:line="196" w:lineRule="exact"/>
        <w:rPr>
          <w:sz w:val="24"/>
          <w:szCs w:val="24"/>
          <w:color w:val="auto"/>
        </w:rPr>
      </w:pPr>
    </w:p>
    <w:p>
      <w:pPr>
        <w:ind w:left="1520" w:hanging="202"/>
        <w:spacing w:after="0"/>
        <w:tabs>
          <w:tab w:leader="none" w:pos="1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w:t>
      </w:r>
    </w:p>
    <w:p>
      <w:pPr>
        <w:spacing w:after="0" w:line="1" w:lineRule="exact"/>
        <w:rPr>
          <w:rFonts w:ascii="Courier New" w:cs="Courier New" w:eastAsia="Courier New" w:hAnsi="Courier New"/>
          <w:sz w:val="17"/>
          <w:szCs w:val="17"/>
          <w:color w:val="auto"/>
        </w:rPr>
      </w:pPr>
    </w:p>
    <w:p>
      <w:pPr>
        <w:ind w:left="2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SECURITIES EXCHANGE ACT OF 1934</w:t>
      </w:r>
    </w:p>
    <w:p>
      <w:pPr>
        <w:spacing w:after="0" w:line="199"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20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Commission file number 0-19768</w:t>
      </w:r>
    </w:p>
    <w:p>
      <w:pPr>
        <w:spacing w:after="0" w:line="19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THE SCOTTS COMPANY</w:t>
      </w:r>
    </w:p>
    <w:p>
      <w:pPr>
        <w:spacing w:after="0" w:line="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3" w:right="1440" w:bottom="0" w:gutter="0" w:footer="0" w:header="0"/>
        </w:sectPr>
      </w:pPr>
    </w:p>
    <w:p>
      <w:pPr>
        <w:spacing w:after="0" w:line="196"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3"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31-1199481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94" w:lineRule="exact"/>
        <w:rPr>
          <w:sz w:val="24"/>
          <w:szCs w:val="24"/>
          <w:color w:val="auto"/>
        </w:rPr>
      </w:pPr>
    </w:p>
    <w:p>
      <w:pPr>
        <w:sectPr>
          <w:pgSz w:w="11900" w:h="16838" w:orient="portrait"/>
          <w:cols w:equalWidth="0" w:num="2">
            <w:col w:w="3640" w:space="720"/>
            <w:col w:w="5859"/>
          </w:cols>
          <w:pgMar w:left="240" w:top="243" w:right="1440" w:bottom="0" w:gutter="0" w:footer="0" w:header="0"/>
          <w:type w:val="continuous"/>
        </w:sectPr>
      </w:pPr>
    </w:p>
    <w:p>
      <w:pPr>
        <w:spacing w:after="0" w:line="5"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14111 Scottslawn Road</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Marysville, Ohio 43041</w:t>
      </w:r>
    </w:p>
    <w:p>
      <w:pPr>
        <w:spacing w:after="0" w:line="2"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(Zip Code)</w:t>
      </w:r>
    </w:p>
    <w:p>
      <w:pPr>
        <w:spacing w:after="0" w:line="196" w:lineRule="exact"/>
        <w:rPr>
          <w:sz w:val="24"/>
          <w:szCs w:val="24"/>
          <w:color w:val="auto"/>
        </w:rPr>
      </w:pPr>
    </w:p>
    <w:tbl>
      <w:tblPr>
        <w:tblLayout w:type="fixed"/>
        <w:tblInd w:w="500" w:type="dxa"/>
        <w:tblCellMar>
          <w:top w:w="0" w:type="dxa"/>
          <w:left w:w="0" w:type="dxa"/>
          <w:bottom w:w="0" w:type="dxa"/>
          <w:right w:w="0" w:type="dxa"/>
        </w:tblCellMar>
      </w:tblPr>
      <w:tr>
        <w:trPr>
          <w:trHeight w:val="193"/>
        </w:trPr>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(513)</w:t>
            </w:r>
          </w:p>
        </w:tc>
        <w:tc>
          <w:tcPr>
            <w:tcW w:w="36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644-0011</w:t>
            </w:r>
          </w:p>
        </w:tc>
      </w:tr>
      <w:tr>
        <w:trPr>
          <w:trHeight w:val="194"/>
        </w:trPr>
        <w:tc>
          <w:tcPr>
            <w:tcW w:w="4000" w:type="dxa"/>
            <w:vAlign w:val="bottom"/>
            <w:gridSpan w:val="2"/>
          </w:tcPr>
          <w:p>
            <w:pPr>
              <w:ind w:left="820"/>
              <w:spacing w:after="0"/>
              <w:rPr>
                <w:sz w:val="20"/>
                <w:szCs w:val="20"/>
                <w:color w:val="auto"/>
              </w:rPr>
            </w:pPr>
            <w:r>
              <w:rPr>
                <w:rFonts w:ascii="Courier New" w:cs="Courier New" w:eastAsia="Courier New" w:hAnsi="Courier New"/>
                <w:sz w:val="17"/>
                <w:szCs w:val="17"/>
                <w:color w:val="auto"/>
                <w:w w:val="99"/>
              </w:rPr>
              <w:t>(Registrant's telephone number,</w:t>
            </w:r>
          </w:p>
        </w:tc>
        <w:tc>
          <w:tcPr>
            <w:tcW w:w="2980" w:type="dxa"/>
            <w:vAlign w:val="bottom"/>
          </w:tcPr>
          <w:p>
            <w:pPr>
              <w:ind w:left="60"/>
              <w:spacing w:after="0"/>
              <w:rPr>
                <w:sz w:val="20"/>
                <w:szCs w:val="20"/>
                <w:color w:val="auto"/>
              </w:rPr>
            </w:pPr>
            <w:r>
              <w:rPr>
                <w:rFonts w:ascii="Courier New" w:cs="Courier New" w:eastAsia="Courier New" w:hAnsi="Courier New"/>
                <w:sz w:val="17"/>
                <w:szCs w:val="17"/>
                <w:color w:val="auto"/>
              </w:rPr>
              <w:t>including area code)</w:t>
            </w:r>
          </w:p>
        </w:tc>
      </w:tr>
      <w:tr>
        <w:trPr>
          <w:trHeight w:val="389"/>
        </w:trPr>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No</w:t>
            </w:r>
          </w:p>
        </w:tc>
        <w:tc>
          <w:tcPr>
            <w:tcW w:w="700" w:type="dxa"/>
            <w:vAlign w:val="bottom"/>
          </w:tcPr>
          <w:p>
            <w:pPr>
              <w:ind w:left="40"/>
              <w:spacing w:after="0"/>
              <w:rPr>
                <w:sz w:val="20"/>
                <w:szCs w:val="20"/>
                <w:color w:val="auto"/>
              </w:rPr>
            </w:pPr>
            <w:r>
              <w:rPr>
                <w:rFonts w:ascii="Courier New" w:cs="Courier New" w:eastAsia="Courier New" w:hAnsi="Courier New"/>
                <w:sz w:val="17"/>
                <w:szCs w:val="17"/>
                <w:color w:val="auto"/>
              </w:rPr>
              <w:t>change</w:t>
            </w:r>
          </w:p>
        </w:tc>
        <w:tc>
          <w:tcPr>
            <w:tcW w:w="2980" w:type="dxa"/>
            <w:vAlign w:val="bottom"/>
          </w:tcPr>
          <w:p>
            <w:pPr>
              <w:spacing w:after="0"/>
              <w:rPr>
                <w:sz w:val="24"/>
                <w:szCs w:val="24"/>
                <w:color w:val="auto"/>
              </w:rPr>
            </w:pPr>
          </w:p>
        </w:tc>
      </w:tr>
      <w:tr>
        <w:trPr>
          <w:trHeight w:val="194"/>
        </w:trPr>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w w:val="98"/>
              </w:rPr>
              <w:t>(Former name, former address and</w:t>
            </w:r>
          </w:p>
        </w:tc>
        <w:tc>
          <w:tcPr>
            <w:tcW w:w="700" w:type="dxa"/>
            <w:vAlign w:val="bottom"/>
          </w:tcPr>
          <w:p>
            <w:pPr>
              <w:ind w:left="40"/>
              <w:spacing w:after="0"/>
              <w:rPr>
                <w:sz w:val="20"/>
                <w:szCs w:val="20"/>
                <w:color w:val="auto"/>
              </w:rPr>
            </w:pPr>
            <w:r>
              <w:rPr>
                <w:rFonts w:ascii="Courier New" w:cs="Courier New" w:eastAsia="Courier New" w:hAnsi="Courier New"/>
                <w:sz w:val="17"/>
                <w:szCs w:val="17"/>
                <w:color w:val="auto"/>
              </w:rPr>
              <w:t>former</w:t>
            </w:r>
          </w:p>
        </w:tc>
        <w:tc>
          <w:tcPr>
            <w:tcW w:w="2980" w:type="dxa"/>
            <w:vAlign w:val="bottom"/>
          </w:tcPr>
          <w:p>
            <w:pPr>
              <w:ind w:left="60"/>
              <w:spacing w:after="0"/>
              <w:rPr>
                <w:sz w:val="20"/>
                <w:szCs w:val="20"/>
                <w:color w:val="auto"/>
              </w:rPr>
            </w:pPr>
            <w:r>
              <w:rPr>
                <w:rFonts w:ascii="Courier New" w:cs="Courier New" w:eastAsia="Courier New" w:hAnsi="Courier New"/>
                <w:sz w:val="17"/>
                <w:szCs w:val="17"/>
                <w:color w:val="auto"/>
                <w:w w:val="98"/>
              </w:rPr>
              <w:t>fiscal year, if changed since</w:t>
            </w:r>
          </w:p>
        </w:tc>
      </w:tr>
      <w:tr>
        <w:trPr>
          <w:trHeight w:val="194"/>
        </w:trPr>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last</w:t>
            </w:r>
          </w:p>
        </w:tc>
        <w:tc>
          <w:tcPr>
            <w:tcW w:w="36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report.)</w:t>
            </w:r>
          </w:p>
        </w:tc>
      </w:tr>
    </w:tbl>
    <w:p>
      <w:pPr>
        <w:spacing w:after="0" w:line="199" w:lineRule="exact"/>
        <w:rPr>
          <w:sz w:val="24"/>
          <w:szCs w:val="24"/>
          <w:color w:val="auto"/>
        </w:rPr>
      </w:pPr>
    </w:p>
    <w:p>
      <w:pPr>
        <w:jc w:val="both"/>
        <w:ind w:right="2319"/>
        <w:spacing w:after="0" w:line="241"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8" w:lineRule="exact"/>
        <w:rPr>
          <w:sz w:val="24"/>
          <w:szCs w:val="24"/>
          <w:color w:val="auto"/>
        </w:rPr>
      </w:pPr>
    </w:p>
    <w:p>
      <w:pPr>
        <w:ind w:left="3240"/>
        <w:spacing w:after="0"/>
        <w:tabs>
          <w:tab w:leader="none" w:pos="4440" w:val="left"/>
        </w:tabs>
        <w:rPr>
          <w:sz w:val="20"/>
          <w:szCs w:val="20"/>
          <w:color w:val="auto"/>
        </w:rPr>
      </w:pPr>
      <w:r>
        <w:rPr>
          <w:rFonts w:ascii="Courier New" w:cs="Courier New" w:eastAsia="Courier New" w:hAnsi="Courier New"/>
          <w:sz w:val="17"/>
          <w:szCs w:val="17"/>
          <w:color w:val="auto"/>
        </w:rPr>
        <w:t>Yes X</w:t>
      </w:r>
      <w:r>
        <w:rPr>
          <w:sz w:val="20"/>
          <w:szCs w:val="20"/>
          <w:color w:val="auto"/>
        </w:rPr>
        <w:tab/>
      </w:r>
      <w:r>
        <w:rPr>
          <w:rFonts w:ascii="Courier New" w:cs="Courier New" w:eastAsia="Courier New" w:hAnsi="Courier New"/>
          <w:sz w:val="16"/>
          <w:szCs w:val="16"/>
          <w:color w:val="auto"/>
        </w:rPr>
        <w:t>No</w:t>
      </w:r>
    </w:p>
    <w:p>
      <w:pPr>
        <w:spacing w:after="0" w:line="393" w:lineRule="exact"/>
        <w:rPr>
          <w:sz w:val="24"/>
          <w:szCs w:val="24"/>
          <w:color w:val="auto"/>
        </w:rPr>
      </w:pPr>
    </w:p>
    <w:p>
      <w:pPr>
        <w:jc w:val="both"/>
        <w:ind w:right="2319"/>
        <w:spacing w:after="0" w:line="239"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960" w:type="dxa"/>
            <w:vAlign w:val="bottom"/>
          </w:tcPr>
          <w:p>
            <w:pPr>
              <w:spacing w:after="0"/>
              <w:rPr>
                <w:sz w:val="16"/>
                <w:szCs w:val="16"/>
                <w:color w:val="auto"/>
              </w:rPr>
            </w:pPr>
          </w:p>
        </w:tc>
        <w:tc>
          <w:tcPr>
            <w:tcW w:w="3080" w:type="dxa"/>
            <w:vAlign w:val="bottom"/>
          </w:tcPr>
          <w:p>
            <w:pPr>
              <w:jc w:val="right"/>
              <w:ind w:right="1636"/>
              <w:spacing w:after="0"/>
              <w:rPr>
                <w:sz w:val="20"/>
                <w:szCs w:val="20"/>
                <w:color w:val="auto"/>
              </w:rPr>
            </w:pPr>
            <w:r>
              <w:rPr>
                <w:rFonts w:ascii="Courier New" w:cs="Courier New" w:eastAsia="Courier New" w:hAnsi="Courier New"/>
                <w:sz w:val="17"/>
                <w:szCs w:val="17"/>
                <w:color w:val="auto"/>
              </w:rPr>
              <w:t>18,667,064</w:t>
            </w:r>
          </w:p>
        </w:tc>
        <w:tc>
          <w:tcPr>
            <w:tcW w:w="30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Outstanding at May 8, 1995</w:t>
            </w:r>
          </w:p>
        </w:tc>
        <w:tc>
          <w:tcPr>
            <w:tcW w:w="820" w:type="dxa"/>
            <w:vAlign w:val="bottom"/>
          </w:tcPr>
          <w:p>
            <w:pPr>
              <w:spacing w:after="0"/>
              <w:rPr>
                <w:sz w:val="16"/>
                <w:szCs w:val="16"/>
                <w:color w:val="auto"/>
              </w:rPr>
            </w:pPr>
          </w:p>
        </w:tc>
      </w:tr>
      <w:tr>
        <w:trPr>
          <w:trHeight w:val="194"/>
        </w:trPr>
        <w:tc>
          <w:tcPr>
            <w:tcW w:w="404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6"/>
                <w:szCs w:val="16"/>
                <w:color w:val="auto"/>
              </w:rPr>
            </w:pPr>
          </w:p>
        </w:tc>
      </w:tr>
      <w:tr>
        <w:trPr>
          <w:trHeight w:val="194"/>
        </w:trPr>
        <w:tc>
          <w:tcPr>
            <w:tcW w:w="4040" w:type="dxa"/>
            <w:vAlign w:val="bottom"/>
            <w:gridSpan w:val="2"/>
          </w:tcPr>
          <w:p>
            <w:pPr>
              <w:spacing w:after="0"/>
              <w:rPr>
                <w:sz w:val="20"/>
                <w:szCs w:val="20"/>
                <w:color w:val="auto"/>
              </w:rPr>
            </w:pPr>
            <w:r>
              <w:rPr>
                <w:rFonts w:ascii="Courier New" w:cs="Courier New" w:eastAsia="Courier New" w:hAnsi="Courier New"/>
                <w:sz w:val="17"/>
                <w:szCs w:val="17"/>
                <w:color w:val="auto"/>
              </w:rPr>
              <w:t>Common Shares, voting, no par value</w:t>
            </w:r>
          </w:p>
        </w:tc>
        <w:tc>
          <w:tcPr>
            <w:tcW w:w="30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89"/>
        </w:trPr>
        <w:tc>
          <w:tcPr>
            <w:tcW w:w="960" w:type="dxa"/>
            <w:vAlign w:val="bottom"/>
          </w:tcPr>
          <w:p>
            <w:pPr>
              <w:spacing w:after="0"/>
              <w:rPr>
                <w:sz w:val="24"/>
                <w:szCs w:val="24"/>
                <w:color w:val="auto"/>
              </w:rPr>
            </w:pPr>
          </w:p>
        </w:tc>
        <w:tc>
          <w:tcPr>
            <w:tcW w:w="6120" w:type="dxa"/>
            <w:vAlign w:val="bottom"/>
            <w:gridSpan w:val="2"/>
          </w:tcPr>
          <w:p>
            <w:pPr>
              <w:jc w:val="center"/>
              <w:ind w:right="56"/>
              <w:spacing w:after="0"/>
              <w:rPr>
                <w:sz w:val="20"/>
                <w:szCs w:val="20"/>
                <w:color w:val="auto"/>
              </w:rPr>
            </w:pPr>
            <w:r>
              <w:rPr>
                <w:rFonts w:ascii="Courier New" w:cs="Courier New" w:eastAsia="Courier New" w:hAnsi="Courier New"/>
                <w:sz w:val="17"/>
                <w:szCs w:val="17"/>
                <w:color w:val="auto"/>
                <w:w w:val="99"/>
              </w:rPr>
              <w:t>Page 1 of 17 pages</w:t>
            </w:r>
          </w:p>
        </w:tc>
        <w:tc>
          <w:tcPr>
            <w:tcW w:w="820" w:type="dxa"/>
            <w:vAlign w:val="bottom"/>
          </w:tcPr>
          <w:p>
            <w:pPr>
              <w:spacing w:after="0"/>
              <w:rPr>
                <w:sz w:val="24"/>
                <w:szCs w:val="24"/>
                <w:color w:val="auto"/>
              </w:rPr>
            </w:pPr>
          </w:p>
        </w:tc>
      </w:tr>
      <w:tr>
        <w:trPr>
          <w:trHeight w:val="389"/>
        </w:trPr>
        <w:tc>
          <w:tcPr>
            <w:tcW w:w="960" w:type="dxa"/>
            <w:vAlign w:val="bottom"/>
          </w:tcPr>
          <w:p>
            <w:pPr>
              <w:spacing w:after="0"/>
              <w:rPr>
                <w:sz w:val="24"/>
                <w:szCs w:val="24"/>
                <w:color w:val="auto"/>
              </w:rPr>
            </w:pPr>
          </w:p>
        </w:tc>
        <w:tc>
          <w:tcPr>
            <w:tcW w:w="6120" w:type="dxa"/>
            <w:vAlign w:val="bottom"/>
            <w:gridSpan w:val="2"/>
          </w:tcPr>
          <w:p>
            <w:pPr>
              <w:jc w:val="center"/>
              <w:ind w:right="56"/>
              <w:spacing w:after="0"/>
              <w:rPr>
                <w:sz w:val="20"/>
                <w:szCs w:val="20"/>
                <w:color w:val="auto"/>
              </w:rPr>
            </w:pPr>
            <w:r>
              <w:rPr>
                <w:rFonts w:ascii="Courier New" w:cs="Courier New" w:eastAsia="Courier New" w:hAnsi="Courier New"/>
                <w:sz w:val="17"/>
                <w:szCs w:val="17"/>
                <w:color w:val="auto"/>
                <w:w w:val="98"/>
              </w:rPr>
              <w:t>Exhibit Index at page 15</w:t>
            </w:r>
          </w:p>
        </w:tc>
        <w:tc>
          <w:tcPr>
            <w:tcW w:w="820" w:type="dxa"/>
            <w:vAlign w:val="bottom"/>
          </w:tcPr>
          <w:p>
            <w:pPr>
              <w:spacing w:after="0"/>
              <w:rPr>
                <w:sz w:val="24"/>
                <w:szCs w:val="24"/>
                <w:color w:val="auto"/>
              </w:rPr>
            </w:pPr>
          </w:p>
        </w:tc>
      </w:tr>
      <w:tr>
        <w:trPr>
          <w:trHeight w:val="557"/>
        </w:trPr>
        <w:tc>
          <w:tcPr>
            <w:tcW w:w="960" w:type="dxa"/>
            <w:vAlign w:val="bottom"/>
          </w:tcPr>
          <w:p>
            <w:pPr>
              <w:spacing w:after="0"/>
              <w:rPr>
                <w:sz w:val="24"/>
                <w:szCs w:val="24"/>
                <w:color w:val="auto"/>
              </w:rPr>
            </w:pPr>
          </w:p>
        </w:tc>
        <w:tc>
          <w:tcPr>
            <w:tcW w:w="612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THE SCOTTS COMPANY AND SUBSIDIARIES</w:t>
            </w:r>
          </w:p>
        </w:tc>
        <w:tc>
          <w:tcPr>
            <w:tcW w:w="820" w:type="dxa"/>
            <w:vAlign w:val="bottom"/>
          </w:tcPr>
          <w:p>
            <w:pPr>
              <w:spacing w:after="0"/>
              <w:rPr>
                <w:sz w:val="24"/>
                <w:szCs w:val="24"/>
                <w:color w:val="auto"/>
              </w:rPr>
            </w:pPr>
          </w:p>
        </w:tc>
      </w:tr>
      <w:tr>
        <w:trPr>
          <w:trHeight w:val="389"/>
        </w:trPr>
        <w:tc>
          <w:tcPr>
            <w:tcW w:w="960" w:type="dxa"/>
            <w:vAlign w:val="bottom"/>
          </w:tcPr>
          <w:p>
            <w:pPr>
              <w:spacing w:after="0"/>
              <w:rPr>
                <w:sz w:val="24"/>
                <w:szCs w:val="24"/>
                <w:color w:val="auto"/>
              </w:rPr>
            </w:pPr>
          </w:p>
        </w:tc>
        <w:tc>
          <w:tcPr>
            <w:tcW w:w="61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INDEX</w:t>
            </w:r>
          </w:p>
        </w:tc>
        <w:tc>
          <w:tcPr>
            <w:tcW w:w="820" w:type="dxa"/>
            <w:vAlign w:val="bottom"/>
          </w:tcPr>
          <w:p>
            <w:pPr>
              <w:spacing w:after="0"/>
              <w:rPr>
                <w:sz w:val="24"/>
                <w:szCs w:val="24"/>
                <w:color w:val="auto"/>
              </w:rPr>
            </w:pPr>
          </w:p>
        </w:tc>
      </w:tr>
      <w:tr>
        <w:trPr>
          <w:trHeight w:val="583"/>
        </w:trPr>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Page No.</w:t>
            </w:r>
          </w:p>
        </w:tc>
      </w:tr>
      <w:tr>
        <w:trPr>
          <w:trHeight w:val="389"/>
        </w:trPr>
        <w:tc>
          <w:tcPr>
            <w:tcW w:w="96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3080" w:type="dxa"/>
            <w:vAlign w:val="bottom"/>
          </w:tcPr>
          <w:p>
            <w:pPr>
              <w:jc w:val="center"/>
              <w:ind w:right="656"/>
              <w:spacing w:after="0"/>
              <w:rPr>
                <w:sz w:val="20"/>
                <w:szCs w:val="20"/>
                <w:color w:val="auto"/>
              </w:rPr>
            </w:pPr>
            <w:r>
              <w:rPr>
                <w:rFonts w:ascii="Courier New" w:cs="Courier New" w:eastAsia="Courier New" w:hAnsi="Courier New"/>
                <w:sz w:val="17"/>
                <w:szCs w:val="17"/>
                <w:color w:val="auto"/>
                <w:w w:val="98"/>
              </w:rPr>
              <w:t>Financial Information:</w:t>
            </w:r>
          </w:p>
        </w:tc>
        <w:tc>
          <w:tcPr>
            <w:tcW w:w="3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9"/>
        </w:trPr>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Item 1.</w:t>
            </w:r>
          </w:p>
        </w:tc>
        <w:tc>
          <w:tcPr>
            <w:tcW w:w="3080" w:type="dxa"/>
            <w:vAlign w:val="bottom"/>
          </w:tcPr>
          <w:p>
            <w:pPr>
              <w:jc w:val="center"/>
              <w:ind w:right="656"/>
              <w:spacing w:after="0"/>
              <w:rPr>
                <w:sz w:val="20"/>
                <w:szCs w:val="20"/>
                <w:color w:val="auto"/>
              </w:rPr>
            </w:pPr>
            <w:r>
              <w:rPr>
                <w:rFonts w:ascii="Courier New" w:cs="Courier New" w:eastAsia="Courier New" w:hAnsi="Courier New"/>
                <w:sz w:val="17"/>
                <w:szCs w:val="17"/>
                <w:color w:val="auto"/>
                <w:w w:val="98"/>
              </w:rPr>
              <w:t>Financial Statements</w:t>
            </w:r>
          </w:p>
        </w:tc>
        <w:tc>
          <w:tcPr>
            <w:tcW w:w="3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4"/>
        </w:trPr>
        <w:tc>
          <w:tcPr>
            <w:tcW w:w="7080" w:type="dxa"/>
            <w:vAlign w:val="bottom"/>
            <w:gridSpan w:val="3"/>
          </w:tcPr>
          <w:p>
            <w:pPr>
              <w:ind w:left="820"/>
              <w:spacing w:after="0"/>
              <w:rPr>
                <w:sz w:val="20"/>
                <w:szCs w:val="20"/>
                <w:color w:val="auto"/>
              </w:rPr>
            </w:pPr>
            <w:r>
              <w:rPr>
                <w:rFonts w:ascii="Courier New" w:cs="Courier New" w:eastAsia="Courier New" w:hAnsi="Courier New"/>
                <w:sz w:val="17"/>
                <w:szCs w:val="17"/>
                <w:color w:val="auto"/>
              </w:rPr>
              <w:t>Consolidated Statements of Income - Three month and</w:t>
            </w:r>
          </w:p>
        </w:tc>
        <w:tc>
          <w:tcPr>
            <w:tcW w:w="820" w:type="dxa"/>
            <w:vAlign w:val="bottom"/>
          </w:tcPr>
          <w:p>
            <w:pPr>
              <w:spacing w:after="0"/>
              <w:rPr>
                <w:sz w:val="16"/>
                <w:szCs w:val="16"/>
                <w:color w:val="auto"/>
              </w:rPr>
            </w:pPr>
          </w:p>
        </w:tc>
      </w:tr>
      <w:tr>
        <w:trPr>
          <w:trHeight w:val="194"/>
        </w:trPr>
        <w:tc>
          <w:tcPr>
            <w:tcW w:w="7080" w:type="dxa"/>
            <w:vAlign w:val="bottom"/>
            <w:gridSpan w:val="3"/>
          </w:tcPr>
          <w:p>
            <w:pPr>
              <w:ind w:left="820"/>
              <w:spacing w:after="0"/>
              <w:rPr>
                <w:sz w:val="20"/>
                <w:szCs w:val="20"/>
                <w:color w:val="auto"/>
              </w:rPr>
            </w:pPr>
            <w:r>
              <w:rPr>
                <w:rFonts w:ascii="Courier New" w:cs="Courier New" w:eastAsia="Courier New" w:hAnsi="Courier New"/>
                <w:sz w:val="17"/>
                <w:szCs w:val="17"/>
                <w:color w:val="auto"/>
              </w:rPr>
              <w:t>six month periods ended April 2, 1994 and April 1, 1995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389"/>
        </w:trPr>
        <w:tc>
          <w:tcPr>
            <w:tcW w:w="7080" w:type="dxa"/>
            <w:vAlign w:val="bottom"/>
            <w:gridSpan w:val="3"/>
          </w:tcPr>
          <w:p>
            <w:pPr>
              <w:ind w:left="820"/>
              <w:spacing w:after="0"/>
              <w:rPr>
                <w:sz w:val="20"/>
                <w:szCs w:val="20"/>
                <w:color w:val="auto"/>
              </w:rPr>
            </w:pPr>
            <w:r>
              <w:rPr>
                <w:rFonts w:ascii="Courier New" w:cs="Courier New" w:eastAsia="Courier New" w:hAnsi="Courier New"/>
                <w:sz w:val="17"/>
                <w:szCs w:val="17"/>
                <w:color w:val="auto"/>
              </w:rPr>
              <w:t>Consolidated Statements of Cash Flows - Six month</w:t>
            </w:r>
          </w:p>
        </w:tc>
        <w:tc>
          <w:tcPr>
            <w:tcW w:w="820" w:type="dxa"/>
            <w:vAlign w:val="bottom"/>
          </w:tcPr>
          <w:p>
            <w:pPr>
              <w:spacing w:after="0"/>
              <w:rPr>
                <w:sz w:val="24"/>
                <w:szCs w:val="24"/>
                <w:color w:val="auto"/>
              </w:rPr>
            </w:pPr>
          </w:p>
        </w:tc>
      </w:tr>
      <w:tr>
        <w:trPr>
          <w:trHeight w:val="194"/>
        </w:trPr>
        <w:tc>
          <w:tcPr>
            <w:tcW w:w="7080" w:type="dxa"/>
            <w:vAlign w:val="bottom"/>
            <w:gridSpan w:val="3"/>
          </w:tcPr>
          <w:p>
            <w:pPr>
              <w:ind w:left="820"/>
              <w:spacing w:after="0"/>
              <w:rPr>
                <w:sz w:val="20"/>
                <w:szCs w:val="20"/>
                <w:color w:val="auto"/>
              </w:rPr>
            </w:pPr>
            <w:r>
              <w:rPr>
                <w:rFonts w:ascii="Courier New" w:cs="Courier New" w:eastAsia="Courier New" w:hAnsi="Courier New"/>
                <w:sz w:val="17"/>
                <w:szCs w:val="17"/>
                <w:color w:val="auto"/>
              </w:rPr>
              <w:t>periods ended April 2, 1994 and April 1, 1995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389"/>
        </w:trPr>
        <w:tc>
          <w:tcPr>
            <w:tcW w:w="7080" w:type="dxa"/>
            <w:vAlign w:val="bottom"/>
            <w:gridSpan w:val="3"/>
          </w:tcPr>
          <w:p>
            <w:pPr>
              <w:ind w:left="820"/>
              <w:spacing w:after="0"/>
              <w:rPr>
                <w:sz w:val="20"/>
                <w:szCs w:val="20"/>
                <w:color w:val="auto"/>
              </w:rPr>
            </w:pPr>
            <w:r>
              <w:rPr>
                <w:rFonts w:ascii="Courier New" w:cs="Courier New" w:eastAsia="Courier New" w:hAnsi="Courier New"/>
                <w:sz w:val="17"/>
                <w:szCs w:val="17"/>
                <w:color w:val="auto"/>
              </w:rPr>
              <w:t>Consolidated Balance Sheets - April 2, 1994,</w:t>
            </w:r>
          </w:p>
        </w:tc>
        <w:tc>
          <w:tcPr>
            <w:tcW w:w="820" w:type="dxa"/>
            <w:vAlign w:val="bottom"/>
          </w:tcPr>
          <w:p>
            <w:pPr>
              <w:spacing w:after="0"/>
              <w:rPr>
                <w:sz w:val="24"/>
                <w:szCs w:val="24"/>
                <w:color w:val="auto"/>
              </w:rPr>
            </w:pPr>
          </w:p>
        </w:tc>
      </w:tr>
      <w:tr>
        <w:trPr>
          <w:trHeight w:val="194"/>
        </w:trPr>
        <w:tc>
          <w:tcPr>
            <w:tcW w:w="7080" w:type="dxa"/>
            <w:vAlign w:val="bottom"/>
            <w:gridSpan w:val="3"/>
          </w:tcPr>
          <w:p>
            <w:pPr>
              <w:ind w:left="820"/>
              <w:spacing w:after="0"/>
              <w:rPr>
                <w:sz w:val="20"/>
                <w:szCs w:val="20"/>
                <w:color w:val="auto"/>
              </w:rPr>
            </w:pPr>
            <w:r>
              <w:rPr>
                <w:rFonts w:ascii="Courier New" w:cs="Courier New" w:eastAsia="Courier New" w:hAnsi="Courier New"/>
                <w:sz w:val="17"/>
                <w:szCs w:val="17"/>
                <w:color w:val="auto"/>
              </w:rPr>
              <w:t>April 1, 1995 and September 30, 1994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389"/>
        </w:trPr>
        <w:tc>
          <w:tcPr>
            <w:tcW w:w="7080" w:type="dxa"/>
            <w:vAlign w:val="bottom"/>
            <w:gridSpan w:val="3"/>
          </w:tcPr>
          <w:p>
            <w:pPr>
              <w:ind w:left="820"/>
              <w:spacing w:after="0"/>
              <w:rPr>
                <w:sz w:val="20"/>
                <w:szCs w:val="20"/>
                <w:color w:val="auto"/>
              </w:rPr>
            </w:pPr>
            <w:r>
              <w:rPr>
                <w:rFonts w:ascii="Courier New" w:cs="Courier New" w:eastAsia="Courier New" w:hAnsi="Courier New"/>
                <w:sz w:val="17"/>
                <w:szCs w:val="17"/>
                <w:color w:val="auto"/>
              </w:rPr>
              <w:t>Notes to Consolidated Financial Statements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6-10</w:t>
            </w:r>
          </w:p>
        </w:tc>
      </w:tr>
      <w:tr>
        <w:trPr>
          <w:trHeight w:val="389"/>
        </w:trPr>
        <w:tc>
          <w:tcPr>
            <w:tcW w:w="70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Item 2.  Management's Discussion and Analysis of</w:t>
            </w:r>
          </w:p>
        </w:tc>
        <w:tc>
          <w:tcPr>
            <w:tcW w:w="820" w:type="dxa"/>
            <w:vAlign w:val="bottom"/>
          </w:tcPr>
          <w:p>
            <w:pPr>
              <w:spacing w:after="0"/>
              <w:rPr>
                <w:sz w:val="24"/>
                <w:szCs w:val="24"/>
                <w:color w:val="auto"/>
              </w:rPr>
            </w:pPr>
          </w:p>
        </w:tc>
      </w:tr>
      <w:tr>
        <w:trPr>
          <w:trHeight w:val="194"/>
        </w:trPr>
        <w:tc>
          <w:tcPr>
            <w:tcW w:w="7080" w:type="dxa"/>
            <w:vAlign w:val="bottom"/>
            <w:gridSpan w:val="3"/>
          </w:tcPr>
          <w:p>
            <w:pPr>
              <w:ind w:left="820"/>
              <w:spacing w:after="0"/>
              <w:rPr>
                <w:sz w:val="20"/>
                <w:szCs w:val="20"/>
                <w:color w:val="auto"/>
              </w:rPr>
            </w:pPr>
            <w:r>
              <w:rPr>
                <w:rFonts w:ascii="Courier New" w:cs="Courier New" w:eastAsia="Courier New" w:hAnsi="Courier New"/>
                <w:sz w:val="17"/>
                <w:szCs w:val="17"/>
                <w:color w:val="auto"/>
              </w:rPr>
              <w:t>Financial Condition and Results of Operations</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11-13</w:t>
            </w:r>
          </w:p>
        </w:tc>
      </w:tr>
    </w:tbl>
    <w:p>
      <w:pPr>
        <w:sectPr>
          <w:pgSz w:w="11900" w:h="16838" w:orient="portrait"/>
          <w:cols w:equalWidth="0" w:num="1">
            <w:col w:w="10219"/>
          </w:cols>
          <w:pgMar w:left="240" w:top="243"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Signatures</w:t>
      </w:r>
    </w:p>
    <w:p>
      <w:pPr>
        <w:spacing w:after="0" w:line="2"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7"/>
          <w:szCs w:val="17"/>
          <w:color w:val="auto"/>
        </w:rPr>
        <w:t>14</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Index</w:t>
      </w:r>
    </w:p>
    <w:p>
      <w:pPr>
        <w:spacing w:after="0" w:line="2"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385"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2</w:t>
      </w:r>
    </w:p>
    <w:p>
      <w:pPr>
        <w:sectPr>
          <w:pgSz w:w="11900" w:h="16838" w:orient="portrait"/>
          <w:cols w:equalWidth="0" w:num="1">
            <w:col w:w="10219"/>
          </w:cols>
          <w:pgMar w:left="240" w:top="528" w:right="1440" w:bottom="1440" w:gutter="0" w:footer="0" w:header="0"/>
        </w:sectPr>
      </w:pPr>
    </w:p>
    <w:bookmarkStart w:id="2" w:name="page3"/>
    <w:bookmarkEnd w:id="2"/>
    <w:p>
      <w:pPr>
        <w:jc w:val="center"/>
        <w:ind w:right="2319"/>
        <w:spacing w:after="0"/>
        <w:rPr>
          <w:sz w:val="20"/>
          <w:szCs w:val="20"/>
          <w:color w:val="auto"/>
        </w:rPr>
      </w:pPr>
      <w:r>
        <w:rPr>
          <w:rFonts w:ascii="Courier New" w:cs="Courier New" w:eastAsia="Courier New" w:hAnsi="Courier New"/>
          <w:sz w:val="17"/>
          <w:szCs w:val="17"/>
          <w:color w:val="auto"/>
        </w:rPr>
        <w:t>PART I - FINANCIAL INFORMATION</w:t>
      </w:r>
    </w:p>
    <w:p>
      <w:pPr>
        <w:spacing w:after="0" w:line="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ITEM 1. FINANCIAL STATEMENTS</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(Unaudited)</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2380" w:type="dxa"/>
            <w:vAlign w:val="bottom"/>
            <w:gridSpan w:val="4"/>
          </w:tcPr>
          <w:p>
            <w:pPr>
              <w:jc w:val="right"/>
              <w:ind w:right="276"/>
              <w:spacing w:after="0"/>
              <w:rPr>
                <w:sz w:val="20"/>
                <w:szCs w:val="20"/>
                <w:color w:val="auto"/>
              </w:rPr>
            </w:pPr>
            <w:r>
              <w:rPr>
                <w:rFonts w:ascii="Courier New" w:cs="Courier New" w:eastAsia="Courier New" w:hAnsi="Courier New"/>
                <w:sz w:val="17"/>
                <w:szCs w:val="17"/>
                <w:color w:val="auto"/>
              </w:rPr>
              <w:t>Three Months Ended</w:t>
            </w:r>
          </w:p>
        </w:tc>
        <w:tc>
          <w:tcPr>
            <w:tcW w:w="260" w:type="dxa"/>
            <w:vAlign w:val="bottom"/>
          </w:tcPr>
          <w:p>
            <w:pPr>
              <w:spacing w:after="0"/>
              <w:rPr>
                <w:sz w:val="16"/>
                <w:szCs w:val="16"/>
                <w:color w:val="auto"/>
              </w:rPr>
            </w:pPr>
          </w:p>
        </w:tc>
        <w:tc>
          <w:tcPr>
            <w:tcW w:w="182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3640" w:type="dxa"/>
            <w:vAlign w:val="bottom"/>
          </w:tcPr>
          <w:p>
            <w:pPr>
              <w:spacing w:after="0"/>
              <w:rPr>
                <w:sz w:val="16"/>
                <w:szCs w:val="16"/>
                <w:color w:val="auto"/>
              </w:rPr>
            </w:pPr>
          </w:p>
        </w:tc>
        <w:tc>
          <w:tcPr>
            <w:tcW w:w="12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April 2</w:t>
            </w:r>
          </w:p>
        </w:tc>
        <w:tc>
          <w:tcPr>
            <w:tcW w:w="11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April 1</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April 2</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April 1</w:t>
            </w:r>
          </w:p>
        </w:tc>
      </w:tr>
      <w:tr>
        <w:trPr>
          <w:trHeight w:val="194"/>
        </w:trPr>
        <w:tc>
          <w:tcPr>
            <w:tcW w:w="3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1994</w:t>
            </w:r>
          </w:p>
        </w:tc>
        <w:tc>
          <w:tcPr>
            <w:tcW w:w="11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24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1995</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Net sales ..........................</w:t>
            </w: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$207,424</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$236,092</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$275,750</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$334,111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Cost of sales ......................</w:t>
            </w:r>
          </w:p>
        </w:tc>
        <w:tc>
          <w:tcPr>
            <w:tcW w:w="400" w:type="dxa"/>
            <w:vAlign w:val="bottom"/>
          </w:tcPr>
          <w:p>
            <w:pPr>
              <w:spacing w:after="0"/>
              <w:rPr>
                <w:sz w:val="16"/>
                <w:szCs w:val="16"/>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109,100</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123,890</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146,464</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177,410</w:t>
            </w:r>
          </w:p>
        </w:tc>
      </w:tr>
      <w:tr>
        <w:trPr>
          <w:trHeight w:val="194"/>
        </w:trPr>
        <w:tc>
          <w:tcPr>
            <w:tcW w:w="36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Gross profit .......................</w:t>
            </w:r>
          </w:p>
        </w:tc>
        <w:tc>
          <w:tcPr>
            <w:tcW w:w="40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98,324</w:t>
            </w:r>
          </w:p>
        </w:tc>
        <w:tc>
          <w:tcPr>
            <w:tcW w:w="30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112,202</w:t>
            </w:r>
          </w:p>
        </w:tc>
        <w:tc>
          <w:tcPr>
            <w:tcW w:w="2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129,286</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156,701</w:t>
            </w:r>
          </w:p>
        </w:tc>
      </w:tr>
      <w:tr>
        <w:trPr>
          <w:trHeight w:val="194"/>
        </w:trPr>
        <w:tc>
          <w:tcPr>
            <w:tcW w:w="36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Marketing ..........................</w:t>
            </w:r>
          </w:p>
        </w:tc>
        <w:tc>
          <w:tcPr>
            <w:tcW w:w="40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32,990</w:t>
            </w:r>
          </w:p>
        </w:tc>
        <w:tc>
          <w:tcPr>
            <w:tcW w:w="30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38,513</w:t>
            </w:r>
          </w:p>
        </w:tc>
        <w:tc>
          <w:tcPr>
            <w:tcW w:w="2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45,911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60,910</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Distribution .......................</w:t>
            </w:r>
          </w:p>
        </w:tc>
        <w:tc>
          <w:tcPr>
            <w:tcW w:w="400" w:type="dxa"/>
            <w:vAlign w:val="bottom"/>
          </w:tcPr>
          <w:p>
            <w:pPr>
              <w:spacing w:after="0"/>
              <w:rPr>
                <w:sz w:val="16"/>
                <w:szCs w:val="16"/>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24,888</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30,479</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35,864</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45,019</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General and administrative .........</w:t>
            </w:r>
          </w:p>
        </w:tc>
        <w:tc>
          <w:tcPr>
            <w:tcW w:w="400" w:type="dxa"/>
            <w:vAlign w:val="bottom"/>
          </w:tcPr>
          <w:p>
            <w:pPr>
              <w:spacing w:after="0"/>
              <w:rPr>
                <w:sz w:val="16"/>
                <w:szCs w:val="16"/>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9,331</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6,997</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14,341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12,964</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Research and development ...........</w:t>
            </w:r>
          </w:p>
        </w:tc>
        <w:tc>
          <w:tcPr>
            <w:tcW w:w="400" w:type="dxa"/>
            <w:vAlign w:val="bottom"/>
          </w:tcPr>
          <w:p>
            <w:pPr>
              <w:spacing w:after="0"/>
              <w:rPr>
                <w:sz w:val="16"/>
                <w:szCs w:val="16"/>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2,934</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2,963</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4,938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5,728</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Other expenses, net ................</w:t>
            </w:r>
          </w:p>
        </w:tc>
        <w:tc>
          <w:tcPr>
            <w:tcW w:w="400" w:type="dxa"/>
            <w:vAlign w:val="bottom"/>
          </w:tcPr>
          <w:p>
            <w:pPr>
              <w:spacing w:after="0"/>
              <w:rPr>
                <w:sz w:val="16"/>
                <w:szCs w:val="16"/>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776</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1,558</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804</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2,553</w:t>
            </w:r>
          </w:p>
        </w:tc>
      </w:tr>
      <w:tr>
        <w:trPr>
          <w:trHeight w:val="194"/>
        </w:trPr>
        <w:tc>
          <w:tcPr>
            <w:tcW w:w="36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Income from operations .............</w:t>
            </w:r>
          </w:p>
        </w:tc>
        <w:tc>
          <w:tcPr>
            <w:tcW w:w="40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27,405</w:t>
            </w:r>
          </w:p>
        </w:tc>
        <w:tc>
          <w:tcPr>
            <w:tcW w:w="30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31,692</w:t>
            </w:r>
          </w:p>
        </w:tc>
        <w:tc>
          <w:tcPr>
            <w:tcW w:w="2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27,428</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29,527</w:t>
            </w:r>
          </w:p>
        </w:tc>
      </w:tr>
      <w:tr>
        <w:trPr>
          <w:trHeight w:val="389"/>
        </w:trPr>
        <w:tc>
          <w:tcPr>
            <w:tcW w:w="3640" w:type="dxa"/>
            <w:vAlign w:val="bottom"/>
          </w:tcPr>
          <w:p>
            <w:pPr>
              <w:ind w:left="300"/>
              <w:spacing w:after="0"/>
              <w:rPr>
                <w:sz w:val="20"/>
                <w:szCs w:val="20"/>
                <w:color w:val="auto"/>
              </w:rPr>
            </w:pPr>
            <w:r>
              <w:rPr>
                <w:rFonts w:ascii="Courier New" w:cs="Courier New" w:eastAsia="Courier New" w:hAnsi="Courier New"/>
                <w:sz w:val="17"/>
                <w:szCs w:val="17"/>
                <w:color w:val="auto"/>
                <w:w w:val="98"/>
              </w:rPr>
              <w:t>Interest expense ................</w:t>
            </w:r>
          </w:p>
        </w:tc>
        <w:tc>
          <w:tcPr>
            <w:tcW w:w="40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4,917</w:t>
            </w:r>
          </w:p>
        </w:tc>
        <w:tc>
          <w:tcPr>
            <w:tcW w:w="30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8,114</w:t>
            </w:r>
          </w:p>
        </w:tc>
        <w:tc>
          <w:tcPr>
            <w:tcW w:w="2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7,557</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13,808</w:t>
            </w:r>
          </w:p>
        </w:tc>
      </w:tr>
      <w:tr>
        <w:trPr>
          <w:trHeight w:val="194"/>
        </w:trPr>
        <w:tc>
          <w:tcPr>
            <w:tcW w:w="36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Income before taxes ................</w:t>
            </w:r>
          </w:p>
        </w:tc>
        <w:tc>
          <w:tcPr>
            <w:tcW w:w="40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22,488</w:t>
            </w:r>
          </w:p>
        </w:tc>
        <w:tc>
          <w:tcPr>
            <w:tcW w:w="30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23,578</w:t>
            </w:r>
          </w:p>
        </w:tc>
        <w:tc>
          <w:tcPr>
            <w:tcW w:w="2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19,871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15,719</w:t>
            </w:r>
          </w:p>
        </w:tc>
      </w:tr>
      <w:tr>
        <w:trPr>
          <w:trHeight w:val="389"/>
        </w:trPr>
        <w:tc>
          <w:tcPr>
            <w:tcW w:w="3640" w:type="dxa"/>
            <w:vAlign w:val="bottom"/>
          </w:tcPr>
          <w:p>
            <w:pPr>
              <w:ind w:left="300"/>
              <w:spacing w:after="0"/>
              <w:rPr>
                <w:sz w:val="20"/>
                <w:szCs w:val="20"/>
                <w:color w:val="auto"/>
              </w:rPr>
            </w:pPr>
            <w:r>
              <w:rPr>
                <w:rFonts w:ascii="Courier New" w:cs="Courier New" w:eastAsia="Courier New" w:hAnsi="Courier New"/>
                <w:sz w:val="17"/>
                <w:szCs w:val="17"/>
                <w:color w:val="auto"/>
                <w:w w:val="98"/>
              </w:rPr>
              <w:t>Income taxes ....................</w:t>
            </w:r>
          </w:p>
        </w:tc>
        <w:tc>
          <w:tcPr>
            <w:tcW w:w="40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9,475</w:t>
            </w:r>
          </w:p>
        </w:tc>
        <w:tc>
          <w:tcPr>
            <w:tcW w:w="30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9,785</w:t>
            </w:r>
          </w:p>
        </w:tc>
        <w:tc>
          <w:tcPr>
            <w:tcW w:w="26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8,415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6,523</w:t>
            </w:r>
          </w:p>
        </w:tc>
      </w:tr>
      <w:tr>
        <w:trPr>
          <w:trHeight w:val="194"/>
        </w:trPr>
        <w:tc>
          <w:tcPr>
            <w:tcW w:w="36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Net income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13,013</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$ 13,793</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$ 11,456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9,196</w:t>
            </w:r>
          </w:p>
        </w:tc>
      </w:tr>
      <w:tr>
        <w:trPr>
          <w:trHeight w:val="194"/>
        </w:trPr>
        <w:tc>
          <w:tcPr>
            <w:tcW w:w="36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Net income per common share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4"/>
        </w:trPr>
        <w:tc>
          <w:tcPr>
            <w:tcW w:w="36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Weighted average number of</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common shares outstanding...........</w:t>
            </w:r>
          </w:p>
        </w:tc>
        <w:tc>
          <w:tcPr>
            <w:tcW w:w="400" w:type="dxa"/>
            <w:vAlign w:val="bottom"/>
          </w:tcPr>
          <w:p>
            <w:pPr>
              <w:spacing w:after="0"/>
              <w:rPr>
                <w:sz w:val="16"/>
                <w:szCs w:val="16"/>
                <w:color w:val="auto"/>
              </w:rPr>
            </w:pPr>
          </w:p>
        </w:tc>
        <w:tc>
          <w:tcPr>
            <w:tcW w:w="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18,890</w:t>
            </w:r>
          </w:p>
        </w:tc>
        <w:tc>
          <w:tcPr>
            <w:tcW w:w="30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18,820</w:t>
            </w:r>
          </w:p>
        </w:tc>
        <w:tc>
          <w:tcPr>
            <w:tcW w:w="260" w:type="dxa"/>
            <w:vAlign w:val="bottom"/>
          </w:tcPr>
          <w:p>
            <w:pPr>
              <w:spacing w:after="0"/>
              <w:rPr>
                <w:sz w:val="16"/>
                <w:szCs w:val="16"/>
                <w:color w:val="auto"/>
              </w:rPr>
            </w:pP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18,855</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18,762</w:t>
            </w:r>
          </w:p>
        </w:tc>
      </w:tr>
      <w:tr>
        <w:trPr>
          <w:trHeight w:val="194"/>
        </w:trPr>
        <w:tc>
          <w:tcPr>
            <w:tcW w:w="3640" w:type="dxa"/>
            <w:vAlign w:val="bottom"/>
          </w:tcPr>
          <w:p>
            <w:pPr>
              <w:spacing w:after="0"/>
              <w:rPr>
                <w:sz w:val="16"/>
                <w:szCs w:val="16"/>
                <w:color w:val="auto"/>
              </w:rPr>
            </w:pPr>
          </w:p>
        </w:tc>
        <w:tc>
          <w:tcPr>
            <w:tcW w:w="1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4860" w:type="dxa"/>
            <w:vAlign w:val="bottom"/>
            <w:gridSpan w:val="3"/>
          </w:tcPr>
          <w:p>
            <w:pPr>
              <w:spacing w:after="0"/>
              <w:rPr>
                <w:sz w:val="20"/>
                <w:szCs w:val="20"/>
                <w:color w:val="auto"/>
              </w:rPr>
            </w:pPr>
            <w:r>
              <w:rPr>
                <w:rFonts w:ascii="Courier New" w:cs="Courier New" w:eastAsia="Courier New" w:hAnsi="Courier New"/>
                <w:sz w:val="17"/>
                <w:szCs w:val="17"/>
                <w:color w:val="auto"/>
              </w:rPr>
              <w:t>See Notes to Consolidated Financial Statements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83"/>
        </w:trPr>
        <w:tc>
          <w:tcPr>
            <w:tcW w:w="36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Page</w:t>
            </w:r>
          </w:p>
        </w:tc>
        <w:tc>
          <w:tcPr>
            <w:tcW w:w="8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502" w:right="1440" w:bottom="1440" w:gutter="0" w:footer="0" w:header="0"/>
        </w:sectPr>
      </w:pPr>
    </w:p>
    <w:bookmarkStart w:id="3" w:name="page4"/>
    <w:bookmarkEnd w:id="3"/>
    <w:p>
      <w:pPr>
        <w:jc w:val="center"/>
        <w:ind w:right="221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(in thousands)</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83"/>
        </w:trPr>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Six Months Ended</w:t>
            </w:r>
          </w:p>
        </w:tc>
      </w:tr>
      <w:tr>
        <w:trPr>
          <w:trHeight w:val="19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April 2</w:t>
            </w:r>
          </w:p>
        </w:tc>
        <w:tc>
          <w:tcPr>
            <w:tcW w:w="2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April 1</w:t>
            </w:r>
          </w:p>
        </w:tc>
      </w:tr>
      <w:tr>
        <w:trPr>
          <w:trHeight w:val="19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53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Net income .....................................</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11,456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9,196</w:t>
            </w:r>
          </w:p>
        </w:tc>
      </w:tr>
      <w:tr>
        <w:trPr>
          <w:trHeight w:val="194"/>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rPr>
              <w:t>Adjustments to reconcile net income to</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976"/>
              <w:spacing w:after="0"/>
              <w:rPr>
                <w:sz w:val="20"/>
                <w:szCs w:val="20"/>
                <w:color w:val="auto"/>
              </w:rPr>
            </w:pPr>
            <w:r>
              <w:rPr>
                <w:rFonts w:ascii="Courier New" w:cs="Courier New" w:eastAsia="Courier New" w:hAnsi="Courier New"/>
                <w:sz w:val="17"/>
                <w:szCs w:val="17"/>
                <w:color w:val="auto"/>
              </w:rPr>
              <w:t>net cash used in operating activities:</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Depreciation and amortization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10,777</w:t>
            </w:r>
          </w:p>
        </w:tc>
        <w:tc>
          <w:tcPr>
            <w:tcW w:w="2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11,908</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Postretirement benefits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64</w:t>
            </w:r>
          </w:p>
        </w:tc>
        <w:tc>
          <w:tcPr>
            <w:tcW w:w="2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204</w:t>
            </w:r>
          </w:p>
        </w:tc>
      </w:tr>
      <w:tr>
        <w:trPr>
          <w:trHeight w:val="194"/>
        </w:trPr>
        <w:tc>
          <w:tcPr>
            <w:tcW w:w="5320" w:type="dxa"/>
            <w:vAlign w:val="bottom"/>
          </w:tcPr>
          <w:p>
            <w:pPr>
              <w:ind w:left="620"/>
              <w:spacing w:after="0"/>
              <w:rPr>
                <w:sz w:val="20"/>
                <w:szCs w:val="20"/>
                <w:color w:val="auto"/>
              </w:rPr>
            </w:pPr>
            <w:r>
              <w:rPr>
                <w:rFonts w:ascii="Courier New" w:cs="Courier New" w:eastAsia="Courier New" w:hAnsi="Courier New"/>
                <w:sz w:val="17"/>
                <w:szCs w:val="17"/>
                <w:color w:val="auto"/>
              </w:rPr>
              <w:t>Net increase in certain components of</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working capital ........................</w:t>
            </w:r>
          </w:p>
        </w:tc>
        <w:tc>
          <w:tcPr>
            <w:tcW w:w="34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(120,160)</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(130,838)</w:t>
            </w:r>
          </w:p>
        </w:tc>
      </w:tr>
      <w:tr>
        <w:trPr>
          <w:trHeight w:val="194"/>
        </w:trPr>
        <w:tc>
          <w:tcPr>
            <w:tcW w:w="5320" w:type="dxa"/>
            <w:vAlign w:val="bottom"/>
          </w:tcPr>
          <w:p>
            <w:pPr>
              <w:ind w:left="620"/>
              <w:spacing w:after="0"/>
              <w:rPr>
                <w:sz w:val="20"/>
                <w:szCs w:val="20"/>
                <w:color w:val="auto"/>
              </w:rPr>
            </w:pPr>
            <w:r>
              <w:rPr>
                <w:rFonts w:ascii="Courier New" w:cs="Courier New" w:eastAsia="Courier New" w:hAnsi="Courier New"/>
                <w:sz w:val="17"/>
                <w:szCs w:val="17"/>
                <w:color w:val="auto"/>
              </w:rPr>
              <w:t>Net change in other assets and</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liabilities and other adjustments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667</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(504)</w:t>
            </w:r>
          </w:p>
        </w:tc>
      </w:tr>
      <w:tr>
        <w:trPr>
          <w:trHeight w:val="194"/>
        </w:trPr>
        <w:tc>
          <w:tcPr>
            <w:tcW w:w="5320" w:type="dxa"/>
            <w:vAlign w:val="bottom"/>
          </w:tcPr>
          <w:p>
            <w:pPr>
              <w:spacing w:after="0"/>
              <w:rPr>
                <w:sz w:val="16"/>
                <w:szCs w:val="16"/>
                <w:color w:val="auto"/>
              </w:rPr>
            </w:pP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Net cash used in operating activities.</w:t>
            </w:r>
          </w:p>
        </w:tc>
        <w:tc>
          <w:tcPr>
            <w:tcW w:w="34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(97,196)</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(110,034)</w:t>
            </w:r>
          </w:p>
        </w:tc>
      </w:tr>
      <w:tr>
        <w:trPr>
          <w:trHeight w:val="194"/>
        </w:trPr>
        <w:tc>
          <w:tcPr>
            <w:tcW w:w="5320" w:type="dxa"/>
            <w:vAlign w:val="bottom"/>
          </w:tcPr>
          <w:p>
            <w:pPr>
              <w:spacing w:after="0"/>
              <w:rPr>
                <w:sz w:val="16"/>
                <w:szCs w:val="16"/>
                <w:color w:val="auto"/>
              </w:rPr>
            </w:pP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3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Investment in plant and equipment, net .........</w:t>
            </w:r>
          </w:p>
        </w:tc>
        <w:tc>
          <w:tcPr>
            <w:tcW w:w="34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(12,436)</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(10,891)</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Investment in software .........................</w:t>
            </w:r>
          </w:p>
        </w:tc>
        <w:tc>
          <w:tcPr>
            <w:tcW w:w="340" w:type="dxa"/>
            <w:vAlign w:val="bottom"/>
          </w:tcPr>
          <w:p>
            <w:pPr>
              <w:spacing w:after="0"/>
              <w:rPr>
                <w:sz w:val="16"/>
                <w:szCs w:val="16"/>
                <w:color w:val="auto"/>
              </w:rPr>
            </w:pPr>
          </w:p>
        </w:tc>
        <w:tc>
          <w:tcPr>
            <w:tcW w:w="1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(483)</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Investment in Affiliate ........................</w:t>
            </w:r>
          </w:p>
        </w:tc>
        <w:tc>
          <w:tcPr>
            <w:tcW w:w="340" w:type="dxa"/>
            <w:vAlign w:val="bottom"/>
          </w:tcPr>
          <w:p>
            <w:pPr>
              <w:spacing w:after="0"/>
              <w:rPr>
                <w:sz w:val="16"/>
                <w:szCs w:val="16"/>
                <w:color w:val="auto"/>
              </w:rPr>
            </w:pPr>
          </w:p>
        </w:tc>
        <w:tc>
          <w:tcPr>
            <w:tcW w:w="1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(250)</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Acquisition of Sierra, net of cash acquired ....</w:t>
            </w:r>
          </w:p>
        </w:tc>
        <w:tc>
          <w:tcPr>
            <w:tcW w:w="34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(118,986)</w:t>
            </w:r>
          </w:p>
        </w:tc>
        <w:tc>
          <w:tcPr>
            <w:tcW w:w="20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89"/>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Net cash used in investing activities.</w:t>
            </w:r>
          </w:p>
        </w:tc>
        <w:tc>
          <w:tcPr>
            <w:tcW w:w="340" w:type="dxa"/>
            <w:vAlign w:val="bottom"/>
          </w:tcPr>
          <w:p>
            <w:pPr>
              <w:spacing w:after="0"/>
              <w:rPr>
                <w:sz w:val="24"/>
                <w:szCs w:val="24"/>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(131,422)</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(11,624)</w:t>
            </w:r>
          </w:p>
        </w:tc>
      </w:tr>
      <w:tr>
        <w:trPr>
          <w:trHeight w:val="194"/>
        </w:trPr>
        <w:tc>
          <w:tcPr>
            <w:tcW w:w="5320" w:type="dxa"/>
            <w:vAlign w:val="bottom"/>
          </w:tcPr>
          <w:p>
            <w:pPr>
              <w:spacing w:after="0"/>
              <w:rPr>
                <w:sz w:val="16"/>
                <w:szCs w:val="16"/>
                <w:color w:val="auto"/>
              </w:rPr>
            </w:pP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3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Borrowings under term debt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125,000</w:t>
            </w:r>
          </w:p>
        </w:tc>
        <w:tc>
          <w:tcPr>
            <w:tcW w:w="20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Payments on term and other debt ................</w:t>
            </w:r>
          </w:p>
        </w:tc>
        <w:tc>
          <w:tcPr>
            <w:tcW w:w="34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(428)</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(1,197)</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Revolving lines of credit and bank line of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106,295</w:t>
            </w:r>
          </w:p>
        </w:tc>
        <w:tc>
          <w:tcPr>
            <w:tcW w:w="2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118,378</w:t>
            </w:r>
          </w:p>
        </w:tc>
      </w:tr>
      <w:tr>
        <w:trPr>
          <w:trHeight w:val="194"/>
        </w:trPr>
        <w:tc>
          <w:tcPr>
            <w:tcW w:w="5320" w:type="dxa"/>
            <w:vAlign w:val="bottom"/>
          </w:tcPr>
          <w:p>
            <w:pPr>
              <w:jc w:val="right"/>
              <w:ind w:right="3616"/>
              <w:spacing w:after="0"/>
              <w:rPr>
                <w:sz w:val="20"/>
                <w:szCs w:val="20"/>
                <w:color w:val="auto"/>
              </w:rPr>
            </w:pPr>
            <w:r>
              <w:rPr>
                <w:rFonts w:ascii="Courier New" w:cs="Courier New" w:eastAsia="Courier New" w:hAnsi="Courier New"/>
                <w:sz w:val="17"/>
                <w:szCs w:val="17"/>
                <w:color w:val="auto"/>
              </w:rPr>
              <w:t>credit, net</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Issuance of Class A Common Stock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160</w:t>
            </w:r>
          </w:p>
        </w:tc>
        <w:tc>
          <w:tcPr>
            <w:tcW w:w="200" w:type="dxa"/>
            <w:vAlign w:val="bottom"/>
          </w:tcPr>
          <w:p>
            <w:pPr>
              <w:spacing w:after="0"/>
              <w:rPr>
                <w:sz w:val="16"/>
                <w:szCs w:val="16"/>
                <w:color w:val="auto"/>
              </w:rPr>
            </w:pPr>
          </w:p>
        </w:tc>
        <w:tc>
          <w:tcPr>
            <w:tcW w:w="9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Deferred financing costs incurred ..............</w:t>
            </w:r>
          </w:p>
        </w:tc>
        <w:tc>
          <w:tcPr>
            <w:tcW w:w="340" w:type="dxa"/>
            <w:vAlign w:val="bottom"/>
          </w:tcPr>
          <w:p>
            <w:pPr>
              <w:spacing w:after="0"/>
              <w:rPr>
                <w:sz w:val="16"/>
                <w:szCs w:val="16"/>
                <w:color w:val="auto"/>
              </w:rPr>
            </w:pPr>
          </w:p>
        </w:tc>
        <w:tc>
          <w:tcPr>
            <w:tcW w:w="132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(275)</w:t>
            </w:r>
          </w:p>
        </w:tc>
      </w:tr>
      <w:tr>
        <w:trPr>
          <w:trHeight w:val="194"/>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Net cash provided by financing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231,027</w:t>
            </w:r>
          </w:p>
        </w:tc>
        <w:tc>
          <w:tcPr>
            <w:tcW w:w="2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116,906</w:t>
            </w:r>
          </w:p>
        </w:tc>
      </w:tr>
      <w:tr>
        <w:trPr>
          <w:trHeight w:val="194"/>
        </w:trPr>
        <w:tc>
          <w:tcPr>
            <w:tcW w:w="5320" w:type="dxa"/>
            <w:vAlign w:val="bottom"/>
          </w:tcPr>
          <w:p>
            <w:pPr>
              <w:jc w:val="right"/>
              <w:ind w:right="2696"/>
              <w:spacing w:after="0"/>
              <w:rPr>
                <w:sz w:val="20"/>
                <w:szCs w:val="20"/>
                <w:color w:val="auto"/>
              </w:rPr>
            </w:pPr>
            <w:r>
              <w:rPr>
                <w:rFonts w:ascii="Courier New" w:cs="Courier New" w:eastAsia="Courier New" w:hAnsi="Courier New"/>
                <w:sz w:val="17"/>
                <w:szCs w:val="17"/>
                <w:color w:val="auto"/>
              </w:rPr>
              <w:t>activities</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Effect of exchange rate changes on cash ..........</w:t>
            </w:r>
          </w:p>
        </w:tc>
        <w:tc>
          <w:tcPr>
            <w:tcW w:w="340" w:type="dxa"/>
            <w:vAlign w:val="bottom"/>
          </w:tcPr>
          <w:p>
            <w:pPr>
              <w:spacing w:after="0"/>
              <w:rPr>
                <w:sz w:val="24"/>
                <w:szCs w:val="24"/>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(179)</w:t>
            </w:r>
          </w:p>
        </w:tc>
        <w:tc>
          <w:tcPr>
            <w:tcW w:w="200" w:type="dxa"/>
            <w:vAlign w:val="bottom"/>
          </w:tcPr>
          <w:p>
            <w:pPr>
              <w:spacing w:after="0"/>
              <w:rPr>
                <w:sz w:val="24"/>
                <w:szCs w:val="24"/>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676</w:t>
            </w:r>
          </w:p>
        </w:tc>
      </w:tr>
      <w:tr>
        <w:trPr>
          <w:trHeight w:val="194"/>
        </w:trPr>
        <w:tc>
          <w:tcPr>
            <w:tcW w:w="5320" w:type="dxa"/>
            <w:vAlign w:val="bottom"/>
          </w:tcPr>
          <w:p>
            <w:pPr>
              <w:spacing w:after="0"/>
              <w:rPr>
                <w:sz w:val="16"/>
                <w:szCs w:val="16"/>
                <w:color w:val="auto"/>
              </w:rPr>
            </w:pP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Net increase (decrease) in cash ..................</w:t>
            </w:r>
          </w:p>
        </w:tc>
        <w:tc>
          <w:tcPr>
            <w:tcW w:w="340" w:type="dxa"/>
            <w:vAlign w:val="bottom"/>
          </w:tcPr>
          <w:p>
            <w:pPr>
              <w:spacing w:after="0"/>
              <w:rPr>
                <w:sz w:val="24"/>
                <w:szCs w:val="24"/>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2,230</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(4,076)</w:t>
            </w:r>
          </w:p>
        </w:tc>
      </w:tr>
      <w:tr>
        <w:trPr>
          <w:trHeight w:val="389"/>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Cash at beginning of period ......................</w:t>
            </w:r>
          </w:p>
        </w:tc>
        <w:tc>
          <w:tcPr>
            <w:tcW w:w="340" w:type="dxa"/>
            <w:vAlign w:val="bottom"/>
          </w:tcPr>
          <w:p>
            <w:pPr>
              <w:spacing w:after="0"/>
              <w:rPr>
                <w:sz w:val="24"/>
                <w:szCs w:val="24"/>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2,323</w:t>
            </w:r>
          </w:p>
        </w:tc>
        <w:tc>
          <w:tcPr>
            <w:tcW w:w="200" w:type="dxa"/>
            <w:vAlign w:val="bottom"/>
          </w:tcPr>
          <w:p>
            <w:pPr>
              <w:spacing w:after="0"/>
              <w:rPr>
                <w:sz w:val="24"/>
                <w:szCs w:val="24"/>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10,695</w:t>
            </w:r>
          </w:p>
        </w:tc>
      </w:tr>
      <w:tr>
        <w:trPr>
          <w:trHeight w:val="194"/>
        </w:trPr>
        <w:tc>
          <w:tcPr>
            <w:tcW w:w="5320" w:type="dxa"/>
            <w:vAlign w:val="bottom"/>
          </w:tcPr>
          <w:p>
            <w:pPr>
              <w:spacing w:after="0"/>
              <w:rPr>
                <w:sz w:val="16"/>
                <w:szCs w:val="16"/>
                <w:color w:val="auto"/>
              </w:rPr>
            </w:pP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8"/>
              </w:rPr>
              <w:t>Cash at end of period ............................</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4,553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6,619</w:t>
            </w:r>
          </w:p>
        </w:tc>
      </w:tr>
      <w:tr>
        <w:trPr>
          <w:trHeight w:val="194"/>
        </w:trPr>
        <w:tc>
          <w:tcPr>
            <w:tcW w:w="5320" w:type="dxa"/>
            <w:vAlign w:val="bottom"/>
          </w:tcPr>
          <w:p>
            <w:pPr>
              <w:spacing w:after="0"/>
              <w:rPr>
                <w:sz w:val="16"/>
                <w:szCs w:val="16"/>
                <w:color w:val="auto"/>
              </w:rPr>
            </w:pPr>
          </w:p>
        </w:tc>
        <w:tc>
          <w:tcPr>
            <w:tcW w:w="16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320" w:type="dxa"/>
            <w:vAlign w:val="bottom"/>
          </w:tcPr>
          <w:p>
            <w:pPr>
              <w:spacing w:after="0"/>
              <w:rPr>
                <w:sz w:val="20"/>
                <w:szCs w:val="20"/>
                <w:color w:val="auto"/>
              </w:rPr>
            </w:pPr>
            <w:r>
              <w:rPr>
                <w:rFonts w:ascii="Courier New" w:cs="Courier New" w:eastAsia="Courier New" w:hAnsi="Courier New"/>
                <w:sz w:val="17"/>
                <w:szCs w:val="17"/>
                <w:color w:val="auto"/>
              </w:rPr>
              <w:t>SUPPLEMENTAL CASH FLOW INFORMATION</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Interest paid, net of amount capitalized .......</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3,005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14,007</w:t>
            </w: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Income taxes paid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9,164</w:t>
            </w:r>
          </w:p>
        </w:tc>
        <w:tc>
          <w:tcPr>
            <w:tcW w:w="2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996</w:t>
            </w:r>
          </w:p>
        </w:tc>
      </w:tr>
      <w:tr>
        <w:trPr>
          <w:trHeight w:val="194"/>
        </w:trPr>
        <w:tc>
          <w:tcPr>
            <w:tcW w:w="5320" w:type="dxa"/>
            <w:vAlign w:val="bottom"/>
          </w:tcPr>
          <w:p>
            <w:pPr>
              <w:ind w:left="200"/>
              <w:spacing w:after="0"/>
              <w:rPr>
                <w:sz w:val="20"/>
                <w:szCs w:val="20"/>
                <w:color w:val="auto"/>
              </w:rPr>
            </w:pPr>
            <w:r>
              <w:rPr>
                <w:rFonts w:ascii="Courier New" w:cs="Courier New" w:eastAsia="Courier New" w:hAnsi="Courier New"/>
                <w:sz w:val="17"/>
                <w:szCs w:val="17"/>
                <w:color w:val="auto"/>
              </w:rPr>
              <w:t>Detail of entities acquired:</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Fair value of assets acquired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144,501</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Liabilities assumed ...........................</w:t>
            </w:r>
          </w:p>
        </w:tc>
        <w:tc>
          <w:tcPr>
            <w:tcW w:w="34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(25,515)</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3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Net cash paid for acquisition .................</w:t>
            </w:r>
          </w:p>
        </w:tc>
        <w:tc>
          <w:tcPr>
            <w:tcW w:w="34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118,986</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19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4</w:t>
      </w:r>
    </w:p>
    <w:p>
      <w:pPr>
        <w:sectPr>
          <w:pgSz w:w="11900" w:h="16838" w:orient="portrait"/>
          <w:cols w:equalWidth="0" w:num="1">
            <w:col w:w="10219"/>
          </w:cols>
          <w:pgMar w:left="240" w:top="502" w:right="1440" w:bottom="1440" w:gutter="0" w:footer="0" w:header="0"/>
        </w:sectPr>
      </w:pPr>
    </w:p>
    <w:bookmarkStart w:id="4" w:name="page5"/>
    <w:bookmarkEnd w:id="4"/>
    <w:p>
      <w:pPr>
        <w:jc w:val="center"/>
        <w:ind w:right="2219"/>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CONSOLIDATED BALANCE SHEETS</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gridSpan w:val="3"/>
          </w:tcPr>
          <w:p>
            <w:pPr>
              <w:jc w:val="right"/>
              <w:ind w:right="576"/>
              <w:spacing w:after="0"/>
              <w:rPr>
                <w:sz w:val="20"/>
                <w:szCs w:val="20"/>
                <w:color w:val="auto"/>
              </w:rPr>
            </w:pPr>
            <w:r>
              <w:rPr>
                <w:rFonts w:ascii="Courier New" w:cs="Courier New" w:eastAsia="Courier New" w:hAnsi="Courier New"/>
                <w:sz w:val="17"/>
                <w:szCs w:val="17"/>
                <w:color w:val="auto"/>
              </w:rPr>
              <w:t>(in thousands)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9"/>
        </w:trPr>
        <w:tc>
          <w:tcPr>
            <w:tcW w:w="4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ASSETS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April 2</w:t>
            </w:r>
          </w:p>
        </w:tc>
        <w:tc>
          <w:tcPr>
            <w:tcW w:w="120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April 1</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4"/>
        </w:trPr>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1994</w:t>
            </w:r>
          </w:p>
        </w:tc>
        <w:tc>
          <w:tcPr>
            <w:tcW w:w="30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1995</w:t>
            </w:r>
          </w:p>
        </w:tc>
        <w:tc>
          <w:tcPr>
            <w:tcW w:w="420" w:type="dxa"/>
            <w:vAlign w:val="bottom"/>
          </w:tcPr>
          <w:p>
            <w:pPr>
              <w:spacing w:after="0"/>
              <w:rPr>
                <w:sz w:val="16"/>
                <w:szCs w:val="16"/>
                <w:color w:val="auto"/>
              </w:rPr>
            </w:pPr>
          </w:p>
        </w:tc>
        <w:tc>
          <w:tcPr>
            <w:tcW w:w="8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1994</w:t>
            </w:r>
          </w:p>
        </w:tc>
      </w:tr>
      <w:tr>
        <w:trPr>
          <w:trHeight w:val="194"/>
        </w:trPr>
        <w:tc>
          <w:tcPr>
            <w:tcW w:w="40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Cash ...............................</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4,553</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6,619</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10,695</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Accounts receivable, less allowances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of $2,784, $3,395 and $2,933,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200,763</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252,509</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115,772</w:t>
            </w:r>
          </w:p>
        </w:tc>
      </w:tr>
      <w:tr>
        <w:trPr>
          <w:trHeight w:val="194"/>
        </w:trPr>
        <w:tc>
          <w:tcPr>
            <w:tcW w:w="4000" w:type="dxa"/>
            <w:vAlign w:val="bottom"/>
          </w:tcPr>
          <w:p>
            <w:pPr>
              <w:jc w:val="right"/>
              <w:ind w:right="2096"/>
              <w:spacing w:after="0"/>
              <w:rPr>
                <w:sz w:val="20"/>
                <w:szCs w:val="20"/>
                <w:color w:val="auto"/>
              </w:rPr>
            </w:pPr>
            <w:r>
              <w:rPr>
                <w:rFonts w:ascii="Courier New" w:cs="Courier New" w:eastAsia="Courier New" w:hAnsi="Courier New"/>
                <w:sz w:val="17"/>
                <w:szCs w:val="17"/>
                <w:color w:val="auto"/>
              </w:rPr>
              <w:t>respectively</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Inventories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128,832</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143,574</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106,636</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Prepaid and other assets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16,832</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18,601</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17,151</w:t>
            </w:r>
          </w:p>
        </w:tc>
      </w:tr>
      <w:tr>
        <w:trPr>
          <w:trHeight w:val="194"/>
        </w:trPr>
        <w:tc>
          <w:tcPr>
            <w:tcW w:w="4000" w:type="dxa"/>
            <w:vAlign w:val="bottom"/>
          </w:tcPr>
          <w:p>
            <w:pPr>
              <w:spacing w:after="0"/>
              <w:rPr>
                <w:sz w:val="16"/>
                <w:szCs w:val="16"/>
                <w:color w:val="auto"/>
              </w:rPr>
            </w:pP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current assets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350,980</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421,303</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250,254</w:t>
            </w:r>
          </w:p>
        </w:tc>
      </w:tr>
      <w:tr>
        <w:trPr>
          <w:trHeight w:val="194"/>
        </w:trPr>
        <w:tc>
          <w:tcPr>
            <w:tcW w:w="4000" w:type="dxa"/>
            <w:vAlign w:val="bottom"/>
          </w:tcPr>
          <w:p>
            <w:pPr>
              <w:spacing w:after="0"/>
              <w:rPr>
                <w:sz w:val="16"/>
                <w:szCs w:val="16"/>
                <w:color w:val="auto"/>
              </w:rPr>
            </w:pP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Property, plant and equipment, net ...</w:t>
            </w:r>
          </w:p>
        </w:tc>
        <w:tc>
          <w:tcPr>
            <w:tcW w:w="36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126,594</w:t>
            </w:r>
          </w:p>
        </w:tc>
        <w:tc>
          <w:tcPr>
            <w:tcW w:w="300" w:type="dxa"/>
            <w:vAlign w:val="bottom"/>
          </w:tcPr>
          <w:p>
            <w:pPr>
              <w:spacing w:after="0"/>
              <w:rPr>
                <w:sz w:val="24"/>
                <w:szCs w:val="24"/>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143,791</w:t>
            </w:r>
          </w:p>
        </w:tc>
        <w:tc>
          <w:tcPr>
            <w:tcW w:w="42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140,105</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Patents and other intangibles, net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32,770</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26,529</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28,880</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Goodwill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106,842</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103,224</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104,578</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Other assets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4,957</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9,755</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4,767</w:t>
            </w:r>
          </w:p>
        </w:tc>
      </w:tr>
      <w:tr>
        <w:trPr>
          <w:trHeight w:val="194"/>
        </w:trPr>
        <w:tc>
          <w:tcPr>
            <w:tcW w:w="4000" w:type="dxa"/>
            <w:vAlign w:val="bottom"/>
          </w:tcPr>
          <w:p>
            <w:pPr>
              <w:spacing w:after="0"/>
              <w:rPr>
                <w:sz w:val="16"/>
                <w:szCs w:val="16"/>
                <w:color w:val="auto"/>
              </w:rPr>
            </w:pP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Assets ......................</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622,143</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$ 704,602</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$ 528,584</w:t>
            </w:r>
          </w:p>
        </w:tc>
      </w:tr>
      <w:tr>
        <w:trPr>
          <w:trHeight w:val="194"/>
        </w:trPr>
        <w:tc>
          <w:tcPr>
            <w:tcW w:w="4000" w:type="dxa"/>
            <w:vAlign w:val="bottom"/>
          </w:tcPr>
          <w:p>
            <w:pPr>
              <w:spacing w:after="0"/>
              <w:rPr>
                <w:sz w:val="16"/>
                <w:szCs w:val="16"/>
                <w:color w:val="auto"/>
              </w:rPr>
            </w:pP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520" w:type="dxa"/>
            <w:vAlign w:val="bottom"/>
            <w:gridSpan w:val="5"/>
          </w:tcPr>
          <w:p>
            <w:pPr>
              <w:jc w:val="right"/>
              <w:ind w:right="676"/>
              <w:spacing w:after="0"/>
              <w:rPr>
                <w:sz w:val="20"/>
                <w:szCs w:val="20"/>
                <w:color w:val="auto"/>
              </w:rPr>
            </w:pPr>
            <w:r>
              <w:rPr>
                <w:rFonts w:ascii="Courier New" w:cs="Courier New" w:eastAsia="Courier New" w:hAnsi="Courier New"/>
                <w:sz w:val="17"/>
                <w:szCs w:val="17"/>
                <w:color w:val="auto"/>
              </w:rPr>
              <w:t>LIABILITIES AND SHAREHOLDERS' EQUITY</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89"/>
        </w:trPr>
        <w:tc>
          <w:tcPr>
            <w:tcW w:w="40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Revolving credit line ..............</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98,000</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39,852</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23,416</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Current portion of term debt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20,417</w:t>
            </w:r>
          </w:p>
        </w:tc>
        <w:tc>
          <w:tcPr>
            <w:tcW w:w="300" w:type="dxa"/>
            <w:vAlign w:val="bottom"/>
          </w:tcPr>
          <w:p>
            <w:pPr>
              <w:spacing w:after="0"/>
              <w:rPr>
                <w:sz w:val="16"/>
                <w:szCs w:val="16"/>
                <w:color w:val="auto"/>
              </w:rPr>
            </w:pP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3,755</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Accounts payable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69,294</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79,591</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46,967</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Accrued liabilities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33,425</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24,258</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31,167</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Accrued taxes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7,990</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20,572</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4,383</w:t>
            </w:r>
          </w:p>
        </w:tc>
      </w:tr>
      <w:tr>
        <w:trPr>
          <w:trHeight w:val="194"/>
        </w:trPr>
        <w:tc>
          <w:tcPr>
            <w:tcW w:w="4000" w:type="dxa"/>
            <w:vAlign w:val="bottom"/>
          </w:tcPr>
          <w:p>
            <w:pPr>
              <w:spacing w:after="0"/>
              <w:rPr>
                <w:sz w:val="16"/>
                <w:szCs w:val="16"/>
                <w:color w:val="auto"/>
              </w:rPr>
            </w:pP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current liabilities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229,126</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164,273</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109,688</w:t>
            </w:r>
          </w:p>
        </w:tc>
      </w:tr>
      <w:tr>
        <w:trPr>
          <w:trHeight w:val="194"/>
        </w:trPr>
        <w:tc>
          <w:tcPr>
            <w:tcW w:w="4000" w:type="dxa"/>
            <w:vAlign w:val="bottom"/>
          </w:tcPr>
          <w:p>
            <w:pPr>
              <w:spacing w:after="0"/>
              <w:rPr>
                <w:sz w:val="16"/>
                <w:szCs w:val="16"/>
                <w:color w:val="auto"/>
              </w:rPr>
            </w:pP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00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portions</w:t>
            </w:r>
          </w:p>
        </w:tc>
        <w:tc>
          <w:tcPr>
            <w:tcW w:w="36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205,917</w:t>
            </w:r>
          </w:p>
        </w:tc>
        <w:tc>
          <w:tcPr>
            <w:tcW w:w="300" w:type="dxa"/>
            <w:vAlign w:val="bottom"/>
          </w:tcPr>
          <w:p>
            <w:pPr>
              <w:spacing w:after="0"/>
              <w:rPr>
                <w:sz w:val="24"/>
                <w:szCs w:val="24"/>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324,630</w:t>
            </w:r>
          </w:p>
        </w:tc>
        <w:tc>
          <w:tcPr>
            <w:tcW w:w="42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220,130</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Postretirement benefits other than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26,710</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27,218</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27,014</w:t>
            </w:r>
          </w:p>
        </w:tc>
      </w:tr>
      <w:tr>
        <w:trPr>
          <w:trHeight w:val="194"/>
        </w:trPr>
        <w:tc>
          <w:tcPr>
            <w:tcW w:w="4000" w:type="dxa"/>
            <w:vAlign w:val="bottom"/>
          </w:tcPr>
          <w:p>
            <w:pPr>
              <w:jc w:val="right"/>
              <w:ind w:right="2796"/>
              <w:spacing w:after="0"/>
              <w:rPr>
                <w:sz w:val="20"/>
                <w:szCs w:val="20"/>
                <w:color w:val="auto"/>
              </w:rPr>
            </w:pPr>
            <w:r>
              <w:rPr>
                <w:rFonts w:ascii="Courier New" w:cs="Courier New" w:eastAsia="Courier New" w:hAnsi="Courier New"/>
                <w:sz w:val="17"/>
                <w:szCs w:val="17"/>
                <w:color w:val="auto"/>
              </w:rPr>
              <w:t>pensions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Other liabilities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5,254</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7,622</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3,592</w:t>
            </w:r>
          </w:p>
        </w:tc>
      </w:tr>
      <w:tr>
        <w:trPr>
          <w:trHeight w:val="194"/>
        </w:trPr>
        <w:tc>
          <w:tcPr>
            <w:tcW w:w="4000" w:type="dxa"/>
            <w:vAlign w:val="bottom"/>
          </w:tcPr>
          <w:p>
            <w:pPr>
              <w:spacing w:after="0"/>
              <w:rPr>
                <w:sz w:val="16"/>
                <w:szCs w:val="16"/>
                <w:color w:val="auto"/>
              </w:rPr>
            </w:pP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Liabilities .................</w:t>
            </w:r>
          </w:p>
        </w:tc>
        <w:tc>
          <w:tcPr>
            <w:tcW w:w="36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467,007</w:t>
            </w:r>
          </w:p>
        </w:tc>
        <w:tc>
          <w:tcPr>
            <w:tcW w:w="300" w:type="dxa"/>
            <w:vAlign w:val="bottom"/>
          </w:tcPr>
          <w:p>
            <w:pPr>
              <w:spacing w:after="0"/>
              <w:rPr>
                <w:sz w:val="24"/>
                <w:szCs w:val="24"/>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523,743</w:t>
            </w:r>
          </w:p>
        </w:tc>
        <w:tc>
          <w:tcPr>
            <w:tcW w:w="42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360,424</w:t>
            </w:r>
          </w:p>
        </w:tc>
      </w:tr>
      <w:tr>
        <w:trPr>
          <w:trHeight w:val="194"/>
        </w:trPr>
        <w:tc>
          <w:tcPr>
            <w:tcW w:w="4000" w:type="dxa"/>
            <w:vAlign w:val="bottom"/>
          </w:tcPr>
          <w:p>
            <w:pPr>
              <w:spacing w:after="0"/>
              <w:rPr>
                <w:sz w:val="16"/>
                <w:szCs w:val="16"/>
                <w:color w:val="auto"/>
              </w:rPr>
            </w:pP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0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Common Shares, no par value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211</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211</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211</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Capital in excess of par value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193,618</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193,155</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193,450</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Retained earnings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2,448</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23,071</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13,875</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Cumulative translation gain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300</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5,863</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2,065</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Treasury stock, 2,415 shares at cost</w:t>
            </w:r>
          </w:p>
        </w:tc>
        <w:tc>
          <w:tcPr>
            <w:tcW w:w="36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(41,441)</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(41,441)</w:t>
            </w: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(41,441)</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w:t>
            </w: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Shareholders' Equity ........</w:t>
            </w:r>
          </w:p>
        </w:tc>
        <w:tc>
          <w:tcPr>
            <w:tcW w:w="36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155,136</w:t>
            </w:r>
          </w:p>
        </w:tc>
        <w:tc>
          <w:tcPr>
            <w:tcW w:w="300" w:type="dxa"/>
            <w:vAlign w:val="bottom"/>
          </w:tcPr>
          <w:p>
            <w:pPr>
              <w:spacing w:after="0"/>
              <w:rPr>
                <w:sz w:val="24"/>
                <w:szCs w:val="24"/>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180,859</w:t>
            </w:r>
          </w:p>
        </w:tc>
        <w:tc>
          <w:tcPr>
            <w:tcW w:w="42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168,160</w:t>
            </w:r>
          </w:p>
        </w:tc>
      </w:tr>
      <w:tr>
        <w:trPr>
          <w:trHeight w:val="194"/>
        </w:trPr>
        <w:tc>
          <w:tcPr>
            <w:tcW w:w="4000" w:type="dxa"/>
            <w:vAlign w:val="bottom"/>
          </w:tcPr>
          <w:p>
            <w:pPr>
              <w:spacing w:after="0"/>
              <w:rPr>
                <w:sz w:val="16"/>
                <w:szCs w:val="16"/>
                <w:color w:val="auto"/>
              </w:rPr>
            </w:pPr>
          </w:p>
        </w:tc>
        <w:tc>
          <w:tcPr>
            <w:tcW w:w="13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Total Liabilities and Shareholders'</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622,143</w:t>
            </w:r>
          </w:p>
        </w:tc>
        <w:tc>
          <w:tcPr>
            <w:tcW w:w="12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$ 704,602</w:t>
            </w:r>
          </w:p>
        </w:tc>
        <w:tc>
          <w:tcPr>
            <w:tcW w:w="12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$ 528,584</w:t>
            </w:r>
          </w:p>
        </w:tc>
      </w:tr>
      <w:tr>
        <w:trPr>
          <w:trHeight w:val="194"/>
        </w:trPr>
        <w:tc>
          <w:tcPr>
            <w:tcW w:w="40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Equity .........................</w:t>
            </w:r>
          </w:p>
        </w:tc>
        <w:tc>
          <w:tcPr>
            <w:tcW w:w="36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w:t>
            </w:r>
          </w:p>
        </w:tc>
        <w:tc>
          <w:tcPr>
            <w:tcW w:w="3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19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5</w:t>
      </w:r>
    </w:p>
    <w:p>
      <w:pPr>
        <w:sectPr>
          <w:pgSz w:w="11900" w:h="16838" w:orient="portrait"/>
          <w:cols w:equalWidth="0" w:num="1">
            <w:col w:w="10219"/>
          </w:cols>
          <w:pgMar w:left="240" w:top="502" w:right="1440" w:bottom="1440" w:gutter="0" w:footer="0" w:header="0"/>
        </w:sectPr>
      </w:pPr>
    </w:p>
    <w:bookmarkStart w:id="5" w:name="page6"/>
    <w:bookmarkEnd w:id="5"/>
    <w:p>
      <w:pPr>
        <w:ind w:left="222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left="500" w:hanging="496"/>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Basis of Presentation</w:t>
      </w:r>
    </w:p>
    <w:p>
      <w:pPr>
        <w:spacing w:after="0" w:line="199" w:lineRule="exact"/>
        <w:rPr>
          <w:sz w:val="20"/>
          <w:szCs w:val="20"/>
          <w:color w:val="auto"/>
        </w:rPr>
      </w:pPr>
    </w:p>
    <w:p>
      <w:pPr>
        <w:jc w:val="both"/>
        <w:ind w:left="500" w:right="2319" w:firstLine="506"/>
        <w:spacing w:after="0" w:line="241" w:lineRule="auto"/>
        <w:rPr>
          <w:sz w:val="20"/>
          <w:szCs w:val="20"/>
          <w:color w:val="auto"/>
        </w:rPr>
      </w:pPr>
      <w:r>
        <w:rPr>
          <w:rFonts w:ascii="Courier New" w:cs="Courier New" w:eastAsia="Courier New" w:hAnsi="Courier New"/>
          <w:sz w:val="17"/>
          <w:szCs w:val="17"/>
          <w:color w:val="auto"/>
        </w:rPr>
        <w:t>The Scotts Company ("Scotts") and its wholly owned subsidiaries, Hyponex Corporation ("Hyponex"), Republic Tool and Manufacturing Corp. ("Republic") and Scott-Sierra Horticultural Products Company ("Sierra"), (collectively, the "Company"), are engaged in the manufacture and sale of lawn care and garden products. The Company's business is highly seasonal with approximately 70% of sales occurring in the second and third fiscal quarters.</w:t>
      </w:r>
    </w:p>
    <w:p>
      <w:pPr>
        <w:spacing w:after="0" w:line="202" w:lineRule="exact"/>
        <w:rPr>
          <w:sz w:val="20"/>
          <w:szCs w:val="20"/>
          <w:color w:val="auto"/>
        </w:rPr>
      </w:pPr>
    </w:p>
    <w:p>
      <w:pPr>
        <w:jc w:val="both"/>
        <w:ind w:left="500" w:right="2319" w:firstLine="506"/>
        <w:spacing w:after="0" w:line="258" w:lineRule="auto"/>
        <w:rPr>
          <w:sz w:val="20"/>
          <w:szCs w:val="20"/>
          <w:color w:val="auto"/>
        </w:rPr>
      </w:pPr>
      <w:r>
        <w:rPr>
          <w:rFonts w:ascii="Courier New" w:cs="Courier New" w:eastAsia="Courier New" w:hAnsi="Courier New"/>
          <w:sz w:val="16"/>
          <w:szCs w:val="16"/>
          <w:color w:val="auto"/>
        </w:rPr>
        <w:t>The consolidated balance sheets as of April 2, 1994 and April 1, 1995, the related consolidated statements of income for the three and six month periods ended April 2, 1994 and April 1, 1995 and the related consolidated statements of cash flows for the six month periods ended April 2, 1994 and April 1, 1995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1994 Annual Report on Form 10-K.</w:t>
      </w:r>
    </w:p>
    <w:p>
      <w:pPr>
        <w:spacing w:after="0" w:line="189" w:lineRule="exact"/>
        <w:rPr>
          <w:sz w:val="20"/>
          <w:szCs w:val="20"/>
          <w:color w:val="auto"/>
        </w:rPr>
      </w:pPr>
    </w:p>
    <w:p>
      <w:pPr>
        <w:jc w:val="both"/>
        <w:ind w:left="500" w:right="2319" w:firstLine="506"/>
        <w:spacing w:after="0" w:line="241" w:lineRule="auto"/>
        <w:rPr>
          <w:sz w:val="20"/>
          <w:szCs w:val="20"/>
          <w:color w:val="auto"/>
        </w:rPr>
      </w:pPr>
      <w:r>
        <w:rPr>
          <w:rFonts w:ascii="Courier New" w:cs="Courier New" w:eastAsia="Courier New" w:hAnsi="Courier New"/>
          <w:sz w:val="17"/>
          <w:szCs w:val="17"/>
          <w:color w:val="auto"/>
        </w:rPr>
        <w:t>The financial statements included in this Form 10-Q/A, Amendment No. 1 have been revised to reflect a change in the timing of expense recognition related to a promotional allowance offered to retail customers introduced for the first time in fiscal 1995. The impact of this revision is on timing of marketing promotional expense recognition in the first three quarters of the Company's fiscal year and did not impact the full fiscal year results of operations.</w:t>
      </w:r>
    </w:p>
    <w:p>
      <w:pPr>
        <w:spacing w:after="0" w:line="200" w:lineRule="exact"/>
        <w:rPr>
          <w:sz w:val="20"/>
          <w:szCs w:val="20"/>
          <w:color w:val="auto"/>
        </w:rPr>
      </w:pPr>
    </w:p>
    <w:p>
      <w:pPr>
        <w:ind w:left="500" w:hanging="496"/>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Reclassifications</w:t>
      </w:r>
    </w:p>
    <w:p>
      <w:pPr>
        <w:spacing w:after="0" w:line="199" w:lineRule="exact"/>
        <w:rPr>
          <w:sz w:val="20"/>
          <w:szCs w:val="20"/>
          <w:color w:val="auto"/>
        </w:rPr>
      </w:pPr>
    </w:p>
    <w:p>
      <w:pPr>
        <w:ind w:left="500" w:right="2319" w:firstLine="506"/>
        <w:spacing w:after="0" w:line="239" w:lineRule="auto"/>
        <w:rPr>
          <w:sz w:val="20"/>
          <w:szCs w:val="20"/>
          <w:color w:val="auto"/>
        </w:rPr>
      </w:pPr>
      <w:r>
        <w:rPr>
          <w:rFonts w:ascii="Courier New" w:cs="Courier New" w:eastAsia="Courier New" w:hAnsi="Courier New"/>
          <w:sz w:val="17"/>
          <w:szCs w:val="17"/>
          <w:color w:val="auto"/>
        </w:rPr>
        <w:t>Certain reclassifications have been made to the prior periods' financial statements to conform to April 1, 1995 presentation.</w:t>
      </w:r>
    </w:p>
    <w:p>
      <w:pPr>
        <w:spacing w:after="0" w:line="200" w:lineRule="exact"/>
        <w:rPr>
          <w:sz w:val="20"/>
          <w:szCs w:val="20"/>
          <w:color w:val="auto"/>
        </w:rPr>
      </w:pPr>
    </w:p>
    <w:p>
      <w:pPr>
        <w:ind w:left="500" w:right="8299" w:hanging="496"/>
        <w:spacing w:after="0" w:line="269" w:lineRule="auto"/>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spacing w:after="0" w:line="175"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Inventories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tcPr>
          <w:p>
            <w:pPr>
              <w:spacing w:after="0"/>
              <w:rPr>
                <w:sz w:val="16"/>
                <w:szCs w:val="16"/>
                <w:color w:val="auto"/>
              </w:rPr>
            </w:pP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April 2</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April 1</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4"/>
        </w:trPr>
        <w:tc>
          <w:tcPr>
            <w:tcW w:w="3600" w:type="dxa"/>
            <w:vAlign w:val="bottom"/>
          </w:tcPr>
          <w:p>
            <w:pPr>
              <w:spacing w:after="0"/>
              <w:rPr>
                <w:sz w:val="16"/>
                <w:szCs w:val="16"/>
                <w:color w:val="auto"/>
              </w:rPr>
            </w:pPr>
          </w:p>
        </w:tc>
        <w:tc>
          <w:tcPr>
            <w:tcW w:w="18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1994</w:t>
            </w:r>
          </w:p>
        </w:tc>
        <w:tc>
          <w:tcPr>
            <w:tcW w:w="1300" w:type="dxa"/>
            <w:vAlign w:val="bottom"/>
          </w:tcPr>
          <w:p>
            <w:pPr>
              <w:jc w:val="center"/>
              <w:ind w:left="116"/>
              <w:spacing w:after="0"/>
              <w:rPr>
                <w:sz w:val="20"/>
                <w:szCs w:val="20"/>
                <w:color w:val="auto"/>
              </w:rPr>
            </w:pPr>
            <w:r>
              <w:rPr>
                <w:rFonts w:ascii="Courier New" w:cs="Courier New" w:eastAsia="Courier New" w:hAnsi="Courier New"/>
                <w:sz w:val="17"/>
                <w:szCs w:val="17"/>
                <w:color w:val="auto"/>
              </w:rPr>
              <w:t>1995</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rPr>
              <w:t>1994</w:t>
            </w:r>
          </w:p>
        </w:tc>
      </w:tr>
      <w:tr>
        <w:trPr>
          <w:trHeight w:val="194"/>
        </w:trPr>
        <w:tc>
          <w:tcPr>
            <w:tcW w:w="3600" w:type="dxa"/>
            <w:vAlign w:val="bottom"/>
          </w:tcPr>
          <w:p>
            <w:pPr>
              <w:spacing w:after="0"/>
              <w:rPr>
                <w:sz w:val="16"/>
                <w:szCs w:val="16"/>
                <w:color w:val="auto"/>
              </w:rPr>
            </w:pPr>
          </w:p>
        </w:tc>
        <w:tc>
          <w:tcPr>
            <w:tcW w:w="18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left="116"/>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r>
      <w:tr>
        <w:trPr>
          <w:trHeight w:val="389"/>
        </w:trPr>
        <w:tc>
          <w:tcPr>
            <w:tcW w:w="3600" w:type="dxa"/>
            <w:vAlign w:val="bottom"/>
          </w:tcPr>
          <w:p>
            <w:pPr>
              <w:jc w:val="right"/>
              <w:spacing w:after="0"/>
              <w:rPr>
                <w:sz w:val="20"/>
                <w:szCs w:val="20"/>
                <w:color w:val="auto"/>
              </w:rPr>
            </w:pPr>
            <w:r>
              <w:rPr>
                <w:rFonts w:ascii="Courier New" w:cs="Courier New" w:eastAsia="Courier New" w:hAnsi="Courier New"/>
                <w:sz w:val="17"/>
                <w:szCs w:val="17"/>
                <w:color w:val="auto"/>
                <w:w w:val="98"/>
              </w:rPr>
              <w:t>Raw material ......................</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$ 53,302</w:t>
            </w:r>
          </w:p>
        </w:tc>
        <w:tc>
          <w:tcPr>
            <w:tcW w:w="1300" w:type="dxa"/>
            <w:vAlign w:val="bottom"/>
          </w:tcPr>
          <w:p>
            <w:pPr>
              <w:jc w:val="center"/>
              <w:ind w:left="116"/>
              <w:spacing w:after="0"/>
              <w:rPr>
                <w:sz w:val="20"/>
                <w:szCs w:val="20"/>
                <w:color w:val="auto"/>
              </w:rPr>
            </w:pPr>
            <w:r>
              <w:rPr>
                <w:rFonts w:ascii="Courier New" w:cs="Courier New" w:eastAsia="Courier New" w:hAnsi="Courier New"/>
                <w:sz w:val="17"/>
                <w:szCs w:val="17"/>
                <w:color w:val="auto"/>
              </w:rPr>
              <w:t>$ 56,326</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w w:val="97"/>
              </w:rPr>
              <w:t>$ 51,656</w:t>
            </w:r>
          </w:p>
        </w:tc>
      </w:tr>
      <w:tr>
        <w:trPr>
          <w:trHeight w:val="194"/>
        </w:trPr>
        <w:tc>
          <w:tcPr>
            <w:tcW w:w="3600" w:type="dxa"/>
            <w:vAlign w:val="bottom"/>
          </w:tcPr>
          <w:p>
            <w:pPr>
              <w:jc w:val="right"/>
              <w:spacing w:after="0"/>
              <w:rPr>
                <w:sz w:val="20"/>
                <w:szCs w:val="20"/>
                <w:color w:val="auto"/>
              </w:rPr>
            </w:pPr>
            <w:r>
              <w:rPr>
                <w:rFonts w:ascii="Courier New" w:cs="Courier New" w:eastAsia="Courier New" w:hAnsi="Courier New"/>
                <w:sz w:val="17"/>
                <w:szCs w:val="17"/>
                <w:color w:val="auto"/>
                <w:w w:val="98"/>
              </w:rPr>
              <w:t>Finished products .................</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75,530</w:t>
            </w:r>
          </w:p>
        </w:tc>
        <w:tc>
          <w:tcPr>
            <w:tcW w:w="13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87,248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54,980</w:t>
            </w:r>
          </w:p>
        </w:tc>
      </w:tr>
      <w:tr>
        <w:trPr>
          <w:trHeight w:val="194"/>
        </w:trPr>
        <w:tc>
          <w:tcPr>
            <w:tcW w:w="3600" w:type="dxa"/>
            <w:vAlign w:val="bottom"/>
          </w:tcPr>
          <w:p>
            <w:pPr>
              <w:spacing w:after="0"/>
              <w:rPr>
                <w:sz w:val="16"/>
                <w:szCs w:val="16"/>
                <w:color w:val="auto"/>
              </w:rPr>
            </w:pP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left="116"/>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3600" w:type="dxa"/>
            <w:vAlign w:val="bottom"/>
          </w:tcPr>
          <w:p>
            <w:pPr>
              <w:jc w:val="right"/>
              <w:spacing w:after="0"/>
              <w:rPr>
                <w:sz w:val="20"/>
                <w:szCs w:val="20"/>
                <w:color w:val="auto"/>
              </w:rPr>
            </w:pPr>
            <w:r>
              <w:rPr>
                <w:rFonts w:ascii="Courier New" w:cs="Courier New" w:eastAsia="Courier New" w:hAnsi="Courier New"/>
                <w:sz w:val="17"/>
                <w:szCs w:val="17"/>
                <w:color w:val="auto"/>
              </w:rPr>
              <w:t>Total Inventories .............</w:t>
            </w: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$128,832</w:t>
            </w:r>
          </w:p>
        </w:tc>
        <w:tc>
          <w:tcPr>
            <w:tcW w:w="1300" w:type="dxa"/>
            <w:vAlign w:val="bottom"/>
          </w:tcPr>
          <w:p>
            <w:pPr>
              <w:jc w:val="center"/>
              <w:ind w:left="116"/>
              <w:spacing w:after="0"/>
              <w:rPr>
                <w:sz w:val="20"/>
                <w:szCs w:val="20"/>
                <w:color w:val="auto"/>
              </w:rPr>
            </w:pPr>
            <w:r>
              <w:rPr>
                <w:rFonts w:ascii="Courier New" w:cs="Courier New" w:eastAsia="Courier New" w:hAnsi="Courier New"/>
                <w:sz w:val="17"/>
                <w:szCs w:val="17"/>
                <w:color w:val="auto"/>
              </w:rPr>
              <w:t>$143,574</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w w:val="97"/>
              </w:rPr>
              <w:t>$106,636</w:t>
            </w:r>
          </w:p>
        </w:tc>
      </w:tr>
      <w:tr>
        <w:trPr>
          <w:trHeight w:val="194"/>
        </w:trPr>
        <w:tc>
          <w:tcPr>
            <w:tcW w:w="3600" w:type="dxa"/>
            <w:vAlign w:val="bottom"/>
          </w:tcPr>
          <w:p>
            <w:pPr>
              <w:spacing w:after="0"/>
              <w:rPr>
                <w:sz w:val="16"/>
                <w:szCs w:val="16"/>
                <w:color w:val="auto"/>
              </w:rPr>
            </w:pPr>
          </w:p>
        </w:tc>
        <w:tc>
          <w:tcPr>
            <w:tcW w:w="18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left="116"/>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560"/>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3600" w:type="dxa"/>
            <w:vAlign w:val="bottom"/>
          </w:tcPr>
          <w:p>
            <w:pPr>
              <w:spacing w:after="0"/>
              <w:rPr>
                <w:sz w:val="24"/>
                <w:szCs w:val="24"/>
                <w:color w:val="auto"/>
              </w:rPr>
            </w:pPr>
          </w:p>
        </w:tc>
        <w:tc>
          <w:tcPr>
            <w:tcW w:w="182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Page 6</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697" w:right="1440" w:bottom="1440" w:gutter="0" w:footer="0" w:header="0"/>
        </w:sectPr>
      </w:pPr>
    </w:p>
    <w:bookmarkStart w:id="6" w:name="page7"/>
    <w:bookmarkEnd w:id="6"/>
    <w:p>
      <w:pPr>
        <w:ind w:left="222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tcPr>
          <w:p>
            <w:pPr>
              <w:spacing w:after="0"/>
              <w:rPr>
                <w:sz w:val="20"/>
                <w:szCs w:val="20"/>
                <w:color w:val="auto"/>
              </w:rPr>
            </w:pPr>
            <w:r>
              <w:rPr>
                <w:rFonts w:ascii="Courier New" w:cs="Courier New" w:eastAsia="Courier New" w:hAnsi="Courier New"/>
                <w:sz w:val="17"/>
                <w:szCs w:val="17"/>
                <w:color w:val="auto"/>
              </w:rPr>
              <w:t>4.  Long-Term Debt</w:t>
            </w: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120" w:type="dxa"/>
            <w:vAlign w:val="bottom"/>
          </w:tcPr>
          <w:p>
            <w:pPr>
              <w:ind w:left="400"/>
              <w:spacing w:after="0"/>
              <w:rPr>
                <w:sz w:val="20"/>
                <w:szCs w:val="20"/>
                <w:color w:val="auto"/>
              </w:rPr>
            </w:pPr>
            <w:r>
              <w:rPr>
                <w:rFonts w:ascii="Courier New" w:cs="Courier New" w:eastAsia="Courier New" w:hAnsi="Courier New"/>
                <w:sz w:val="17"/>
                <w:szCs w:val="17"/>
                <w:color w:val="auto"/>
              </w:rPr>
              <w:t>(in thousands)</w:t>
            </w: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9/30/94</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4/1/95</w:t>
            </w:r>
          </w:p>
        </w:tc>
      </w:tr>
      <w:tr>
        <w:trPr>
          <w:trHeight w:val="194"/>
        </w:trPr>
        <w:tc>
          <w:tcPr>
            <w:tcW w:w="5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_______</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______</w:t>
            </w:r>
          </w:p>
        </w:tc>
      </w:tr>
      <w:tr>
        <w:trPr>
          <w:trHeight w:val="583"/>
        </w:trPr>
        <w:tc>
          <w:tcPr>
            <w:tcW w:w="5120" w:type="dxa"/>
            <w:vAlign w:val="bottom"/>
          </w:tcPr>
          <w:p>
            <w:pPr>
              <w:spacing w:after="0"/>
              <w:rPr>
                <w:sz w:val="20"/>
                <w:szCs w:val="20"/>
                <w:color w:val="auto"/>
              </w:rPr>
            </w:pPr>
            <w:r>
              <w:rPr>
                <w:rFonts w:ascii="Courier New" w:cs="Courier New" w:eastAsia="Courier New" w:hAnsi="Courier New"/>
                <w:sz w:val="17"/>
                <w:szCs w:val="17"/>
                <w:color w:val="auto"/>
              </w:rPr>
              <w:t>Revolving Credit Line ........................</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53,416</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$264,321</w:t>
            </w:r>
          </w:p>
        </w:tc>
      </w:tr>
      <w:tr>
        <w:trPr>
          <w:trHeight w:val="194"/>
        </w:trPr>
        <w:tc>
          <w:tcPr>
            <w:tcW w:w="5120" w:type="dxa"/>
            <w:vAlign w:val="bottom"/>
          </w:tcPr>
          <w:p>
            <w:pPr>
              <w:spacing w:after="0"/>
              <w:rPr>
                <w:sz w:val="20"/>
                <w:szCs w:val="20"/>
                <w:color w:val="auto"/>
              </w:rPr>
            </w:pPr>
            <w:r>
              <w:rPr>
                <w:rFonts w:ascii="Courier New" w:cs="Courier New" w:eastAsia="Courier New" w:hAnsi="Courier New"/>
                <w:sz w:val="17"/>
                <w:szCs w:val="17"/>
                <w:color w:val="auto"/>
              </w:rPr>
              <w:t>Senior Subordinated Notes</w:t>
            </w: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120" w:type="dxa"/>
            <w:vAlign w:val="bottom"/>
          </w:tcPr>
          <w:p>
            <w:pPr>
              <w:spacing w:after="0"/>
              <w:rPr>
                <w:sz w:val="20"/>
                <w:szCs w:val="20"/>
                <w:color w:val="auto"/>
              </w:rPr>
            </w:pPr>
            <w:r>
              <w:rPr>
                <w:rFonts w:ascii="Courier New" w:cs="Courier New" w:eastAsia="Courier New" w:hAnsi="Courier New"/>
                <w:sz w:val="17"/>
                <w:szCs w:val="17"/>
                <w:color w:val="auto"/>
              </w:rPr>
              <w:t>($100 million face amount) ...................</w:t>
            </w:r>
          </w:p>
        </w:tc>
        <w:tc>
          <w:tcPr>
            <w:tcW w:w="540" w:type="dxa"/>
            <w:vAlign w:val="bottom"/>
          </w:tcPr>
          <w:p>
            <w:pPr>
              <w:spacing w:after="0"/>
              <w:rPr>
                <w:sz w:val="16"/>
                <w:szCs w:val="16"/>
                <w:color w:val="auto"/>
              </w:rPr>
            </w:pPr>
          </w:p>
        </w:tc>
        <w:tc>
          <w:tcPr>
            <w:tcW w:w="12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99,221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99,267</w:t>
            </w:r>
          </w:p>
        </w:tc>
      </w:tr>
      <w:tr>
        <w:trPr>
          <w:trHeight w:val="194"/>
        </w:trPr>
        <w:tc>
          <w:tcPr>
            <w:tcW w:w="5120" w:type="dxa"/>
            <w:vAlign w:val="bottom"/>
          </w:tcPr>
          <w:p>
            <w:pPr>
              <w:spacing w:after="0"/>
              <w:rPr>
                <w:sz w:val="20"/>
                <w:szCs w:val="20"/>
                <w:color w:val="auto"/>
              </w:rPr>
            </w:pPr>
            <w:r>
              <w:rPr>
                <w:rFonts w:ascii="Courier New" w:cs="Courier New" w:eastAsia="Courier New" w:hAnsi="Courier New"/>
                <w:sz w:val="17"/>
                <w:szCs w:val="17"/>
                <w:color w:val="auto"/>
              </w:rPr>
              <w:t>Term Loan ....................................</w:t>
            </w:r>
          </w:p>
        </w:tc>
        <w:tc>
          <w:tcPr>
            <w:tcW w:w="540" w:type="dxa"/>
            <w:vAlign w:val="bottom"/>
          </w:tcPr>
          <w:p>
            <w:pPr>
              <w:spacing w:after="0"/>
              <w:rPr>
                <w:sz w:val="16"/>
                <w:szCs w:val="16"/>
                <w:color w:val="auto"/>
              </w:rPr>
            </w:pPr>
          </w:p>
        </w:tc>
        <w:tc>
          <w:tcPr>
            <w:tcW w:w="12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93,598</w:t>
            </w:r>
          </w:p>
        </w:tc>
        <w:tc>
          <w:tcPr>
            <w:tcW w:w="12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5120" w:type="dxa"/>
            <w:vAlign w:val="bottom"/>
          </w:tcPr>
          <w:p>
            <w:pPr>
              <w:spacing w:after="0"/>
              <w:rPr>
                <w:sz w:val="20"/>
                <w:szCs w:val="20"/>
                <w:color w:val="auto"/>
              </w:rPr>
            </w:pPr>
            <w:r>
              <w:rPr>
                <w:rFonts w:ascii="Courier New" w:cs="Courier New" w:eastAsia="Courier New" w:hAnsi="Courier New"/>
                <w:sz w:val="17"/>
                <w:szCs w:val="17"/>
                <w:color w:val="auto"/>
              </w:rPr>
              <w:t>Capital Lease Obligations ....................</w:t>
            </w:r>
          </w:p>
        </w:tc>
        <w:tc>
          <w:tcPr>
            <w:tcW w:w="540" w:type="dxa"/>
            <w:vAlign w:val="bottom"/>
          </w:tcPr>
          <w:p>
            <w:pPr>
              <w:spacing w:after="0"/>
              <w:rPr>
                <w:sz w:val="16"/>
                <w:szCs w:val="16"/>
                <w:color w:val="auto"/>
              </w:rPr>
            </w:pPr>
          </w:p>
        </w:tc>
        <w:tc>
          <w:tcPr>
            <w:tcW w:w="12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1,066</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894</w:t>
            </w:r>
          </w:p>
        </w:tc>
      </w:tr>
      <w:tr>
        <w:trPr>
          <w:trHeight w:val="194"/>
        </w:trPr>
        <w:tc>
          <w:tcPr>
            <w:tcW w:w="5120" w:type="dxa"/>
            <w:vAlign w:val="bottom"/>
          </w:tcPr>
          <w:p>
            <w:pPr>
              <w:spacing w:after="0"/>
              <w:rPr>
                <w:sz w:val="16"/>
                <w:szCs w:val="16"/>
                <w:color w:val="auto"/>
              </w:rPr>
            </w:pPr>
          </w:p>
        </w:tc>
        <w:tc>
          <w:tcPr>
            <w:tcW w:w="17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7"/>
              </w:rPr>
              <w:t>247,301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364,482</w:t>
            </w:r>
          </w:p>
        </w:tc>
      </w:tr>
      <w:tr>
        <w:trPr>
          <w:trHeight w:val="194"/>
        </w:trPr>
        <w:tc>
          <w:tcPr>
            <w:tcW w:w="5120" w:type="dxa"/>
            <w:vAlign w:val="bottom"/>
          </w:tcPr>
          <w:p>
            <w:pPr>
              <w:spacing w:after="0"/>
              <w:rPr>
                <w:sz w:val="20"/>
                <w:szCs w:val="20"/>
                <w:color w:val="auto"/>
              </w:rPr>
            </w:pPr>
            <w:r>
              <w:rPr>
                <w:rFonts w:ascii="Courier New" w:cs="Courier New" w:eastAsia="Courier New" w:hAnsi="Courier New"/>
                <w:sz w:val="17"/>
                <w:szCs w:val="17"/>
                <w:color w:val="auto"/>
              </w:rPr>
              <w:t>Less current portions ........................</w:t>
            </w:r>
          </w:p>
        </w:tc>
        <w:tc>
          <w:tcPr>
            <w:tcW w:w="540" w:type="dxa"/>
            <w:vAlign w:val="bottom"/>
          </w:tcPr>
          <w:p>
            <w:pPr>
              <w:spacing w:after="0"/>
              <w:rPr>
                <w:sz w:val="16"/>
                <w:szCs w:val="16"/>
                <w:color w:val="auto"/>
              </w:rPr>
            </w:pPr>
          </w:p>
        </w:tc>
        <w:tc>
          <w:tcPr>
            <w:tcW w:w="12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27,171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39,852</w:t>
            </w:r>
          </w:p>
        </w:tc>
      </w:tr>
      <w:tr>
        <w:trPr>
          <w:trHeight w:val="194"/>
        </w:trPr>
        <w:tc>
          <w:tcPr>
            <w:tcW w:w="5120" w:type="dxa"/>
            <w:vAlign w:val="bottom"/>
          </w:tcPr>
          <w:p>
            <w:pPr>
              <w:spacing w:after="0"/>
              <w:rPr>
                <w:sz w:val="16"/>
                <w:szCs w:val="16"/>
                <w:color w:val="auto"/>
              </w:rPr>
            </w:pPr>
          </w:p>
        </w:tc>
        <w:tc>
          <w:tcPr>
            <w:tcW w:w="17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5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7"/>
              </w:rPr>
              <w:t>220,130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$324,630</w:t>
            </w:r>
          </w:p>
        </w:tc>
      </w:tr>
      <w:tr>
        <w:trPr>
          <w:trHeight w:val="194"/>
        </w:trPr>
        <w:tc>
          <w:tcPr>
            <w:tcW w:w="5120" w:type="dxa"/>
            <w:vAlign w:val="bottom"/>
          </w:tcPr>
          <w:p>
            <w:pPr>
              <w:spacing w:after="0"/>
              <w:rPr>
                <w:sz w:val="16"/>
                <w:szCs w:val="16"/>
                <w:color w:val="auto"/>
              </w:rPr>
            </w:pPr>
          </w:p>
        </w:tc>
        <w:tc>
          <w:tcPr>
            <w:tcW w:w="17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3" w:lineRule="exact"/>
        <w:rPr>
          <w:sz w:val="20"/>
          <w:szCs w:val="20"/>
          <w:color w:val="auto"/>
        </w:rPr>
      </w:pPr>
    </w:p>
    <w:p>
      <w:pPr>
        <w:jc w:val="both"/>
        <w:ind w:left="500" w:right="2319" w:firstLine="506"/>
        <w:spacing w:after="0" w:line="242" w:lineRule="auto"/>
        <w:rPr>
          <w:sz w:val="20"/>
          <w:szCs w:val="20"/>
          <w:color w:val="auto"/>
        </w:rPr>
      </w:pPr>
      <w:r>
        <w:rPr>
          <w:rFonts w:ascii="Courier New" w:cs="Courier New" w:eastAsia="Courier New" w:hAnsi="Courier New"/>
          <w:sz w:val="17"/>
          <w:szCs w:val="17"/>
          <w:color w:val="auto"/>
        </w:rPr>
        <w:t>On March 17, 1995, the Company entered into the Fourth Amended and Restated Credit Agreement ("Agreement") with Chemical Bank ("Chemical") and various participating banks. The Agreement provides, on an unsecured basis, up to $375 million to the Company, comprised of an uncommitted competitive advance facility and a committed revolving credit facility through the scheduled termination date of March 31, 2000. The Agreement contains a requirement limiting the maximum amount borrowed to $225 million for a minimum of 30 consecutive days each fiscal year. Expenses expected to be incurred related to the Agreement are approximately $500,000 and will be deferred.</w:t>
      </w:r>
    </w:p>
    <w:p>
      <w:pPr>
        <w:spacing w:after="0" w:line="197" w:lineRule="exact"/>
        <w:rPr>
          <w:sz w:val="20"/>
          <w:szCs w:val="20"/>
          <w:color w:val="auto"/>
        </w:rPr>
      </w:pPr>
    </w:p>
    <w:p>
      <w:pPr>
        <w:jc w:val="both"/>
        <w:ind w:left="500" w:right="2319" w:firstLine="506"/>
        <w:spacing w:after="0" w:line="258" w:lineRule="auto"/>
        <w:rPr>
          <w:sz w:val="20"/>
          <w:szCs w:val="20"/>
          <w:color w:val="auto"/>
        </w:rPr>
      </w:pPr>
      <w:r>
        <w:rPr>
          <w:rFonts w:ascii="Courier New" w:cs="Courier New" w:eastAsia="Courier New" w:hAnsi="Courier New"/>
          <w:sz w:val="16"/>
          <w:szCs w:val="16"/>
          <w:color w:val="auto"/>
        </w:rPr>
        <w:t>Interest pursuant to the commercial paper/competitive advance facility is determined by auction. Interest pursuant to the revolving credit facility is at a floating rate initially equal, at the Company's option, to the Alternate Base Rate as defined in the Agreement without additional margin or the Eurodollar Rate as defined in the Agreement plus a margin of .3125% per annum, which margin may be decreased to .25% or increased up to .625% based on the higher of the unsecured debt ratings of the Company. Applicable interest rates for the facilities ranged from 6.33% to 9.00% at April 1, 1995. The Agreement provides for the payment of an annual administration fee of $100,000 and a facility fee of .1875% per annum, which fee may be reduced to .15% or increased up to .375% based on the higher of the unsecured debt ratings of the Company.</w:t>
      </w:r>
    </w:p>
    <w:p>
      <w:pPr>
        <w:spacing w:after="0" w:line="190" w:lineRule="exact"/>
        <w:rPr>
          <w:sz w:val="20"/>
          <w:szCs w:val="20"/>
          <w:color w:val="auto"/>
        </w:rPr>
      </w:pPr>
    </w:p>
    <w:p>
      <w:pPr>
        <w:jc w:val="both"/>
        <w:ind w:left="500" w:right="2319" w:firstLine="506"/>
        <w:spacing w:after="0" w:line="241" w:lineRule="auto"/>
        <w:rPr>
          <w:sz w:val="20"/>
          <w:szCs w:val="20"/>
          <w:color w:val="auto"/>
        </w:rPr>
      </w:pPr>
      <w:r>
        <w:rPr>
          <w:rFonts w:ascii="Courier New" w:cs="Courier New" w:eastAsia="Courier New" w:hAnsi="Courier New"/>
          <w:sz w:val="17"/>
          <w:szCs w:val="17"/>
          <w:color w:val="auto"/>
        </w:rPr>
        <w:t>The Agreement contains certain financial and operating covenants, including maintenance of interest coverage ratios, maintenance of consolidated net worth, and restrictions on additional indebtedness and capital expenditures. The Company was in compliance with all required covenants at April 1, 1995.</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Maturities of term debt for the next five years are as follows:</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 thousands)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2360" w:type="dxa"/>
            <w:vAlign w:val="bottom"/>
            <w:gridSpan w:val="2"/>
          </w:tcPr>
          <w:p>
            <w:pPr>
              <w:spacing w:after="0"/>
              <w:rPr>
                <w:sz w:val="20"/>
                <w:szCs w:val="20"/>
                <w:color w:val="auto"/>
              </w:rPr>
            </w:pPr>
            <w:r>
              <w:rPr>
                <w:rFonts w:ascii="Courier New" w:cs="Courier New" w:eastAsia="Courier New" w:hAnsi="Courier New"/>
                <w:sz w:val="17"/>
                <w:szCs w:val="17"/>
                <w:color w:val="auto"/>
              </w:rPr>
              <w:t>Fiscal Year</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4"/>
        </w:trPr>
        <w:tc>
          <w:tcPr>
            <w:tcW w:w="236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4"/>
        </w:trPr>
        <w:tc>
          <w:tcPr>
            <w:tcW w:w="44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920" w:type="dxa"/>
            <w:vAlign w:val="bottom"/>
          </w:tcPr>
          <w:p>
            <w:pPr>
              <w:spacing w:after="0"/>
              <w:rPr>
                <w:sz w:val="16"/>
                <w:szCs w:val="16"/>
                <w:color w:val="auto"/>
              </w:rPr>
            </w:pPr>
          </w:p>
        </w:tc>
        <w:tc>
          <w:tcPr>
            <w:tcW w:w="7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39,592</w:t>
            </w:r>
          </w:p>
        </w:tc>
      </w:tr>
      <w:tr>
        <w:trPr>
          <w:trHeight w:val="194"/>
        </w:trPr>
        <w:tc>
          <w:tcPr>
            <w:tcW w:w="44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404</w:t>
            </w:r>
          </w:p>
        </w:tc>
      </w:tr>
      <w:tr>
        <w:trPr>
          <w:trHeight w:val="194"/>
        </w:trPr>
        <w:tc>
          <w:tcPr>
            <w:tcW w:w="44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149</w:t>
            </w:r>
          </w:p>
        </w:tc>
      </w:tr>
      <w:tr>
        <w:trPr>
          <w:trHeight w:val="194"/>
        </w:trPr>
        <w:tc>
          <w:tcPr>
            <w:tcW w:w="44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1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r>
      <w:tr>
        <w:trPr>
          <w:trHeight w:val="194"/>
        </w:trPr>
        <w:tc>
          <w:tcPr>
            <w:tcW w:w="44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4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1920" w:type="dxa"/>
            <w:vAlign w:val="bottom"/>
          </w:tcPr>
          <w:p>
            <w:pPr>
              <w:ind w:left="60"/>
              <w:spacing w:after="0"/>
              <w:rPr>
                <w:sz w:val="20"/>
                <w:szCs w:val="20"/>
                <w:color w:val="auto"/>
              </w:rPr>
            </w:pPr>
            <w:r>
              <w:rPr>
                <w:rFonts w:ascii="Courier New" w:cs="Courier New" w:eastAsia="Courier New" w:hAnsi="Courier New"/>
                <w:sz w:val="17"/>
                <w:szCs w:val="17"/>
                <w:color w:val="auto"/>
              </w:rPr>
              <w:t>and thereafter</w:t>
            </w:r>
          </w:p>
        </w:tc>
        <w:tc>
          <w:tcPr>
            <w:tcW w:w="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325,000</w:t>
            </w:r>
          </w:p>
        </w:tc>
      </w:tr>
    </w:tbl>
    <w:p>
      <w:pPr>
        <w:spacing w:after="0" w:line="391"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7</w:t>
      </w:r>
    </w:p>
    <w:p>
      <w:pPr>
        <w:sectPr>
          <w:pgSz w:w="11900" w:h="16838" w:orient="portrait"/>
          <w:cols w:equalWidth="0" w:num="1">
            <w:col w:w="10219"/>
          </w:cols>
          <w:pgMar w:left="240" w:top="502" w:right="1440" w:bottom="1440" w:gutter="0" w:footer="0" w:header="0"/>
        </w:sectPr>
      </w:pPr>
    </w:p>
    <w:bookmarkStart w:id="7" w:name="page8"/>
    <w:bookmarkEnd w:id="7"/>
    <w:p>
      <w:pPr>
        <w:ind w:left="2216"/>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 w:lineRule="exact"/>
        <w:rPr>
          <w:sz w:val="20"/>
          <w:szCs w:val="20"/>
          <w:color w:val="auto"/>
        </w:rPr>
      </w:pPr>
    </w:p>
    <w:p>
      <w:pPr>
        <w:ind w:left="1816"/>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391" w:lineRule="exact"/>
        <w:rPr>
          <w:sz w:val="20"/>
          <w:szCs w:val="20"/>
          <w:color w:val="auto"/>
        </w:rPr>
      </w:pPr>
    </w:p>
    <w:p>
      <w:pPr>
        <w:ind w:left="496" w:hanging="496"/>
        <w:spacing w:after="0"/>
        <w:tabs>
          <w:tab w:leader="none" w:pos="49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Foreign Exchange Instruments</w:t>
      </w:r>
    </w:p>
    <w:p>
      <w:pPr>
        <w:spacing w:after="0" w:line="199" w:lineRule="exact"/>
        <w:rPr>
          <w:sz w:val="20"/>
          <w:szCs w:val="20"/>
          <w:color w:val="auto"/>
        </w:rPr>
      </w:pPr>
    </w:p>
    <w:p>
      <w:pPr>
        <w:jc w:val="both"/>
        <w:ind w:left="496" w:right="2319" w:firstLine="506"/>
        <w:spacing w:after="0" w:line="241" w:lineRule="auto"/>
        <w:rPr>
          <w:sz w:val="20"/>
          <w:szCs w:val="20"/>
          <w:color w:val="auto"/>
        </w:rPr>
      </w:pPr>
      <w:r>
        <w:rPr>
          <w:rFonts w:ascii="Courier New" w:cs="Courier New" w:eastAsia="Courier New" w:hAnsi="Courier New"/>
          <w:sz w:val="17"/>
          <w:szCs w:val="17"/>
          <w:color w:val="auto"/>
        </w:rPr>
        <w:t>The Company enters into forward foreign exchange and currency options contracts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202" w:lineRule="exact"/>
        <w:rPr>
          <w:sz w:val="20"/>
          <w:szCs w:val="20"/>
          <w:color w:val="auto"/>
        </w:rPr>
      </w:pPr>
    </w:p>
    <w:p>
      <w:pPr>
        <w:jc w:val="both"/>
        <w:ind w:left="496" w:right="2319" w:firstLine="506"/>
        <w:spacing w:after="0" w:line="241" w:lineRule="auto"/>
        <w:rPr>
          <w:sz w:val="20"/>
          <w:szCs w:val="20"/>
          <w:color w:val="auto"/>
        </w:rPr>
      </w:pPr>
      <w:r>
        <w:rPr>
          <w:rFonts w:ascii="Courier New" w:cs="Courier New" w:eastAsia="Courier New" w:hAnsi="Courier New"/>
          <w:sz w:val="17"/>
          <w:szCs w:val="17"/>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 The net unrealized gain deferred totaled $646,715 at April 1, 1995.</w:t>
      </w:r>
    </w:p>
    <w:p>
      <w:pPr>
        <w:spacing w:after="0" w:line="201" w:lineRule="exact"/>
        <w:rPr>
          <w:sz w:val="20"/>
          <w:szCs w:val="20"/>
          <w:color w:val="auto"/>
        </w:rPr>
      </w:pPr>
    </w:p>
    <w:p>
      <w:pPr>
        <w:jc w:val="both"/>
        <w:ind w:left="496" w:right="2319" w:firstLine="506"/>
        <w:spacing w:after="0" w:line="242" w:lineRule="auto"/>
        <w:rPr>
          <w:sz w:val="20"/>
          <w:szCs w:val="20"/>
          <w:color w:val="auto"/>
        </w:rPr>
      </w:pPr>
      <w:r>
        <w:rPr>
          <w:rFonts w:ascii="Courier New" w:cs="Courier New" w:eastAsia="Courier New" w:hAnsi="Courier New"/>
          <w:sz w:val="17"/>
          <w:szCs w:val="17"/>
          <w:color w:val="auto"/>
        </w:rPr>
        <w:t>At April 1, 1995, the Company's European operations had foreign exchange risk in various European currencies tied to the Dutch guilder. These currencies are: the Australian Dollar, Belgian Franc, German Mark, Spanish Peseta, French Franc, British Pound and the U. S. Dollar. The Company's U. S. operations have foreign exchange rate risk in the Canadian Dollar, the Dutch Guilder and the British Pound which are tied to the U. S. Dollar. As of April 1, 1995, the Company had outstanding forward foreign exchange contracts with a contract value of approximately $26.7 million and outstanding purchased currency options with a contract value of approximately $3.3 million. These contracts have maturity dates ranging from April 6, 1995 to July 13, 1995.</w:t>
      </w:r>
    </w:p>
    <w:p>
      <w:pPr>
        <w:spacing w:after="0" w:line="195" w:lineRule="exact"/>
        <w:rPr>
          <w:sz w:val="20"/>
          <w:szCs w:val="20"/>
          <w:color w:val="auto"/>
        </w:rPr>
      </w:pPr>
    </w:p>
    <w:p>
      <w:pPr>
        <w:ind w:left="496" w:hanging="496"/>
        <w:spacing w:after="0"/>
        <w:tabs>
          <w:tab w:leader="none" w:pos="496"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w:t>
      </w:r>
    </w:p>
    <w:p>
      <w:pPr>
        <w:spacing w:after="0" w:line="199" w:lineRule="exact"/>
        <w:rPr>
          <w:sz w:val="20"/>
          <w:szCs w:val="20"/>
          <w:color w:val="auto"/>
        </w:rPr>
      </w:pPr>
    </w:p>
    <w:p>
      <w:pPr>
        <w:jc w:val="both"/>
        <w:ind w:left="496" w:right="2319" w:firstLine="506"/>
        <w:spacing w:after="0" w:line="242" w:lineRule="auto"/>
        <w:rPr>
          <w:sz w:val="20"/>
          <w:szCs w:val="20"/>
          <w:color w:val="auto"/>
        </w:rPr>
      </w:pPr>
      <w:r>
        <w:rPr>
          <w:rFonts w:ascii="Courier New" w:cs="Courier New" w:eastAsia="Courier New" w:hAnsi="Courier New"/>
          <w:sz w:val="17"/>
          <w:szCs w:val="17"/>
          <w:color w:val="auto"/>
        </w:rPr>
        <w:t>Effective December 16, 1993 the Company completed the acquisition of Grace-Sierra Horticultural Products Company now known as Scotts-Sierra Horticultural Products Company (all further references will be made as "Sierra").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197" w:lineRule="exact"/>
        <w:rPr>
          <w:sz w:val="20"/>
          <w:szCs w:val="20"/>
          <w:color w:val="auto"/>
        </w:rPr>
      </w:pPr>
    </w:p>
    <w:p>
      <w:pPr>
        <w:jc w:val="both"/>
        <w:ind w:left="496" w:right="2319" w:firstLine="506"/>
        <w:spacing w:after="0" w:line="242" w:lineRule="auto"/>
        <w:rPr>
          <w:sz w:val="20"/>
          <w:szCs w:val="20"/>
          <w:color w:val="auto"/>
        </w:rPr>
      </w:pPr>
      <w:r>
        <w:rPr>
          <w:rFonts w:ascii="Courier New" w:cs="Courier New" w:eastAsia="Courier New" w:hAnsi="Courier New"/>
          <w:sz w:val="17"/>
          <w:szCs w:val="17"/>
          <w:color w:val="auto"/>
        </w:rPr>
        <w:t>On January 26, 1995, the Company, the shareholders (the "Miracle-Gro Shareholders") of Stern's Miracle-Gro Products, Inc. and affiliated companies (the "Miracle-Gro Companies"), and the Miracle Gro Companies entered into an Agreement and Plan of Merger (the "Miracle-Gro Agreement"). On April 6, 1995, the Company's shareholders approved certain matters necessary to permit the consummation of the transactions contemplated by the Miracle-Gro Agreement. Such transactions still require the approval of the Federal Trade Commission (the "FTC") which is currently having discussions with the Company. The Company expects a decision by the FTC during May 1995. The Miracle-Gro Agreement, as amended, provides that, upon consummation of the transactions contemplated thereby, the Company will issue $195 million face amount of convertible preferred stock and warrants to purchase three million common shares. The convertible preferred stock will be convertible into common shares at $19 per share (subject to adjustment), will pay annual dividends at a rate of 5.0%, will not be subject to redemption by the Company for five years and will be subject to certain restrictions on transfer. The warrants will be exercisable over eight and one half years at prices ranging from $21 to $29 per share. The transactions contemplated by the Miracle-Gro Agreement, as amended, will be accounted for as a purchase, of which the fair value was estimated to be approximately $200 million as of January 26, 1995.</w:t>
      </w:r>
    </w:p>
    <w:p>
      <w:pPr>
        <w:spacing w:after="0" w:line="198" w:lineRule="exact"/>
        <w:rPr>
          <w:sz w:val="20"/>
          <w:szCs w:val="20"/>
          <w:color w:val="auto"/>
        </w:rPr>
      </w:pPr>
    </w:p>
    <w:p>
      <w:pPr>
        <w:ind w:left="3636"/>
        <w:spacing w:after="0"/>
        <w:rPr>
          <w:sz w:val="20"/>
          <w:szCs w:val="20"/>
          <w:color w:val="auto"/>
        </w:rPr>
      </w:pPr>
      <w:r>
        <w:rPr>
          <w:rFonts w:ascii="Courier New" w:cs="Courier New" w:eastAsia="Courier New" w:hAnsi="Courier New"/>
          <w:sz w:val="17"/>
          <w:szCs w:val="17"/>
          <w:color w:val="auto"/>
        </w:rPr>
        <w:t>Page 8</w:t>
      </w:r>
    </w:p>
    <w:p>
      <w:pPr>
        <w:sectPr>
          <w:pgSz w:w="11900" w:h="16838" w:orient="portrait"/>
          <w:cols w:equalWidth="0" w:num="1">
            <w:col w:w="10215"/>
          </w:cols>
          <w:pgMar w:left="244" w:top="502" w:right="1440" w:bottom="1440" w:gutter="0" w:footer="0" w:header="0"/>
        </w:sectPr>
      </w:pPr>
    </w:p>
    <w:bookmarkStart w:id="8" w:name="page9"/>
    <w:bookmarkEnd w:id="8"/>
    <w:p>
      <w:pPr>
        <w:ind w:left="222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393" w:lineRule="exact"/>
        <w:rPr>
          <w:sz w:val="20"/>
          <w:szCs w:val="20"/>
          <w:color w:val="auto"/>
        </w:rPr>
      </w:pPr>
    </w:p>
    <w:p>
      <w:pPr>
        <w:jc w:val="both"/>
        <w:ind w:left="500" w:right="2319" w:firstLine="506"/>
        <w:spacing w:after="0"/>
        <w:rPr>
          <w:sz w:val="20"/>
          <w:szCs w:val="20"/>
          <w:color w:val="auto"/>
        </w:rPr>
      </w:pPr>
      <w:r>
        <w:rPr>
          <w:rFonts w:ascii="Courier New" w:cs="Courier New" w:eastAsia="Courier New" w:hAnsi="Courier New"/>
          <w:sz w:val="17"/>
          <w:szCs w:val="17"/>
          <w:color w:val="auto"/>
        </w:rPr>
        <w:t>The following pro forma results of operations give effect to the above Sierra acquisition as if it had occurred on October 1, 1992 and Miracle-Gro merger as if it had occurred on October 1, 1993.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Six Months Ended</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94"/>
        </w:trPr>
        <w:tc>
          <w:tcPr>
            <w:tcW w:w="4040" w:type="dxa"/>
            <w:vAlign w:val="bottom"/>
          </w:tcPr>
          <w:p>
            <w:pPr>
              <w:spacing w:after="0"/>
              <w:rPr>
                <w:sz w:val="16"/>
                <w:szCs w:val="16"/>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(in thousands, except per share amounts)</w:t>
            </w:r>
          </w:p>
        </w:tc>
      </w:tr>
      <w:tr>
        <w:trPr>
          <w:trHeight w:val="194"/>
        </w:trPr>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April 2</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April 1</w:t>
            </w:r>
          </w:p>
        </w:tc>
        <w:tc>
          <w:tcPr>
            <w:tcW w:w="320" w:type="dxa"/>
            <w:vAlign w:val="bottom"/>
          </w:tcPr>
          <w:p>
            <w:pPr>
              <w:spacing w:after="0"/>
              <w:rPr>
                <w:sz w:val="16"/>
                <w:szCs w:val="16"/>
                <w:color w:val="auto"/>
              </w:rPr>
            </w:pPr>
          </w:p>
        </w:tc>
      </w:tr>
      <w:tr>
        <w:trPr>
          <w:trHeight w:val="194"/>
        </w:trPr>
        <w:tc>
          <w:tcPr>
            <w:tcW w:w="4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2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1994</w:t>
            </w:r>
          </w:p>
        </w:tc>
        <w:tc>
          <w:tcPr>
            <w:tcW w:w="7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1995</w:t>
            </w:r>
          </w:p>
        </w:tc>
        <w:tc>
          <w:tcPr>
            <w:tcW w:w="320" w:type="dxa"/>
            <w:vAlign w:val="bottom"/>
          </w:tcPr>
          <w:p>
            <w:pPr>
              <w:spacing w:after="0"/>
              <w:rPr>
                <w:sz w:val="16"/>
                <w:szCs w:val="16"/>
                <w:color w:val="auto"/>
              </w:rPr>
            </w:pPr>
          </w:p>
        </w:tc>
      </w:tr>
      <w:tr>
        <w:trPr>
          <w:trHeight w:val="583"/>
        </w:trPr>
        <w:tc>
          <w:tcPr>
            <w:tcW w:w="4040" w:type="dxa"/>
            <w:vAlign w:val="bottom"/>
          </w:tcPr>
          <w:p>
            <w:pPr>
              <w:spacing w:after="0"/>
              <w:rPr>
                <w:sz w:val="20"/>
                <w:szCs w:val="20"/>
                <w:color w:val="auto"/>
              </w:rPr>
            </w:pPr>
            <w:r>
              <w:rPr>
                <w:rFonts w:ascii="Courier New" w:cs="Courier New" w:eastAsia="Courier New" w:hAnsi="Courier New"/>
                <w:sz w:val="17"/>
                <w:szCs w:val="17"/>
                <w:color w:val="auto"/>
                <w:w w:val="89"/>
              </w:rPr>
              <w:t>Net sales ..................................</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349,979</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$393,618</w:t>
            </w:r>
          </w:p>
        </w:tc>
      </w:tr>
      <w:tr>
        <w:trPr>
          <w:trHeight w:val="194"/>
        </w:trPr>
        <w:tc>
          <w:tcPr>
            <w:tcW w:w="4040" w:type="dxa"/>
            <w:vAlign w:val="bottom"/>
          </w:tcPr>
          <w:p>
            <w:pPr>
              <w:spacing w:after="0"/>
              <w:rPr>
                <w:sz w:val="16"/>
                <w:szCs w:val="16"/>
                <w:color w:val="auto"/>
              </w:rPr>
            </w:pPr>
          </w:p>
        </w:tc>
        <w:tc>
          <w:tcPr>
            <w:tcW w:w="30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4040" w:type="dxa"/>
            <w:vAlign w:val="bottom"/>
          </w:tcPr>
          <w:p>
            <w:pPr>
              <w:spacing w:after="0"/>
              <w:rPr>
                <w:sz w:val="20"/>
                <w:szCs w:val="20"/>
                <w:color w:val="auto"/>
              </w:rPr>
            </w:pPr>
            <w:r>
              <w:rPr>
                <w:rFonts w:ascii="Courier New" w:cs="Courier New" w:eastAsia="Courier New" w:hAnsi="Courier New"/>
                <w:sz w:val="17"/>
                <w:szCs w:val="17"/>
                <w:color w:val="auto"/>
                <w:w w:val="89"/>
              </w:rPr>
              <w:t>Net income .................................</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19,179</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$ 15,913</w:t>
            </w:r>
          </w:p>
        </w:tc>
      </w:tr>
      <w:tr>
        <w:trPr>
          <w:trHeight w:val="194"/>
        </w:trPr>
        <w:tc>
          <w:tcPr>
            <w:tcW w:w="4040" w:type="dxa"/>
            <w:vAlign w:val="bottom"/>
          </w:tcPr>
          <w:p>
            <w:pPr>
              <w:spacing w:after="0"/>
              <w:rPr>
                <w:sz w:val="16"/>
                <w:szCs w:val="16"/>
                <w:color w:val="auto"/>
              </w:rPr>
            </w:pPr>
          </w:p>
        </w:tc>
        <w:tc>
          <w:tcPr>
            <w:tcW w:w="30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4040" w:type="dxa"/>
            <w:vAlign w:val="bottom"/>
          </w:tcPr>
          <w:p>
            <w:pPr>
              <w:spacing w:after="0"/>
              <w:rPr>
                <w:sz w:val="20"/>
                <w:szCs w:val="20"/>
                <w:color w:val="auto"/>
              </w:rPr>
            </w:pPr>
            <w:r>
              <w:rPr>
                <w:rFonts w:ascii="Courier New" w:cs="Courier New" w:eastAsia="Courier New" w:hAnsi="Courier New"/>
                <w:sz w:val="17"/>
                <w:szCs w:val="17"/>
                <w:color w:val="auto"/>
              </w:rPr>
              <w:t>Net income per common share -</w:t>
            </w:r>
          </w:p>
        </w:tc>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4"/>
        </w:trPr>
        <w:tc>
          <w:tcPr>
            <w:tcW w:w="4040" w:type="dxa"/>
            <w:vAlign w:val="bottom"/>
          </w:tcPr>
          <w:p>
            <w:pPr>
              <w:ind w:left="400"/>
              <w:spacing w:after="0"/>
              <w:rPr>
                <w:sz w:val="20"/>
                <w:szCs w:val="20"/>
                <w:color w:val="auto"/>
              </w:rPr>
            </w:pPr>
            <w:r>
              <w:rPr>
                <w:rFonts w:ascii="Courier New" w:cs="Courier New" w:eastAsia="Courier New" w:hAnsi="Courier New"/>
                <w:sz w:val="17"/>
                <w:szCs w:val="17"/>
                <w:color w:val="auto"/>
                <w:w w:val="88"/>
              </w:rPr>
              <w:t>primary and fully-diluted ..............</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.66</w:t>
            </w:r>
          </w:p>
        </w:tc>
        <w:tc>
          <w:tcPr>
            <w:tcW w:w="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w w:val="97"/>
              </w:rPr>
              <w:t>.55</w:t>
            </w:r>
          </w:p>
        </w:tc>
      </w:tr>
      <w:tr>
        <w:trPr>
          <w:trHeight w:val="194"/>
        </w:trPr>
        <w:tc>
          <w:tcPr>
            <w:tcW w:w="4040" w:type="dxa"/>
            <w:vAlign w:val="bottom"/>
          </w:tcPr>
          <w:p>
            <w:pPr>
              <w:spacing w:after="0"/>
              <w:rPr>
                <w:sz w:val="16"/>
                <w:szCs w:val="16"/>
                <w:color w:val="auto"/>
              </w:rPr>
            </w:pPr>
          </w:p>
        </w:tc>
        <w:tc>
          <w:tcPr>
            <w:tcW w:w="300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9" w:lineRule="exact"/>
        <w:rPr>
          <w:sz w:val="20"/>
          <w:szCs w:val="20"/>
          <w:color w:val="auto"/>
        </w:rPr>
      </w:pPr>
    </w:p>
    <w:p>
      <w:pPr>
        <w:jc w:val="both"/>
        <w:ind w:left="500" w:right="2319" w:firstLine="506"/>
        <w:spacing w:after="0" w:line="242" w:lineRule="auto"/>
        <w:rPr>
          <w:sz w:val="20"/>
          <w:szCs w:val="20"/>
          <w:color w:val="auto"/>
        </w:rPr>
      </w:pPr>
      <w:r>
        <w:rPr>
          <w:rFonts w:ascii="Courier New" w:cs="Courier New" w:eastAsia="Courier New" w:hAnsi="Courier New"/>
          <w:sz w:val="17"/>
          <w:szCs w:val="17"/>
          <w:color w:val="auto"/>
        </w:rPr>
        <w:t>Miracle-Gro contributes net sales of $59,507 and $53,403, net income of $6,717 and $7,830 and net income per common share of $.01 and $.06 for the six months ended April 1, 1995 and April 2, 1994, respectively. For purposes of computing earnings per share, the convertible preferred stock is considered a common stock equivalent. Pro forma primary and fully-diluted earnings per share for the six months ended April 1, 1995 and April 2, 1994 are calculated using the weighted average common shares outstanding for Scotts of 18,762 and 18,855, respectively and the common shares that would have been issued assuming conversion of preferred stock at the beginning of the year to 10,263 common shares. The computation of pro forma primary earnings per share assuming reduction of earnings for preferred dividends and no conversion of preferred stock was anti-dilutive.</w:t>
      </w:r>
    </w:p>
    <w:p>
      <w:pPr>
        <w:spacing w:after="0" w:line="198" w:lineRule="exact"/>
        <w:rPr>
          <w:sz w:val="20"/>
          <w:szCs w:val="20"/>
          <w:color w:val="auto"/>
        </w:rPr>
      </w:pPr>
    </w:p>
    <w:p>
      <w:pPr>
        <w:jc w:val="both"/>
        <w:ind w:left="500" w:right="2319" w:firstLine="506"/>
        <w:spacing w:after="0" w:line="241" w:lineRule="auto"/>
        <w:rPr>
          <w:sz w:val="20"/>
          <w:szCs w:val="20"/>
          <w:color w:val="auto"/>
        </w:rPr>
      </w:pPr>
      <w:r>
        <w:rPr>
          <w:rFonts w:ascii="Courier New" w:cs="Courier New" w:eastAsia="Courier New" w:hAnsi="Courier New"/>
          <w:sz w:val="17"/>
          <w:szCs w:val="17"/>
          <w:color w:val="auto"/>
        </w:rPr>
        <w:t>The pro forma information provided does not purport to be indicative of actual results of operations that would have occurred had the Sierra acquisition and Miracle-Gro merger occurred on October 1, 1992 and October 1, 1993, respectively, and is not intended to be indicative of future results or trends.</w:t>
      </w:r>
    </w:p>
    <w:p>
      <w:pPr>
        <w:spacing w:after="0" w:line="198" w:lineRule="exact"/>
        <w:rPr>
          <w:sz w:val="20"/>
          <w:szCs w:val="20"/>
          <w:color w:val="auto"/>
        </w:rPr>
      </w:pPr>
    </w:p>
    <w:p>
      <w:pPr>
        <w:ind w:left="500" w:hanging="496"/>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Contingencies</w:t>
      </w:r>
    </w:p>
    <w:p>
      <w:pPr>
        <w:spacing w:after="0" w:line="199" w:lineRule="exact"/>
        <w:rPr>
          <w:sz w:val="20"/>
          <w:szCs w:val="20"/>
          <w:color w:val="auto"/>
        </w:rPr>
      </w:pPr>
    </w:p>
    <w:p>
      <w:pPr>
        <w:jc w:val="both"/>
        <w:ind w:left="500" w:right="2319" w:firstLine="506"/>
        <w:spacing w:after="0" w:line="241" w:lineRule="auto"/>
        <w:rPr>
          <w:sz w:val="20"/>
          <w:szCs w:val="20"/>
          <w:color w:val="auto"/>
        </w:rPr>
      </w:pPr>
      <w:r>
        <w:rPr>
          <w:rFonts w:ascii="Courier New" w:cs="Courier New" w:eastAsia="Courier New" w:hAnsi="Courier New"/>
          <w:sz w:val="17"/>
          <w:szCs w:val="17"/>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 of operations, however, there can be no assurance that future quarterly or annual operating results will not be materially affected by final resolution of these matters. The following details the more significant of these matters.</w:t>
      </w:r>
    </w:p>
    <w:p>
      <w:pPr>
        <w:spacing w:after="0" w:line="203" w:lineRule="exact"/>
        <w:rPr>
          <w:sz w:val="20"/>
          <w:szCs w:val="20"/>
          <w:color w:val="auto"/>
        </w:rPr>
      </w:pPr>
    </w:p>
    <w:p>
      <w:pPr>
        <w:jc w:val="both"/>
        <w:ind w:left="500" w:right="2319" w:firstLine="506"/>
        <w:spacing w:after="0" w:line="241" w:lineRule="auto"/>
        <w:rPr>
          <w:sz w:val="20"/>
          <w:szCs w:val="20"/>
          <w:color w:val="auto"/>
        </w:rPr>
      </w:pPr>
      <w:r>
        <w:rPr>
          <w:rFonts w:ascii="Courier New" w:cs="Courier New" w:eastAsia="Courier New" w:hAnsi="Courier New"/>
          <w:sz w:val="17"/>
          <w:szCs w:val="17"/>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203" w:lineRule="exact"/>
        <w:rPr>
          <w:sz w:val="20"/>
          <w:szCs w:val="20"/>
          <w:color w:val="auto"/>
        </w:rPr>
      </w:pPr>
    </w:p>
    <w:p>
      <w:pPr>
        <w:jc w:val="both"/>
        <w:ind w:left="500" w:right="2319" w:firstLine="506"/>
        <w:spacing w:after="0" w:line="241" w:lineRule="auto"/>
        <w:rPr>
          <w:sz w:val="20"/>
          <w:szCs w:val="20"/>
          <w:color w:val="auto"/>
        </w:rPr>
      </w:pPr>
      <w:r>
        <w:rPr>
          <w:rFonts w:ascii="Courier New" w:cs="Courier New" w:eastAsia="Courier New" w:hAnsi="Courier New"/>
          <w:sz w:val="17"/>
          <w:szCs w:val="17"/>
          <w:color w:val="auto"/>
        </w:rPr>
        <w:t>In July 1990, the Company was directed by the Army Corps of Engineers (the "Corps") to cease peat harvesting operations at its New Jersey facility. The Corps has alleged that the peat harvesting operations were in violation of the Clean Water Act ("CWA"). The United</w:t>
      </w:r>
    </w:p>
    <w:p>
      <w:pPr>
        <w:spacing w:after="0" w:line="19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9</w:t>
      </w:r>
    </w:p>
    <w:p>
      <w:pPr>
        <w:sectPr>
          <w:pgSz w:w="11900" w:h="16838" w:orient="portrait"/>
          <w:cols w:equalWidth="0" w:num="1">
            <w:col w:w="10219"/>
          </w:cols>
          <w:pgMar w:left="240" w:top="502" w:right="1440" w:bottom="1440" w:gutter="0" w:footer="0" w:header="0"/>
        </w:sectPr>
      </w:pPr>
    </w:p>
    <w:bookmarkStart w:id="9" w:name="page10"/>
    <w:bookmarkEnd w:id="9"/>
    <w:p>
      <w:pPr>
        <w:ind w:left="1720"/>
        <w:spacing w:after="0"/>
        <w:rPr>
          <w:sz w:val="20"/>
          <w:szCs w:val="20"/>
          <w:color w:val="auto"/>
        </w:rPr>
      </w:pPr>
      <w:r>
        <w:rPr>
          <w:rFonts w:ascii="Courier New" w:cs="Courier New" w:eastAsia="Courier New" w:hAnsi="Courier New"/>
          <w:sz w:val="17"/>
          <w:szCs w:val="17"/>
          <w:color w:val="auto"/>
        </w:rPr>
        <w:t>THE SCOTTS COMPANY AND SUBSIDIARIES</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393" w:lineRule="exact"/>
        <w:rPr>
          <w:sz w:val="20"/>
          <w:szCs w:val="20"/>
          <w:color w:val="auto"/>
        </w:rPr>
      </w:pPr>
    </w:p>
    <w:p>
      <w:pPr>
        <w:jc w:val="both"/>
        <w:ind w:right="2319"/>
        <w:spacing w:after="0" w:line="242" w:lineRule="auto"/>
        <w:rPr>
          <w:sz w:val="20"/>
          <w:szCs w:val="20"/>
          <w:color w:val="auto"/>
        </w:rPr>
      </w:pPr>
      <w:r>
        <w:rPr>
          <w:rFonts w:ascii="Courier New" w:cs="Courier New" w:eastAsia="Courier New" w:hAnsi="Courier New"/>
          <w:sz w:val="17"/>
          <w:szCs w:val="17"/>
          <w:color w:val="auto"/>
        </w:rPr>
        <w:t>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198" w:lineRule="exact"/>
        <w:rPr>
          <w:sz w:val="20"/>
          <w:szCs w:val="20"/>
          <w:color w:val="auto"/>
        </w:rPr>
      </w:pPr>
    </w:p>
    <w:p>
      <w:pPr>
        <w:jc w:val="both"/>
        <w:ind w:right="2319" w:firstLine="506"/>
        <w:spacing w:after="0" w:line="241" w:lineRule="auto"/>
        <w:rPr>
          <w:sz w:val="20"/>
          <w:szCs w:val="20"/>
          <w:color w:val="auto"/>
        </w:rPr>
      </w:pPr>
      <w:r>
        <w:rPr>
          <w:rFonts w:ascii="Courier New" w:cs="Courier New" w:eastAsia="Courier New" w:hAnsi="Courier New"/>
          <w:sz w:val="17"/>
          <w:szCs w:val="17"/>
          <w:color w:val="auto"/>
        </w:rPr>
        <w:t>Sierra has been named as a Potentially Responsible Party ("PRP") in an environmental contamination action in connection with a landfill near Allentown, Pennsylvania. By agreement with W. R. Grace-Conn., Sierra's liability is limited to a maximum of $200,000 with respect to this site. Based on estimates of the clean-up costs and that the Company denies any liability in connection with this matter, management believes that the ultimate outcome will not have a material impact on the financial position or results of operations of the Company.</w:t>
      </w:r>
    </w:p>
    <w:p>
      <w:pPr>
        <w:spacing w:after="0" w:line="203" w:lineRule="exact"/>
        <w:rPr>
          <w:sz w:val="20"/>
          <w:szCs w:val="20"/>
          <w:color w:val="auto"/>
        </w:rPr>
      </w:pPr>
    </w:p>
    <w:p>
      <w:pPr>
        <w:jc w:val="both"/>
        <w:ind w:right="2319" w:firstLine="506"/>
        <w:spacing w:after="0" w:line="241" w:lineRule="auto"/>
        <w:rPr>
          <w:sz w:val="20"/>
          <w:szCs w:val="20"/>
          <w:color w:val="auto"/>
        </w:rPr>
      </w:pPr>
      <w:r>
        <w:rPr>
          <w:rFonts w:ascii="Courier New" w:cs="Courier New" w:eastAsia="Courier New" w:hAnsi="Courier New"/>
          <w:sz w:val="17"/>
          <w:szCs w:val="17"/>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management's anticipated levels of compliance, they estimate Sierra's liability to be $200,000, which has been accrued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Page 10</w:t>
      </w:r>
    </w:p>
    <w:p>
      <w:pPr>
        <w:sectPr>
          <w:pgSz w:w="11900" w:h="16838" w:orient="portrait"/>
          <w:cols w:equalWidth="0" w:num="1">
            <w:col w:w="9719"/>
          </w:cols>
          <w:pgMar w:left="740" w:top="502" w:right="1440" w:bottom="1440" w:gutter="0" w:footer="0" w:header="0"/>
        </w:sectPr>
      </w:pPr>
    </w:p>
    <w:bookmarkStart w:id="10" w:name="page11"/>
    <w:bookmarkEnd w:id="10"/>
    <w:p>
      <w:pPr>
        <w:jc w:val="both"/>
        <w:ind w:left="500" w:right="2319" w:hanging="504"/>
        <w:spacing w:after="0" w:line="239" w:lineRule="auto"/>
        <w:rPr>
          <w:sz w:val="20"/>
          <w:szCs w:val="20"/>
          <w:color w:val="auto"/>
        </w:rPr>
      </w:pPr>
      <w:r>
        <w:rPr>
          <w:rFonts w:ascii="Courier New" w:cs="Courier New" w:eastAsia="Courier New" w:hAnsi="Courier New"/>
          <w:sz w:val="17"/>
          <w:szCs w:val="17"/>
          <w:color w:val="auto"/>
        </w:rPr>
        <w:t>ITEM 2.</w:t>
      </w:r>
      <w:r>
        <w:rPr>
          <w:sz w:val="20"/>
          <w:szCs w:val="20"/>
          <w:color w:val="auto"/>
        </w:rPr>
        <w:t xml:space="preserve"> </w:t>
      </w:r>
      <w:r>
        <w:rPr>
          <w:rFonts w:ascii="Courier New" w:cs="Courier New" w:eastAsia="Courier New" w:hAnsi="Courier New"/>
          <w:sz w:val="17"/>
          <w:szCs w:val="17"/>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 ENDED APRIL 1, 1995, VERSUS THREE MONTHS ENDED APRIL 2, 1994</w:t>
      </w:r>
    </w:p>
    <w:p>
      <w:pPr>
        <w:spacing w:after="0" w:line="199" w:lineRule="exact"/>
        <w:rPr>
          <w:sz w:val="20"/>
          <w:szCs w:val="20"/>
          <w:color w:val="auto"/>
        </w:rPr>
      </w:pPr>
    </w:p>
    <w:p>
      <w:pPr>
        <w:jc w:val="both"/>
        <w:ind w:right="2319" w:firstLine="505"/>
        <w:spacing w:after="0" w:line="242" w:lineRule="auto"/>
        <w:rPr>
          <w:sz w:val="20"/>
          <w:szCs w:val="20"/>
          <w:color w:val="auto"/>
        </w:rPr>
      </w:pPr>
      <w:r>
        <w:rPr>
          <w:rFonts w:ascii="Courier New" w:cs="Courier New" w:eastAsia="Courier New" w:hAnsi="Courier New"/>
          <w:sz w:val="17"/>
          <w:szCs w:val="17"/>
          <w:color w:val="auto"/>
        </w:rPr>
        <w:t>Net sales increased 13.8% to $236,092,000. Consumer Business Group sales of $181,975,000 increased by approximately 15.1% resulting from sales volume increases primarily in lawn fertilizers. Increased demand for seed, organics and spreaders also contributed to the sales increase, but to a lesser extent. Commercial Business Group (previously referred to as the Professional Business Group) sales of $34,610,000 increased by approximately 0.4% reflecting a continuing trend by golf course customers to order closer to spring usage. The peak Commercial selling season is August to November. International sales increased by approximately 30.9% to $19,507,000. Volume has been the primary factor of the International sales increase (approximately 19.4%) reflecting the continued positive impact from the introduction of U.S. produced Scotts products in the Sierra International distribution network. In addition, sales were aided by favorable exchange rates due to the weak dollar (approximately 11.5%).</w:t>
      </w:r>
    </w:p>
    <w:p>
      <w:pPr>
        <w:spacing w:after="0" w:line="198" w:lineRule="exact"/>
        <w:rPr>
          <w:sz w:val="20"/>
          <w:szCs w:val="20"/>
          <w:color w:val="auto"/>
        </w:rPr>
      </w:pPr>
    </w:p>
    <w:p>
      <w:pPr>
        <w:jc w:val="both"/>
        <w:ind w:right="2319" w:firstLine="505"/>
        <w:spacing w:after="0"/>
        <w:rPr>
          <w:sz w:val="20"/>
          <w:szCs w:val="20"/>
          <w:color w:val="auto"/>
        </w:rPr>
      </w:pPr>
      <w:r>
        <w:rPr>
          <w:rFonts w:ascii="Courier New" w:cs="Courier New" w:eastAsia="Courier New" w:hAnsi="Courier New"/>
          <w:sz w:val="17"/>
          <w:szCs w:val="17"/>
          <w:color w:val="auto"/>
        </w:rPr>
        <w:t>Cost of sales for the three months ended April 1, 1995 comprised 52.5% of net sales, nearly flat with cost of sales for the three months ended April 2, 1994, which represented 52.6%.</w:t>
      </w:r>
    </w:p>
    <w:p>
      <w:pPr>
        <w:spacing w:after="0" w:line="200" w:lineRule="exact"/>
        <w:rPr>
          <w:sz w:val="20"/>
          <w:szCs w:val="20"/>
          <w:color w:val="auto"/>
        </w:rPr>
      </w:pPr>
    </w:p>
    <w:p>
      <w:pPr>
        <w:jc w:val="both"/>
        <w:ind w:right="2319" w:firstLine="505"/>
        <w:spacing w:after="0" w:line="241" w:lineRule="auto"/>
        <w:rPr>
          <w:sz w:val="20"/>
          <w:szCs w:val="20"/>
          <w:color w:val="auto"/>
        </w:rPr>
      </w:pPr>
      <w:r>
        <w:rPr>
          <w:rFonts w:ascii="Courier New" w:cs="Courier New" w:eastAsia="Courier New" w:hAnsi="Courier New"/>
          <w:sz w:val="17"/>
          <w:szCs w:val="17"/>
          <w:color w:val="auto"/>
        </w:rPr>
        <w:t>Operating expenses increased by approximately 13.5% including increased marketing spending for national advertising and promotion programs (including the promotional allowance to retailers introduced in the first quarter of 1995) reflecting a continuing commitment to supporting the brand and stimulating sales and increased distribution expense related to increased sales volume and higher freight rates. These increases were partially offset by lower general and administrative expenses due to synergies achieved from the integration of Sierra.</w:t>
      </w:r>
    </w:p>
    <w:p>
      <w:pPr>
        <w:spacing w:after="0" w:line="203" w:lineRule="exact"/>
        <w:rPr>
          <w:sz w:val="20"/>
          <w:szCs w:val="20"/>
          <w:color w:val="auto"/>
        </w:rPr>
      </w:pPr>
    </w:p>
    <w:p>
      <w:pPr>
        <w:jc w:val="both"/>
        <w:ind w:right="2319" w:firstLine="505"/>
        <w:spacing w:after="0" w:line="241" w:lineRule="auto"/>
        <w:rPr>
          <w:sz w:val="20"/>
          <w:szCs w:val="20"/>
          <w:color w:val="auto"/>
        </w:rPr>
      </w:pPr>
      <w:r>
        <w:rPr>
          <w:rFonts w:ascii="Courier New" w:cs="Courier New" w:eastAsia="Courier New" w:hAnsi="Courier New"/>
          <w:sz w:val="17"/>
          <w:szCs w:val="17"/>
          <w:color w:val="auto"/>
        </w:rPr>
        <w:t>Interest expense increased approximately 65%. The increase is primarily the result of increased interest rates and a modest increase in borrowing levels to support a higher level of inventories and receivables resulting from increases in sales.</w:t>
      </w:r>
    </w:p>
    <w:p>
      <w:pPr>
        <w:spacing w:after="0" w:line="199" w:lineRule="exact"/>
        <w:rPr>
          <w:sz w:val="20"/>
          <w:szCs w:val="20"/>
          <w:color w:val="auto"/>
        </w:rPr>
      </w:pPr>
    </w:p>
    <w:p>
      <w:pPr>
        <w:jc w:val="both"/>
        <w:ind w:right="2319" w:firstLine="505"/>
        <w:spacing w:after="0"/>
        <w:rPr>
          <w:sz w:val="20"/>
          <w:szCs w:val="20"/>
          <w:color w:val="auto"/>
        </w:rPr>
      </w:pPr>
      <w:r>
        <w:rPr>
          <w:rFonts w:ascii="Courier New" w:cs="Courier New" w:eastAsia="Courier New" w:hAnsi="Courier New"/>
          <w:sz w:val="17"/>
          <w:szCs w:val="17"/>
          <w:color w:val="auto"/>
        </w:rPr>
        <w:t>Net income of $13,793,000 increased by $780,000 or approximately 6.0%, as a result of increased operating income offset in part by increased interest expense.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 MONTHS ENDED APRIL 1, 1995 VERSUS SIX MONTHS ENDED APRIL 2, 1994</w:t>
      </w:r>
    </w:p>
    <w:p>
      <w:pPr>
        <w:spacing w:after="0" w:line="199" w:lineRule="exact"/>
        <w:rPr>
          <w:sz w:val="20"/>
          <w:szCs w:val="20"/>
          <w:color w:val="auto"/>
        </w:rPr>
      </w:pPr>
    </w:p>
    <w:p>
      <w:pPr>
        <w:jc w:val="both"/>
        <w:ind w:right="2319" w:firstLine="505"/>
        <w:spacing w:after="0" w:line="242" w:lineRule="auto"/>
        <w:rPr>
          <w:sz w:val="20"/>
          <w:szCs w:val="20"/>
          <w:color w:val="auto"/>
        </w:rPr>
      </w:pPr>
      <w:r>
        <w:rPr>
          <w:rFonts w:ascii="Courier New" w:cs="Courier New" w:eastAsia="Courier New" w:hAnsi="Courier New"/>
          <w:sz w:val="17"/>
          <w:szCs w:val="17"/>
          <w:color w:val="auto"/>
        </w:rPr>
        <w:t>Net sales increased to $334,111,000, up approximately 21.2%. Net sales included net sales for Sierra, which was acquired by Scotts on December 16, 1993. On a pro forma basis, assuming that both the Sierra acquisition and Miracle-Gro merger had taken place on October 1, 1993, net sales for the six months ended April 1, 1995 would have increased by $43,639,000 or approximately 12.5%. Consumer Business Group sales increased by approximately 17.5%, resulting primarily from increased sales volume, a portion of which relates to new pre-season promotion programs with major retailers. Increased demand in lawn fertilizers and to a lesser extent demand for seed, organics and spreaders also contributed to the increase. Commercial Business Group sales increased by 16.7% due to the inclusion of net sales for Sierra. International sales increased by approximately 70.5% due to gains in these markets combined with continued positive impact resulting from the introduction of U.S. produced Scotts products into the Sierra International distribution network (approximately 13.6%), the inclusion of net sales for Sierra (41.9%) and favorable exchange rates due to the weakening dollar (approximately 15%).</w:t>
      </w:r>
    </w:p>
    <w:p>
      <w:pPr>
        <w:spacing w:after="0" w:line="391"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11</w:t>
      </w:r>
    </w:p>
    <w:p>
      <w:pPr>
        <w:sectPr>
          <w:pgSz w:w="11900" w:h="16838" w:orient="portrait"/>
          <w:cols w:equalWidth="0" w:num="1">
            <w:col w:w="10219"/>
          </w:cols>
          <w:pgMar w:left="240" w:top="505" w:right="1440" w:bottom="1440" w:gutter="0" w:footer="0" w:header="0"/>
        </w:sectPr>
      </w:pPr>
    </w:p>
    <w:bookmarkStart w:id="11" w:name="page12"/>
    <w:bookmarkEnd w:id="11"/>
    <w:p>
      <w:pPr>
        <w:jc w:val="both"/>
        <w:ind w:right="2319" w:firstLine="505"/>
        <w:spacing w:after="0" w:line="239" w:lineRule="auto"/>
        <w:rPr>
          <w:sz w:val="20"/>
          <w:szCs w:val="20"/>
          <w:color w:val="auto"/>
        </w:rPr>
      </w:pPr>
      <w:r>
        <w:rPr>
          <w:rFonts w:ascii="Courier New" w:cs="Courier New" w:eastAsia="Courier New" w:hAnsi="Courier New"/>
          <w:sz w:val="17"/>
          <w:szCs w:val="17"/>
          <w:color w:val="auto"/>
        </w:rPr>
        <w:t>Cost of sales represented 53.1% of net sales, flat with cost of sales for the six months ended April 2, 1994.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spacing w:after="0"/>
              <w:rPr>
                <w:sz w:val="16"/>
                <w:szCs w:val="16"/>
                <w:color w:val="auto"/>
              </w:rPr>
            </w:pPr>
          </w:p>
        </w:tc>
        <w:tc>
          <w:tcPr>
            <w:tcW w:w="2900" w:type="dxa"/>
            <w:vAlign w:val="bottom"/>
            <w:gridSpan w:val="6"/>
          </w:tcPr>
          <w:p>
            <w:pPr>
              <w:spacing w:after="0"/>
              <w:rPr>
                <w:sz w:val="20"/>
                <w:szCs w:val="20"/>
                <w:color w:val="auto"/>
              </w:rPr>
            </w:pPr>
            <w:r>
              <w:rPr>
                <w:rFonts w:ascii="Courier New" w:cs="Courier New" w:eastAsia="Courier New" w:hAnsi="Courier New"/>
                <w:sz w:val="17"/>
                <w:szCs w:val="17"/>
                <w:color w:val="auto"/>
              </w:rPr>
              <w:t>Operating expenses increased</w:t>
            </w: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approximately</w:t>
            </w:r>
          </w:p>
        </w:tc>
        <w:tc>
          <w:tcPr>
            <w:tcW w:w="30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24.9%. The increase resulted</w:t>
            </w:r>
          </w:p>
        </w:tc>
      </w:tr>
      <w:tr>
        <w:trPr>
          <w:trHeight w:val="194"/>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from the</w:t>
            </w:r>
          </w:p>
        </w:tc>
        <w:tc>
          <w:tcPr>
            <w:tcW w:w="178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8"/>
              </w:rPr>
              <w:t>increase in sales</w:t>
            </w:r>
          </w:p>
        </w:tc>
        <w:tc>
          <w:tcPr>
            <w:tcW w:w="526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(17.4%) and higher marketing expense as a result of</w:t>
            </w:r>
          </w:p>
        </w:tc>
      </w:tr>
      <w:tr>
        <w:trPr>
          <w:trHeight w:val="194"/>
        </w:trPr>
        <w:tc>
          <w:tcPr>
            <w:tcW w:w="1460" w:type="dxa"/>
            <w:vAlign w:val="bottom"/>
            <w:gridSpan w:val="3"/>
          </w:tcPr>
          <w:p>
            <w:pPr>
              <w:spacing w:after="0"/>
              <w:rPr>
                <w:sz w:val="20"/>
                <w:szCs w:val="20"/>
                <w:color w:val="auto"/>
              </w:rPr>
            </w:pPr>
            <w:r>
              <w:rPr>
                <w:rFonts w:ascii="Courier New" w:cs="Courier New" w:eastAsia="Courier New" w:hAnsi="Courier New"/>
                <w:sz w:val="17"/>
                <w:szCs w:val="17"/>
                <w:color w:val="auto"/>
              </w:rPr>
              <w:t>a promotional</w:t>
            </w:r>
          </w:p>
        </w:tc>
        <w:tc>
          <w:tcPr>
            <w:tcW w:w="1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allowance</w:t>
            </w:r>
          </w:p>
        </w:tc>
        <w:tc>
          <w:tcPr>
            <w:tcW w:w="7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offered</w:t>
            </w:r>
          </w:p>
        </w:tc>
        <w:tc>
          <w:tcPr>
            <w:tcW w:w="4500" w:type="dxa"/>
            <w:vAlign w:val="bottom"/>
            <w:gridSpan w:val="6"/>
          </w:tcPr>
          <w:p>
            <w:pPr>
              <w:jc w:val="right"/>
              <w:spacing w:after="0"/>
              <w:rPr>
                <w:sz w:val="20"/>
                <w:szCs w:val="20"/>
                <w:color w:val="auto"/>
              </w:rPr>
            </w:pPr>
            <w:r>
              <w:rPr>
                <w:rFonts w:ascii="Courier New" w:cs="Courier New" w:eastAsia="Courier New" w:hAnsi="Courier New"/>
                <w:sz w:val="17"/>
                <w:szCs w:val="17"/>
                <w:color w:val="auto"/>
                <w:w w:val="99"/>
              </w:rPr>
              <w:t>to retail customers (7.5%) introduced in the</w:t>
            </w:r>
          </w:p>
        </w:tc>
      </w:tr>
      <w:tr>
        <w:trPr>
          <w:trHeight w:val="194"/>
        </w:trPr>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first</w:t>
            </w:r>
          </w:p>
        </w:tc>
        <w:tc>
          <w:tcPr>
            <w:tcW w:w="9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quarter</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w w:val="87"/>
              </w:rPr>
              <w:t>of</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w w:val="97"/>
              </w:rPr>
              <w:t>fiscal</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1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This allowance</w:t>
            </w:r>
          </w:p>
        </w:tc>
        <w:tc>
          <w:tcPr>
            <w:tcW w:w="30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replaced the Company's point</w:t>
            </w:r>
          </w:p>
        </w:tc>
      </w:tr>
      <w:tr>
        <w:trPr>
          <w:trHeight w:val="194"/>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of sale</w:t>
            </w:r>
          </w:p>
        </w:tc>
        <w:tc>
          <w:tcPr>
            <w:tcW w:w="9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rebates</w:t>
            </w:r>
          </w:p>
        </w:tc>
        <w:tc>
          <w:tcPr>
            <w:tcW w:w="2280" w:type="dxa"/>
            <w:vAlign w:val="bottom"/>
            <w:gridSpan w:val="4"/>
          </w:tcPr>
          <w:p>
            <w:pPr>
              <w:spacing w:after="0"/>
              <w:rPr>
                <w:sz w:val="20"/>
                <w:szCs w:val="20"/>
                <w:color w:val="auto"/>
              </w:rPr>
            </w:pPr>
            <w:r>
              <w:rPr>
                <w:rFonts w:ascii="Courier New" w:cs="Courier New" w:eastAsia="Courier New" w:hAnsi="Courier New"/>
                <w:sz w:val="17"/>
                <w:szCs w:val="17"/>
                <w:color w:val="auto"/>
              </w:rPr>
              <w:t>offered to consumers.</w:t>
            </w:r>
          </w:p>
        </w:tc>
        <w:tc>
          <w:tcPr>
            <w:tcW w:w="7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On  a</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pro</w:t>
            </w:r>
          </w:p>
        </w:tc>
        <w:tc>
          <w:tcPr>
            <w:tcW w:w="150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forma  basis,</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operating</w:t>
            </w:r>
          </w:p>
        </w:tc>
      </w:tr>
      <w:tr>
        <w:trPr>
          <w:trHeight w:val="194"/>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expenses</w:t>
            </w:r>
          </w:p>
        </w:tc>
        <w:tc>
          <w:tcPr>
            <w:tcW w:w="7040" w:type="dxa"/>
            <w:vAlign w:val="bottom"/>
            <w:gridSpan w:val="11"/>
          </w:tcPr>
          <w:p>
            <w:pPr>
              <w:ind w:left="60"/>
              <w:spacing w:after="0"/>
              <w:rPr>
                <w:sz w:val="20"/>
                <w:szCs w:val="20"/>
                <w:color w:val="auto"/>
              </w:rPr>
            </w:pPr>
            <w:r>
              <w:rPr>
                <w:rFonts w:ascii="Courier New" w:cs="Courier New" w:eastAsia="Courier New" w:hAnsi="Courier New"/>
                <w:sz w:val="17"/>
                <w:szCs w:val="17"/>
                <w:color w:val="auto"/>
                <w:w w:val="98"/>
              </w:rPr>
              <w:t>increased by approximately  14.9% reflecting higher marketing expense</w:t>
            </w:r>
          </w:p>
        </w:tc>
      </w:tr>
      <w:tr>
        <w:trPr>
          <w:trHeight w:val="194"/>
        </w:trPr>
        <w:tc>
          <w:tcPr>
            <w:tcW w:w="50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1320" w:type="dxa"/>
            <w:vAlign w:val="bottom"/>
            <w:gridSpan w:val="3"/>
          </w:tcPr>
          <w:p>
            <w:pPr>
              <w:spacing w:after="0"/>
              <w:rPr>
                <w:sz w:val="20"/>
                <w:szCs w:val="20"/>
                <w:color w:val="auto"/>
              </w:rPr>
            </w:pPr>
            <w:r>
              <w:rPr>
                <w:rFonts w:ascii="Courier New" w:cs="Courier New" w:eastAsia="Courier New" w:hAnsi="Courier New"/>
                <w:sz w:val="17"/>
                <w:szCs w:val="17"/>
                <w:color w:val="auto"/>
              </w:rPr>
              <w:t>distribution</w:t>
            </w:r>
          </w:p>
        </w:tc>
        <w:tc>
          <w:tcPr>
            <w:tcW w:w="3400" w:type="dxa"/>
            <w:vAlign w:val="bottom"/>
            <w:gridSpan w:val="6"/>
          </w:tcPr>
          <w:p>
            <w:pPr>
              <w:jc w:val="right"/>
              <w:ind w:right="76"/>
              <w:spacing w:after="0"/>
              <w:rPr>
                <w:sz w:val="20"/>
                <w:szCs w:val="20"/>
                <w:color w:val="auto"/>
              </w:rPr>
            </w:pPr>
            <w:r>
              <w:rPr>
                <w:rFonts w:ascii="Courier New" w:cs="Courier New" w:eastAsia="Courier New" w:hAnsi="Courier New"/>
                <w:sz w:val="17"/>
                <w:szCs w:val="17"/>
                <w:color w:val="auto"/>
              </w:rPr>
              <w:t>expense related to higher sales</w:t>
            </w:r>
          </w:p>
        </w:tc>
        <w:tc>
          <w:tcPr>
            <w:tcW w:w="1060" w:type="dxa"/>
            <w:vAlign w:val="bottom"/>
          </w:tcPr>
          <w:p>
            <w:pPr>
              <w:ind w:left="40"/>
              <w:spacing w:after="0"/>
              <w:rPr>
                <w:sz w:val="20"/>
                <w:szCs w:val="20"/>
                <w:color w:val="auto"/>
              </w:rPr>
            </w:pPr>
            <w:r>
              <w:rPr>
                <w:rFonts w:ascii="Courier New" w:cs="Courier New" w:eastAsia="Courier New" w:hAnsi="Courier New"/>
                <w:sz w:val="17"/>
                <w:szCs w:val="17"/>
                <w:color w:val="auto"/>
              </w:rPr>
              <w:t>partially</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offset by lower</w:t>
            </w:r>
          </w:p>
        </w:tc>
      </w:tr>
      <w:tr>
        <w:trPr>
          <w:trHeight w:val="194"/>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general</w:t>
            </w:r>
          </w:p>
        </w:tc>
        <w:tc>
          <w:tcPr>
            <w:tcW w:w="60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178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administrative</w:t>
            </w:r>
          </w:p>
        </w:tc>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expenses</w:t>
            </w:r>
          </w:p>
        </w:tc>
        <w:tc>
          <w:tcPr>
            <w:tcW w:w="7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due</w:t>
            </w:r>
          </w:p>
        </w:tc>
        <w:tc>
          <w:tcPr>
            <w:tcW w:w="3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87"/>
              </w:rPr>
              <w:t>to</w:t>
            </w:r>
          </w:p>
        </w:tc>
        <w:tc>
          <w:tcPr>
            <w:tcW w:w="1060" w:type="dxa"/>
            <w:vAlign w:val="bottom"/>
          </w:tcPr>
          <w:p>
            <w:pPr>
              <w:ind w:left="40"/>
              <w:spacing w:after="0"/>
              <w:rPr>
                <w:sz w:val="20"/>
                <w:szCs w:val="20"/>
                <w:color w:val="auto"/>
              </w:rPr>
            </w:pPr>
            <w:r>
              <w:rPr>
                <w:rFonts w:ascii="Courier New" w:cs="Courier New" w:eastAsia="Courier New" w:hAnsi="Courier New"/>
                <w:sz w:val="17"/>
                <w:szCs w:val="17"/>
                <w:color w:val="auto"/>
              </w:rPr>
              <w:t>synergies</w:t>
            </w:r>
          </w:p>
        </w:tc>
        <w:tc>
          <w:tcPr>
            <w:tcW w:w="440" w:type="dxa"/>
            <w:vAlign w:val="bottom"/>
          </w:tcPr>
          <w:p>
            <w:pPr>
              <w:ind w:left="100"/>
              <w:spacing w:after="0"/>
              <w:rPr>
                <w:sz w:val="20"/>
                <w:szCs w:val="20"/>
                <w:color w:val="auto"/>
              </w:rPr>
            </w:pPr>
            <w:r>
              <w:rPr>
                <w:rFonts w:ascii="Courier New" w:cs="Courier New" w:eastAsia="Courier New" w:hAnsi="Courier New"/>
                <w:sz w:val="17"/>
                <w:szCs w:val="17"/>
                <w:color w:val="auto"/>
              </w:rPr>
              <w:t>of</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the  Sierra</w:t>
            </w:r>
          </w:p>
        </w:tc>
      </w:tr>
      <w:tr>
        <w:trPr>
          <w:trHeight w:val="194"/>
        </w:trPr>
        <w:tc>
          <w:tcPr>
            <w:tcW w:w="1460" w:type="dxa"/>
            <w:vAlign w:val="bottom"/>
            <w:gridSpan w:val="3"/>
          </w:tcPr>
          <w:p>
            <w:pPr>
              <w:spacing w:after="0"/>
              <w:rPr>
                <w:sz w:val="20"/>
                <w:szCs w:val="20"/>
                <w:color w:val="auto"/>
              </w:rPr>
            </w:pPr>
            <w:r>
              <w:rPr>
                <w:rFonts w:ascii="Courier New" w:cs="Courier New" w:eastAsia="Courier New" w:hAnsi="Courier New"/>
                <w:sz w:val="17"/>
                <w:szCs w:val="17"/>
                <w:color w:val="auto"/>
              </w:rPr>
              <w:t>integration.</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199" w:lineRule="exact"/>
        <w:rPr>
          <w:sz w:val="20"/>
          <w:szCs w:val="20"/>
          <w:color w:val="auto"/>
        </w:rPr>
      </w:pPr>
    </w:p>
    <w:p>
      <w:pPr>
        <w:jc w:val="both"/>
        <w:ind w:right="2319" w:firstLine="505"/>
        <w:spacing w:after="0" w:line="241" w:lineRule="auto"/>
        <w:rPr>
          <w:sz w:val="20"/>
          <w:szCs w:val="20"/>
          <w:color w:val="auto"/>
        </w:rPr>
      </w:pPr>
      <w:r>
        <w:rPr>
          <w:rFonts w:ascii="Courier New" w:cs="Courier New" w:eastAsia="Courier New" w:hAnsi="Courier New"/>
          <w:sz w:val="17"/>
          <w:szCs w:val="17"/>
          <w:color w:val="auto"/>
        </w:rPr>
        <w:t>Interest expense increased approximately 82.7%. The increase was caused by higher interest rates on the floating-rate bank debt and the 9 7/8% Senior Subordinated notes compared with the floating rate bank debt the notes replaced, borrowings to fund the Sierra acquisition, which were outstanding for the full six months ended April 1, 1995, as compared to 3.5 months for the previous period and an increase in borrowing levels to support increases in accounts receivable and inventories resulting from increased sales.</w:t>
      </w:r>
    </w:p>
    <w:p>
      <w:pPr>
        <w:spacing w:after="0" w:line="202" w:lineRule="exact"/>
        <w:rPr>
          <w:sz w:val="20"/>
          <w:szCs w:val="20"/>
          <w:color w:val="auto"/>
        </w:rPr>
      </w:pPr>
    </w:p>
    <w:p>
      <w:pPr>
        <w:jc w:val="both"/>
        <w:ind w:right="2319" w:firstLine="505"/>
        <w:spacing w:after="0"/>
        <w:rPr>
          <w:sz w:val="20"/>
          <w:szCs w:val="20"/>
          <w:color w:val="auto"/>
        </w:rPr>
      </w:pPr>
      <w:r>
        <w:rPr>
          <w:rFonts w:ascii="Courier New" w:cs="Courier New" w:eastAsia="Courier New" w:hAnsi="Courier New"/>
          <w:sz w:val="17"/>
          <w:szCs w:val="17"/>
          <w:color w:val="auto"/>
        </w:rPr>
        <w:t>Net income of $9,916,000 decreased by $2,260,000. The decrease was primarily attributable to increased operating income offset by the higher interest expense discussed above.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POSITION AS OF APRIL 1, 1995</w:t>
      </w:r>
    </w:p>
    <w:p>
      <w:pPr>
        <w:spacing w:after="0" w:line="199" w:lineRule="exact"/>
        <w:rPr>
          <w:sz w:val="20"/>
          <w:szCs w:val="20"/>
          <w:color w:val="auto"/>
        </w:rPr>
      </w:pPr>
    </w:p>
    <w:p>
      <w:pPr>
        <w:jc w:val="both"/>
        <w:ind w:right="2319" w:firstLine="505"/>
        <w:spacing w:after="0"/>
        <w:rPr>
          <w:sz w:val="20"/>
          <w:szCs w:val="20"/>
          <w:color w:val="auto"/>
        </w:rPr>
      </w:pPr>
      <w:r>
        <w:rPr>
          <w:rFonts w:ascii="Courier New" w:cs="Courier New" w:eastAsia="Courier New" w:hAnsi="Courier New"/>
          <w:sz w:val="17"/>
          <w:szCs w:val="17"/>
          <w:color w:val="auto"/>
        </w:rPr>
        <w:t>Capital expenditures for the year ending September 30, 1995 are expected to be approximately $23,000,000, which will be financed with cash provided by operations and utilization of existing credit facilities.</w:t>
      </w:r>
    </w:p>
    <w:p>
      <w:pPr>
        <w:spacing w:after="0" w:line="200" w:lineRule="exact"/>
        <w:rPr>
          <w:sz w:val="20"/>
          <w:szCs w:val="20"/>
          <w:color w:val="auto"/>
        </w:rPr>
      </w:pPr>
    </w:p>
    <w:p>
      <w:pPr>
        <w:jc w:val="both"/>
        <w:ind w:right="2319" w:firstLine="505"/>
        <w:spacing w:after="0" w:line="241" w:lineRule="auto"/>
        <w:rPr>
          <w:sz w:val="20"/>
          <w:szCs w:val="20"/>
          <w:color w:val="auto"/>
        </w:rPr>
      </w:pPr>
      <w:r>
        <w:rPr>
          <w:rFonts w:ascii="Courier New" w:cs="Courier New" w:eastAsia="Courier New" w:hAnsi="Courier New"/>
          <w:sz w:val="17"/>
          <w:szCs w:val="17"/>
          <w:color w:val="auto"/>
        </w:rPr>
        <w:t>The seasonal volume of the Company's business is reflected in working capital requirements. Working capital requirements are greatest from November through May, the peak production period, and are at their highest in March. Working capital needs are relatively low in the summer months.</w:t>
      </w:r>
    </w:p>
    <w:p>
      <w:pPr>
        <w:spacing w:after="0" w:line="199" w:lineRule="exact"/>
        <w:rPr>
          <w:sz w:val="20"/>
          <w:szCs w:val="20"/>
          <w:color w:val="auto"/>
        </w:rPr>
      </w:pPr>
    </w:p>
    <w:p>
      <w:pPr>
        <w:jc w:val="both"/>
        <w:ind w:right="2319" w:firstLine="505"/>
        <w:spacing w:after="0" w:line="241" w:lineRule="auto"/>
        <w:rPr>
          <w:sz w:val="20"/>
          <w:szCs w:val="20"/>
          <w:color w:val="auto"/>
        </w:rPr>
      </w:pPr>
      <w:r>
        <w:rPr>
          <w:rFonts w:ascii="Courier New" w:cs="Courier New" w:eastAsia="Courier New" w:hAnsi="Courier New"/>
          <w:sz w:val="17"/>
          <w:szCs w:val="17"/>
          <w:color w:val="auto"/>
        </w:rPr>
        <w:t>Current assets increased by $171,049,000 compared with September 30, 1994, and by $70,323,000 compared with April 2, 1994. The increase compared with September 30, 1994 is primarily attributable to the seasonal nature of Scotts' business, with inventory and accounts receivable levels generally being higher at the end of March relative to September. The increase as compared with April 2, 1994 is primarily due to higher level of receivables which is consistent with the year-to-year sales increase and higher inventory levels needed to support increased sales.</w:t>
      </w:r>
    </w:p>
    <w:p>
      <w:pPr>
        <w:spacing w:after="0" w:line="203" w:lineRule="exact"/>
        <w:rPr>
          <w:sz w:val="20"/>
          <w:szCs w:val="20"/>
          <w:color w:val="auto"/>
        </w:rPr>
      </w:pPr>
    </w:p>
    <w:p>
      <w:pPr>
        <w:jc w:val="both"/>
        <w:ind w:right="2319" w:firstLine="505"/>
        <w:spacing w:after="0" w:line="242" w:lineRule="auto"/>
        <w:rPr>
          <w:sz w:val="20"/>
          <w:szCs w:val="20"/>
          <w:color w:val="auto"/>
        </w:rPr>
      </w:pPr>
      <w:r>
        <w:rPr>
          <w:rFonts w:ascii="Courier New" w:cs="Courier New" w:eastAsia="Courier New" w:hAnsi="Courier New"/>
          <w:sz w:val="17"/>
          <w:szCs w:val="17"/>
          <w:color w:val="auto"/>
        </w:rPr>
        <w:t>Current liabilities increased by $54,585,000 compared with September 30, 1994 and decreased by $64,853,000 compared with April 2, 1994. The increase compared with September 30, 1994 is primarily caused by the seasonality of Scotts' business. The decrease compared with April 2, 1994 is caused by a decrease in short term debt which resulted from the requirements of the Fourth Amended and Restated Credit Agreement ("the Agreement") dated as of March 17, 1995 entered into by the Company with Chemical Bank and various participating banks which requires the Company to reduce revolving credit borrowings to no more than $225,000,000 for 30 consecutive days each year as compared to $30,000,000 in the Company's prior amended credit Agreement resulting in a reclassification from short-term to long-term. The decrease was partially offset by an increase in accounts payable needed to support the increase in sales.</w:t>
      </w:r>
    </w:p>
    <w:p>
      <w:pPr>
        <w:spacing w:after="0" w:line="198" w:lineRule="exact"/>
        <w:rPr>
          <w:sz w:val="20"/>
          <w:szCs w:val="20"/>
          <w:color w:val="auto"/>
        </w:rPr>
      </w:pPr>
    </w:p>
    <w:p>
      <w:pPr>
        <w:jc w:val="both"/>
        <w:ind w:right="2319" w:firstLine="505"/>
        <w:spacing w:after="0" w:line="259" w:lineRule="auto"/>
        <w:rPr>
          <w:sz w:val="20"/>
          <w:szCs w:val="20"/>
          <w:color w:val="auto"/>
        </w:rPr>
      </w:pPr>
      <w:r>
        <w:rPr>
          <w:rFonts w:ascii="Courier New" w:cs="Courier New" w:eastAsia="Courier New" w:hAnsi="Courier New"/>
          <w:sz w:val="16"/>
          <w:szCs w:val="16"/>
          <w:color w:val="auto"/>
        </w:rPr>
        <w:t>Long-term debt increased by $104,500,000 compared with September 30, 1994 and increased $118,713,000 compared with April 2, 1994. The increase compared with September 30, 1994 is caused by the seasonality of the business. The increase compared with April 2, 1994 is caused by the reclassification from short-term to long-term of the borrowings under the Agreement discussed above and a moderate increase in borrowings to support increases in accounts receivable and inventories resulting from increased sales.</w:t>
      </w:r>
    </w:p>
    <w:p>
      <w:pPr>
        <w:spacing w:after="0" w:line="184"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12</w:t>
      </w:r>
    </w:p>
    <w:p>
      <w:pPr>
        <w:sectPr>
          <w:pgSz w:w="11900" w:h="16838" w:orient="portrait"/>
          <w:cols w:equalWidth="0" w:num="1">
            <w:col w:w="10219"/>
          </w:cols>
          <w:pgMar w:left="240" w:top="505" w:right="1440" w:bottom="1440" w:gutter="0" w:footer="0" w:header="0"/>
        </w:sectPr>
      </w:pPr>
    </w:p>
    <w:bookmarkStart w:id="12" w:name="page13"/>
    <w:bookmarkEnd w:id="12"/>
    <w:p>
      <w:pPr>
        <w:jc w:val="both"/>
        <w:ind w:right="2319" w:firstLine="505"/>
        <w:spacing w:after="0" w:line="241" w:lineRule="auto"/>
        <w:rPr>
          <w:sz w:val="20"/>
          <w:szCs w:val="20"/>
          <w:color w:val="auto"/>
        </w:rPr>
      </w:pPr>
      <w:r>
        <w:rPr>
          <w:rFonts w:ascii="Courier New" w:cs="Courier New" w:eastAsia="Courier New" w:hAnsi="Courier New"/>
          <w:sz w:val="17"/>
          <w:szCs w:val="17"/>
          <w:color w:val="auto"/>
        </w:rPr>
        <w:t>Shareholders' equity increased $12,699,000 compared with September 30, 1994 primarily due to $9,196,000 of net income for the six months ended April 1, 1995 and to the change in the cumulative foreign currency adjustment related to the translation of the assets and liabilities of foreign subsidiaries to U.S. dollars. Shareholders' equity increased $25,723,000 compared with April 2, 1994 primarily due to net income of $20,623,000 for the twelve months ended April 1, 1995 and the change in the cumulative foreign currency adjustment related to the translation of the assets and liabilities of foreign subsidiaries to U.S. dollars.</w:t>
      </w:r>
    </w:p>
    <w:p>
      <w:pPr>
        <w:spacing w:after="0" w:line="204" w:lineRule="exact"/>
        <w:rPr>
          <w:sz w:val="20"/>
          <w:szCs w:val="20"/>
          <w:color w:val="auto"/>
        </w:rPr>
      </w:pPr>
    </w:p>
    <w:p>
      <w:pPr>
        <w:jc w:val="both"/>
        <w:ind w:right="2319" w:firstLine="505"/>
        <w:spacing w:after="0" w:line="241" w:lineRule="auto"/>
        <w:rPr>
          <w:sz w:val="20"/>
          <w:szCs w:val="20"/>
          <w:color w:val="auto"/>
        </w:rPr>
      </w:pPr>
      <w:r>
        <w:rPr>
          <w:rFonts w:ascii="Courier New" w:cs="Courier New" w:eastAsia="Courier New" w:hAnsi="Courier New"/>
          <w:sz w:val="17"/>
          <w:szCs w:val="17"/>
          <w:color w:val="auto"/>
        </w:rPr>
        <w:t>The primary sources of liquidity for the Company are funds generated by operations and borrowings under the Company's Credit Agreement. The Credit Agreement was amended in March 1995. As amended, the Credit Agreement provides, on an unsecured basis, up to $375 million through March 31, 2000, and does not contain a term loan facility. Additional information on the Credit Agreement is described in Footnote No. 4 on page 7 of this report.</w:t>
      </w:r>
    </w:p>
    <w:p>
      <w:pPr>
        <w:spacing w:after="0" w:line="201" w:lineRule="exact"/>
        <w:rPr>
          <w:sz w:val="20"/>
          <w:szCs w:val="20"/>
          <w:color w:val="auto"/>
        </w:rPr>
      </w:pPr>
    </w:p>
    <w:p>
      <w:pPr>
        <w:jc w:val="both"/>
        <w:ind w:right="2319" w:firstLine="505"/>
        <w:spacing w:after="0" w:line="242" w:lineRule="auto"/>
        <w:rPr>
          <w:sz w:val="20"/>
          <w:szCs w:val="20"/>
          <w:color w:val="auto"/>
        </w:rPr>
      </w:pPr>
      <w:r>
        <w:rPr>
          <w:rFonts w:ascii="Courier New" w:cs="Courier New" w:eastAsia="Courier New" w:hAnsi="Courier New"/>
          <w:sz w:val="17"/>
          <w:szCs w:val="17"/>
          <w:color w:val="auto"/>
        </w:rPr>
        <w:t>The Company has foreign exchange rate risk related to international earnings and cash flows. A management program was designed to minimize the exposure to adverse currency impacts on the cash value of the Company's non-local currency receivables and payables, as well as the associated earnings impact. Beginning in January 1995, the Company entered into forward foreign exchange contracts and purchased currency options tied to the economic value of receivables and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spacing w:after="0" w:line="198" w:lineRule="exact"/>
        <w:rPr>
          <w:sz w:val="20"/>
          <w:szCs w:val="20"/>
          <w:color w:val="auto"/>
        </w:rPr>
      </w:pPr>
    </w:p>
    <w:p>
      <w:pPr>
        <w:jc w:val="both"/>
        <w:ind w:right="2319" w:firstLine="505"/>
        <w:spacing w:after="0" w:line="242" w:lineRule="auto"/>
        <w:rPr>
          <w:sz w:val="20"/>
          <w:szCs w:val="20"/>
          <w:color w:val="auto"/>
        </w:rPr>
      </w:pPr>
      <w:r>
        <w:rPr>
          <w:rFonts w:ascii="Courier New" w:cs="Courier New" w:eastAsia="Courier New" w:hAnsi="Courier New"/>
          <w:sz w:val="17"/>
          <w:szCs w:val="17"/>
          <w:color w:val="auto"/>
        </w:rPr>
        <w:t>As of April 1, 1995, the Company's European operations had foreign exchange risk in various European currencies tied to the Dutch guilder. These currencies are: the Australian Dollar, Belgian Franc, German Mark, Spanish Peseta, French Franc, British Pound and the U. S. Dollar. The Company's U.S. operations have foreign exchange rate risk in the Canadian Dollar, Dutch Guilder and the British Pound which are tied to the U.S. Dollar. As of April 1, 1995, outstanding foreign exchange forward contracts had a contract value of approximately $26.7 million and outstanding purchased currency options had a contract value of approximately $3.3 million. These contracts have maturity dates ranging from April 6, 1995 to July 13, 1995.</w:t>
      </w:r>
    </w:p>
    <w:p>
      <w:pPr>
        <w:spacing w:after="0" w:line="197" w:lineRule="exact"/>
        <w:rPr>
          <w:sz w:val="20"/>
          <w:szCs w:val="20"/>
          <w:color w:val="auto"/>
        </w:rPr>
      </w:pPr>
    </w:p>
    <w:p>
      <w:pPr>
        <w:jc w:val="both"/>
        <w:ind w:right="2319" w:firstLine="505"/>
        <w:spacing w:after="0" w:line="241" w:lineRule="auto"/>
        <w:rPr>
          <w:sz w:val="20"/>
          <w:szCs w:val="20"/>
          <w:color w:val="auto"/>
        </w:rPr>
      </w:pPr>
      <w:r>
        <w:rPr>
          <w:rFonts w:ascii="Courier New" w:cs="Courier New" w:eastAsia="Courier New" w:hAnsi="Courier New"/>
          <w:sz w:val="17"/>
          <w:szCs w:val="17"/>
          <w:color w:val="auto"/>
        </w:rPr>
        <w:t>The pending transactions involving the Company and Stern's Miracle-Gro Products, Inc. and its affiliated companies are described in Footnote No. 6 to the Company's Consolidated Financial Statements on pages 8 and 9 of this Report. Any additional working capital needs resulting from those transactions are expected to be financed through funds available under the amended credit Agreement described above.</w:t>
      </w:r>
    </w:p>
    <w:p>
      <w:pPr>
        <w:spacing w:after="0" w:line="201" w:lineRule="exact"/>
        <w:rPr>
          <w:sz w:val="20"/>
          <w:szCs w:val="20"/>
          <w:color w:val="auto"/>
        </w:rPr>
      </w:pPr>
    </w:p>
    <w:p>
      <w:pPr>
        <w:jc w:val="both"/>
        <w:ind w:right="2319" w:firstLine="505"/>
        <w:spacing w:after="0"/>
        <w:rPr>
          <w:sz w:val="20"/>
          <w:szCs w:val="20"/>
          <w:color w:val="auto"/>
        </w:rPr>
      </w:pPr>
      <w:r>
        <w:rPr>
          <w:rFonts w:ascii="Courier New" w:cs="Courier New" w:eastAsia="Courier New" w:hAnsi="Courier New"/>
          <w:sz w:val="17"/>
          <w:szCs w:val="17"/>
          <w:color w:val="auto"/>
        </w:rPr>
        <w:t>In the opinion of the Company's management, cash flows from operations and capital resources will be sufficient to meet future debt service and working capital needs.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ISSUES</w:t>
      </w:r>
    </w:p>
    <w:p>
      <w:pPr>
        <w:spacing w:after="0" w:line="199" w:lineRule="exact"/>
        <w:rPr>
          <w:sz w:val="20"/>
          <w:szCs w:val="20"/>
          <w:color w:val="auto"/>
        </w:rPr>
      </w:pPr>
    </w:p>
    <w:p>
      <w:pPr>
        <w:jc w:val="both"/>
        <w:ind w:right="2319" w:firstLine="505"/>
        <w:spacing w:after="0" w:line="241" w:lineRule="auto"/>
        <w:rPr>
          <w:sz w:val="20"/>
          <w:szCs w:val="20"/>
          <w:color w:val="auto"/>
        </w:rPr>
      </w:pPr>
      <w:r>
        <w:rPr>
          <w:rFonts w:ascii="Courier New" w:cs="Courier New" w:eastAsia="Courier New" w:hAnsi="Courier New"/>
          <w:sz w:val="17"/>
          <w:szCs w:val="17"/>
          <w:color w:val="auto"/>
        </w:rPr>
        <w:t>In March 1995 the Financial Accounting Standards Board issued Statement of Financial Accounting Standards ("SFAS") No. 121, "Accounting for the Impairment of Long Lived Assets and for Long Lived Assets to be Disposed of" which establishes accounting standards for the impairment of long lived assets, certain identifiable intangibles and goodwill related to those assets to be held and used for long lived assets and certain identifiable intangibles to be disposed of. The Company's current policies are in accordance with SFAS No. 121.</w:t>
      </w:r>
    </w:p>
    <w:p>
      <w:pPr>
        <w:spacing w:after="0" w:line="201"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13</w:t>
      </w:r>
    </w:p>
    <w:p>
      <w:pPr>
        <w:sectPr>
          <w:pgSz w:w="11900" w:h="16838" w:orient="portrait"/>
          <w:cols w:equalWidth="0" w:num="1">
            <w:col w:w="10219"/>
          </w:cols>
          <w:pgMar w:left="240" w:top="505" w:right="1440" w:bottom="1440" w:gutter="0" w:footer="0" w:header="0"/>
        </w:sectPr>
      </w:pPr>
    </w:p>
    <w:bookmarkStart w:id="13" w:name="page14"/>
    <w:bookmarkEnd w:id="13"/>
    <w:p>
      <w:pPr>
        <w:ind w:left="3440"/>
        <w:spacing w:after="0"/>
        <w:rPr>
          <w:sz w:val="20"/>
          <w:szCs w:val="20"/>
          <w:color w:val="auto"/>
        </w:rPr>
      </w:pPr>
      <w:r>
        <w:rPr>
          <w:rFonts w:ascii="Courier New" w:cs="Courier New" w:eastAsia="Courier New" w:hAnsi="Courier New"/>
          <w:sz w:val="17"/>
          <w:szCs w:val="17"/>
          <w:color w:val="auto"/>
        </w:rPr>
        <w:t>SIGNATURES</w:t>
      </w:r>
    </w:p>
    <w:p>
      <w:pPr>
        <w:sectPr>
          <w:pgSz w:w="11900" w:h="16838" w:orient="portrait"/>
          <w:cols w:equalWidth="0" w:num="1">
            <w:col w:w="10219"/>
          </w:cols>
          <w:pgMar w:left="240" w:top="503" w:right="1440" w:bottom="1440" w:gutter="0" w:footer="0" w:header="0"/>
        </w:sectPr>
      </w:pPr>
    </w:p>
    <w:p>
      <w:pPr>
        <w:spacing w:after="0" w:line="199" w:lineRule="exact"/>
        <w:rPr>
          <w:sz w:val="20"/>
          <w:szCs w:val="20"/>
          <w:color w:val="auto"/>
        </w:rPr>
      </w:pPr>
    </w:p>
    <w:p>
      <w:pPr>
        <w:jc w:val="both"/>
        <w:spacing w:after="0"/>
        <w:rPr>
          <w:sz w:val="20"/>
          <w:szCs w:val="20"/>
          <w:color w:val="auto"/>
        </w:rPr>
      </w:pPr>
      <w:r>
        <w:rPr>
          <w:rFonts w:ascii="Courier New" w:cs="Courier New" w:eastAsia="Courier New" w:hAnsi="Courier New"/>
          <w:sz w:val="17"/>
          <w:szCs w:val="17"/>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319" w:firstLine="101"/>
        <w:spacing w:after="0" w:line="239" w:lineRule="auto"/>
        <w:rPr>
          <w:sz w:val="20"/>
          <w:szCs w:val="20"/>
          <w:color w:val="auto"/>
        </w:rPr>
      </w:pPr>
      <w:r>
        <w:rPr>
          <w:rFonts w:ascii="Courier New" w:cs="Courier New" w:eastAsia="Courier New" w:hAnsi="Courier New"/>
          <w:sz w:val="17"/>
          <w:szCs w:val="17"/>
          <w:color w:val="auto"/>
        </w:rPr>
        <w:t>Exchange Act of 1934, the signed on its behalf by the</w:t>
      </w:r>
    </w:p>
    <w:p>
      <w:pPr>
        <w:spacing w:after="0" w:line="394" w:lineRule="exact"/>
        <w:rPr>
          <w:sz w:val="20"/>
          <w:szCs w:val="20"/>
          <w:color w:val="auto"/>
        </w:rPr>
      </w:pPr>
    </w:p>
    <w:p>
      <w:pPr>
        <w:sectPr>
          <w:pgSz w:w="11900" w:h="16838" w:orient="portrait"/>
          <w:cols w:equalWidth="0" w:num="2">
            <w:col w:w="4960" w:space="100"/>
            <w:col w:w="5159"/>
          </w:cols>
          <w:pgMar w:left="240" w:top="503" w:right="1440"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38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December 27, 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Paul D. Yeager</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Paul D. Yeager</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Executive Vice President</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Chief Financial Officer</w:t>
      </w:r>
    </w:p>
    <w:p>
      <w:pPr>
        <w:spacing w:after="0" w:line="4"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394"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14</w:t>
      </w:r>
    </w:p>
    <w:p>
      <w:pPr>
        <w:sectPr>
          <w:pgSz w:w="11900" w:h="16838" w:orient="portrait"/>
          <w:cols w:equalWidth="0" w:num="1">
            <w:col w:w="10219"/>
          </w:cols>
          <w:pgMar w:left="240" w:top="503" w:right="1440" w:bottom="1440" w:gutter="0" w:footer="0" w:header="0"/>
          <w:type w:val="continuous"/>
        </w:sectPr>
      </w:pPr>
    </w:p>
    <w:bookmarkStart w:id="14" w:name="page15"/>
    <w:bookmarkEnd w:id="14"/>
    <w:p>
      <w:pPr>
        <w:ind w:left="3040"/>
        <w:spacing w:after="0"/>
        <w:rPr>
          <w:sz w:val="20"/>
          <w:szCs w:val="20"/>
          <w:color w:val="auto"/>
        </w:rPr>
      </w:pPr>
      <w:r>
        <w:rPr>
          <w:rFonts w:ascii="Courier New" w:cs="Courier New" w:eastAsia="Courier New" w:hAnsi="Courier New"/>
          <w:sz w:val="17"/>
          <w:szCs w:val="17"/>
          <w:color w:val="auto"/>
        </w:rPr>
        <w:t>THE SCOTTS COMPANY</w:t>
      </w:r>
    </w:p>
    <w:p>
      <w:pPr>
        <w:spacing w:after="0" w:line="4"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QUARTERLY REPORT ON FORM 10-Q/A FOR</w:t>
      </w:r>
    </w:p>
    <w:p>
      <w:pPr>
        <w:spacing w:after="0" w:line="13"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FISCAL QUARTER ENDED APRIL 1, 1995</w:t>
      </w:r>
    </w:p>
    <w:p>
      <w:pPr>
        <w:spacing w:after="0" w:line="11"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502" w:right="1440"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3740" w:type="dxa"/>
            <w:vAlign w:val="bottom"/>
          </w:tcPr>
          <w:p>
            <w:pPr>
              <w:spacing w:after="0"/>
              <w:rPr>
                <w:sz w:val="16"/>
                <w:szCs w:val="16"/>
                <w:color w:val="auto"/>
              </w:rPr>
            </w:pPr>
          </w:p>
        </w:tc>
      </w:tr>
      <w:tr>
        <w:trPr>
          <w:trHeight w:val="194"/>
        </w:trPr>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Number</w:t>
            </w:r>
          </w:p>
        </w:tc>
        <w:tc>
          <w:tcPr>
            <w:tcW w:w="3740" w:type="dxa"/>
            <w:vAlign w:val="bottom"/>
          </w:tcPr>
          <w:p>
            <w:pPr>
              <w:ind w:left="1400"/>
              <w:spacing w:after="0"/>
              <w:rPr>
                <w:sz w:val="20"/>
                <w:szCs w:val="20"/>
                <w:color w:val="auto"/>
              </w:rPr>
            </w:pPr>
            <w:r>
              <w:rPr>
                <w:rFonts w:ascii="Courier New" w:cs="Courier New" w:eastAsia="Courier New" w:hAnsi="Courier New"/>
                <w:sz w:val="17"/>
                <w:szCs w:val="17"/>
                <w:color w:val="auto"/>
              </w:rPr>
              <w:t>Description</w:t>
            </w:r>
          </w:p>
        </w:tc>
      </w:tr>
      <w:tr>
        <w:trPr>
          <w:trHeight w:val="389"/>
        </w:trPr>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2(a)</w:t>
            </w: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Agreement and Plan of Merger dated</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w w:val="98"/>
              </w:rPr>
              <w:t>as of January 26, 1995 among Stern's</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Miracle-Gro Products, Inc., Stern's</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Nurseries, Inc., Miracle-Gro Lawn</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Products Inc., and Miracle-Gro</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Products Limited (the "Miracle-Gro</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Constituent Companies"), Horace</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Hagedorn, James Hagedorn, Katherine</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w w:val="98"/>
              </w:rPr>
              <w:t>Hagedorn Littlefield, Paul Hagedorn,</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Peter Hagedorn, Robert Hagedorn,</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w w:val="98"/>
              </w:rPr>
              <w:t>Susan Hagedorn and John Kenlon, (the</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"Miracle-Gro Shareholders"), The</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Scotts Company and ZYX Corporation.</w:t>
            </w:r>
          </w:p>
        </w:tc>
      </w:tr>
      <w:tr>
        <w:trPr>
          <w:trHeight w:val="389"/>
        </w:trPr>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2(b)</w:t>
            </w: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Amendment No. 1, dated as of May 1,</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1995, among the Miracle-Gro</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Constituent Companies, the</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w w:val="98"/>
              </w:rPr>
              <w:t>Miracle-Gro Shareholders, The Scotts</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Company, ZYX Corporation, Hagedorn</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Partnership, L.P. and Community</w:t>
            </w:r>
          </w:p>
        </w:tc>
      </w:tr>
      <w:tr>
        <w:trPr>
          <w:trHeight w:val="194"/>
        </w:trPr>
        <w:tc>
          <w:tcPr>
            <w:tcW w:w="82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Funds, Inc.</w:t>
            </w:r>
          </w:p>
        </w:tc>
      </w:tr>
    </w:tbl>
    <w:p>
      <w:pPr>
        <w:spacing w:after="0" w:line="20" w:lineRule="exact"/>
        <w:rPr>
          <w:sz w:val="20"/>
          <w:szCs w:val="20"/>
          <w:color w:val="auto"/>
        </w:rPr>
      </w:pPr>
      <w:r>
        <w:rPr>
          <w:sz w:val="20"/>
          <w:szCs w:val="20"/>
          <w:color w:val="auto"/>
        </w:rPr>
        <w:br w:type="column"/>
      </w:r>
    </w:p>
    <w:p>
      <w:pPr>
        <w:jc w:val="center"/>
        <w:ind w:right="2439"/>
        <w:spacing w:after="0"/>
        <w:rPr>
          <w:sz w:val="20"/>
          <w:szCs w:val="20"/>
          <w:color w:val="auto"/>
        </w:rPr>
      </w:pPr>
      <w:r>
        <w:rPr>
          <w:rFonts w:ascii="Courier New" w:cs="Courier New" w:eastAsia="Courier New" w:hAnsi="Courier New"/>
          <w:sz w:val="17"/>
          <w:szCs w:val="17"/>
          <w:color w:val="auto"/>
        </w:rPr>
        <w:t>Page</w:t>
      </w:r>
    </w:p>
    <w:p>
      <w:pPr>
        <w:spacing w:after="0" w:line="2"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7"/>
          <w:szCs w:val="17"/>
          <w:color w:val="auto"/>
        </w:rPr>
        <w:t>Number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herein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reference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 S-4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Scotts Company filed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the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4, 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33-57595) (Exhibit 2)</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herein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reference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Report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 10-Q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quarter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1, 1995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Scotts Company (File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0-19768)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2(b))</w:t>
      </w:r>
    </w:p>
    <w:p>
      <w:pPr>
        <w:spacing w:after="0" w:line="196" w:lineRule="exact"/>
        <w:rPr>
          <w:sz w:val="20"/>
          <w:szCs w:val="20"/>
          <w:color w:val="auto"/>
        </w:rPr>
      </w:pPr>
    </w:p>
    <w:p>
      <w:pPr>
        <w:sectPr>
          <w:pgSz w:w="11900" w:h="16838" w:orient="portrait"/>
          <w:cols w:equalWidth="0" w:num="2">
            <w:col w:w="4640" w:space="720"/>
            <w:col w:w="4859"/>
          </w:cols>
          <w:pgMar w:left="240" w:top="502" w:right="1440" w:bottom="1440" w:gutter="0" w:footer="0" w:header="0"/>
          <w:type w:val="continuous"/>
        </w:sectPr>
      </w:pPr>
    </w:p>
    <w:p>
      <w:pPr>
        <w:spacing w:after="0" w:line="3" w:lineRule="exact"/>
        <w:rPr>
          <w:sz w:val="20"/>
          <w:szCs w:val="20"/>
          <w:color w:val="auto"/>
        </w:rPr>
      </w:pPr>
    </w:p>
    <w:p>
      <w:pPr>
        <w:ind w:left="920" w:right="80" w:hanging="719"/>
        <w:spacing w:after="0" w:line="241" w:lineRule="auto"/>
        <w:tabs>
          <w:tab w:leader="none" w:pos="900" w:val="left"/>
        </w:tabs>
        <w:rPr>
          <w:sz w:val="20"/>
          <w:szCs w:val="20"/>
          <w:color w:val="auto"/>
        </w:rPr>
      </w:pPr>
      <w:r>
        <w:rPr>
          <w:rFonts w:ascii="Courier New" w:cs="Courier New" w:eastAsia="Courier New" w:hAnsi="Courier New"/>
          <w:sz w:val="17"/>
          <w:szCs w:val="17"/>
          <w:color w:val="auto"/>
        </w:rPr>
        <w:t>4(a)</w:t>
        <w:tab/>
        <w:t>Amended Articles of Incorporation of The Scotts Company as filed with the Ohio Secretary of State on September 20,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reference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Report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 10-K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year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Scotts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(File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0-19768) (Exhibit 3(a))</w:t>
      </w:r>
    </w:p>
    <w:p>
      <w:pPr>
        <w:spacing w:after="0" w:line="200" w:lineRule="exact"/>
        <w:rPr>
          <w:sz w:val="20"/>
          <w:szCs w:val="20"/>
          <w:color w:val="auto"/>
        </w:rPr>
      </w:pPr>
    </w:p>
    <w:p>
      <w:pPr>
        <w:sectPr>
          <w:pgSz w:w="11900" w:h="16838" w:orient="portrait"/>
          <w:cols w:equalWidth="0" w:num="2">
            <w:col w:w="4640" w:space="720"/>
            <w:col w:w="4859"/>
          </w:cols>
          <w:pgMar w:left="240" w:top="502" w:right="1440" w:bottom="1440" w:gutter="0" w:footer="0" w:header="0"/>
          <w:type w:val="continuous"/>
        </w:sectPr>
      </w:pPr>
    </w:p>
    <w:p>
      <w:pPr>
        <w:spacing w:after="0" w:line="8" w:lineRule="exact"/>
        <w:rPr>
          <w:sz w:val="20"/>
          <w:szCs w:val="20"/>
          <w:color w:val="auto"/>
        </w:rPr>
      </w:pPr>
    </w:p>
    <w:p>
      <w:pPr>
        <w:ind w:left="920" w:right="180" w:hanging="719"/>
        <w:spacing w:after="0" w:line="241" w:lineRule="auto"/>
        <w:tabs>
          <w:tab w:leader="none" w:pos="900" w:val="left"/>
        </w:tabs>
        <w:rPr>
          <w:sz w:val="20"/>
          <w:szCs w:val="20"/>
          <w:color w:val="auto"/>
        </w:rPr>
      </w:pPr>
      <w:r>
        <w:rPr>
          <w:rFonts w:ascii="Courier New" w:cs="Courier New" w:eastAsia="Courier New" w:hAnsi="Courier New"/>
          <w:sz w:val="17"/>
          <w:szCs w:val="17"/>
          <w:color w:val="auto"/>
        </w:rPr>
        <w:t>4(b)</w:t>
        <w:tab/>
        <w:t>Certificate of Amendment by Shareholders to the Articles of Incorporation of The Scotts Company as filed with the Ohio Secretary of State on May 4,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reference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Report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 10-Q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quarter ended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 1995 of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Company (File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0-19768)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4(b))</w:t>
      </w:r>
    </w:p>
    <w:p>
      <w:pPr>
        <w:spacing w:after="0" w:line="196" w:lineRule="exact"/>
        <w:rPr>
          <w:sz w:val="20"/>
          <w:szCs w:val="20"/>
          <w:color w:val="auto"/>
        </w:rPr>
      </w:pPr>
    </w:p>
    <w:p>
      <w:pPr>
        <w:sectPr>
          <w:pgSz w:w="11900" w:h="16838" w:orient="portrait"/>
          <w:cols w:equalWidth="0" w:num="2">
            <w:col w:w="4640" w:space="720"/>
            <w:col w:w="4859"/>
          </w:cols>
          <w:pgMar w:left="240" w:top="502" w:right="1440" w:bottom="1440" w:gutter="0" w:footer="0" w:header="0"/>
          <w:type w:val="continuous"/>
        </w:sectPr>
      </w:pPr>
    </w:p>
    <w:p>
      <w:pPr>
        <w:spacing w:after="0" w:line="3" w:lineRule="exact"/>
        <w:rPr>
          <w:sz w:val="20"/>
          <w:szCs w:val="20"/>
          <w:color w:val="auto"/>
        </w:rPr>
      </w:pPr>
    </w:p>
    <w:p>
      <w:pPr>
        <w:ind w:left="920" w:right="380" w:hanging="719"/>
        <w:spacing w:after="0" w:line="261" w:lineRule="auto"/>
        <w:tabs>
          <w:tab w:leader="none" w:pos="900" w:val="left"/>
        </w:tabs>
        <w:rPr>
          <w:sz w:val="20"/>
          <w:szCs w:val="20"/>
          <w:color w:val="auto"/>
        </w:rPr>
      </w:pPr>
      <w:r>
        <w:rPr>
          <w:rFonts w:ascii="Courier New" w:cs="Courier New" w:eastAsia="Courier New" w:hAnsi="Courier New"/>
          <w:sz w:val="16"/>
          <w:szCs w:val="16"/>
          <w:color w:val="auto"/>
        </w:rPr>
        <w:t>4(c)</w:t>
      </w:r>
      <w:r>
        <w:rPr>
          <w:sz w:val="20"/>
          <w:szCs w:val="20"/>
          <w:color w:val="auto"/>
        </w:rPr>
        <w:tab/>
      </w:r>
      <w:r>
        <w:rPr>
          <w:rFonts w:ascii="Courier New" w:cs="Courier New" w:eastAsia="Courier New" w:hAnsi="Courier New"/>
          <w:sz w:val="16"/>
          <w:szCs w:val="16"/>
          <w:color w:val="auto"/>
        </w:rPr>
        <w:t>Regulations of The Scotts Company (reflecting amendments adopted by the shareholders of The Scotts Company on April 6,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reference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Report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 10-Q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quarter ended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 1995 of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Company (File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0-19768)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4(c))</w:t>
      </w:r>
    </w:p>
    <w:p>
      <w:pPr>
        <w:spacing w:after="0" w:line="196" w:lineRule="exact"/>
        <w:rPr>
          <w:sz w:val="20"/>
          <w:szCs w:val="20"/>
          <w:color w:val="auto"/>
        </w:rPr>
      </w:pPr>
    </w:p>
    <w:p>
      <w:pPr>
        <w:sectPr>
          <w:pgSz w:w="11900" w:h="16838" w:orient="portrait"/>
          <w:cols w:equalWidth="0" w:num="2">
            <w:col w:w="4640" w:space="720"/>
            <w:col w:w="4859"/>
          </w:cols>
          <w:pgMar w:left="240" w:top="502" w:right="1440" w:bottom="1440" w:gutter="0" w:footer="0" w:header="0"/>
          <w:type w:val="continuous"/>
        </w:sectPr>
      </w:pPr>
    </w:p>
    <w:p>
      <w:pPr>
        <w:spacing w:after="0" w:line="3" w:lineRule="exact"/>
        <w:rPr>
          <w:sz w:val="20"/>
          <w:szCs w:val="20"/>
          <w:color w:val="auto"/>
        </w:rPr>
      </w:pPr>
    </w:p>
    <w:p>
      <w:pPr>
        <w:ind w:left="920" w:right="80" w:hanging="719"/>
        <w:spacing w:after="0" w:line="241" w:lineRule="auto"/>
        <w:tabs>
          <w:tab w:leader="none" w:pos="900" w:val="left"/>
        </w:tabs>
        <w:rPr>
          <w:sz w:val="20"/>
          <w:szCs w:val="20"/>
          <w:color w:val="auto"/>
        </w:rPr>
      </w:pPr>
      <w:r>
        <w:rPr>
          <w:rFonts w:ascii="Courier New" w:cs="Courier New" w:eastAsia="Courier New" w:hAnsi="Courier New"/>
          <w:sz w:val="17"/>
          <w:szCs w:val="17"/>
          <w:color w:val="auto"/>
        </w:rPr>
        <w:t>4(d)</w:t>
        <w:tab/>
        <w:t>Fourth Amended and Restated Credit Agreement dated as of March 17, 1995 among The Scotts Company, Chemical Bank, the lenders party thereto and Chemical Bank as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Incorporated herein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the Quarterly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10-Q for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quarter ended April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1995 of The Scotts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(File No. 0-19768)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4(d))</w:t>
      </w:r>
    </w:p>
    <w:p>
      <w:pPr>
        <w:spacing w:after="0" w:line="196" w:lineRule="exact"/>
        <w:rPr>
          <w:sz w:val="20"/>
          <w:szCs w:val="20"/>
          <w:color w:val="auto"/>
        </w:rPr>
      </w:pPr>
    </w:p>
    <w:p>
      <w:pPr>
        <w:sectPr>
          <w:pgSz w:w="11900" w:h="16838" w:orient="portrait"/>
          <w:cols w:equalWidth="0" w:num="2">
            <w:col w:w="4640" w:space="720"/>
            <w:col w:w="4859"/>
          </w:cols>
          <w:pgMar w:left="240" w:top="502" w:right="1440" w:bottom="1440" w:gutter="0" w:footer="0" w:header="0"/>
          <w:type w:val="continuous"/>
        </w:sectPr>
      </w:pPr>
    </w:p>
    <w:p>
      <w:pPr>
        <w:ind w:left="300"/>
        <w:spacing w:after="0"/>
        <w:tabs>
          <w:tab w:leader="none" w:pos="900" w:val="left"/>
          <w:tab w:leader="none" w:pos="534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Computation of Net Income Per Common Share</w:t>
        <w:tab/>
        <w:t>Page 16</w:t>
      </w:r>
    </w:p>
    <w:p>
      <w:pPr>
        <w:spacing w:after="0" w:line="196" w:lineRule="exact"/>
        <w:rPr>
          <w:sz w:val="20"/>
          <w:szCs w:val="20"/>
          <w:color w:val="auto"/>
        </w:rPr>
      </w:pPr>
    </w:p>
    <w:p>
      <w:pPr>
        <w:ind w:left="300"/>
        <w:spacing w:after="0"/>
        <w:tabs>
          <w:tab w:leader="none" w:pos="900" w:val="left"/>
          <w:tab w:leader="none" w:pos="534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r>
        <w:rPr>
          <w:sz w:val="20"/>
          <w:szCs w:val="20"/>
          <w:color w:val="auto"/>
        </w:rPr>
        <w:tab/>
      </w:r>
      <w:r>
        <w:rPr>
          <w:rFonts w:ascii="Courier New" w:cs="Courier New" w:eastAsia="Courier New" w:hAnsi="Courier New"/>
          <w:sz w:val="17"/>
          <w:szCs w:val="17"/>
          <w:color w:val="auto"/>
        </w:rPr>
        <w:t>Page 17</w:t>
      </w:r>
    </w:p>
    <w:p>
      <w:pPr>
        <w:spacing w:after="0" w:line="19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15</w:t>
      </w:r>
    </w:p>
    <w:p>
      <w:pPr>
        <w:sectPr>
          <w:pgSz w:w="11900" w:h="16838" w:orient="portrait"/>
          <w:cols w:equalWidth="0" w:num="1">
            <w:col w:w="10219"/>
          </w:cols>
          <w:pgMar w:left="240" w:top="502"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3"/>
        </w:trPr>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580" w:type="dxa"/>
            <w:vAlign w:val="bottom"/>
            <w:gridSpan w:val="3"/>
          </w:tcPr>
          <w:p>
            <w:pPr>
              <w:jc w:val="right"/>
              <w:ind w:right="776"/>
              <w:spacing w:after="0"/>
              <w:rPr>
                <w:sz w:val="20"/>
                <w:szCs w:val="20"/>
                <w:color w:val="auto"/>
              </w:rPr>
            </w:pPr>
            <w:r>
              <w:rPr>
                <w:rFonts w:ascii="Courier New" w:cs="Courier New" w:eastAsia="Courier New" w:hAnsi="Courier New"/>
                <w:sz w:val="17"/>
                <w:szCs w:val="17"/>
                <w:color w:val="auto"/>
              </w:rPr>
              <w:t>Exhibit 11</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2440" w:type="dxa"/>
            <w:vAlign w:val="bottom"/>
          </w:tcPr>
          <w:p>
            <w:pPr>
              <w:spacing w:after="0"/>
              <w:rPr>
                <w:sz w:val="16"/>
                <w:szCs w:val="16"/>
                <w:color w:val="auto"/>
              </w:rPr>
            </w:pPr>
          </w:p>
        </w:tc>
        <w:tc>
          <w:tcPr>
            <w:tcW w:w="3740" w:type="dxa"/>
            <w:vAlign w:val="bottom"/>
            <w:gridSpan w:val="2"/>
          </w:tcPr>
          <w:p>
            <w:pPr>
              <w:jc w:val="center"/>
              <w:ind w:right="636"/>
              <w:spacing w:after="0"/>
              <w:rPr>
                <w:sz w:val="20"/>
                <w:szCs w:val="20"/>
                <w:color w:val="auto"/>
              </w:rPr>
            </w:pPr>
            <w:r>
              <w:rPr>
                <w:rFonts w:ascii="Courier New" w:cs="Courier New" w:eastAsia="Courier New" w:hAnsi="Courier New"/>
                <w:sz w:val="17"/>
                <w:szCs w:val="17"/>
                <w:color w:val="auto"/>
                <w:w w:val="99"/>
              </w:rPr>
              <w:t>THE SCOTTS COMPANY</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9"/>
        </w:trPr>
        <w:tc>
          <w:tcPr>
            <w:tcW w:w="6180" w:type="dxa"/>
            <w:vAlign w:val="bottom"/>
            <w:gridSpan w:val="3"/>
          </w:tcPr>
          <w:p>
            <w:pPr>
              <w:jc w:val="center"/>
              <w:ind w:left="1637"/>
              <w:spacing w:after="0"/>
              <w:rPr>
                <w:sz w:val="20"/>
                <w:szCs w:val="20"/>
                <w:color w:val="auto"/>
              </w:rPr>
            </w:pPr>
            <w:r>
              <w:rPr>
                <w:rFonts w:ascii="Courier New" w:cs="Courier New" w:eastAsia="Courier New" w:hAnsi="Courier New"/>
                <w:sz w:val="17"/>
                <w:szCs w:val="17"/>
                <w:color w:val="auto"/>
                <w:w w:val="99"/>
              </w:rPr>
              <w:t>Computation of Net Income Per Common Share</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2440" w:type="dxa"/>
            <w:vAlign w:val="bottom"/>
          </w:tcPr>
          <w:p>
            <w:pPr>
              <w:spacing w:after="0"/>
              <w:rPr>
                <w:sz w:val="16"/>
                <w:szCs w:val="16"/>
                <w:color w:val="auto"/>
              </w:rPr>
            </w:pPr>
          </w:p>
        </w:tc>
        <w:tc>
          <w:tcPr>
            <w:tcW w:w="3740" w:type="dxa"/>
            <w:vAlign w:val="bottom"/>
            <w:gridSpan w:val="2"/>
          </w:tcPr>
          <w:p>
            <w:pPr>
              <w:jc w:val="right"/>
              <w:ind w:right="1136"/>
              <w:spacing w:after="0"/>
              <w:rPr>
                <w:sz w:val="20"/>
                <w:szCs w:val="20"/>
                <w:color w:val="auto"/>
              </w:rPr>
            </w:pPr>
            <w:r>
              <w:rPr>
                <w:rFonts w:ascii="Courier New" w:cs="Courier New" w:eastAsia="Courier New" w:hAnsi="Courier New"/>
                <w:sz w:val="17"/>
                <w:szCs w:val="17"/>
                <w:color w:val="auto"/>
              </w:rPr>
              <w:t>Primary (Unaudited)</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7340" w:type="dxa"/>
            <w:vAlign w:val="bottom"/>
            <w:gridSpan w:val="4"/>
          </w:tcPr>
          <w:p>
            <w:pPr>
              <w:ind w:left="1620"/>
              <w:spacing w:after="0"/>
              <w:rPr>
                <w:sz w:val="20"/>
                <w:szCs w:val="20"/>
                <w:color w:val="auto"/>
              </w:rPr>
            </w:pPr>
            <w:r>
              <w:rPr>
                <w:rFonts w:ascii="Courier New" w:cs="Courier New" w:eastAsia="Courier New" w:hAnsi="Courier New"/>
                <w:sz w:val="17"/>
                <w:szCs w:val="17"/>
                <w:color w:val="auto"/>
              </w:rPr>
              <w:t>(Dollars in thousands except per share amounts)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83"/>
        </w:trPr>
        <w:tc>
          <w:tcPr>
            <w:tcW w:w="2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80" w:type="dxa"/>
            <w:vAlign w:val="bottom"/>
            <w:gridSpan w:val="3"/>
          </w:tcPr>
          <w:p>
            <w:pPr>
              <w:jc w:val="right"/>
              <w:ind w:right="76"/>
              <w:spacing w:after="0"/>
              <w:rPr>
                <w:sz w:val="20"/>
                <w:szCs w:val="20"/>
                <w:color w:val="auto"/>
              </w:rPr>
            </w:pPr>
            <w:r>
              <w:rPr>
                <w:rFonts w:ascii="Courier New" w:cs="Courier New" w:eastAsia="Courier New" w:hAnsi="Courier New"/>
                <w:sz w:val="17"/>
                <w:szCs w:val="17"/>
                <w:color w:val="auto"/>
                <w:w w:val="98"/>
              </w:rPr>
              <w:t>For the Six Months Ended</w:t>
            </w:r>
          </w:p>
        </w:tc>
        <w:tc>
          <w:tcPr>
            <w:tcW w:w="2760" w:type="dxa"/>
            <w:vAlign w:val="bottom"/>
            <w:gridSpan w:val="4"/>
          </w:tcPr>
          <w:p>
            <w:pPr>
              <w:ind w:left="140"/>
              <w:spacing w:after="0"/>
              <w:rPr>
                <w:sz w:val="20"/>
                <w:szCs w:val="20"/>
                <w:color w:val="auto"/>
              </w:rPr>
            </w:pPr>
            <w:r>
              <w:rPr>
                <w:rFonts w:ascii="Courier New" w:cs="Courier New" w:eastAsia="Courier New" w:hAnsi="Courier New"/>
                <w:sz w:val="17"/>
                <w:szCs w:val="17"/>
                <w:color w:val="auto"/>
                <w:w w:val="98"/>
              </w:rPr>
              <w:t>For the Three Months Ended</w:t>
            </w:r>
          </w:p>
        </w:tc>
      </w:tr>
      <w:tr>
        <w:trPr>
          <w:trHeight w:val="194"/>
        </w:trPr>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7"/>
                <w:szCs w:val="17"/>
                <w:color w:val="auto"/>
              </w:rPr>
              <w:t>April 2</w:t>
            </w:r>
          </w:p>
        </w:tc>
        <w:tc>
          <w:tcPr>
            <w:tcW w:w="24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April 1</w:t>
            </w:r>
          </w:p>
        </w:tc>
        <w:tc>
          <w:tcPr>
            <w:tcW w:w="24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April 2</w:t>
            </w:r>
          </w:p>
        </w:tc>
        <w:tc>
          <w:tcPr>
            <w:tcW w:w="260" w:type="dxa"/>
            <w:vAlign w:val="bottom"/>
          </w:tcPr>
          <w:p>
            <w:pPr>
              <w:spacing w:after="0"/>
              <w:rPr>
                <w:sz w:val="16"/>
                <w:szCs w:val="16"/>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April 1</w:t>
            </w:r>
          </w:p>
        </w:tc>
      </w:tr>
      <w:tr>
        <w:trPr>
          <w:trHeight w:val="194"/>
        </w:trPr>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1994</w:t>
            </w:r>
          </w:p>
        </w:tc>
        <w:tc>
          <w:tcPr>
            <w:tcW w:w="24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240" w:type="dxa"/>
            <w:vAlign w:val="bottom"/>
          </w:tcPr>
          <w:p>
            <w:pPr>
              <w:spacing w:after="0"/>
              <w:rPr>
                <w:sz w:val="16"/>
                <w:szCs w:val="16"/>
                <w:color w:val="auto"/>
              </w:rPr>
            </w:pPr>
          </w:p>
        </w:tc>
        <w:tc>
          <w:tcPr>
            <w:tcW w:w="11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1995</w:t>
            </w:r>
          </w:p>
        </w:tc>
      </w:tr>
      <w:tr>
        <w:trPr>
          <w:trHeight w:val="583"/>
        </w:trPr>
        <w:tc>
          <w:tcPr>
            <w:tcW w:w="3440" w:type="dxa"/>
            <w:vAlign w:val="bottom"/>
            <w:gridSpan w:val="2"/>
          </w:tcPr>
          <w:p>
            <w:pPr>
              <w:spacing w:after="0"/>
              <w:rPr>
                <w:sz w:val="20"/>
                <w:szCs w:val="20"/>
                <w:color w:val="auto"/>
              </w:rPr>
            </w:pPr>
            <w:r>
              <w:rPr>
                <w:rFonts w:ascii="Courier New" w:cs="Courier New" w:eastAsia="Courier New" w:hAnsi="Courier New"/>
                <w:sz w:val="17"/>
                <w:szCs w:val="17"/>
                <w:color w:val="auto"/>
              </w:rPr>
              <w:t>Net income for computing net</w:t>
            </w:r>
          </w:p>
        </w:tc>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34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income per common share:</w:t>
            </w: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9"/>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w w:val="71"/>
              </w:rPr>
              <w:t>Net income ..............................................</w:t>
            </w:r>
          </w:p>
        </w:tc>
        <w:tc>
          <w:tcPr>
            <w:tcW w:w="2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11,456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9,196</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13,013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13,793</w:t>
            </w:r>
          </w:p>
        </w:tc>
      </w:tr>
      <w:tr>
        <w:trPr>
          <w:trHeight w:val="194"/>
        </w:trPr>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3440" w:type="dxa"/>
            <w:vAlign w:val="bottom"/>
            <w:gridSpan w:val="2"/>
          </w:tcPr>
          <w:p>
            <w:pPr>
              <w:spacing w:after="0"/>
              <w:rPr>
                <w:sz w:val="20"/>
                <w:szCs w:val="20"/>
                <w:color w:val="auto"/>
              </w:rPr>
            </w:pPr>
            <w:r>
              <w:rPr>
                <w:rFonts w:ascii="Courier New" w:cs="Courier New" w:eastAsia="Courier New" w:hAnsi="Courier New"/>
                <w:sz w:val="17"/>
                <w:szCs w:val="17"/>
                <w:color w:val="auto"/>
              </w:rPr>
              <w:t>Net income per common share:</w:t>
            </w: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9"/>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w w:val="71"/>
              </w:rPr>
              <w:t>Net income per common share .............................</w:t>
            </w:r>
          </w:p>
        </w:tc>
        <w:tc>
          <w:tcPr>
            <w:tcW w:w="2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.49</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w:t>
            </w:r>
          </w:p>
        </w:tc>
      </w:tr>
      <w:tr>
        <w:trPr>
          <w:trHeight w:val="194"/>
        </w:trPr>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gridSpan w:val="3"/>
          </w:tcPr>
          <w:p>
            <w:pPr>
              <w:jc w:val="center"/>
              <w:ind w:left="1617"/>
              <w:spacing w:after="0"/>
              <w:rPr>
                <w:sz w:val="20"/>
                <w:szCs w:val="20"/>
                <w:color w:val="auto"/>
              </w:rPr>
            </w:pPr>
            <w:r>
              <w:rPr>
                <w:rFonts w:ascii="Courier New" w:cs="Courier New" w:eastAsia="Courier New" w:hAnsi="Courier New"/>
                <w:sz w:val="17"/>
                <w:szCs w:val="17"/>
                <w:color w:val="auto"/>
                <w:w w:val="99"/>
              </w:rPr>
              <w:t>Computation of Weighted Average Number</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6180" w:type="dxa"/>
            <w:vAlign w:val="bottom"/>
            <w:gridSpan w:val="3"/>
          </w:tcPr>
          <w:p>
            <w:pPr>
              <w:jc w:val="center"/>
              <w:ind w:left="1617"/>
              <w:spacing w:after="0"/>
              <w:rPr>
                <w:sz w:val="20"/>
                <w:szCs w:val="20"/>
                <w:color w:val="auto"/>
              </w:rPr>
            </w:pPr>
            <w:r>
              <w:rPr>
                <w:rFonts w:ascii="Courier New" w:cs="Courier New" w:eastAsia="Courier New" w:hAnsi="Courier New"/>
                <w:sz w:val="17"/>
                <w:szCs w:val="17"/>
                <w:color w:val="auto"/>
                <w:w w:val="99"/>
              </w:rPr>
              <w:t>of Common Shares Outstanding (Unaudited)</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83"/>
        </w:trPr>
        <w:tc>
          <w:tcPr>
            <w:tcW w:w="2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80" w:type="dxa"/>
            <w:vAlign w:val="bottom"/>
            <w:gridSpan w:val="3"/>
          </w:tcPr>
          <w:p>
            <w:pPr>
              <w:jc w:val="right"/>
              <w:ind w:right="76"/>
              <w:spacing w:after="0"/>
              <w:rPr>
                <w:sz w:val="20"/>
                <w:szCs w:val="20"/>
                <w:color w:val="auto"/>
              </w:rPr>
            </w:pPr>
            <w:r>
              <w:rPr>
                <w:rFonts w:ascii="Courier New" w:cs="Courier New" w:eastAsia="Courier New" w:hAnsi="Courier New"/>
                <w:sz w:val="17"/>
                <w:szCs w:val="17"/>
                <w:color w:val="auto"/>
                <w:w w:val="98"/>
              </w:rPr>
              <w:t>For the Six Months Ended</w:t>
            </w:r>
          </w:p>
        </w:tc>
        <w:tc>
          <w:tcPr>
            <w:tcW w:w="2760" w:type="dxa"/>
            <w:vAlign w:val="bottom"/>
            <w:gridSpan w:val="4"/>
          </w:tcPr>
          <w:p>
            <w:pPr>
              <w:ind w:left="140"/>
              <w:spacing w:after="0"/>
              <w:rPr>
                <w:sz w:val="20"/>
                <w:szCs w:val="20"/>
                <w:color w:val="auto"/>
              </w:rPr>
            </w:pPr>
            <w:r>
              <w:rPr>
                <w:rFonts w:ascii="Courier New" w:cs="Courier New" w:eastAsia="Courier New" w:hAnsi="Courier New"/>
                <w:sz w:val="17"/>
                <w:szCs w:val="17"/>
                <w:color w:val="auto"/>
                <w:w w:val="98"/>
              </w:rPr>
              <w:t>For the Three Months Ended</w:t>
            </w:r>
          </w:p>
        </w:tc>
      </w:tr>
      <w:tr>
        <w:trPr>
          <w:trHeight w:val="194"/>
        </w:trPr>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7"/>
                <w:szCs w:val="17"/>
                <w:color w:val="auto"/>
              </w:rPr>
              <w:t>April 2</w:t>
            </w:r>
          </w:p>
        </w:tc>
        <w:tc>
          <w:tcPr>
            <w:tcW w:w="240" w:type="dxa"/>
            <w:vAlign w:val="bottom"/>
          </w:tcPr>
          <w:p>
            <w:pPr>
              <w:spacing w:after="0"/>
              <w:rPr>
                <w:sz w:val="16"/>
                <w:szCs w:val="16"/>
                <w:color w:val="auto"/>
              </w:rPr>
            </w:pPr>
          </w:p>
        </w:tc>
        <w:tc>
          <w:tcPr>
            <w:tcW w:w="118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April 1</w:t>
            </w:r>
          </w:p>
        </w:tc>
        <w:tc>
          <w:tcPr>
            <w:tcW w:w="240" w:type="dxa"/>
            <w:vAlign w:val="bottom"/>
          </w:tcPr>
          <w:p>
            <w:pPr>
              <w:spacing w:after="0"/>
              <w:rPr>
                <w:sz w:val="16"/>
                <w:szCs w:val="16"/>
                <w:color w:val="auto"/>
              </w:rPr>
            </w:pPr>
          </w:p>
        </w:tc>
        <w:tc>
          <w:tcPr>
            <w:tcW w:w="11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April 2</w:t>
            </w:r>
          </w:p>
        </w:tc>
        <w:tc>
          <w:tcPr>
            <w:tcW w:w="26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April 1</w:t>
            </w:r>
          </w:p>
        </w:tc>
      </w:tr>
      <w:tr>
        <w:trPr>
          <w:trHeight w:val="194"/>
        </w:trPr>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1994</w:t>
            </w:r>
          </w:p>
        </w:tc>
        <w:tc>
          <w:tcPr>
            <w:tcW w:w="24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24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r>
      <w:tr>
        <w:trPr>
          <w:trHeight w:val="389"/>
        </w:trPr>
        <w:tc>
          <w:tcPr>
            <w:tcW w:w="3440" w:type="dxa"/>
            <w:vAlign w:val="bottom"/>
            <w:gridSpan w:val="2"/>
          </w:tcPr>
          <w:p>
            <w:pPr>
              <w:spacing w:after="0"/>
              <w:rPr>
                <w:sz w:val="20"/>
                <w:szCs w:val="20"/>
                <w:color w:val="auto"/>
              </w:rPr>
            </w:pPr>
            <w:r>
              <w:rPr>
                <w:rFonts w:ascii="Courier New" w:cs="Courier New" w:eastAsia="Courier New" w:hAnsi="Courier New"/>
                <w:sz w:val="17"/>
                <w:szCs w:val="17"/>
                <w:color w:val="auto"/>
              </w:rPr>
              <w:t>Weighted average common shares</w:t>
            </w:r>
          </w:p>
        </w:tc>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61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outstanding during the ...............................</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18,659,472</w:t>
            </w:r>
          </w:p>
        </w:tc>
        <w:tc>
          <w:tcPr>
            <w:tcW w:w="24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7"/>
              </w:rPr>
              <w:t>18,667,064</w:t>
            </w:r>
          </w:p>
        </w:tc>
        <w:tc>
          <w:tcPr>
            <w:tcW w:w="24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18,658,999</w:t>
            </w:r>
          </w:p>
        </w:tc>
        <w:tc>
          <w:tcPr>
            <w:tcW w:w="2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18,667,064</w:t>
            </w:r>
          </w:p>
        </w:tc>
      </w:tr>
      <w:tr>
        <w:trPr>
          <w:trHeight w:val="194"/>
        </w:trPr>
        <w:tc>
          <w:tcPr>
            <w:tcW w:w="2440" w:type="dxa"/>
            <w:vAlign w:val="bottom"/>
          </w:tcPr>
          <w:p>
            <w:pPr>
              <w:ind w:left="300"/>
              <w:spacing w:after="0"/>
              <w:rPr>
                <w:sz w:val="20"/>
                <w:szCs w:val="20"/>
                <w:color w:val="auto"/>
              </w:rPr>
            </w:pPr>
            <w:r>
              <w:rPr>
                <w:rFonts w:ascii="Courier New" w:cs="Courier New" w:eastAsia="Courier New" w:hAnsi="Courier New"/>
                <w:sz w:val="17"/>
                <w:szCs w:val="17"/>
                <w:color w:val="auto"/>
              </w:rPr>
              <w:t>period</w:t>
            </w: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9"/>
        </w:trPr>
        <w:tc>
          <w:tcPr>
            <w:tcW w:w="3440" w:type="dxa"/>
            <w:vAlign w:val="bottom"/>
            <w:gridSpan w:val="2"/>
          </w:tcPr>
          <w:p>
            <w:pPr>
              <w:spacing w:after="0"/>
              <w:rPr>
                <w:sz w:val="20"/>
                <w:szCs w:val="20"/>
                <w:color w:val="auto"/>
              </w:rPr>
            </w:pPr>
            <w:r>
              <w:rPr>
                <w:rFonts w:ascii="Courier New" w:cs="Courier New" w:eastAsia="Courier New" w:hAnsi="Courier New"/>
                <w:sz w:val="17"/>
                <w:szCs w:val="17"/>
                <w:color w:val="auto"/>
              </w:rPr>
              <w:t>Effect of options outstanding</w:t>
            </w:r>
          </w:p>
        </w:tc>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34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based upon the Treasury</w:t>
            </w: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2440" w:type="dxa"/>
            <w:vAlign w:val="bottom"/>
          </w:tcPr>
          <w:p>
            <w:pPr>
              <w:ind w:left="400"/>
              <w:spacing w:after="0"/>
              <w:rPr>
                <w:sz w:val="20"/>
                <w:szCs w:val="20"/>
                <w:color w:val="auto"/>
              </w:rPr>
            </w:pPr>
            <w:r>
              <w:rPr>
                <w:rFonts w:ascii="Courier New" w:cs="Courier New" w:eastAsia="Courier New" w:hAnsi="Courier New"/>
                <w:sz w:val="17"/>
                <w:szCs w:val="17"/>
                <w:color w:val="auto"/>
              </w:rPr>
              <w:t>Stock Method:</w:t>
            </w: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9"/>
        </w:trPr>
        <w:tc>
          <w:tcPr>
            <w:tcW w:w="3440" w:type="dxa"/>
            <w:vAlign w:val="bottom"/>
            <w:gridSpan w:val="2"/>
          </w:tcPr>
          <w:p>
            <w:pPr>
              <w:ind w:left="400"/>
              <w:spacing w:after="0"/>
              <w:rPr>
                <w:sz w:val="20"/>
                <w:szCs w:val="20"/>
                <w:color w:val="auto"/>
              </w:rPr>
            </w:pPr>
            <w:r>
              <w:rPr>
                <w:rFonts w:ascii="Courier New" w:cs="Courier New" w:eastAsia="Courier New" w:hAnsi="Courier New"/>
                <w:sz w:val="13"/>
                <w:szCs w:val="13"/>
                <w:color w:val="auto"/>
                <w:w w:val="73"/>
              </w:rPr>
              <w:t>Performance shares ..................................</w:t>
            </w:r>
          </w:p>
        </w:tc>
        <w:tc>
          <w:tcPr>
            <w:tcW w:w="2740" w:type="dxa"/>
            <w:vAlign w:val="bottom"/>
          </w:tcPr>
          <w:p>
            <w:pPr>
              <w:spacing w:after="0"/>
              <w:rPr>
                <w:sz w:val="24"/>
                <w:szCs w:val="24"/>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102,484</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84,961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9"/>
        </w:trPr>
        <w:tc>
          <w:tcPr>
            <w:tcW w:w="61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January 1992 - 136,364 at $9.90 .....................</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73,326</w:t>
            </w:r>
          </w:p>
        </w:tc>
        <w:tc>
          <w:tcPr>
            <w:tcW w:w="240" w:type="dxa"/>
            <w:vAlign w:val="bottom"/>
          </w:tcPr>
          <w:p>
            <w:pPr>
              <w:spacing w:after="0"/>
              <w:rPr>
                <w:sz w:val="24"/>
                <w:szCs w:val="24"/>
                <w:color w:val="auto"/>
              </w:rPr>
            </w:pPr>
          </w:p>
        </w:tc>
        <w:tc>
          <w:tcPr>
            <w:tcW w:w="11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68,495</w:t>
            </w:r>
          </w:p>
        </w:tc>
        <w:tc>
          <w:tcPr>
            <w:tcW w:w="240" w:type="dxa"/>
            <w:vAlign w:val="bottom"/>
          </w:tcPr>
          <w:p>
            <w:pPr>
              <w:spacing w:after="0"/>
              <w:rPr>
                <w:sz w:val="24"/>
                <w:szCs w:val="24"/>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71,598</w:t>
            </w:r>
          </w:p>
        </w:tc>
        <w:tc>
          <w:tcPr>
            <w:tcW w:w="26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64,097</w:t>
            </w:r>
          </w:p>
        </w:tc>
      </w:tr>
      <w:tr>
        <w:trPr>
          <w:trHeight w:val="194"/>
        </w:trPr>
        <w:tc>
          <w:tcPr>
            <w:tcW w:w="61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June 1992 - 15,000 at $16.25 ........................</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2,245</w:t>
            </w:r>
          </w:p>
        </w:tc>
        <w:tc>
          <w:tcPr>
            <w:tcW w:w="240" w:type="dxa"/>
            <w:vAlign w:val="bottom"/>
          </w:tcPr>
          <w:p>
            <w:pPr>
              <w:spacing w:after="0"/>
              <w:rPr>
                <w:sz w:val="16"/>
                <w:szCs w:val="16"/>
                <w:color w:val="auto"/>
              </w:rPr>
            </w:pPr>
          </w:p>
        </w:tc>
        <w:tc>
          <w:tcPr>
            <w:tcW w:w="118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1,896</w:t>
            </w:r>
          </w:p>
        </w:tc>
        <w:tc>
          <w:tcPr>
            <w:tcW w:w="26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November 1992 - 522,175 at $16.25 ...................</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21,540</w:t>
            </w:r>
          </w:p>
        </w:tc>
        <w:tc>
          <w:tcPr>
            <w:tcW w:w="24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44,127</w:t>
            </w:r>
          </w:p>
        </w:tc>
        <w:tc>
          <w:tcPr>
            <w:tcW w:w="24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18,184</w:t>
            </w:r>
          </w:p>
        </w:tc>
        <w:tc>
          <w:tcPr>
            <w:tcW w:w="2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13,156</w:t>
            </w:r>
          </w:p>
        </w:tc>
      </w:tr>
      <w:tr>
        <w:trPr>
          <w:trHeight w:val="194"/>
        </w:trPr>
        <w:tc>
          <w:tcPr>
            <w:tcW w:w="61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December 1992 - 300,000 at $18.00 ...................</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17,425</w:t>
            </w:r>
          </w:p>
        </w:tc>
        <w:tc>
          <w:tcPr>
            <w:tcW w:w="240" w:type="dxa"/>
            <w:vAlign w:val="bottom"/>
          </w:tcPr>
          <w:p>
            <w:pPr>
              <w:spacing w:after="0"/>
              <w:rPr>
                <w:sz w:val="16"/>
                <w:szCs w:val="16"/>
                <w:color w:val="auto"/>
              </w:rPr>
            </w:pPr>
          </w:p>
        </w:tc>
        <w:tc>
          <w:tcPr>
            <w:tcW w:w="118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9,678</w:t>
            </w:r>
          </w:p>
        </w:tc>
        <w:tc>
          <w:tcPr>
            <w:tcW w:w="26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34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March 1993 - 24,000 at $18.25</w:t>
            </w:r>
          </w:p>
        </w:tc>
        <w:tc>
          <w:tcPr>
            <w:tcW w:w="2740" w:type="dxa"/>
            <w:vAlign w:val="bottom"/>
          </w:tcPr>
          <w:p>
            <w:pPr>
              <w:jc w:val="right"/>
              <w:ind w:right="336"/>
              <w:spacing w:after="0"/>
              <w:rPr>
                <w:sz w:val="20"/>
                <w:szCs w:val="20"/>
                <w:color w:val="auto"/>
              </w:rPr>
            </w:pPr>
            <w:r>
              <w:rPr>
                <w:rFonts w:ascii="Courier New" w:cs="Courier New" w:eastAsia="Courier New" w:hAnsi="Courier New"/>
                <w:sz w:val="17"/>
                <w:szCs w:val="17"/>
                <w:color w:val="auto"/>
                <w:w w:val="98"/>
              </w:rPr>
              <w:t>.......................</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1,080</w:t>
            </w:r>
          </w:p>
        </w:tc>
        <w:tc>
          <w:tcPr>
            <w:tcW w:w="240" w:type="dxa"/>
            <w:vAlign w:val="bottom"/>
          </w:tcPr>
          <w:p>
            <w:pPr>
              <w:spacing w:after="0"/>
              <w:rPr>
                <w:sz w:val="16"/>
                <w:szCs w:val="16"/>
                <w:color w:val="auto"/>
              </w:rPr>
            </w:pPr>
          </w:p>
        </w:tc>
        <w:tc>
          <w:tcPr>
            <w:tcW w:w="118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452</w:t>
            </w:r>
          </w:p>
        </w:tc>
        <w:tc>
          <w:tcPr>
            <w:tcW w:w="26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October 1993 - 247,170 at $17.25 ....................</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12,649</w:t>
            </w:r>
          </w:p>
        </w:tc>
        <w:tc>
          <w:tcPr>
            <w:tcW w:w="24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6,963</w:t>
            </w:r>
          </w:p>
        </w:tc>
        <w:tc>
          <w:tcPr>
            <w:tcW w:w="24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9,432</w:t>
            </w:r>
          </w:p>
        </w:tc>
        <w:tc>
          <w:tcPr>
            <w:tcW w:w="26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October 1994 - 254,420 at 18.25 .....................</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32,250</w:t>
            </w:r>
          </w:p>
        </w:tc>
        <w:tc>
          <w:tcPr>
            <w:tcW w:w="240" w:type="dxa"/>
            <w:vAlign w:val="bottom"/>
          </w:tcPr>
          <w:p>
            <w:pPr>
              <w:spacing w:after="0"/>
              <w:rPr>
                <w:sz w:val="16"/>
                <w:szCs w:val="16"/>
                <w:color w:val="auto"/>
              </w:rPr>
            </w:pPr>
          </w:p>
        </w:tc>
        <w:tc>
          <w:tcPr>
            <w:tcW w:w="11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17,857</w:t>
            </w:r>
          </w:p>
        </w:tc>
      </w:tr>
      <w:tr>
        <w:trPr>
          <w:trHeight w:val="194"/>
        </w:trPr>
        <w:tc>
          <w:tcPr>
            <w:tcW w:w="61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January 1995 - 18,000 at $16.50 .....................</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1,268</w:t>
            </w:r>
          </w:p>
        </w:tc>
        <w:tc>
          <w:tcPr>
            <w:tcW w:w="240" w:type="dxa"/>
            <w:vAlign w:val="bottom"/>
          </w:tcPr>
          <w:p>
            <w:pPr>
              <w:spacing w:after="0"/>
              <w:rPr>
                <w:sz w:val="16"/>
                <w:szCs w:val="16"/>
                <w:color w:val="auto"/>
              </w:rPr>
            </w:pPr>
          </w:p>
        </w:tc>
        <w:tc>
          <w:tcPr>
            <w:tcW w:w="11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w:t>
            </w:r>
          </w:p>
        </w:tc>
      </w:tr>
      <w:tr>
        <w:trPr>
          <w:trHeight w:val="194"/>
        </w:trPr>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3440" w:type="dxa"/>
            <w:vAlign w:val="bottom"/>
            <w:gridSpan w:val="2"/>
          </w:tcPr>
          <w:p>
            <w:pPr>
              <w:spacing w:after="0"/>
              <w:rPr>
                <w:sz w:val="20"/>
                <w:szCs w:val="20"/>
                <w:color w:val="auto"/>
              </w:rPr>
            </w:pPr>
            <w:r>
              <w:rPr>
                <w:rFonts w:ascii="Courier New" w:cs="Courier New" w:eastAsia="Courier New" w:hAnsi="Courier New"/>
                <w:sz w:val="17"/>
                <w:szCs w:val="17"/>
                <w:color w:val="auto"/>
              </w:rPr>
              <w:t>Weighted average common shares</w:t>
            </w:r>
          </w:p>
        </w:tc>
        <w:tc>
          <w:tcPr>
            <w:tcW w:w="2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34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outstanding during the</w:t>
            </w: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2440" w:type="dxa"/>
            <w:vAlign w:val="bottom"/>
          </w:tcPr>
          <w:p>
            <w:pPr>
              <w:ind w:left="300"/>
              <w:spacing w:after="0"/>
              <w:rPr>
                <w:sz w:val="20"/>
                <w:szCs w:val="20"/>
                <w:color w:val="auto"/>
              </w:rPr>
            </w:pPr>
            <w:r>
              <w:rPr>
                <w:rFonts w:ascii="Courier New" w:cs="Courier New" w:eastAsia="Courier New" w:hAnsi="Courier New"/>
                <w:sz w:val="17"/>
                <w:szCs w:val="17"/>
                <w:color w:val="auto"/>
              </w:rPr>
              <w:t>period for computing</w:t>
            </w: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618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net income per common share ..........................</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18,890,221</w:t>
            </w:r>
          </w:p>
        </w:tc>
        <w:tc>
          <w:tcPr>
            <w:tcW w:w="24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7"/>
              </w:rPr>
              <w:t>18,820,167</w:t>
            </w:r>
          </w:p>
        </w:tc>
        <w:tc>
          <w:tcPr>
            <w:tcW w:w="24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7"/>
              </w:rPr>
              <w:t>18,855,200</w:t>
            </w:r>
          </w:p>
        </w:tc>
        <w:tc>
          <w:tcPr>
            <w:tcW w:w="2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18,762,358</w:t>
            </w:r>
          </w:p>
        </w:tc>
      </w:tr>
      <w:tr>
        <w:trPr>
          <w:trHeight w:val="194"/>
        </w:trPr>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2440" w:type="dxa"/>
            <w:vAlign w:val="bottom"/>
          </w:tcPr>
          <w:p>
            <w:pPr>
              <w:spacing w:after="0"/>
              <w:rPr>
                <w:sz w:val="20"/>
                <w:szCs w:val="20"/>
                <w:color w:val="auto"/>
              </w:rPr>
            </w:pPr>
            <w:r>
              <w:rPr>
                <w:rFonts w:ascii="Courier New" w:cs="Courier New" w:eastAsia="Courier New" w:hAnsi="Courier New"/>
                <w:sz w:val="17"/>
                <w:szCs w:val="17"/>
                <w:color w:val="auto"/>
                <w:w w:val="98"/>
              </w:rPr>
              <w:t>Fully  diluted  weighted</w:t>
            </w:r>
          </w:p>
        </w:tc>
        <w:tc>
          <w:tcPr>
            <w:tcW w:w="1000" w:type="dxa"/>
            <w:vAlign w:val="bottom"/>
          </w:tcPr>
          <w:p>
            <w:pPr>
              <w:ind w:left="200"/>
              <w:spacing w:after="0"/>
              <w:rPr>
                <w:sz w:val="20"/>
                <w:szCs w:val="20"/>
                <w:color w:val="auto"/>
              </w:rPr>
            </w:pPr>
            <w:r>
              <w:rPr>
                <w:rFonts w:ascii="Courier New" w:cs="Courier New" w:eastAsia="Courier New" w:hAnsi="Courier New"/>
                <w:sz w:val="17"/>
                <w:szCs w:val="17"/>
                <w:color w:val="auto"/>
              </w:rPr>
              <w:t>average</w:t>
            </w:r>
          </w:p>
        </w:tc>
        <w:tc>
          <w:tcPr>
            <w:tcW w:w="2740" w:type="dxa"/>
            <w:vAlign w:val="bottom"/>
          </w:tcPr>
          <w:p>
            <w:pPr>
              <w:jc w:val="right"/>
              <w:spacing w:after="0"/>
              <w:rPr>
                <w:sz w:val="20"/>
                <w:szCs w:val="20"/>
                <w:color w:val="auto"/>
              </w:rPr>
            </w:pPr>
            <w:r>
              <w:rPr>
                <w:rFonts w:ascii="Courier New" w:cs="Courier New" w:eastAsia="Courier New" w:hAnsi="Courier New"/>
                <w:sz w:val="17"/>
                <w:szCs w:val="17"/>
                <w:color w:val="auto"/>
              </w:rPr>
              <w:t>shares   outstanding  were</w:t>
            </w:r>
          </w:p>
        </w:tc>
        <w:tc>
          <w:tcPr>
            <w:tcW w:w="2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not  materially</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different than primary</w:t>
            </w: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weighted</w:t>
            </w:r>
          </w:p>
        </w:tc>
        <w:tc>
          <w:tcPr>
            <w:tcW w:w="2740" w:type="dxa"/>
            <w:vAlign w:val="bottom"/>
          </w:tcPr>
          <w:p>
            <w:pPr>
              <w:jc w:val="right"/>
              <w:spacing w:after="0"/>
              <w:rPr>
                <w:sz w:val="20"/>
                <w:szCs w:val="20"/>
                <w:color w:val="auto"/>
              </w:rPr>
            </w:pPr>
            <w:r>
              <w:rPr>
                <w:rFonts w:ascii="Courier New" w:cs="Courier New" w:eastAsia="Courier New" w:hAnsi="Courier New"/>
                <w:sz w:val="17"/>
                <w:szCs w:val="17"/>
                <w:color w:val="auto"/>
                <w:w w:val="98"/>
              </w:rPr>
              <w:t>average shares  outstanding</w:t>
            </w:r>
          </w:p>
        </w:tc>
        <w:tc>
          <w:tcPr>
            <w:tcW w:w="2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for the periods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2440" w:type="dxa"/>
            <w:vAlign w:val="bottom"/>
          </w:tcPr>
          <w:p>
            <w:pPr>
              <w:spacing w:after="0"/>
              <w:rPr>
                <w:sz w:val="20"/>
                <w:szCs w:val="20"/>
                <w:color w:val="auto"/>
              </w:rPr>
            </w:pPr>
            <w:r>
              <w:rPr>
                <w:rFonts w:ascii="Courier New" w:cs="Courier New" w:eastAsia="Courier New" w:hAnsi="Courier New"/>
                <w:sz w:val="17"/>
                <w:szCs w:val="17"/>
                <w:color w:val="auto"/>
              </w:rPr>
              <w:t>presented.</w:t>
            </w: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9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Page 16</w:t>
      </w:r>
    </w:p>
    <w:p>
      <w:pPr>
        <w:sectPr>
          <w:pgSz w:w="11900" w:h="16838" w:orient="portrait"/>
          <w:cols w:equalWidth="0" w:num="1">
            <w:col w:w="11520"/>
          </w:cols>
          <w:pgMar w:left="240" w:top="334" w:right="139" w:bottom="1440" w:gutter="0" w:footer="0" w:header="0"/>
        </w:sectPr>
      </w:pPr>
    </w:p>
    <w:bookmarkStart w:id="16" w:name="page17"/>
    <w:bookmarkEnd w:id="16"/>
    <w:p>
      <w:pPr>
        <w:ind w:left="80"/>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jc w:val="both"/>
        <w:ind w:right="2299" w:firstLine="506"/>
        <w:spacing w:after="0" w:line="241"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balance sheet at April 1, 1995 and statement of income for the six months ended April 1, 1995 of The Scotts Company and its subsidiaries and is qualified in its entirety by reference to such financial statements.</w:t>
      </w:r>
    </w:p>
    <w:p>
      <w:pPr>
        <w:spacing w:after="0" w:line="197"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U.S. DOLLARS</w:t>
      </w:r>
    </w:p>
    <w:p>
      <w:pPr>
        <w:spacing w:after="0" w:line="39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6-MOS</w:t>
      </w:r>
    </w:p>
    <w:p>
      <w:pPr>
        <w:spacing w:after="0" w:line="2"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SEP-30-1995</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OCT-01-1994</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APR-01-1995</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6,619</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255,904</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3,395</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143,574</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421,303</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218,905</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75,114</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704,602</w:t>
      </w:r>
    </w:p>
    <w:p>
      <w:pPr>
        <w:spacing w:after="0" w:line="2"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164,273</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211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180,648</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704,602</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334,111</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335,106</w:t>
      </w:r>
    </w:p>
    <w:p>
      <w:pPr>
        <w:spacing w:after="0" w:line="2"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177,410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302,031</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3,548</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13,808</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15,719</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6,523</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9,196</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9,196</w:t>
      </w:r>
    </w:p>
    <w:p>
      <w:pPr>
        <w:spacing w:after="0" w:line="2"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.49</w:t>
      </w:r>
    </w:p>
    <w:p>
      <w:pPr>
        <w:spacing w:after="0" w:line="2"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.49</w:t>
      </w:r>
    </w:p>
    <w:sectPr>
      <w:pgSz w:w="11900" w:h="16838" w:orient="portrait"/>
      <w:cols w:equalWidth="0" w:num="1">
        <w:col w:w="10199"/>
      </w:cols>
      <w:pgMar w:left="260" w:top="5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2019-12-12T06:48:35Z</dcterms:created>
  <dcterms:modified xsi:type="dcterms:W3CDTF">2019-12-12T06:48:35Z</dcterms:modified>
</cp:coreProperties>
</file>