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120" w:after="283"/>
        <w:ind w:left="0" w:right="0" w:firstLine="495"/>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December 27, 2025 </w:t>
      </w:r>
    </w:p>
    <w:p>
      <w:pPr>
        <w:pStyle w:val="TextBody"/>
        <w:bidi w:val="0"/>
        <w:spacing w:lineRule="auto" w:line="288" w:before="120" w:after="283"/>
        <w:ind w:left="0" w:right="0" w:firstLine="495"/>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34"/>
        <w:gridCol w:w="3234"/>
        <w:gridCol w:w="3240"/>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pPr>
      <w:r>
        <w:rPr>
          <w:rFonts w:ascii="Times New Roman;serif" w:hAnsi="Times New Roman;serif"/>
          <w:b/>
          <w:color w:val="000000"/>
          <w:sz w:val="20"/>
        </w:rPr>
        <w:t xml:space="preserve">Commission File Number: </w:t>
      </w:r>
      <w:r>
        <w:rPr>
          <w:rFonts w:ascii="Times New Roman;serif" w:hAnsi="Times New Roman;serif"/>
          <w:b w:val="false"/>
          <w:color w:val="000000"/>
          <w:sz w:val="20"/>
        </w:rPr>
        <w:t>001-11593</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lineRule="auto" w:line="288" w:before="100" w:after="283"/>
        <w:jc w:val="center"/>
        <w:rPr>
          <w:rFonts w:ascii="Times New Roman;serif" w:hAnsi="Times New Roman;serif"/>
          <w:b/>
          <w:color w:val="000000"/>
          <w:sz w:val="44"/>
        </w:rPr>
      </w:pPr>
      <w:r>
        <w:rPr>
          <w:rFonts w:ascii="Times New Roman;serif" w:hAnsi="Times New Roman;serif"/>
          <w:b/>
          <w:color w:val="000000"/>
          <w:sz w:val="44"/>
        </w:rPr>
        <w:t>The Scotts Miracle-Gro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w:t>
      </w:r>
    </w:p>
    <w:tbl>
      <w:tblPr>
        <w:tblW w:w="4179" w:type="dxa"/>
        <w:jc w:val="center"/>
        <w:tblInd w:w="0" w:type="dxa"/>
        <w:tblLayout w:type="fixed"/>
        <w:tblCellMar>
          <w:top w:w="28" w:type="dxa"/>
          <w:left w:w="28" w:type="dxa"/>
          <w:bottom w:w="28" w:type="dxa"/>
          <w:right w:w="28" w:type="dxa"/>
        </w:tblCellMar>
      </w:tblPr>
      <w:tblGrid>
        <w:gridCol w:w="437"/>
        <w:gridCol w:w="385"/>
        <w:gridCol w:w="385"/>
        <w:gridCol w:w="385"/>
        <w:gridCol w:w="385"/>
        <w:gridCol w:w="391"/>
        <w:gridCol w:w="109"/>
        <w:gridCol w:w="109"/>
        <w:gridCol w:w="109"/>
        <w:gridCol w:w="433"/>
        <w:gridCol w:w="433"/>
        <w:gridCol w:w="618"/>
      </w:tblGrid>
      <w:tr>
        <w:trPr/>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31-1414921</w:t>
            </w:r>
          </w:p>
        </w:tc>
      </w:tr>
      <w:tr>
        <w:trPr/>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14111 Scottslawn Road, Marysville, Ohio 43041 </w:t>
      </w:r>
    </w:p>
    <w:p>
      <w:pPr>
        <w:pStyle w:val="TextBody"/>
        <w:bidi w:val="0"/>
        <w:spacing w:lineRule="auto" w:line="288" w:before="0" w:after="0"/>
        <w:jc w:val="center"/>
        <w:rPr/>
      </w:pPr>
      <w:r>
        <w:rPr>
          <w:rFonts w:ascii="Times New Roman;serif" w:hAnsi="Times New Roman;serif"/>
          <w:b/>
          <w:color w:val="000000"/>
          <w:sz w:val="16"/>
        </w:rPr>
        <w:t>(Address of principal executive offices)</w:t>
      </w:r>
      <w:r>
        <w:rPr>
          <w:color w:val="000000"/>
        </w:rPr>
        <w:t xml:space="preserve"> </w:t>
      </w:r>
      <w:r>
        <w:rPr>
          <w:rFonts w:ascii="Times New Roman;serif" w:hAnsi="Times New Roman;serif"/>
          <w:b/>
          <w:color w:val="000000"/>
          <w:sz w:val="16"/>
        </w:rPr>
        <w:t>(Zip Code)</w:t>
      </w:r>
    </w:p>
    <w:p>
      <w:pPr>
        <w:pStyle w:val="TextBody"/>
        <w:bidi w:val="0"/>
        <w:spacing w:lineRule="auto" w:line="288" w:before="120" w:after="283"/>
        <w:jc w:val="center"/>
        <w:rPr/>
      </w:pPr>
      <w:r>
        <w:rPr>
          <w:rFonts w:ascii="Times New Roman;serif" w:hAnsi="Times New Roman;serif"/>
          <w:b w:val="false"/>
          <w:color w:val="000000"/>
          <w:sz w:val="20"/>
        </w:rPr>
        <w:t>(937</w:t>
      </w:r>
      <w:r>
        <w:rPr>
          <w:rFonts w:ascii="Times New Roman;serif" w:hAnsi="Times New Roman;serif"/>
          <w:b/>
          <w:color w:val="000000"/>
          <w:sz w:val="19"/>
        </w:rPr>
        <w:t xml:space="preserve">) </w:t>
      </w:r>
      <w:r>
        <w:rPr>
          <w:rFonts w:ascii="Times New Roman;serif" w:hAnsi="Times New Roman;serif"/>
          <w:b w:val="false"/>
          <w:color w:val="000000"/>
          <w:sz w:val="20"/>
        </w:rPr>
        <w:t>644-0011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Securities registered pursuant to Section 12(b) of the Act:</w:t>
      </w:r>
    </w:p>
    <w:tbl>
      <w:tblPr>
        <w:tblW w:w="8391" w:type="dxa"/>
        <w:jc w:val="center"/>
        <w:tblInd w:w="0" w:type="dxa"/>
        <w:tblLayout w:type="fixed"/>
        <w:tblCellMar>
          <w:top w:w="28" w:type="dxa"/>
          <w:left w:w="28" w:type="dxa"/>
          <w:bottom w:w="28" w:type="dxa"/>
          <w:right w:w="28" w:type="dxa"/>
        </w:tblCellMar>
      </w:tblPr>
      <w:tblGrid>
        <w:gridCol w:w="1086"/>
        <w:gridCol w:w="957"/>
        <w:gridCol w:w="971"/>
        <w:gridCol w:w="109"/>
        <w:gridCol w:w="109"/>
        <w:gridCol w:w="109"/>
        <w:gridCol w:w="484"/>
        <w:gridCol w:w="484"/>
        <w:gridCol w:w="486"/>
        <w:gridCol w:w="109"/>
        <w:gridCol w:w="109"/>
        <w:gridCol w:w="109"/>
        <w:gridCol w:w="956"/>
        <w:gridCol w:w="956"/>
        <w:gridCol w:w="1357"/>
      </w:tblGrid>
      <w:tr>
        <w:trPr/>
        <w:tc>
          <w:tcPr>
            <w:tcW w:w="108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Shares, $0.01 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NYSE</w:t>
            </w:r>
          </w:p>
        </w:tc>
      </w:tr>
    </w:tbl>
    <w:p>
      <w:pPr>
        <w:pStyle w:val="TextBody"/>
        <w:bidi w:val="0"/>
        <w:spacing w:lineRule="auto" w:line="288" w:before="100" w:after="283"/>
        <w:jc w:val="both"/>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olor w:val="000000"/>
          <w:sz w:val="20"/>
        </w:rPr>
        <w:t>Yes</w:t>
      </w:r>
      <w:r>
        <w:rPr>
          <w:color w:val="000000"/>
        </w:rPr>
        <w:t>  ☒    </w:t>
      </w:r>
      <w:r>
        <w:rPr>
          <w:rFonts w:ascii="Times New Roman;serif" w:hAnsi="Times New Roman;serif"/>
          <w:b w:val="false"/>
          <w:color w:val="000000"/>
          <w:sz w:val="19"/>
        </w:rPr>
        <w:t>No  </w:t>
      </w:r>
      <w:r>
        <w:rPr>
          <w:color w:val="000000"/>
        </w:rPr>
        <w:t>☐ </w:t>
      </w:r>
    </w:p>
    <w:p>
      <w:pPr>
        <w:pStyle w:val="TextBody"/>
        <w:bidi w:val="0"/>
        <w:spacing w:lineRule="auto" w:line="288" w:before="100" w:after="283"/>
        <w:jc w:val="both"/>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olor w:val="000000"/>
          <w:sz w:val="20"/>
        </w:rPr>
        <w:t>Yes</w:t>
      </w:r>
      <w:r>
        <w:rPr>
          <w:color w:val="000000"/>
        </w:rPr>
        <w:t>  ☒    </w:t>
      </w:r>
      <w:r>
        <w:rPr>
          <w:rFonts w:ascii="Times New Roman;serif" w:hAnsi="Times New Roman;serif"/>
          <w:b w:val="false"/>
          <w:color w:val="000000"/>
          <w:sz w:val="19"/>
        </w:rPr>
        <w:t>No  </w:t>
      </w:r>
      <w:r>
        <w:rPr>
          <w:color w:val="000000"/>
        </w:rPr>
        <w:t>☐ </w:t>
      </w:r>
    </w:p>
    <w:p>
      <w:pPr>
        <w:pStyle w:val="TextBody"/>
        <w:bidi w:val="0"/>
        <w:spacing w:lineRule="auto" w:line="288" w:before="100" w:after="283"/>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16"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shell company (as defined in Rule 12b-2 of the Exchange Act).  </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both"/>
        <w:rPr>
          <w:rFonts w:ascii="Times New Roman;serif" w:hAnsi="Times New Roman;serif"/>
          <w:b w:val="false"/>
          <w:color w:val="000000"/>
          <w:sz w:val="19"/>
        </w:rPr>
      </w:pPr>
      <w:r>
        <w:rPr>
          <w:rFonts w:ascii="Times New Roman;serif" w:hAnsi="Times New Roman;serif"/>
          <w:b w:val="false"/>
          <w:color w:val="000000"/>
          <w:sz w:val="19"/>
        </w:rPr>
        <w:t>As of January 30, 2026, there were 58,039,753 Common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03a61f52c714595bfada157e1a45500_7">
        <w:r>
          <w:rPr>
            <w:rStyle w:val="InternetLink"/>
            <w:rFonts w:ascii="Times New Roman;serif" w:hAnsi="Times New Roman;serif"/>
            <w:b w:val="false"/>
            <w:color w:val="FFFF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44"/>
        <w:gridCol w:w="476"/>
        <w:gridCol w:w="391"/>
        <w:gridCol w:w="2690"/>
        <w:gridCol w:w="2478"/>
        <w:gridCol w:w="2413"/>
        <w:gridCol w:w="386"/>
        <w:gridCol w:w="386"/>
        <w:gridCol w:w="441"/>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br/>
              <w:t>INDEX</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 NO.</w:t>
            </w:r>
          </w:p>
        </w:tc>
      </w:tr>
      <w:tr>
        <w:trPr/>
        <w:tc>
          <w:tcPr>
            <w:tcW w:w="89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0">
              <w:r>
                <w:rPr>
                  <w:rStyle w:val="InternetLink"/>
                  <w:rFonts w:ascii="Times New Roman;serif" w:hAnsi="Times New Roman;serif"/>
                  <w:b w:val="false"/>
                  <w:strike w:val="false"/>
                  <w:dstrike w:val="false"/>
                  <w:color w:val="0000FF"/>
                  <w:sz w:val="20"/>
                  <w:u w:val="none"/>
                  <w:effect w:val="none"/>
                </w:rPr>
                <w:t>PART I. FINANCIAL INFORMATION:</w:t>
              </w:r>
            </w:hyperlink>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3">
              <w:r>
                <w:rPr>
                  <w:rStyle w:val="InternetLink"/>
                  <w:rFonts w:ascii="Times New Roman;serif" w:hAnsi="Times New Roman;serif"/>
                  <w:b w:val="false"/>
                  <w:strike w:val="false"/>
                  <w:dstrike w:val="false"/>
                  <w:color w:val="0000FF"/>
                  <w:sz w:val="20"/>
                  <w:u w:val="none"/>
                  <w:effect w:val="none"/>
                </w:rPr>
                <w:t>Item 1.</w:t>
              </w:r>
            </w:hyperlink>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3">
              <w:r>
                <w:rPr>
                  <w:rStyle w:val="InternetLink"/>
                  <w:rFonts w:ascii="Times New Roman;serif" w:hAnsi="Times New Roman;serif"/>
                  <w:b w:val="false"/>
                  <w:color w:val="0000FF"/>
                  <w:sz w:val="20"/>
                  <w:u w:val="single"/>
                </w:rPr>
                <w:t>Financial Statements (Unaudited)</w:t>
              </w:r>
            </w:hyperlink>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6">
              <w:r>
                <w:rPr>
                  <w:rStyle w:val="InternetLink"/>
                  <w:rFonts w:ascii="Times New Roman;serif" w:hAnsi="Times New Roman;serif"/>
                  <w:b w:val="false"/>
                  <w:color w:val="000080"/>
                  <w:sz w:val="20"/>
                  <w:u w:val="single"/>
                </w:rPr>
                <w:t>Condensed Consolidated Statements of Operations — Three months ended December 2</w:t>
              </w:r>
            </w:hyperlink>
            <w:hyperlink w:anchor="i403a61f52c714595bfada157e1a45500_16">
              <w:r>
                <w:rPr>
                  <w:rStyle w:val="InternetLink"/>
                  <w:rFonts w:ascii="Times New Roman;serif" w:hAnsi="Times New Roman;serif"/>
                  <w:b w:val="false"/>
                  <w:color w:val="000080"/>
                  <w:sz w:val="20"/>
                  <w:u w:val="single"/>
                </w:rPr>
                <w:t>7</w:t>
              </w:r>
            </w:hyperlink>
            <w:hyperlink w:anchor="i403a61f52c714595bfada157e1a45500_16">
              <w:r>
                <w:rPr>
                  <w:rStyle w:val="InternetLink"/>
                  <w:rFonts w:ascii="Times New Roman;serif" w:hAnsi="Times New Roman;serif"/>
                  <w:b w:val="false"/>
                  <w:color w:val="000080"/>
                  <w:sz w:val="20"/>
                  <w:u w:val="single"/>
                </w:rPr>
                <w:t>, 202</w:t>
              </w:r>
            </w:hyperlink>
            <w:hyperlink w:anchor="i403a61f52c714595bfada157e1a45500_16">
              <w:r>
                <w:rPr>
                  <w:rStyle w:val="InternetLink"/>
                  <w:rFonts w:ascii="Times New Roman;serif" w:hAnsi="Times New Roman;serif"/>
                  <w:b w:val="false"/>
                  <w:color w:val="000080"/>
                  <w:sz w:val="20"/>
                  <w:u w:val="single"/>
                </w:rPr>
                <w:t>5</w:t>
              </w:r>
            </w:hyperlink>
            <w:hyperlink w:anchor="i403a61f52c714595bfada157e1a45500_16">
              <w:r>
                <w:rPr>
                  <w:rStyle w:val="InternetLink"/>
                  <w:rFonts w:ascii="Times New Roman;serif" w:hAnsi="Times New Roman;serif"/>
                  <w:b w:val="false"/>
                  <w:color w:val="000080"/>
                  <w:sz w:val="20"/>
                  <w:u w:val="single"/>
                </w:rPr>
                <w:t xml:space="preserve"> and December </w:t>
              </w:r>
            </w:hyperlink>
            <w:hyperlink w:anchor="i403a61f52c714595bfada157e1a45500_16">
              <w:r>
                <w:rPr>
                  <w:rStyle w:val="InternetLink"/>
                  <w:rFonts w:ascii="Times New Roman;serif" w:hAnsi="Times New Roman;serif"/>
                  <w:b w:val="false"/>
                  <w:color w:val="000080"/>
                  <w:sz w:val="20"/>
                  <w:u w:val="single"/>
                </w:rPr>
                <w:t>28</w:t>
              </w:r>
            </w:hyperlink>
            <w:hyperlink w:anchor="i403a61f52c714595bfada157e1a45500_16">
              <w:r>
                <w:rPr>
                  <w:rStyle w:val="InternetLink"/>
                  <w:rFonts w:ascii="Times New Roman;serif" w:hAnsi="Times New Roman;serif"/>
                  <w:b w:val="false"/>
                  <w:color w:val="000080"/>
                  <w:sz w:val="20"/>
                  <w:u w:val="single"/>
                </w:rPr>
                <w:t>, 20</w:t>
              </w:r>
            </w:hyperlink>
            <w:hyperlink w:anchor="i403a61f52c714595bfada157e1a45500_16">
              <w:r>
                <w:rPr>
                  <w:rStyle w:val="InternetLink"/>
                  <w:rFonts w:ascii="Times New Roman;serif" w:hAnsi="Times New Roman;serif"/>
                  <w:b w:val="false"/>
                  <w:color w:val="000080"/>
                  <w:sz w:val="20"/>
                  <w:u w:val="single"/>
                </w:rPr>
                <w:t>24</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6">
              <w:r>
                <w:rPr>
                  <w:rStyle w:val="InternetLink"/>
                  <w:rFonts w:ascii="Times New Roman;serif" w:hAnsi="Times New Roman;serif"/>
                  <w:b w:val="false"/>
                  <w:color w:val="0000FF"/>
                  <w:sz w:val="20"/>
                  <w:u w:val="single"/>
                </w:rPr>
                <w:t>3</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9">
              <w:r>
                <w:rPr>
                  <w:rStyle w:val="InternetLink"/>
                  <w:rFonts w:ascii="Times New Roman;serif" w:hAnsi="Times New Roman;serif"/>
                  <w:b w:val="false"/>
                  <w:color w:val="000080"/>
                  <w:sz w:val="20"/>
                  <w:u w:val="single"/>
                </w:rPr>
                <w:t xml:space="preserve">Condensed Consolidated Statements of Comprehensive Income (Loss) — Three months ended December </w:t>
              </w:r>
            </w:hyperlink>
            <w:hyperlink w:anchor="i403a61f52c714595bfada157e1a45500_19">
              <w:r>
                <w:rPr>
                  <w:rStyle w:val="InternetLink"/>
                  <w:rFonts w:ascii="Times New Roman;serif" w:hAnsi="Times New Roman;serif"/>
                  <w:b w:val="false"/>
                  <w:color w:val="000080"/>
                  <w:sz w:val="20"/>
                  <w:u w:val="single"/>
                </w:rPr>
                <w:t>27</w:t>
              </w:r>
            </w:hyperlink>
            <w:hyperlink w:anchor="i403a61f52c714595bfada157e1a45500_19">
              <w:r>
                <w:rPr>
                  <w:rStyle w:val="InternetLink"/>
                  <w:rFonts w:ascii="Times New Roman;serif" w:hAnsi="Times New Roman;serif"/>
                  <w:b w:val="false"/>
                  <w:color w:val="000080"/>
                  <w:sz w:val="20"/>
                  <w:u w:val="single"/>
                </w:rPr>
                <w:t>, 202</w:t>
              </w:r>
            </w:hyperlink>
            <w:hyperlink w:anchor="i403a61f52c714595bfada157e1a45500_19">
              <w:r>
                <w:rPr>
                  <w:rStyle w:val="InternetLink"/>
                  <w:rFonts w:ascii="Times New Roman;serif" w:hAnsi="Times New Roman;serif"/>
                  <w:b w:val="false"/>
                  <w:color w:val="000080"/>
                  <w:sz w:val="20"/>
                  <w:u w:val="single"/>
                </w:rPr>
                <w:t>5</w:t>
              </w:r>
            </w:hyperlink>
            <w:hyperlink w:anchor="i403a61f52c714595bfada157e1a45500_19">
              <w:r>
                <w:rPr>
                  <w:rStyle w:val="InternetLink"/>
                  <w:rFonts w:ascii="Times New Roman;serif" w:hAnsi="Times New Roman;serif"/>
                  <w:b w:val="false"/>
                  <w:color w:val="000080"/>
                  <w:sz w:val="20"/>
                  <w:u w:val="single"/>
                </w:rPr>
                <w:t xml:space="preserve"> and December </w:t>
              </w:r>
            </w:hyperlink>
            <w:hyperlink w:anchor="i403a61f52c714595bfada157e1a45500_19">
              <w:r>
                <w:rPr>
                  <w:rStyle w:val="InternetLink"/>
                  <w:rFonts w:ascii="Times New Roman;serif" w:hAnsi="Times New Roman;serif"/>
                  <w:b w:val="false"/>
                  <w:color w:val="000080"/>
                  <w:sz w:val="20"/>
                  <w:u w:val="single"/>
                </w:rPr>
                <w:t>2</w:t>
              </w:r>
            </w:hyperlink>
            <w:hyperlink w:anchor="i403a61f52c714595bfada157e1a45500_19">
              <w:r>
                <w:rPr>
                  <w:rStyle w:val="InternetLink"/>
                  <w:rFonts w:ascii="Times New Roman;serif" w:hAnsi="Times New Roman;serif"/>
                  <w:b w:val="false"/>
                  <w:color w:val="000080"/>
                  <w:sz w:val="20"/>
                  <w:u w:val="single"/>
                </w:rPr>
                <w:t>8</w:t>
              </w:r>
            </w:hyperlink>
            <w:hyperlink w:anchor="i403a61f52c714595bfada157e1a45500_19">
              <w:r>
                <w:rPr>
                  <w:rStyle w:val="InternetLink"/>
                  <w:rFonts w:ascii="Times New Roman;serif" w:hAnsi="Times New Roman;serif"/>
                  <w:b w:val="false"/>
                  <w:color w:val="000080"/>
                  <w:sz w:val="20"/>
                  <w:u w:val="single"/>
                </w:rPr>
                <w:t>, 20</w:t>
              </w:r>
            </w:hyperlink>
            <w:hyperlink w:anchor="i403a61f52c714595bfada157e1a45500_19">
              <w:r>
                <w:rPr>
                  <w:rStyle w:val="InternetLink"/>
                  <w:rFonts w:ascii="Times New Roman;serif" w:hAnsi="Times New Roman;serif"/>
                  <w:b w:val="false"/>
                  <w:color w:val="000080"/>
                  <w:sz w:val="20"/>
                  <w:u w:val="single"/>
                </w:rPr>
                <w:t>24</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9">
              <w:r>
                <w:rPr>
                  <w:rStyle w:val="InternetLink"/>
                  <w:rFonts w:ascii="Times New Roman;serif" w:hAnsi="Times New Roman;serif"/>
                  <w:b w:val="false"/>
                  <w:color w:val="0000FF"/>
                  <w:sz w:val="20"/>
                  <w:u w:val="single"/>
                </w:rPr>
                <w:t>4</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25">
              <w:r>
                <w:rPr>
                  <w:rStyle w:val="InternetLink"/>
                  <w:rFonts w:ascii="Times New Roman;serif" w:hAnsi="Times New Roman;serif"/>
                  <w:b w:val="false"/>
                  <w:color w:val="000080"/>
                  <w:sz w:val="20"/>
                  <w:u w:val="single"/>
                </w:rPr>
                <w:t xml:space="preserve">Condensed Consolidated Statements of Cash Flows — Three months ended December </w:t>
              </w:r>
            </w:hyperlink>
            <w:hyperlink w:anchor="i403a61f52c714595bfada157e1a45500_25">
              <w:r>
                <w:rPr>
                  <w:rStyle w:val="InternetLink"/>
                  <w:rFonts w:ascii="Times New Roman;serif" w:hAnsi="Times New Roman;serif"/>
                  <w:b w:val="false"/>
                  <w:color w:val="000080"/>
                  <w:sz w:val="20"/>
                  <w:u w:val="single"/>
                </w:rPr>
                <w:t>27</w:t>
              </w:r>
            </w:hyperlink>
            <w:hyperlink w:anchor="i403a61f52c714595bfada157e1a45500_25">
              <w:r>
                <w:rPr>
                  <w:rStyle w:val="InternetLink"/>
                  <w:rFonts w:ascii="Times New Roman;serif" w:hAnsi="Times New Roman;serif"/>
                  <w:b w:val="false"/>
                  <w:color w:val="000080"/>
                  <w:sz w:val="20"/>
                  <w:u w:val="single"/>
                </w:rPr>
                <w:t>, 202</w:t>
              </w:r>
            </w:hyperlink>
            <w:hyperlink w:anchor="i403a61f52c714595bfada157e1a45500_25">
              <w:r>
                <w:rPr>
                  <w:rStyle w:val="InternetLink"/>
                  <w:rFonts w:ascii="Times New Roman;serif" w:hAnsi="Times New Roman;serif"/>
                  <w:b w:val="false"/>
                  <w:color w:val="000080"/>
                  <w:sz w:val="20"/>
                  <w:u w:val="single"/>
                </w:rPr>
                <w:t>5</w:t>
              </w:r>
            </w:hyperlink>
            <w:hyperlink w:anchor="i403a61f52c714595bfada157e1a45500_25">
              <w:r>
                <w:rPr>
                  <w:rStyle w:val="InternetLink"/>
                  <w:rFonts w:ascii="Times New Roman;serif" w:hAnsi="Times New Roman;serif"/>
                  <w:b w:val="false"/>
                  <w:color w:val="000080"/>
                  <w:sz w:val="20"/>
                  <w:u w:val="single"/>
                </w:rPr>
                <w:t xml:space="preserve"> and December </w:t>
              </w:r>
            </w:hyperlink>
            <w:hyperlink w:anchor="i403a61f52c714595bfada157e1a45500_25">
              <w:r>
                <w:rPr>
                  <w:rStyle w:val="InternetLink"/>
                  <w:rFonts w:ascii="Times New Roman;serif" w:hAnsi="Times New Roman;serif"/>
                  <w:b w:val="false"/>
                  <w:color w:val="000080"/>
                  <w:sz w:val="20"/>
                  <w:u w:val="single"/>
                </w:rPr>
                <w:t>28</w:t>
              </w:r>
            </w:hyperlink>
            <w:hyperlink w:anchor="i403a61f52c714595bfada157e1a45500_25">
              <w:r>
                <w:rPr>
                  <w:rStyle w:val="InternetLink"/>
                  <w:rFonts w:ascii="Times New Roman;serif" w:hAnsi="Times New Roman;serif"/>
                  <w:b w:val="false"/>
                  <w:color w:val="000080"/>
                  <w:sz w:val="20"/>
                  <w:u w:val="single"/>
                </w:rPr>
                <w:t>, 20</w:t>
              </w:r>
            </w:hyperlink>
            <w:hyperlink w:anchor="i403a61f52c714595bfada157e1a45500_25">
              <w:r>
                <w:rPr>
                  <w:rStyle w:val="InternetLink"/>
                  <w:rFonts w:ascii="Times New Roman;serif" w:hAnsi="Times New Roman;serif"/>
                  <w:b w:val="false"/>
                  <w:color w:val="000080"/>
                  <w:sz w:val="20"/>
                  <w:u w:val="single"/>
                </w:rPr>
                <w:t>24</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25">
              <w:r>
                <w:rPr>
                  <w:rStyle w:val="InternetLink"/>
                  <w:rFonts w:ascii="Times New Roman;serif" w:hAnsi="Times New Roman;serif"/>
                  <w:b w:val="false"/>
                  <w:color w:val="0000FF"/>
                  <w:sz w:val="20"/>
                  <w:u w:val="single"/>
                </w:rPr>
                <w:t>5</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28">
              <w:r>
                <w:rPr>
                  <w:rStyle w:val="InternetLink"/>
                  <w:rFonts w:ascii="Times New Roman;serif" w:hAnsi="Times New Roman;serif"/>
                  <w:b w:val="false"/>
                  <w:color w:val="000080"/>
                  <w:sz w:val="20"/>
                  <w:u w:val="single"/>
                </w:rPr>
                <w:t>Condensed Consolidated Balance Sheets —</w:t>
              </w:r>
            </w:hyperlink>
            <w:hyperlink w:anchor="i403a61f52c714595bfada157e1a45500_19">
              <w:r>
                <w:rPr>
                  <w:rStyle w:val="InternetLink"/>
                  <w:rFonts w:ascii="Times New Roman;serif" w:hAnsi="Times New Roman;serif"/>
                  <w:b w:val="false"/>
                  <w:color w:val="000080"/>
                  <w:sz w:val="20"/>
                  <w:u w:val="single"/>
                </w:rPr>
                <w:t xml:space="preserve"> December 2</w:t>
              </w:r>
            </w:hyperlink>
            <w:hyperlink w:anchor="i403a61f52c714595bfada157e1a45500_19">
              <w:r>
                <w:rPr>
                  <w:rStyle w:val="InternetLink"/>
                  <w:rFonts w:ascii="Times New Roman;serif" w:hAnsi="Times New Roman;serif"/>
                  <w:b w:val="false"/>
                  <w:color w:val="000080"/>
                  <w:sz w:val="20"/>
                  <w:u w:val="single"/>
                </w:rPr>
                <w:t>7</w:t>
              </w:r>
            </w:hyperlink>
            <w:hyperlink w:anchor="i403a61f52c714595bfada157e1a45500_19">
              <w:r>
                <w:rPr>
                  <w:rStyle w:val="InternetLink"/>
                  <w:rFonts w:ascii="Times New Roman;serif" w:hAnsi="Times New Roman;serif"/>
                  <w:b w:val="false"/>
                  <w:color w:val="000080"/>
                  <w:sz w:val="20"/>
                  <w:u w:val="single"/>
                </w:rPr>
                <w:t>, 202</w:t>
              </w:r>
            </w:hyperlink>
            <w:hyperlink w:anchor="i403a61f52c714595bfada157e1a45500_19">
              <w:r>
                <w:rPr>
                  <w:rStyle w:val="InternetLink"/>
                  <w:rFonts w:ascii="Times New Roman;serif" w:hAnsi="Times New Roman;serif"/>
                  <w:b w:val="false"/>
                  <w:color w:val="000080"/>
                  <w:sz w:val="20"/>
                  <w:u w:val="single"/>
                </w:rPr>
                <w:t>5</w:t>
              </w:r>
            </w:hyperlink>
            <w:hyperlink w:anchor="i403a61f52c714595bfada157e1a45500_19">
              <w:r>
                <w:rPr>
                  <w:rStyle w:val="InternetLink"/>
                  <w:rFonts w:ascii="Times New Roman;serif" w:hAnsi="Times New Roman;serif"/>
                  <w:b w:val="false"/>
                  <w:color w:val="000080"/>
                  <w:sz w:val="20"/>
                  <w:u w:val="single"/>
                </w:rPr>
                <w:t xml:space="preserve">, December </w:t>
              </w:r>
            </w:hyperlink>
            <w:hyperlink w:anchor="i403a61f52c714595bfada157e1a45500_19">
              <w:r>
                <w:rPr>
                  <w:rStyle w:val="InternetLink"/>
                  <w:rFonts w:ascii="Times New Roman;serif" w:hAnsi="Times New Roman;serif"/>
                  <w:b w:val="false"/>
                  <w:color w:val="000080"/>
                  <w:sz w:val="20"/>
                  <w:u w:val="single"/>
                </w:rPr>
                <w:t>28</w:t>
              </w:r>
            </w:hyperlink>
            <w:hyperlink w:anchor="i403a61f52c714595bfada157e1a45500_19">
              <w:r>
                <w:rPr>
                  <w:rStyle w:val="InternetLink"/>
                  <w:rFonts w:ascii="Times New Roman;serif" w:hAnsi="Times New Roman;serif"/>
                  <w:b w:val="false"/>
                  <w:color w:val="000080"/>
                  <w:sz w:val="20"/>
                  <w:u w:val="single"/>
                </w:rPr>
                <w:t>, 202</w:t>
              </w:r>
            </w:hyperlink>
            <w:hyperlink w:anchor="i403a61f52c714595bfada157e1a45500_19">
              <w:r>
                <w:rPr>
                  <w:rStyle w:val="InternetLink"/>
                  <w:rFonts w:ascii="Times New Roman;serif" w:hAnsi="Times New Roman;serif"/>
                  <w:b w:val="false"/>
                  <w:color w:val="000080"/>
                  <w:sz w:val="20"/>
                  <w:u w:val="single"/>
                </w:rPr>
                <w:t>4</w:t>
              </w:r>
            </w:hyperlink>
            <w:hyperlink w:anchor="i403a61f52c714595bfada157e1a45500_19">
              <w:r>
                <w:rPr>
                  <w:rStyle w:val="InternetLink"/>
                  <w:rFonts w:ascii="Times New Roman;serif" w:hAnsi="Times New Roman;serif"/>
                  <w:b w:val="false"/>
                  <w:color w:val="000080"/>
                  <w:sz w:val="20"/>
                  <w:u w:val="single"/>
                </w:rPr>
                <w:t xml:space="preserve"> </w:t>
              </w:r>
            </w:hyperlink>
            <w:hyperlink w:anchor="i403a61f52c714595bfada157e1a45500_28">
              <w:r>
                <w:rPr>
                  <w:rStyle w:val="InternetLink"/>
                  <w:rFonts w:ascii="Times New Roman;serif" w:hAnsi="Times New Roman;serif"/>
                  <w:b w:val="false"/>
                  <w:color w:val="000080"/>
                  <w:sz w:val="20"/>
                  <w:u w:val="single"/>
                </w:rPr>
                <w:t>and September 30, 20</w:t>
              </w:r>
            </w:hyperlink>
            <w:hyperlink w:anchor="i403a61f52c714595bfada157e1a45500_28">
              <w:r>
                <w:rPr>
                  <w:rStyle w:val="InternetLink"/>
                  <w:rFonts w:ascii="Times New Roman;serif" w:hAnsi="Times New Roman;serif"/>
                  <w:b w:val="false"/>
                  <w:color w:val="000080"/>
                  <w:sz w:val="20"/>
                  <w:u w:val="single"/>
                </w:rPr>
                <w:t>25</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28">
              <w:r>
                <w:rPr>
                  <w:rStyle w:val="InternetLink"/>
                  <w:rFonts w:ascii="Times New Roman;serif" w:hAnsi="Times New Roman;serif"/>
                  <w:b w:val="false"/>
                  <w:color w:val="0000FF"/>
                  <w:sz w:val="20"/>
                  <w:u w:val="single"/>
                </w:rPr>
                <w:t>6</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34">
              <w:r>
                <w:rPr>
                  <w:rStyle w:val="InternetLink"/>
                  <w:rFonts w:ascii="Times New Roman;serif" w:hAnsi="Times New Roman;serif"/>
                  <w:b w:val="false"/>
                  <w:color w:val="0000FF"/>
                  <w:sz w:val="20"/>
                  <w:u w:val="single"/>
                </w:rPr>
                <w:t>Notes to Condensed Consolidated Financial Statements</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34">
              <w:r>
                <w:rPr>
                  <w:rStyle w:val="InternetLink"/>
                  <w:rFonts w:ascii="Times New Roman;serif" w:hAnsi="Times New Roman;serif"/>
                  <w:b w:val="false"/>
                  <w:color w:val="0000FF"/>
                  <w:sz w:val="20"/>
                  <w:u w:val="single"/>
                </w:rPr>
                <w:t>7</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94">
              <w:r>
                <w:rPr>
                  <w:rStyle w:val="InternetLink"/>
                  <w:rFonts w:ascii="Times New Roman;serif" w:hAnsi="Times New Roman;serif"/>
                  <w:b w:val="false"/>
                  <w:strike w:val="false"/>
                  <w:dstrike w:val="false"/>
                  <w:color w:val="0000FF"/>
                  <w:sz w:val="20"/>
                  <w:u w:val="none"/>
                  <w:effect w:val="none"/>
                </w:rPr>
                <w:t>Item 2.</w:t>
              </w:r>
            </w:hyperlink>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94">
              <w:r>
                <w:rPr>
                  <w:rStyle w:val="InternetLink"/>
                  <w:rFonts w:ascii="Times New Roman;serif" w:hAnsi="Times New Roman;serif"/>
                  <w:b w:val="false"/>
                  <w:color w:val="0000FF"/>
                  <w:sz w:val="20"/>
                  <w:u w:val="single"/>
                </w:rPr>
                <w:t>27</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15">
              <w:r>
                <w:rPr>
                  <w:rStyle w:val="InternetLink"/>
                  <w:rFonts w:ascii="Times New Roman;serif" w:hAnsi="Times New Roman;serif"/>
                  <w:b w:val="false"/>
                  <w:strike w:val="false"/>
                  <w:dstrike w:val="false"/>
                  <w:color w:val="0000FF"/>
                  <w:sz w:val="20"/>
                  <w:u w:val="none"/>
                  <w:effect w:val="none"/>
                </w:rPr>
                <w:t>Item 3.</w:t>
              </w:r>
            </w:hyperlink>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15">
              <w:r>
                <w:rPr>
                  <w:rStyle w:val="InternetLink"/>
                  <w:rFonts w:ascii="Times New Roman;serif" w:hAnsi="Times New Roman;serif"/>
                  <w:b w:val="false"/>
                  <w:color w:val="0000FF"/>
                  <w:sz w:val="20"/>
                  <w:u w:val="single"/>
                </w:rPr>
                <w:t>Quantitative and Qualitative Disclosures about Market Risk</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15">
              <w:r>
                <w:rPr>
                  <w:rStyle w:val="InternetLink"/>
                  <w:rFonts w:ascii="Times New Roman;serif" w:hAnsi="Times New Roman;serif"/>
                  <w:b w:val="false"/>
                  <w:color w:val="0000FF"/>
                  <w:sz w:val="20"/>
                  <w:u w:val="single"/>
                </w:rPr>
                <w:t>38</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18">
              <w:r>
                <w:rPr>
                  <w:rStyle w:val="InternetLink"/>
                  <w:rFonts w:ascii="Times New Roman;serif" w:hAnsi="Times New Roman;serif"/>
                  <w:b w:val="false"/>
                  <w:strike w:val="false"/>
                  <w:dstrike w:val="false"/>
                  <w:color w:val="0000FF"/>
                  <w:sz w:val="20"/>
                  <w:u w:val="none"/>
                  <w:effect w:val="none"/>
                </w:rPr>
                <w:t>Item 4.</w:t>
              </w:r>
            </w:hyperlink>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18">
              <w:r>
                <w:rPr>
                  <w:rStyle w:val="InternetLink"/>
                  <w:rFonts w:ascii="Times New Roman;serif" w:hAnsi="Times New Roman;serif"/>
                  <w:b w:val="false"/>
                  <w:color w:val="0000FF"/>
                  <w:sz w:val="20"/>
                  <w:u w:val="single"/>
                </w:rPr>
                <w:t>Controls and Procedures</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18">
              <w:r>
                <w:rPr>
                  <w:rStyle w:val="InternetLink"/>
                  <w:rFonts w:ascii="Times New Roman;serif" w:hAnsi="Times New Roman;serif"/>
                  <w:b w:val="false"/>
                  <w:color w:val="0000FF"/>
                  <w:sz w:val="20"/>
                  <w:u w:val="single"/>
                </w:rPr>
                <w:t>38</w:t>
              </w:r>
            </w:hyperlink>
          </w:p>
        </w:tc>
      </w:tr>
      <w:tr>
        <w:trPr/>
        <w:tc>
          <w:tcPr>
            <w:tcW w:w="89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21">
              <w:r>
                <w:rPr>
                  <w:rStyle w:val="InternetLink"/>
                  <w:rFonts w:ascii="Times New Roman;serif" w:hAnsi="Times New Roman;serif"/>
                  <w:b w:val="false"/>
                  <w:strike w:val="false"/>
                  <w:dstrike w:val="false"/>
                  <w:color w:val="0000FF"/>
                  <w:sz w:val="20"/>
                  <w:u w:val="none"/>
                  <w:effect w:val="none"/>
                </w:rPr>
                <w:t>PART II. OTHER INFORMATION:</w:t>
              </w:r>
            </w:hyperlink>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24">
              <w:r>
                <w:rPr>
                  <w:rStyle w:val="InternetLink"/>
                  <w:rFonts w:ascii="Times New Roman;serif" w:hAnsi="Times New Roman;serif"/>
                  <w:b w:val="false"/>
                  <w:strike w:val="false"/>
                  <w:dstrike w:val="false"/>
                  <w:color w:val="0000FF"/>
                  <w:sz w:val="20"/>
                  <w:u w:val="none"/>
                  <w:effect w:val="none"/>
                </w:rPr>
                <w:t>Item 1.</w:t>
              </w:r>
            </w:hyperlink>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24">
              <w:r>
                <w:rPr>
                  <w:rStyle w:val="InternetLink"/>
                  <w:rFonts w:ascii="Times New Roman;serif" w:hAnsi="Times New Roman;serif"/>
                  <w:b w:val="false"/>
                  <w:color w:val="0000FF"/>
                  <w:sz w:val="20"/>
                  <w:u w:val="single"/>
                </w:rPr>
                <w:t>Legal Proceedings</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24">
              <w:r>
                <w:rPr>
                  <w:rStyle w:val="InternetLink"/>
                  <w:rFonts w:ascii="Times New Roman;serif" w:hAnsi="Times New Roman;serif"/>
                  <w:b w:val="false"/>
                  <w:color w:val="0000FF"/>
                  <w:sz w:val="20"/>
                  <w:u w:val="single"/>
                </w:rPr>
                <w:t>39</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27">
              <w:r>
                <w:rPr>
                  <w:rStyle w:val="InternetLink"/>
                  <w:rFonts w:ascii="Times New Roman;serif" w:hAnsi="Times New Roman;serif"/>
                  <w:b w:val="false"/>
                  <w:strike w:val="false"/>
                  <w:dstrike w:val="false"/>
                  <w:color w:val="0000FF"/>
                  <w:sz w:val="20"/>
                  <w:u w:val="none"/>
                  <w:effect w:val="none"/>
                </w:rPr>
                <w:t>Item 1A.</w:t>
              </w:r>
            </w:hyperlink>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27">
              <w:r>
                <w:rPr>
                  <w:rStyle w:val="InternetLink"/>
                  <w:rFonts w:ascii="Times New Roman;serif" w:hAnsi="Times New Roman;serif"/>
                  <w:b w:val="false"/>
                  <w:color w:val="0000FF"/>
                  <w:sz w:val="20"/>
                  <w:u w:val="single"/>
                </w:rPr>
                <w:t>Risk Factors</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27">
              <w:r>
                <w:rPr>
                  <w:rStyle w:val="InternetLink"/>
                  <w:rFonts w:ascii="Times New Roman;serif" w:hAnsi="Times New Roman;serif"/>
                  <w:b w:val="false"/>
                  <w:color w:val="0000FF"/>
                  <w:sz w:val="20"/>
                  <w:u w:val="single"/>
                </w:rPr>
                <w:t>39</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30">
              <w:r>
                <w:rPr>
                  <w:rStyle w:val="InternetLink"/>
                  <w:rFonts w:ascii="Times New Roman;serif" w:hAnsi="Times New Roman;serif"/>
                  <w:b w:val="false"/>
                  <w:strike w:val="false"/>
                  <w:dstrike w:val="false"/>
                  <w:color w:val="0000FF"/>
                  <w:sz w:val="20"/>
                  <w:u w:val="none"/>
                  <w:effect w:val="none"/>
                </w:rPr>
                <w:t>Item 2.</w:t>
              </w:r>
            </w:hyperlink>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30">
              <w:r>
                <w:rPr>
                  <w:rStyle w:val="InternetLink"/>
                  <w:rFonts w:ascii="Times New Roman;serif" w:hAnsi="Times New Roman;serif"/>
                  <w:b w:val="false"/>
                  <w:color w:val="0000FF"/>
                  <w:sz w:val="20"/>
                  <w:u w:val="single"/>
                </w:rPr>
                <w:t>Unregistered Sales of Equity Securities and Use of Proceeds</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33">
              <w:r>
                <w:rPr>
                  <w:rStyle w:val="InternetLink"/>
                  <w:rFonts w:ascii="Times New Roman;serif" w:hAnsi="Times New Roman;serif"/>
                  <w:b w:val="false"/>
                  <w:color w:val="0000FF"/>
                  <w:sz w:val="20"/>
                  <w:u w:val="single"/>
                </w:rPr>
                <w:t>40</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33">
              <w:r>
                <w:rPr>
                  <w:rStyle w:val="InternetLink"/>
                  <w:rFonts w:ascii="Times New Roman;serif" w:hAnsi="Times New Roman;serif"/>
                  <w:b w:val="false"/>
                  <w:strike w:val="false"/>
                  <w:dstrike w:val="false"/>
                  <w:color w:val="0000FF"/>
                  <w:sz w:val="20"/>
                  <w:u w:val="none"/>
                  <w:effect w:val="none"/>
                </w:rPr>
                <w:t>Item 3.</w:t>
              </w:r>
            </w:hyperlink>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33">
              <w:r>
                <w:rPr>
                  <w:rStyle w:val="InternetLink"/>
                  <w:rFonts w:ascii="Times New Roman;serif" w:hAnsi="Times New Roman;serif"/>
                  <w:b w:val="false"/>
                  <w:color w:val="0000FF"/>
                  <w:sz w:val="20"/>
                  <w:u w:val="single"/>
                </w:rPr>
                <w:t>Defaults Upon Senior Securities</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33">
              <w:r>
                <w:rPr>
                  <w:rStyle w:val="InternetLink"/>
                  <w:rFonts w:ascii="Times New Roman;serif" w:hAnsi="Times New Roman;serif"/>
                  <w:b w:val="false"/>
                  <w:color w:val="0000FF"/>
                  <w:sz w:val="20"/>
                  <w:u w:val="single"/>
                </w:rPr>
                <w:t>40</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36">
              <w:r>
                <w:rPr>
                  <w:rStyle w:val="InternetLink"/>
                  <w:rFonts w:ascii="Times New Roman;serif" w:hAnsi="Times New Roman;serif"/>
                  <w:b w:val="false"/>
                  <w:strike w:val="false"/>
                  <w:dstrike w:val="false"/>
                  <w:color w:val="0000FF"/>
                  <w:sz w:val="20"/>
                  <w:u w:val="none"/>
                  <w:effect w:val="none"/>
                </w:rPr>
                <w:t>Item 4.</w:t>
              </w:r>
            </w:hyperlink>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36">
              <w:r>
                <w:rPr>
                  <w:rStyle w:val="InternetLink"/>
                  <w:rFonts w:ascii="Times New Roman;serif" w:hAnsi="Times New Roman;serif"/>
                  <w:b w:val="false"/>
                  <w:color w:val="0000FF"/>
                  <w:sz w:val="20"/>
                  <w:u w:val="single"/>
                </w:rPr>
                <w:t>Mine Safety Disclosures</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36">
              <w:r>
                <w:rPr>
                  <w:rStyle w:val="InternetLink"/>
                  <w:rFonts w:ascii="Times New Roman;serif" w:hAnsi="Times New Roman;serif"/>
                  <w:b w:val="false"/>
                  <w:color w:val="0000FF"/>
                  <w:sz w:val="20"/>
                  <w:u w:val="single"/>
                </w:rPr>
                <w:t>40</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39">
              <w:r>
                <w:rPr>
                  <w:rStyle w:val="InternetLink"/>
                  <w:rFonts w:ascii="Times New Roman;serif" w:hAnsi="Times New Roman;serif"/>
                  <w:b w:val="false"/>
                  <w:strike w:val="false"/>
                  <w:dstrike w:val="false"/>
                  <w:color w:val="0000FF"/>
                  <w:sz w:val="20"/>
                  <w:u w:val="none"/>
                  <w:effect w:val="none"/>
                </w:rPr>
                <w:t>Item 5.</w:t>
              </w:r>
            </w:hyperlink>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39">
              <w:r>
                <w:rPr>
                  <w:rStyle w:val="InternetLink"/>
                  <w:rFonts w:ascii="Times New Roman;serif" w:hAnsi="Times New Roman;serif"/>
                  <w:b w:val="false"/>
                  <w:color w:val="0000FF"/>
                  <w:sz w:val="20"/>
                  <w:u w:val="single"/>
                </w:rPr>
                <w:t>Other Information</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39">
              <w:r>
                <w:rPr>
                  <w:rStyle w:val="InternetLink"/>
                  <w:rFonts w:ascii="Times New Roman;serif" w:hAnsi="Times New Roman;serif"/>
                  <w:b w:val="false"/>
                  <w:color w:val="0000FF"/>
                  <w:sz w:val="20"/>
                  <w:u w:val="single"/>
                </w:rPr>
                <w:t>40</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42">
              <w:r>
                <w:rPr>
                  <w:rStyle w:val="InternetLink"/>
                  <w:rFonts w:ascii="Times New Roman;serif" w:hAnsi="Times New Roman;serif"/>
                  <w:b w:val="false"/>
                  <w:strike w:val="false"/>
                  <w:dstrike w:val="false"/>
                  <w:color w:val="0000FF"/>
                  <w:sz w:val="20"/>
                  <w:u w:val="none"/>
                  <w:effect w:val="none"/>
                </w:rPr>
                <w:t>Item 6.</w:t>
              </w:r>
            </w:hyperlink>
          </w:p>
        </w:tc>
        <w:tc>
          <w:tcPr>
            <w:tcW w:w="7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42">
              <w:r>
                <w:rPr>
                  <w:rStyle w:val="InternetLink"/>
                  <w:rFonts w:ascii="Times New Roman;serif" w:hAnsi="Times New Roman;serif"/>
                  <w:b w:val="false"/>
                  <w:color w:val="0000FF"/>
                  <w:sz w:val="20"/>
                  <w:u w:val="single"/>
                </w:rPr>
                <w:t>Exhibits</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42">
              <w:r>
                <w:rPr>
                  <w:rStyle w:val="InternetLink"/>
                  <w:rFonts w:ascii="Times New Roman;serif" w:hAnsi="Times New Roman;serif"/>
                  <w:b w:val="false"/>
                  <w:color w:val="0000FF"/>
                  <w:sz w:val="20"/>
                  <w:u w:val="single"/>
                </w:rPr>
                <w:t>40</w:t>
              </w:r>
            </w:hyperlink>
          </w:p>
        </w:tc>
      </w:tr>
      <w:tr>
        <w:trPr/>
        <w:tc>
          <w:tcPr>
            <w:tcW w:w="89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45">
              <w:r>
                <w:rPr>
                  <w:rStyle w:val="InternetLink"/>
                  <w:rFonts w:ascii="Times New Roman;serif" w:hAnsi="Times New Roman;serif"/>
                  <w:b w:val="false"/>
                  <w:color w:val="0000FF"/>
                  <w:sz w:val="20"/>
                  <w:u w:val="single"/>
                </w:rPr>
                <w:t>Index to Exhibits</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45">
              <w:r>
                <w:rPr>
                  <w:rStyle w:val="InternetLink"/>
                  <w:rFonts w:ascii="Times New Roman;serif" w:hAnsi="Times New Roman;serif"/>
                  <w:b w:val="false"/>
                  <w:color w:val="0000FF"/>
                  <w:sz w:val="20"/>
                  <w:u w:val="single"/>
                </w:rPr>
                <w:t>41</w:t>
              </w:r>
            </w:hyperlink>
          </w:p>
        </w:tc>
      </w:tr>
      <w:tr>
        <w:trPr/>
        <w:tc>
          <w:tcPr>
            <w:tcW w:w="89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148">
              <w:r>
                <w:rPr>
                  <w:rStyle w:val="InternetLink"/>
                  <w:rFonts w:ascii="Times New Roman;serif" w:hAnsi="Times New Roman;serif"/>
                  <w:b w:val="false"/>
                  <w:color w:val="0000FF"/>
                  <w:sz w:val="20"/>
                  <w:u w:val="single"/>
                </w:rPr>
                <w:t>Signatures</w:t>
              </w:r>
            </w:hyperlink>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3a61f52c714595bfada157e1a45500_148">
              <w:r>
                <w:rPr>
                  <w:rStyle w:val="InternetLink"/>
                  <w:rFonts w:ascii="Times New Roman;serif" w:hAnsi="Times New Roman;serif"/>
                  <w:b w:val="false"/>
                  <w:color w:val="0000FF"/>
                  <w:sz w:val="20"/>
                  <w:u w:val="single"/>
                </w:rPr>
                <w:t>42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6385"/>
                <wp:effectExtent l="0" t="0" r="0" b="0"/>
                <wp:wrapNone/>
                <wp:docPr id="2" name="Frame2"/>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03a61f52c714595bfada157e1a45500_7">
        <w:r>
          <w:rPr>
            <w:rStyle w:val="InternetLink"/>
            <w:rFonts w:ascii="Times New Roman;serif" w:hAnsi="Times New Roman;serif"/>
            <w:b w:val="false"/>
            <w:color w:val="FFFF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95"/>
        <w:gridCol w:w="2274"/>
        <w:gridCol w:w="2292"/>
        <w:gridCol w:w="224"/>
        <w:gridCol w:w="727"/>
        <w:gridCol w:w="116"/>
        <w:gridCol w:w="109"/>
        <w:gridCol w:w="109"/>
        <w:gridCol w:w="109"/>
        <w:gridCol w:w="240"/>
        <w:gridCol w:w="701"/>
        <w:gridCol w:w="123"/>
        <w:gridCol w:w="109"/>
        <w:gridCol w:w="109"/>
        <w:gridCol w:w="109"/>
        <w:gridCol w:w="159"/>
      </w:tblGrid>
      <w:tr>
        <w:trPr/>
        <w:tc>
          <w:tcPr>
            <w:tcW w:w="2695"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sales—impairment, restructuring and other </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from continuing operations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common share:</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common share</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common share:</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common share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 plus dilutive potential common shares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76"/>
        <w:gridCol w:w="2065"/>
        <w:gridCol w:w="2104"/>
        <w:gridCol w:w="109"/>
        <w:gridCol w:w="109"/>
        <w:gridCol w:w="138"/>
        <w:gridCol w:w="138"/>
        <w:gridCol w:w="268"/>
        <w:gridCol w:w="876"/>
        <w:gridCol w:w="138"/>
        <w:gridCol w:w="109"/>
        <w:gridCol w:w="109"/>
        <w:gridCol w:w="109"/>
        <w:gridCol w:w="250"/>
        <w:gridCol w:w="690"/>
        <w:gridCol w:w="128"/>
        <w:gridCol w:w="109"/>
        <w:gridCol w:w="109"/>
        <w:gridCol w:w="109"/>
        <w:gridCol w:w="162"/>
      </w:tblGrid>
      <w:tr>
        <w:trPr/>
        <w:tc>
          <w:tcPr>
            <w:tcW w:w="2376"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65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derivative instruments,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unrealized gain on derivative instruments to net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86385"/>
                <wp:effectExtent l="0" t="0" r="0" b="0"/>
                <wp:wrapNone/>
                <wp:docPr id="4" name="Frame4"/>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22"/>
        <w:gridCol w:w="2459"/>
        <w:gridCol w:w="2465"/>
        <w:gridCol w:w="223"/>
        <w:gridCol w:w="717"/>
        <w:gridCol w:w="115"/>
        <w:gridCol w:w="109"/>
        <w:gridCol w:w="109"/>
        <w:gridCol w:w="109"/>
        <w:gridCol w:w="241"/>
        <w:gridCol w:w="655"/>
        <w:gridCol w:w="181"/>
      </w:tblGrid>
      <w:tr>
        <w:trPr/>
        <w:tc>
          <w:tcPr>
            <w:tcW w:w="2822"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measurement of held for sale assets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 and dispositions:</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items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property, plant and equipment</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net</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and bank lines of credit and term loans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revolving and bank lines of credit and term loans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and issuance fees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Shares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exercise of stock options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net</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 including cash and cash equivalents classified within current assets held for sale</w:t>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decrease in cash and cash equivalents classified within current assets held for sale</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746"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86385"/>
                <wp:effectExtent l="0" t="0" r="0" b="0"/>
                <wp:wrapNone/>
                <wp:docPr id="5" name="Frame5"/>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75"/>
        <w:gridCol w:w="1938"/>
        <w:gridCol w:w="1895"/>
        <w:gridCol w:w="211"/>
        <w:gridCol w:w="769"/>
        <w:gridCol w:w="109"/>
        <w:gridCol w:w="109"/>
        <w:gridCol w:w="109"/>
        <w:gridCol w:w="109"/>
        <w:gridCol w:w="211"/>
        <w:gridCol w:w="769"/>
        <w:gridCol w:w="109"/>
        <w:gridCol w:w="109"/>
        <w:gridCol w:w="109"/>
        <w:gridCol w:w="109"/>
        <w:gridCol w:w="216"/>
        <w:gridCol w:w="786"/>
        <w:gridCol w:w="163"/>
      </w:tblGrid>
      <w:tr>
        <w:trPr/>
        <w:tc>
          <w:tcPr>
            <w:tcW w:w="2375"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of $11.4, $6.9 and $10.5, respectively</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affiliates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$836.0, $787.5 and $819.7, respectively</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 (DEFICIT)</w:t>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held for sale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(deficit):</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and capital in excess of $0.01 stated value per share; shares outstanding of 58.0, 57.5 and 57.8, respectively</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at cost; 10.2, 10.7 and 10.4 shares, respectively</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208"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(deficit)</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equity (deficit)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86385"/>
                <wp:effectExtent l="0" t="0" r="0" b="0"/>
                <wp:wrapNone/>
                <wp:docPr id="6" name="Frame6"/>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8698" w:type="dxa"/>
        <w:jc w:val="left"/>
        <w:tblInd w:w="0" w:type="dxa"/>
        <w:tblLayout w:type="fixed"/>
        <w:tblCellMar>
          <w:top w:w="28" w:type="dxa"/>
          <w:left w:w="28" w:type="dxa"/>
          <w:bottom w:w="28" w:type="dxa"/>
          <w:right w:w="28" w:type="dxa"/>
        </w:tblCellMar>
      </w:tblPr>
      <w:tblGrid>
        <w:gridCol w:w="310"/>
        <w:gridCol w:w="272"/>
        <w:gridCol w:w="274"/>
        <w:gridCol w:w="2488"/>
        <w:gridCol w:w="2488"/>
        <w:gridCol w:w="249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NOTES TO CONDENSED CONSOLIDATED FINANCIAL STATEMENTS (UNAUDITED)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Nature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Scotts Miracle-Gro Company (“Scotts Miracle-Gro”) and its subsidiaries (collectively, with Scotts Miracle-Gro, the “Company”) are engaged in the manufacturing, marketing and sale of products for lawn and garden care and indoor and hydroponic gardening. The Company’s products are primarily sold in North America. The Company’s North America consumer lawn and garden business is highly seasonal, with more than 75% of its annual net sales occurring in the second and third fiscal quarters.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Organization and Basis of Presentation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condensed consolidated financial statements for the three months ended December 27, 2025 and December 28, 2024 are presented in accordance with accounting principles generally accepted in the United States of America (“GAAP”). The condensed consolidated financial statements include the accounts of Scotts Miracle-Gro and its consolidated subsidiaries. All intercompany transactions and accounts have been eliminated in consolidation. The Company consolidates all majority-owned subsidiaries and variable interest entities where the Company has been determined to be the primary beneficiary.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December 27, 2025 (this “Form 10-Q”) should be read in conjunction with Scotts Miracle-Gro’s Annual Report on Form 10-K for the fiscal year ended September 30, 2025 (the “2025 Annual Report”), which includes a complete set of footnote disclosures, including the Company’s significant accounting policies.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Balance Sheet at September 30, 2025 has been derived from the Company’s audited Consolidated Balance Sheet at that date, but does not include all of the information and footnotes required by GAAP for complete financial statements.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14, 2025, the Company sold all of the issued and outstanding shares of capital stock of its formerly wholly-owned subsidiary The Hawthorne Collective, Inc. (“THC”) to Bad Dog Holdings LLC (“BDH”) in exchange for a promissory note with a principal amount of $39.0. BDH was formed to hold and manage the investments held by THC and is owned and controlled by a strategic partner of the Company. At the time of the sale, THC held non-voting exchangeable shares of FLUENT Corp. (formerly Cansortium Inc.) (“FLUENT”) (CSE: FNT.U) (OTCQB: CNTMF), a vertically-integrated, multi-state cannabis company, and other minority non-equity investments, with a total book value of $39.0. BDH granted the Company a call option that enables the Company, subject to certain restrictions, to reacquire all of the issued and outstanding shares of capital stock of THC in exchange for canceling the principal amount of the promissory note and making an additional payment to BDH equal to 5% of any appreciation in the fair value of THC. The Company may exercise the call option in its sole and absolute discretion, until the earlier of (i) March 14, 2035 and (ii) the date of the consummation of a merger, change in control or consolidation of BDH or a sale, lease, transfer, exclusive license or other disposition of all or substantially all of the assets of BDH. The Company also granted BDH a put option providing BDH with the right to cause the Company to reacquire all the issued and outstanding shares of capital stock of THC in exchange for canceling the principal amount of the promissory note. The Company has determined that it has a variable interest in BDH and that BDH is a variable interest entity. Additionally, based on its assessment of the characteristics of its variable interest in BDH, including the involvement of its de facto agents, the Company has determined it is the primary beneficiary of BDH and, as a result, is required to consolidate BDH in its condensed consolidated financial statements. As of December 27, 2025, BDH had assets of $24.6 recorded in the “Other assets” line in the Condensed Consolidated Balance Sheets, and total liabilities of $39.0 associated with the promissory note due to the Company, which is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86385"/>
                <wp:effectExtent l="0" t="0" r="0" b="0"/>
                <wp:wrapNone/>
                <wp:docPr id="7" name="Frame7"/>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Assets and Liabilities Held for Sale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Assets and liabilities related to a business classified as held for sale are segregated in the Condensed Consolidated Balance Sheets for all periods presented. Upon classification as held for sale, the Company ceases depreciation and amortization and measures the assets (or disposal group) at the lower of carrying amount or fair value less cost to sell. Any resulting loss is recognized in the period in which the held for sale criteria are met. This valuation adjustment (allowance) is adjusted based on subsequent changes in estimates of fair value less cost to sell. During the three months ended December 27, 2025, the Company determined that the Hawthorne business meets the criteria to be classified as held for sale, and has reclassified the related assets and liabilities as held for sale on the Condensed Consolidated Balance Sheets for all periods presented.</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Accounts Receivable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Master Receivables Purchase Agreement, which is uncommitted and expires on September 1, 2026, under which the Company may sell up to $750.0 of available and eligible outstanding customer accounts receivable generated by sales to five specified customers. The receivable sales are non-recourse to the Company, other than with respect to (i) repurchase obligations and indemnification obligations for any violations by the Company of its respective representations or obligations as seller or servicer and (ii) certain repurchase and payment obligations arising from any dilution of, or dispute with respect to, any purchased receivables that arise after the sale of such purchased receivables to the purchaser not contemplated in the applicable purchase price of such purchased receivable. The recourse obligations of the Company that may arise from time to time are supported by standby letters of credit of $75.0. 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The Company records the discount on sales in the “Other expense, net” line in the Condensed Consolidated Statements of Operations. At December 27, 2025, December 28, 2024 and September 30, 2025, net receivables derecognized were $220.3, $236.7 and $163.3, respectively. During the three months ended December 27, 2025 and December 28, 2024, proceeds from the sale of receivables under the Master Receivables Purchase Agreement totaled $254.6 and $274.0, respectively, and the total discount recorded on sales was $2.9 and $3.3, respectively.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Supplier Finance Program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an agreement to provide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terms that the Company negotiates with its suppliers are consistent, regardless of whether a supplier participates in the program. The Company’s current payment terms with a majority of its suppliers generally range from 30 to 60 days, which the Company deems to be commercially reasonable. The Company’s outstanding payment obligations under its supplier finance program were $30.7, $26.7 and $13.9 at December 27, 2025, December 28, 2024 and September 30, 2025, respectively, and are recorded within accounts payable in the Condensed Consolidated Balance Sheets. The associated payments were $68.0 and $72.7 for the three months ended December 27, 2025 and December 28, 2024, respectively, and are classified as operating activities in the Condensed Consolidated Statements of Cash Flows.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Long-Lived Assets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non-cash investing activities of $7.8 and $3.6 during the three months ended December 27, 2025 and December 28, 2024, respectively, representing unpaid liabilities to acquire property, plant and equipment.</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Statements of Cash Flows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Supplemental cash flow information was as follows: </w:t>
      </w:r>
    </w:p>
    <w:tbl>
      <w:tblPr>
        <w:tblW w:w="5379" w:type="dxa"/>
        <w:jc w:val="left"/>
        <w:tblInd w:w="0" w:type="dxa"/>
        <w:tblLayout w:type="fixed"/>
        <w:tblCellMar>
          <w:top w:w="28" w:type="dxa"/>
          <w:left w:w="28" w:type="dxa"/>
          <w:bottom w:w="28" w:type="dxa"/>
          <w:right w:w="28" w:type="dxa"/>
        </w:tblCellMar>
      </w:tblPr>
      <w:tblGrid>
        <w:gridCol w:w="1021"/>
        <w:gridCol w:w="895"/>
        <w:gridCol w:w="903"/>
        <w:gridCol w:w="278"/>
        <w:gridCol w:w="673"/>
        <w:gridCol w:w="143"/>
        <w:gridCol w:w="109"/>
        <w:gridCol w:w="109"/>
        <w:gridCol w:w="109"/>
        <w:gridCol w:w="274"/>
        <w:gridCol w:w="665"/>
        <w:gridCol w:w="200"/>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(refunded), net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86385"/>
                <wp:effectExtent l="0" t="0" r="0" b="0"/>
                <wp:wrapNone/>
                <wp:docPr id="8" name="Frame8"/>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and cash equivalents held by the Hawthorne business of $3.0, $4.2 and $3.8 at December 27, 2025, December 28, 2024 and September 30, 2025, respectively, are classified as held for sale and are not included in cash and cash equivalents in the Condensed Consolidated Balance Sheets.</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RECENTLY ISSUED ACCOUNTING PRONOUNCEMENTS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“Income Taxes (Topic 740): Improvements to Income Tax Disclosures.” This ASU primarily requires enhanced disclosures and disaggregation of income tax information by jurisdiction in the annual income tax reconciliation and quantitative and qualitative disclosures regarding income taxes paid. The new disclosure requirements are to be applied prospectively, with the option to apply retrospectively, and will be included in the Company’s Annual Report on Form 10-K for the fiscal year ending September 30, 2026. The Company is currently evaluating the impact that the adoption of this guidance will have on the Company’s disclosures.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No. 2024-03, “Income Statement — Reporting Comprehensive Income — Expense Disaggregation Disclosures (Subtopic 220-40): Disaggregation of Income Statement Expenses.” This ASU requires disaggregated disclosures on an annual and interim basis, in the notes to the financial statements, of certain categories of expenses that are included in expense line items on the face of the statement of operations. ASU No. 2024-03 is to be applied prospectively, with the option to apply the standard retrospectively, effective for the Company’s fiscal year ending September 30, 2028, and interim periods within the fiscal year ending September 30, 2029. The Company is currently evaluating the impact that the adoption of this guidance will have on the Company’s disclosures.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 — Goodwill and Other — Internal-Use Software: Targeted Improvements to the Accounting for Internal-Use Software.” This ASU amends the accounting for and disclosure of software costs. ASU No. 2025-06 is effective for the Company’s fiscal year ending September 30, 2029 and interim periods within that fiscal year, with early adoption permitted. The Company is currently evaluating the impact that the adoption of this guidance will have on the Company’s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2. DISCONTINUED OPERATIONS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December 27, 2025, the Company determined that the Hawthorne business meets the criteria to be classified as held for sale, and has reclassified the related assets and liabilities as held for sale on the Condensed Consolidated Balance Sheets for all periods presented. The Company expects the sale of the Hawthorne business to occur within twelve months from the date it met the held for sale criteria. The Company determined this represents a strategic shift, and therefore, effective in the first quarter of fiscal 2026, the Company classified its results of operations for all periods presented to reflect the Hawthorne business as a discontinued operation, including the Hawthorne professional horticulture business based in the Netherlands that was sold during the three months ended September 30, 2025.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major components of the financial results of the Hawthorne business for each of the periods presented:</w:t>
      </w:r>
    </w:p>
    <w:tbl>
      <w:tblPr>
        <w:tblW w:w="7876" w:type="dxa"/>
        <w:jc w:val="left"/>
        <w:tblInd w:w="0" w:type="dxa"/>
        <w:tblLayout w:type="fixed"/>
        <w:tblCellMar>
          <w:top w:w="28" w:type="dxa"/>
          <w:left w:w="28" w:type="dxa"/>
          <w:bottom w:w="28" w:type="dxa"/>
          <w:right w:w="28" w:type="dxa"/>
        </w:tblCellMar>
      </w:tblPr>
      <w:tblGrid>
        <w:gridCol w:w="1659"/>
        <w:gridCol w:w="1453"/>
        <w:gridCol w:w="1477"/>
        <w:gridCol w:w="109"/>
        <w:gridCol w:w="109"/>
        <w:gridCol w:w="155"/>
        <w:gridCol w:w="155"/>
        <w:gridCol w:w="301"/>
        <w:gridCol w:w="837"/>
        <w:gridCol w:w="155"/>
        <w:gridCol w:w="109"/>
        <w:gridCol w:w="109"/>
        <w:gridCol w:w="109"/>
        <w:gridCol w:w="274"/>
        <w:gridCol w:w="665"/>
        <w:gridCol w:w="200"/>
      </w:tblGrid>
      <w:tr>
        <w:trPr/>
        <w:tc>
          <w:tcPr>
            <w:tcW w:w="165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66" w:type="dxa"/>
            <w:gridSpan w:val="6"/>
            <w:tcBorders/>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measurement of held for sale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86385"/>
                <wp:effectExtent l="0" t="0" r="0" b="0"/>
                <wp:wrapNone/>
                <wp:docPr id="9" name="Frame9"/>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27, 2025, the Company recorded a non-cash pre-tax charge of $104.8 related to a valuation adjustment to recognize the carrying amount of the Hawthorne business at fair value less estimated costs to sell in the “Loss from discontinued operations, net of tax” line on the Condensed Consolidated Statements of Operations.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major classes of assets and liabilities that have been classified as held for sale on the Condensed Consolidated Balance Sheets for each of the periods presented:</w:t>
      </w:r>
    </w:p>
    <w:tbl>
      <w:tblPr>
        <w:tblW w:w="8393" w:type="dxa"/>
        <w:jc w:val="left"/>
        <w:tblInd w:w="0" w:type="dxa"/>
        <w:tblLayout w:type="fixed"/>
        <w:tblCellMar>
          <w:top w:w="28" w:type="dxa"/>
          <w:left w:w="28" w:type="dxa"/>
          <w:bottom w:w="28" w:type="dxa"/>
          <w:right w:w="28" w:type="dxa"/>
        </w:tblCellMar>
      </w:tblPr>
      <w:tblGrid>
        <w:gridCol w:w="1581"/>
        <w:gridCol w:w="1388"/>
        <w:gridCol w:w="1396"/>
        <w:gridCol w:w="278"/>
        <w:gridCol w:w="673"/>
        <w:gridCol w:w="143"/>
        <w:gridCol w:w="109"/>
        <w:gridCol w:w="109"/>
        <w:gridCol w:w="109"/>
        <w:gridCol w:w="247"/>
        <w:gridCol w:w="721"/>
        <w:gridCol w:w="127"/>
        <w:gridCol w:w="109"/>
        <w:gridCol w:w="109"/>
        <w:gridCol w:w="109"/>
        <w:gridCol w:w="255"/>
        <w:gridCol w:w="744"/>
        <w:gridCol w:w="186"/>
      </w:tblGrid>
      <w:tr>
        <w:trPr/>
        <w:tc>
          <w:tcPr>
            <w:tcW w:w="15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adjustment (allowance) on disposal group</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 for sale</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27, 2025, the assets and liabilities held for sale are classified as current in the Condensed Consolidated Balance Sheets as it is probable that the sale will occur within one year.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Condensed Consolidated Statements of Cash Flows do not present the cash flows from discontinued operations separately from cash flows from continuing operations. Cash provided by (used in) operating activities related to discontinued operations totaled $1.8 and $(19.4) for the three months ended December 27, 2025 and December 28, 2024, respectively. Cash provided by (used in) investing activities related to discontinued operations was not material for the three months ended December 27, 2025 and December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3. INVESTMENT IN UNCONSOLIDATED AFFILIATES</w:t>
      </w:r>
    </w:p>
    <w:p>
      <w:pPr>
        <w:pStyle w:val="TextBody"/>
        <w:bidi w:val="0"/>
        <w:spacing w:lineRule="auto" w:line="288" w:before="180" w:after="283"/>
        <w:ind w:left="0" w:right="0" w:firstLine="270"/>
        <w:jc w:val="both"/>
        <w:rPr>
          <w:rFonts w:ascii="Times New Roman;serif" w:hAnsi="Times New Roman;serif"/>
          <w:b/>
          <w:i/>
          <w:color w:val="000000"/>
          <w:sz w:val="20"/>
          <w:u w:val="single"/>
        </w:rPr>
      </w:pPr>
      <w:r>
        <w:rPr>
          <w:rFonts w:ascii="Times New Roman;serif" w:hAnsi="Times New Roman;serif"/>
          <w:b/>
          <w:i/>
          <w:color w:val="000000"/>
          <w:sz w:val="20"/>
          <w:u w:val="single"/>
        </w:rPr>
        <w:t>Bonnie Plants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a 50% equity interest in Bonnie Plants, LLC, a joint venture with Alabama Farmers Cooperative, Inc. (“AFC”) focused on planting, growing, developing, distributing, marketing and selling live plants. The Company’s interest is accounted for using the equity method of accounting, with the Company’s proportionate share of Bonnie Plants, LLC earnings reflected in the Condensed Consolidated Statements of Operations. The Company recorded equity in loss of unconsolidated affiliates associated with Bonnie Plants, LLC of $10.6 and $9.9 during the three months ended December 27, 2025 and December 28, 2024, respectively. </w:t>
      </w:r>
    </w:p>
    <w:p>
      <w:pPr>
        <w:pStyle w:val="TextBody"/>
        <w:bidi w:val="0"/>
        <w:spacing w:lineRule="auto" w:line="288" w:before="180" w:after="283"/>
        <w:ind w:left="0" w:right="0" w:firstLine="270"/>
        <w:jc w:val="both"/>
        <w:rPr>
          <w:rFonts w:ascii="Times New Roman;serif" w:hAnsi="Times New Roman;serif"/>
          <w:b/>
          <w:i/>
          <w:color w:val="000000"/>
          <w:sz w:val="20"/>
          <w:u w:val="single"/>
        </w:rPr>
      </w:pPr>
      <w:r>
        <w:rPr>
          <w:rFonts w:ascii="Times New Roman;serif" w:hAnsi="Times New Roman;serif"/>
          <w:b/>
          <w:i/>
          <w:color w:val="000000"/>
          <w:sz w:val="20"/>
          <w:u w:val="single"/>
        </w:rPr>
        <w:t>FLUENT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December 28, 2024, THC exchanged its existing convertible debt investment in RIV Capital Inc. (“RIV Capital”) for an investment in FLUENT. This exchange, a non-cash investing and financing activity, resulted in a loss of $7.0 that was recorded in the “Impairment, restructuring and other” line in the Condensed Consolidated Statements of Operations during the three months ended December 28, 2024. As of December 27, 2025, THC holds 153.1 million common shares of FLUENT, which represents approximately 25% of FLUENT’s total outstanding common shares. THC and FLUENT are also parties to an investor rights agreement which allows THC to nominate up to two members to the FLUENT board of directors. This investment was previously accounted for using the equity method of accounting, with THC’s proportionate share of FLUENT earnings subsequent to December 18, 2024 reflected in the Condensed Consolidated Statements of Operations on a one quarter lag. During the three months ended December 27, 2025, the Company recorded equity in loss of unconsolidated affiliates associated with FLUENT of $2.6, which reduced its investment balance to zero as of December 27, 2025, and resulted in the Company discontinuing equity method recognition of its proportionate share of FLUENT losses. The Company does not have any contractual obligations or other commitments to fund losses of FLUENT.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86385"/>
                <wp:effectExtent l="0" t="0" r="0" b="0"/>
                <wp:wrapNone/>
                <wp:docPr id="10" name="Frame10"/>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Refer to “NOTE 1. SUMMARY OF SIGNIFICANT ACCOUNTING POLICIES” for further details related to the Company’s sale of THC to BDH on March 14, 2025. BDH is a variable interest entity that is consolidated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IMPAIRMENT, RESTRUCTURING AND OTHER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tbl>
      <w:tblPr>
        <w:tblW w:w="8117" w:type="dxa"/>
        <w:jc w:val="left"/>
        <w:tblInd w:w="0" w:type="dxa"/>
        <w:tblLayout w:type="fixed"/>
        <w:tblCellMar>
          <w:top w:w="28" w:type="dxa"/>
          <w:left w:w="28" w:type="dxa"/>
          <w:bottom w:w="28" w:type="dxa"/>
          <w:right w:w="28" w:type="dxa"/>
        </w:tblCellMar>
      </w:tblPr>
      <w:tblGrid>
        <w:gridCol w:w="1750"/>
        <w:gridCol w:w="1538"/>
        <w:gridCol w:w="1542"/>
        <w:gridCol w:w="109"/>
        <w:gridCol w:w="109"/>
        <w:gridCol w:w="185"/>
        <w:gridCol w:w="185"/>
        <w:gridCol w:w="358"/>
        <w:gridCol w:w="690"/>
        <w:gridCol w:w="185"/>
        <w:gridCol w:w="109"/>
        <w:gridCol w:w="109"/>
        <w:gridCol w:w="109"/>
        <w:gridCol w:w="274"/>
        <w:gridCol w:w="665"/>
        <w:gridCol w:w="200"/>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66" w:type="dxa"/>
            <w:gridSpan w:val="6"/>
            <w:tcBorders/>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exchange of convertible debt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restructuring and other charges,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liabilities associated with restructuring activities during the three months ended December 27, 2025:</w:t>
      </w:r>
    </w:p>
    <w:tbl>
      <w:tblPr>
        <w:tblW w:w="4266" w:type="dxa"/>
        <w:jc w:val="left"/>
        <w:tblInd w:w="0" w:type="dxa"/>
        <w:tblLayout w:type="fixed"/>
        <w:tblCellMar>
          <w:top w:w="28" w:type="dxa"/>
          <w:left w:w="28" w:type="dxa"/>
          <w:bottom w:w="28" w:type="dxa"/>
          <w:right w:w="28" w:type="dxa"/>
        </w:tblCellMar>
      </w:tblPr>
      <w:tblGrid>
        <w:gridCol w:w="1226"/>
        <w:gridCol w:w="1080"/>
        <w:gridCol w:w="1084"/>
        <w:gridCol w:w="211"/>
        <w:gridCol w:w="51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accrued at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accrued at December 27,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27, 2025, restructuring accruals include $2.6 that is classified as long-term.</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Impairment, restructuring and other charges for the three months ended December 27, 2025 were not material.</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28, 2024, the Company incurred executive severance charges of $9.5 in the “Impairment, restructuring and other” line in the Condensed Consolidated Statements of Operations.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28, 2024, the Company incurred a non-cash loss of $7.0 in the “Impairment, restructuring and other” line in the Condensed Consolidated Statements of Operations related to the exchange of its convertible debt investment in RIV Capital for an investment in FLUENT. Refer to “NOTE 3. INVESTMENT IN UNCONSOLIDATED AFFILIATES” for further details.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2022, the Company began implementing a series of Company-wide organizational changes and initiatives intended to create operational and management-level efficiencies. As part of this restructuring initiative, the Company reduced the size of its supply chain network, reduced staffing levels and implemented other cost-reduction initiatives. During the three months ended December 28, 2024, the Company incurred costs of $1.4 in its U.S. Consumer segment in the “Cost of sales—impairment, restructuring and other” line in the Condensed Consolidated Statements of Operations associated with this restructuring initiative.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INVENTORIES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for each of the periods presented:</w:t>
      </w:r>
    </w:p>
    <w:tbl>
      <w:tblPr>
        <w:tblW w:w="5485" w:type="dxa"/>
        <w:jc w:val="left"/>
        <w:tblInd w:w="0" w:type="dxa"/>
        <w:tblLayout w:type="fixed"/>
        <w:tblCellMar>
          <w:top w:w="28" w:type="dxa"/>
          <w:left w:w="28" w:type="dxa"/>
          <w:bottom w:w="28" w:type="dxa"/>
          <w:right w:w="28" w:type="dxa"/>
        </w:tblCellMar>
      </w:tblPr>
      <w:tblGrid>
        <w:gridCol w:w="559"/>
        <w:gridCol w:w="447"/>
        <w:gridCol w:w="450"/>
        <w:gridCol w:w="247"/>
        <w:gridCol w:w="721"/>
        <w:gridCol w:w="127"/>
        <w:gridCol w:w="109"/>
        <w:gridCol w:w="109"/>
        <w:gridCol w:w="109"/>
        <w:gridCol w:w="247"/>
        <w:gridCol w:w="721"/>
        <w:gridCol w:w="127"/>
        <w:gridCol w:w="109"/>
        <w:gridCol w:w="109"/>
        <w:gridCol w:w="109"/>
        <w:gridCol w:w="255"/>
        <w:gridCol w:w="744"/>
        <w:gridCol w:w="186"/>
      </w:tblGrid>
      <w:tr>
        <w:trPr/>
        <w:tc>
          <w:tcPr>
            <w:tcW w:w="5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2934" w:type="dxa"/>
            <w:gridSpan w:val="12"/>
            <w:tcBorders/>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86385"/>
                <wp:effectExtent l="0" t="0" r="0" b="0"/>
                <wp:wrapNone/>
                <wp:docPr id="11" name="Frame11"/>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6. MARKETING AGREEMENT</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Scotts Company LLC is the exclusive agent of Monsanto Company, a subsidiary of Bayer AG (“Monsanto”), for the marketing and distribution of certain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business, subject to reduction pursuant to the Third Restated Agreement for any program year in which the Program EBIT does not equal or exceed $36.0.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Monsanto terminates the Third Restated Agreement due to an event of default by the Company, termination rights under the Third Restated Agreement include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Company may terminate the Third Restated Agreement upon the insolvency or bankruptcy of Monsanto;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in the lawn and garden market (a “Brand Decommissioning Termination”);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Each party may terminate the Third Restated Agreement if Program EBIT falls below $50.0 and, in such case, no termination fee would be payable to either party.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elements of the net commission and reimbursements earned under the Third Restated Agreement and included in the “Net sales” line in the Condensed Consolidated Statements of Operations are as follows:</w:t>
      </w:r>
    </w:p>
    <w:tbl>
      <w:tblPr>
        <w:tblW w:w="8441" w:type="dxa"/>
        <w:jc w:val="left"/>
        <w:tblInd w:w="0" w:type="dxa"/>
        <w:tblLayout w:type="fixed"/>
        <w:tblCellMar>
          <w:top w:w="28" w:type="dxa"/>
          <w:left w:w="28" w:type="dxa"/>
          <w:bottom w:w="28" w:type="dxa"/>
          <w:right w:w="28" w:type="dxa"/>
        </w:tblCellMar>
      </w:tblPr>
      <w:tblGrid>
        <w:gridCol w:w="1973"/>
        <w:gridCol w:w="1732"/>
        <w:gridCol w:w="1740"/>
        <w:gridCol w:w="278"/>
        <w:gridCol w:w="673"/>
        <w:gridCol w:w="143"/>
        <w:gridCol w:w="109"/>
        <w:gridCol w:w="109"/>
        <w:gridCol w:w="109"/>
        <w:gridCol w:w="278"/>
        <w:gridCol w:w="673"/>
        <w:gridCol w:w="143"/>
        <w:gridCol w:w="109"/>
        <w:gridCol w:w="109"/>
        <w:gridCol w:w="109"/>
        <w:gridCol w:w="154"/>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902" w:type="dxa"/>
            <w:gridSpan w:val="10"/>
            <w:tcBorders/>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commission</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expenses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Reimbursements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net sales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86385"/>
                <wp:effectExtent l="0" t="0" r="0" b="0"/>
                <wp:wrapNone/>
                <wp:docPr id="12" name="Frame12"/>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7. DEBT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debt are as follows:</w:t>
      </w:r>
    </w:p>
    <w:tbl>
      <w:tblPr>
        <w:tblW w:w="7164" w:type="dxa"/>
        <w:jc w:val="left"/>
        <w:tblInd w:w="0" w:type="dxa"/>
        <w:tblLayout w:type="fixed"/>
        <w:tblCellMar>
          <w:top w:w="28" w:type="dxa"/>
          <w:left w:w="28" w:type="dxa"/>
          <w:bottom w:w="28" w:type="dxa"/>
          <w:right w:w="28" w:type="dxa"/>
        </w:tblCellMar>
      </w:tblPr>
      <w:tblGrid>
        <w:gridCol w:w="1134"/>
        <w:gridCol w:w="997"/>
        <w:gridCol w:w="1004"/>
        <w:gridCol w:w="212"/>
        <w:gridCol w:w="773"/>
        <w:gridCol w:w="110"/>
        <w:gridCol w:w="109"/>
        <w:gridCol w:w="109"/>
        <w:gridCol w:w="109"/>
        <w:gridCol w:w="212"/>
        <w:gridCol w:w="773"/>
        <w:gridCol w:w="110"/>
        <w:gridCol w:w="109"/>
        <w:gridCol w:w="109"/>
        <w:gridCol w:w="109"/>
        <w:gridCol w:w="221"/>
        <w:gridCol w:w="803"/>
        <w:gridCol w:w="161"/>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2934" w:type="dxa"/>
            <w:gridSpan w:val="12"/>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2031 – 4.000%</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2032 – 4.375%</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2029 – 4.500%</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2026 – 5.250%</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Credit Facilities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21, 2025, the Company entered into a Seventh Amended and Restated Credit Agreement (the “Seventh A&amp;R Credit Agreement”), providing the Company and certain of its subsidiaries with five-year senior secured loan facilities in the aggregate principal amount of $2,000.0, comprised of a revolving credit facility of $1,500.0 and a term loan in the original principal amount of $500.0. The Seventh A&amp;R Credit Agreement also provides the Company with the right to seek additional committed credit under the agreement in an aggregate amount of up to $500.0 plus an unlimited additional amount, subject to certain specified financial and other conditions. The Seventh A&amp;R Credit Agreement will be available for issuance of letters of credit up to $100.0 and will terminate on November 21, 2030. The terms of the Seventh A&amp;R Credit Agreement include customary representations and warranties, affirmative and negative covenants, financial covenants and events of default.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Borrowings under the Seventh A&amp;R Credit Agreement bear interest at variable rates derived from the prevailing U.S. Prime Rate, Federal Reserve Bank of New York Rate, Secured Overnight Financing Rate, Euro Interbank Offered Rate, Canadian Prime Rate or Canadian Overnight Repo Rate Average (all as defined in the Seventh A&amp;R Credit Agreement), based on the Company’s election, plus a spread that depends on the Company’s quarterly-tested leverage ratio.</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December 27, 2025, the Company had letters of credit outstanding in the aggregate principal amount of $93.2, and had $979.8 of borrowing availability under the Seventh A&amp;R Credit Agreement. The weighted average interest rates on average borrowings under the credit facilities, excluding the impact of interest rate swaps, were 7.0% and 8.5% for the three months ended December 27, 2025 and December 28, 2024, respectively.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the Seventh A&amp;R Credit Agreement (“Adjusted EBITDA”). The maximum permitted leverage ratio is 5.00. The Company’s leverage ratio was 4.03 at December 27, 2025. The Seventh A&amp;R Credit Agreement also contains an affirmative covenant regarding the Company’s interest coverage ratio determined as of the end of each of its fiscal quarters, calculated as Adjusted EBITDA divided by interest expense, as described in the Seventh A&amp;R Credit Agreement. The minimum required interest coverage ratio is (i) 3.00 for each of the fiscal quarters within fiscal 2026, (ii) 3.25 for each of the fiscal quarters within fiscal 2027 and (iii) 3.50 for fiscal quarters thereafter. The Company’s interest coverage ratio was 5.05 at December 27, 2025.</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Seventh A&amp;R Credit Agreement allows the Company to make unlimited restricted payments (as defined in the Seventh A&amp;R Credit Agreement), including dividend payments on, and repurchases of, Common Shares, as long as the leverage ratio resulting from the making of such restricted payments is 4.00 or less.</w:t>
      </w:r>
      <w:r>
        <w:rPr>
          <w:color w:val="000000"/>
        </w:rPr>
        <w:t xml:space="preserve"> </w:t>
      </w:r>
      <w:r>
        <w:rPr>
          <w:rFonts w:ascii="Times New Roman;serif" w:hAnsi="Times New Roman;serif"/>
          <w:b w:val="false"/>
          <w:color w:val="000000"/>
          <w:sz w:val="20"/>
        </w:rPr>
        <w:t xml:space="preserve">Otherwise, the Company is limited to restricted payments in an aggregate amount for each fiscal year not to exceed $225.0.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86385"/>
                <wp:effectExtent l="0" t="0" r="0" b="0"/>
                <wp:wrapNone/>
                <wp:docPr id="13" name="Frame13"/>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15, 2016, Scotts Miracle-Gro issued $250.0 aggregate principal amount of 5.250% Senior Notes with a maturity date of December 15,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At December 27, 2025, the $250.0 aggregate principal amount of the 5.250% Senior Notes was reclassified to the “Current portion of debt” line in the Condensed Consolidated Balance Sheets as it is payable within one year.</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Substantially all of Scotts Miracle-Gro’s directly and indirectly owned domestic subsidiaries serve as guarantors of the 5.250% Senior Notes, the 4.500% Senior Notes, the 4.000% Senior Notes and the 4.375% Senior Notes (collectively, the “Senior Notes”).</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Swap Agreements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December 27, 2025, December 28, 2024 and September 30, 2025 had a maximum total U.S. dollar equivalent notional amount of $450.0. The notional amount, effective date, expiration date and rate of each of the swap agreements outstanding at December 27, 2025 are shown in the table below:</w:t>
      </w:r>
    </w:p>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Weighted Average Interest Rate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interest rates on the Company’s debt, including the impact of interest rate swaps, were 4.8% and 5.5% for the three months ended December 27, 2025 and December 28,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86385"/>
                <wp:effectExtent l="0" t="0" r="0" b="0"/>
                <wp:wrapNone/>
                <wp:docPr id="14" name="Frame14"/>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EQUITY (DEFICIT)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the changes in equity (deficit) for each of the periods indicated:</w:t>
      </w:r>
    </w:p>
    <w:tbl>
      <w:tblPr>
        <w:tblW w:w="10205" w:type="dxa"/>
        <w:jc w:val="left"/>
        <w:tblInd w:w="0" w:type="dxa"/>
        <w:tblLayout w:type="fixed"/>
        <w:tblCellMar>
          <w:top w:w="28" w:type="dxa"/>
          <w:left w:w="28" w:type="dxa"/>
          <w:bottom w:w="28" w:type="dxa"/>
          <w:right w:w="28" w:type="dxa"/>
        </w:tblCellMar>
      </w:tblPr>
      <w:tblGrid>
        <w:gridCol w:w="949"/>
        <w:gridCol w:w="693"/>
        <w:gridCol w:w="695"/>
        <w:gridCol w:w="394"/>
        <w:gridCol w:w="1152"/>
        <w:gridCol w:w="203"/>
        <w:gridCol w:w="109"/>
        <w:gridCol w:w="109"/>
        <w:gridCol w:w="109"/>
        <w:gridCol w:w="211"/>
        <w:gridCol w:w="616"/>
        <w:gridCol w:w="109"/>
        <w:gridCol w:w="109"/>
        <w:gridCol w:w="109"/>
        <w:gridCol w:w="109"/>
        <w:gridCol w:w="211"/>
        <w:gridCol w:w="665"/>
        <w:gridCol w:w="109"/>
        <w:gridCol w:w="109"/>
        <w:gridCol w:w="109"/>
        <w:gridCol w:w="109"/>
        <w:gridCol w:w="313"/>
        <w:gridCol w:w="941"/>
        <w:gridCol w:w="164"/>
        <w:gridCol w:w="109"/>
        <w:gridCol w:w="109"/>
        <w:gridCol w:w="109"/>
        <w:gridCol w:w="109"/>
        <w:gridCol w:w="109"/>
        <w:gridCol w:w="109"/>
        <w:gridCol w:w="109"/>
        <w:gridCol w:w="211"/>
        <w:gridCol w:w="665"/>
        <w:gridCol w:w="160"/>
      </w:tblGrid>
      <w:tr>
        <w:trPr/>
        <w:tc>
          <w:tcPr>
            <w:tcW w:w="94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 and Capital in</w:t>
              <w:br/>
              <w:t>Excess of 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br/>
              <w:t>(Deficit)</w:t>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27, 2025</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due to rounding.</w:t>
      </w:r>
    </w:p>
    <w:tbl>
      <w:tblPr>
        <w:tblW w:w="10205" w:type="dxa"/>
        <w:jc w:val="left"/>
        <w:tblInd w:w="0" w:type="dxa"/>
        <w:tblLayout w:type="fixed"/>
        <w:tblCellMar>
          <w:top w:w="28" w:type="dxa"/>
          <w:left w:w="28" w:type="dxa"/>
          <w:bottom w:w="28" w:type="dxa"/>
          <w:right w:w="28" w:type="dxa"/>
        </w:tblCellMar>
      </w:tblPr>
      <w:tblGrid>
        <w:gridCol w:w="949"/>
        <w:gridCol w:w="693"/>
        <w:gridCol w:w="695"/>
        <w:gridCol w:w="394"/>
        <w:gridCol w:w="1152"/>
        <w:gridCol w:w="203"/>
        <w:gridCol w:w="109"/>
        <w:gridCol w:w="109"/>
        <w:gridCol w:w="109"/>
        <w:gridCol w:w="211"/>
        <w:gridCol w:w="616"/>
        <w:gridCol w:w="109"/>
        <w:gridCol w:w="109"/>
        <w:gridCol w:w="109"/>
        <w:gridCol w:w="109"/>
        <w:gridCol w:w="211"/>
        <w:gridCol w:w="665"/>
        <w:gridCol w:w="109"/>
        <w:gridCol w:w="109"/>
        <w:gridCol w:w="109"/>
        <w:gridCol w:w="109"/>
        <w:gridCol w:w="313"/>
        <w:gridCol w:w="941"/>
        <w:gridCol w:w="164"/>
        <w:gridCol w:w="109"/>
        <w:gridCol w:w="109"/>
        <w:gridCol w:w="109"/>
        <w:gridCol w:w="109"/>
        <w:gridCol w:w="109"/>
        <w:gridCol w:w="109"/>
        <w:gridCol w:w="109"/>
        <w:gridCol w:w="211"/>
        <w:gridCol w:w="665"/>
        <w:gridCol w:w="160"/>
      </w:tblGrid>
      <w:tr>
        <w:trPr/>
        <w:tc>
          <w:tcPr>
            <w:tcW w:w="94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 and Capital in</w:t>
              <w:br/>
              <w:t>Excess of 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br/>
              <w:t>(Deficit)</w:t>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($0.66 per share)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 issuances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28, 2024</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86385"/>
                <wp:effectExtent l="0" t="0" r="0" b="0"/>
                <wp:wrapNone/>
                <wp:docPr id="15" name="Frame15"/>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Accumulated Other Comprehensive Loss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(“AOCL”) by component were as follows for each of the periods indicated:</w:t>
      </w:r>
    </w:p>
    <w:tbl>
      <w:tblPr>
        <w:tblW w:w="10205" w:type="dxa"/>
        <w:jc w:val="left"/>
        <w:tblInd w:w="0" w:type="dxa"/>
        <w:tblLayout w:type="fixed"/>
        <w:tblCellMar>
          <w:top w:w="28" w:type="dxa"/>
          <w:left w:w="28" w:type="dxa"/>
          <w:bottom w:w="28" w:type="dxa"/>
          <w:right w:w="28" w:type="dxa"/>
        </w:tblCellMar>
      </w:tblPr>
      <w:tblGrid>
        <w:gridCol w:w="1070"/>
        <w:gridCol w:w="615"/>
        <w:gridCol w:w="617"/>
        <w:gridCol w:w="109"/>
        <w:gridCol w:w="109"/>
        <w:gridCol w:w="109"/>
        <w:gridCol w:w="287"/>
        <w:gridCol w:w="720"/>
        <w:gridCol w:w="150"/>
        <w:gridCol w:w="109"/>
        <w:gridCol w:w="109"/>
        <w:gridCol w:w="109"/>
        <w:gridCol w:w="327"/>
        <w:gridCol w:w="654"/>
        <w:gridCol w:w="171"/>
        <w:gridCol w:w="109"/>
        <w:gridCol w:w="109"/>
        <w:gridCol w:w="109"/>
        <w:gridCol w:w="231"/>
        <w:gridCol w:w="627"/>
        <w:gridCol w:w="119"/>
        <w:gridCol w:w="109"/>
        <w:gridCol w:w="109"/>
        <w:gridCol w:w="109"/>
        <w:gridCol w:w="381"/>
        <w:gridCol w:w="952"/>
        <w:gridCol w:w="199"/>
        <w:gridCol w:w="109"/>
        <w:gridCol w:w="109"/>
        <w:gridCol w:w="109"/>
        <w:gridCol w:w="305"/>
        <w:gridCol w:w="913"/>
        <w:gridCol w:w="232"/>
      </w:tblGrid>
      <w:tr>
        <w:trPr/>
        <w:tc>
          <w:tcPr>
            <w:tcW w:w="107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br/>
              <w:t>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w:t>
              <w:br/>
              <w:t>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Loss 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w:t>
              <w:br/>
              <w:t>Benefit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The sum of the components may not equal due to rounding.</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Share Repurchases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19, 2025, the Company’s Board of Directors authorized a share repurchase program, with no expiration date, for the repurchase of up to $500.0 of Common Shares. There have been no share repurchases under this authorization as of December 27, 2025.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Share-Based Awards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26, 2026, the shareholders of Scotts Miracle-Gro approved an amendment and restatement of The Scotts Miracle-Gro Company Long-Term Incentive Plan which, among other changes, increases the maximum number of Common Shares available for grant to participants under the Plan by 2.75 million Common Shares.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Subsequent to December 27, 2025, the Company awarded performance-based award units, stock options and deferred stock units representing 0.7 million Common Shares to associates and members of the Board of Directors with an estimated grant date fair value of $25.5.</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compensation cost and the related income tax benefit associated with share-based awards included within net income (loss) from continuing operations was as follows for each of the periods indicated:</w:t>
      </w:r>
    </w:p>
    <w:tbl>
      <w:tblPr>
        <w:tblW w:w="5606" w:type="dxa"/>
        <w:jc w:val="left"/>
        <w:tblInd w:w="0" w:type="dxa"/>
        <w:tblLayout w:type="fixed"/>
        <w:tblCellMar>
          <w:top w:w="28" w:type="dxa"/>
          <w:left w:w="28" w:type="dxa"/>
          <w:bottom w:w="28" w:type="dxa"/>
          <w:right w:w="28" w:type="dxa"/>
        </w:tblCellMar>
      </w:tblPr>
      <w:tblGrid>
        <w:gridCol w:w="946"/>
        <w:gridCol w:w="830"/>
        <w:gridCol w:w="834"/>
        <w:gridCol w:w="318"/>
        <w:gridCol w:w="611"/>
        <w:gridCol w:w="165"/>
        <w:gridCol w:w="109"/>
        <w:gridCol w:w="109"/>
        <w:gridCol w:w="109"/>
        <w:gridCol w:w="278"/>
        <w:gridCol w:w="673"/>
        <w:gridCol w:w="143"/>
        <w:gridCol w:w="109"/>
        <w:gridCol w:w="109"/>
        <w:gridCol w:w="109"/>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902" w:type="dxa"/>
            <w:gridSpan w:val="10"/>
            <w:tcBorders/>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benefit recognized</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86385"/>
                <wp:effectExtent l="0" t="0" r="0" b="0"/>
                <wp:wrapNone/>
                <wp:docPr id="16" name="Frame16"/>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Restricted share-based awards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Restricted share-based award activity (including restricted stock units and deferred stock units) was as follows: </w:t>
      </w:r>
    </w:p>
    <w:tbl>
      <w:tblPr>
        <w:tblW w:w="6797" w:type="dxa"/>
        <w:jc w:val="left"/>
        <w:tblInd w:w="0" w:type="dxa"/>
        <w:tblLayout w:type="fixed"/>
        <w:tblCellMar>
          <w:top w:w="28" w:type="dxa"/>
          <w:left w:w="28" w:type="dxa"/>
          <w:bottom w:w="28" w:type="dxa"/>
          <w:right w:w="28" w:type="dxa"/>
        </w:tblCellMar>
      </w:tblPr>
      <w:tblGrid>
        <w:gridCol w:w="1304"/>
        <w:gridCol w:w="1146"/>
        <w:gridCol w:w="1149"/>
        <w:gridCol w:w="449"/>
        <w:gridCol w:w="451"/>
        <w:gridCol w:w="186"/>
        <w:gridCol w:w="109"/>
        <w:gridCol w:w="109"/>
        <w:gridCol w:w="109"/>
        <w:gridCol w:w="384"/>
        <w:gridCol w:w="1121"/>
        <w:gridCol w:w="280"/>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Wtd. Avg. Grant Date</w:t>
              <w:br/>
              <w:t>Fair Value per Unit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September 30,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478,924 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(372,795)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December 27,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481,828 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grant-date fair value of restricted share-based awards granted during the three months ended December 27, 2025 and December 28, 2024 was $58.30 and $75.36 per share, respectively. As of December 27, 2025, there was $4.7 of total unrecognized pre-tax compensation cost, net of estimated forfeitures, related to nonvested restricted share-based awards that is expected to be recognized over a weighted-average period of 1.4 years. The total fair value of restricted share-based awards vested during the three months ended December 27, 2025 and December 28, 2024 was $21.7 and $43.0, respectively.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2025, the Company granted short-term equity incentive compensation awards to certain associates in the form of restricted share-based award units in lieu of cash-based annual incentive awards. During the three months ended December 27, 2025, these fiscal 2025 awards representing 0.3 million Common Shares were granted and vested on the incentive payout date. The number of restricted share-based award units that the Company ultimately issued to participating associates was based on the incentive payout amount determined for each associate that was then converted into a variable number of restricted share-based award units based on the fair value of the Common Shares on the grant date.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2026, the Company is granting short-term equity incentive compensation awards to certain associates in the form of restricted share-based award units in lieu of cash-based annual incentive awards. The program is structured so the fiscal 2026 incentive grant, if any, will be made on or near the incentive payout date, subject to certain performance conditions and a service requirement. The number of restricted share-based award units that are ultimately issued to participating associates will be determined based on the incentive payout amount determined for each associate converted into a variable number of restricted share-based award units based on the fair value of the Common Shares on the grant date. The awards are classified as liability awards and, as of December 27, 2025, the Company had accrued $3.4 in the “Other current liabilities” line in the Condensed Consolidated Balance Sheets associated with these awards. As of December 27, 2025, there was $15.9 of total unrecognized pre-tax compensation cost related to these nonvested restricted share-based awards that is expected to be recognized over the remainder of fiscal 2026. The units associated with these awards are excluded from the table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86385"/>
                <wp:effectExtent l="0" t="0" r="0" b="0"/>
                <wp:wrapNone/>
                <wp:docPr id="17" name="Frame17"/>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 EARNINGS PER COMMON SHARE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necessary to calculate basic and diluted net loss per common share for the periods indicated:</w:t>
      </w:r>
    </w:p>
    <w:tbl>
      <w:tblPr>
        <w:tblW w:w="10205" w:type="dxa"/>
        <w:jc w:val="left"/>
        <w:tblInd w:w="0" w:type="dxa"/>
        <w:tblLayout w:type="fixed"/>
        <w:tblCellMar>
          <w:top w:w="28" w:type="dxa"/>
          <w:left w:w="28" w:type="dxa"/>
          <w:bottom w:w="28" w:type="dxa"/>
          <w:right w:w="28" w:type="dxa"/>
        </w:tblCellMar>
      </w:tblPr>
      <w:tblGrid>
        <w:gridCol w:w="2704"/>
        <w:gridCol w:w="2282"/>
        <w:gridCol w:w="2291"/>
        <w:gridCol w:w="224"/>
        <w:gridCol w:w="727"/>
        <w:gridCol w:w="116"/>
        <w:gridCol w:w="109"/>
        <w:gridCol w:w="109"/>
        <w:gridCol w:w="109"/>
        <w:gridCol w:w="247"/>
        <w:gridCol w:w="675"/>
        <w:gridCol w:w="127"/>
        <w:gridCol w:w="109"/>
        <w:gridCol w:w="109"/>
        <w:gridCol w:w="109"/>
        <w:gridCol w:w="158"/>
      </w:tblGrid>
      <w:tr>
        <w:trPr/>
        <w:tc>
          <w:tcPr>
            <w:tcW w:w="2704"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2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loss per common share:</w:t>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common share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loss per common share:</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common share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during the period plus dilutive potential common shares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outstanding</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Diluted average common shares used in the diluted net loss per common share calculation for the three months ended December 27, 2025 and December 28, 2024 were 57.9 million and 57.3 million, respectively, which excluded potential common shares of 0.9 million and 1.5 million, respectively, because the effect of their inclusion would be anti-dilutive as the Company incurred a net loss for the three months ended December 27, 2025 and December 28,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for the three months ended December 27, 2025 and December 28, 2024 were 24.5% and 27.3%,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year-end. </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2022. There are currently no ongoing audits with respect to the U.S. federal jurisdiction. With respect to foreign jurisdictions, a Canadian audit covering fiscal years 2020 through 2021 and a United Kingdom audit covering fiscal year 2023 are in process. The Company is currently under examination by certain U.S. state and local tax authorities covering various periods from fiscal years 2018 through 2022. In addition to the aforementioned audits, certain other tax deficiency notices and refund claims for previous years remain unresolved.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86385"/>
                <wp:effectExtent l="0" t="0" r="0" b="0"/>
                <wp:wrapNone/>
                <wp:docPr id="18" name="Frame18"/>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The OBBBA makes permanent key elements of the Tax Cuts and Jobs Act, including 100% bonus depreciation, domestic research cost expensing and the business interest expense limitations. The legislation has multiple effective dates, with certain provisions effective in fiscal year 2025 and others implemented through fiscal year 2027. The Company does not anticipate that these tax law changes will have a material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11. CONTINGENCIES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regularly evaluates the Company’s contingencies, including various judicial and administrative proceedings and claims arising in the ordinary course of business, relating to, among other things,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are adequate, both individually and in the aggregate; however, there can be no assurance that final resolution of these matters will not have a material effect on the Company’s financial condition, results of operations or cash flows.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Regulatory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December 27, 2025, the Company had recorded liabilities of $2.8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Other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The Company has not recorded any accruals in its condensed consolidated financial statements as the likelihood of a loss from these cases is not probable at this time. The Company does not believe a reasonably possible loss would be material to the Company’s financial condition, results of operations or cash flows. In addition, the Company does not believe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Beginning in June 2024, purported shareholders filed lawsuits in the United States District Court for the Southern District of Ohio on behalf of proposed classes of purchasers of Common Shares. The lawsuits were consolidated by the court as </w:t>
      </w:r>
      <w:r>
        <w:rPr>
          <w:rFonts w:ascii="Times New Roman;serif" w:hAnsi="Times New Roman;serif"/>
          <w:b w:val="false"/>
          <w:i/>
          <w:color w:val="000000"/>
          <w:sz w:val="20"/>
        </w:rPr>
        <w:t>In re The Scotts Miracle-Gro Company Securities Litigation</w:t>
      </w:r>
      <w:r>
        <w:rPr>
          <w:color w:val="000000"/>
        </w:rPr>
        <w:t xml:space="preserve"> </w:t>
      </w:r>
      <w:r>
        <w:rPr>
          <w:rFonts w:ascii="Times New Roman;serif" w:hAnsi="Times New Roman;serif"/>
          <w:b w:val="false"/>
          <w:color w:val="000000"/>
          <w:sz w:val="20"/>
        </w:rPr>
        <w:t xml:space="preserve">(Case No. 2:24-cv-03132). The amended consolidated complaint was filed on May 9, 2025 on behalf of a proposed class of purchasers of Common Shares between May 5, 2021, and August 1, 2023, and asserts claims under Section 10(b), Rule 10b-5 and Section 20(a) of the Exchange Act against the Company and certain of its current and former officers based on alleged misstatements about the Company’s inventories, sales and business prospects. The action seeks, among other things, unspecified monetary damages, reasonable costs and expenses and equitable/injunctive or other relief as deemed appropriate by the Court. The Company believes that the claims asserted are without merit and intends to vigorously defend the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86385"/>
                <wp:effectExtent l="0" t="0" r="0" b="0"/>
                <wp:wrapNone/>
                <wp:docPr id="19" name="Frame19"/>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Beginning in July 2024, purported shareholders filed a series of shareholder derivative lawsuits in state and federal courts in Ohio against certain of the Company’s current and former directors and officers. The lawsuits include allegations that generally mirror those asserted in the securities lawsuits described above and assert claims for breach of fiduciary duties, unjust enrichment, abuse of control, gross mismanagement and waste of corporate assets. The federal lawsuits also assert claims under the Exchange Act. The actions seek a judgment in favor of the Company for unspecified damages, disgorgement, interest and costs and expenses, including attorneys’ and experts’ fees.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other lawsuits and claims which arise in the normal course of business relating to advertising claims, securities matters, employment disputes and the enforcement and defense of intellectual property rights. These claims individually and in the aggregate are not expected to have a material effect on the Company’s financial condition,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DERIVATIVE INSTRUMENTS AND HEDGING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and amount of gain (loss) recognized in earnings and AOCL associated with derivative instruments did not have a material impact on the Company’s condensed consolidated financial statements for the three months ended December 27, 2025 and December 28, 2024.</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Exchange Rate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$134.1, $154.5 and $100.4 at December 27, 2025, December 28, 2024 and September 30, 2025, respectively. Contracts outstanding at December 27, 2025 will mature over the next fiscal quarter. </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December 27, 2025, December 28, 2024 and September 30, 2025 had a maximum total U.S. dollar equivalent notional amount of $450.0. Refer to “NOTE 7. DEBT” for the terms of the swap agreements outstanding at December 27, 2025. Gains and losses included in the AOCL balance at December 27, 2025 related to interest rate swap agreements that are expected to be reclassified to earnings during the next twelve months are not material.</w:t>
      </w:r>
    </w:p>
    <w:p>
      <w:pPr>
        <w:pStyle w:val="TextBody"/>
        <w:bidi w:val="0"/>
        <w:spacing w:lineRule="auto" w:line="288" w:before="16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Commodity Price Risk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hedging arrangements designed to fix the price of a portion of its projected future urea and diesel requirements. Commodity contracts are valued using observable commodity exchange prices in active markets. Gains and losses included in the AOCL balance at December 27, 2025 related to commodity hedges that are expected to be reclassified to earnings during the next twelve months are not material.</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outstanding commodity contracts that were entered into to hedge forecasted purchases:</w:t>
      </w:r>
    </w:p>
    <w:tbl>
      <w:tblPr>
        <w:tblW w:w="6814"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524"/>
        <w:gridCol w:w="524"/>
        <w:gridCol w:w="527"/>
        <w:gridCol w:w="109"/>
        <w:gridCol w:w="109"/>
        <w:gridCol w:w="109"/>
        <w:gridCol w:w="524"/>
        <w:gridCol w:w="524"/>
        <w:gridCol w:w="527"/>
        <w:gridCol w:w="109"/>
        <w:gridCol w:w="109"/>
        <w:gridCol w:w="109"/>
        <w:gridCol w:w="473"/>
        <w:gridCol w:w="473"/>
        <w:gridCol w:w="673"/>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 tons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 tons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Diesel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3,066,000 gallons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2,478,000 gallons</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Heating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1,302,000 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1,050,000 gallons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86385"/>
                <wp:effectExtent l="0" t="0" r="0" b="0"/>
                <wp:wrapNone/>
                <wp:docPr id="20" name="Frame20"/>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13. FAIR VALUE MEASUREMENTS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the Company’s assets and liabilities for which disclosure of fair value is required:</w:t>
      </w:r>
    </w:p>
    <w:p>
      <w:pPr>
        <w:pStyle w:val="TextBody"/>
        <w:bidi w:val="0"/>
        <w:spacing w:lineRule="auto" w:line="288" w:before="0" w:after="0"/>
        <w:ind w:left="0" w:right="0" w:firstLine="45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34"/>
        <w:gridCol w:w="627"/>
        <w:gridCol w:w="630"/>
        <w:gridCol w:w="109"/>
        <w:gridCol w:w="109"/>
        <w:gridCol w:w="109"/>
        <w:gridCol w:w="287"/>
        <w:gridCol w:w="287"/>
        <w:gridCol w:w="288"/>
        <w:gridCol w:w="109"/>
        <w:gridCol w:w="109"/>
        <w:gridCol w:w="109"/>
        <w:gridCol w:w="226"/>
        <w:gridCol w:w="436"/>
        <w:gridCol w:w="119"/>
        <w:gridCol w:w="109"/>
        <w:gridCol w:w="109"/>
        <w:gridCol w:w="109"/>
        <w:gridCol w:w="243"/>
        <w:gridCol w:w="468"/>
        <w:gridCol w:w="127"/>
        <w:gridCol w:w="109"/>
        <w:gridCol w:w="109"/>
        <w:gridCol w:w="109"/>
        <w:gridCol w:w="226"/>
        <w:gridCol w:w="436"/>
        <w:gridCol w:w="119"/>
        <w:gridCol w:w="109"/>
        <w:gridCol w:w="109"/>
        <w:gridCol w:w="109"/>
        <w:gridCol w:w="243"/>
        <w:gridCol w:w="468"/>
        <w:gridCol w:w="127"/>
        <w:gridCol w:w="109"/>
        <w:gridCol w:w="109"/>
        <w:gridCol w:w="109"/>
        <w:gridCol w:w="211"/>
        <w:gridCol w:w="511"/>
        <w:gridCol w:w="109"/>
        <w:gridCol w:w="109"/>
        <w:gridCol w:w="109"/>
        <w:gridCol w:w="109"/>
        <w:gridCol w:w="213"/>
        <w:gridCol w:w="518"/>
        <w:gridCol w:w="163"/>
      </w:tblGrid>
      <w:tr>
        <w:trPr/>
        <w:tc>
          <w:tcPr>
            <w:tcW w:w="83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Hierarchy</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in non-qualified retirement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 – revolving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2031 – 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2032 – 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2029 – 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2026 – 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Changes in the balance of Level 3 convertible debt investments carried at fair value are presented below. There were no transfers into or out of Level 3.</w:t>
      </w:r>
    </w:p>
    <w:tbl>
      <w:tblPr>
        <w:tblW w:w="8754" w:type="dxa"/>
        <w:jc w:val="left"/>
        <w:tblInd w:w="0" w:type="dxa"/>
        <w:tblLayout w:type="fixed"/>
        <w:tblCellMar>
          <w:top w:w="28" w:type="dxa"/>
          <w:left w:w="28" w:type="dxa"/>
          <w:bottom w:w="28" w:type="dxa"/>
          <w:right w:w="28" w:type="dxa"/>
        </w:tblCellMar>
      </w:tblPr>
      <w:tblGrid>
        <w:gridCol w:w="1950"/>
        <w:gridCol w:w="1714"/>
        <w:gridCol w:w="1720"/>
        <w:gridCol w:w="381"/>
        <w:gridCol w:w="922"/>
        <w:gridCol w:w="196"/>
        <w:gridCol w:w="109"/>
        <w:gridCol w:w="109"/>
        <w:gridCol w:w="109"/>
        <w:gridCol w:w="372"/>
        <w:gridCol w:w="901"/>
        <w:gridCol w:w="271"/>
      </w:tblGrid>
      <w:tr>
        <w:trPr/>
        <w:tc>
          <w:tcPr>
            <w:tcW w:w="195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period</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 unrealized gains (losses) included in net earnings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period</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2024, THC exchanged its convertible debt investment in RIV Capital for an investment in FLUENT. Refer to “NOTE 3. INVESTMENT IN UNCONSOLIDATED AFFILIATES” for further details.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amortized cost basis of convertible debt investments was $46.4, $44.4 and $44.4 at December 27, 2025, December 28, 2024 and September 30, 2025, respectively. At December 27, 2025, December 28, 2024 and September 30, 2025, gross unrealized losses on convertible debt investments were $19.8, $16.4 and $19.8, respectively, and there were no gross unrealized gains. These investments have been in a continuous unrealized loss position for greater than 12 months as of December 27, 2025. The allowance for expected credit losses was $1.9 at December 27, 2025, December 28, 2024 and September 30, 2025. At December 27, 2025, the weighted-average period until scheduled maturity of the Company’s convertible debt investments was 3.6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86385"/>
                <wp:effectExtent l="0" t="0" r="0" b="0"/>
                <wp:wrapNone/>
                <wp:docPr id="21" name="Frame21"/>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14. LEASES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December 27, 2025, the Company had entered into operating leases that were yet to commence with a combined total expected lease liability of $69.3. From time to time, the Company will sublease portions of its facilities, resulting in sublease income. Sublease income and the related cash flows were not material to the condensed consolidated financial statements for the three months ended December 27, 2025 and December 28, 2024.</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leases was as follows:</w:t>
      </w:r>
    </w:p>
    <w:tbl>
      <w:tblPr>
        <w:tblW w:w="9635" w:type="dxa"/>
        <w:jc w:val="left"/>
        <w:tblInd w:w="0" w:type="dxa"/>
        <w:tblLayout w:type="fixed"/>
        <w:tblCellMar>
          <w:top w:w="28" w:type="dxa"/>
          <w:left w:w="28" w:type="dxa"/>
          <w:bottom w:w="28" w:type="dxa"/>
          <w:right w:w="28" w:type="dxa"/>
        </w:tblCellMar>
      </w:tblPr>
      <w:tblGrid>
        <w:gridCol w:w="859"/>
        <w:gridCol w:w="753"/>
        <w:gridCol w:w="757"/>
        <w:gridCol w:w="969"/>
        <w:gridCol w:w="969"/>
        <w:gridCol w:w="972"/>
        <w:gridCol w:w="109"/>
        <w:gridCol w:w="109"/>
        <w:gridCol w:w="109"/>
        <w:gridCol w:w="247"/>
        <w:gridCol w:w="721"/>
        <w:gridCol w:w="127"/>
        <w:gridCol w:w="109"/>
        <w:gridCol w:w="109"/>
        <w:gridCol w:w="109"/>
        <w:gridCol w:w="247"/>
        <w:gridCol w:w="721"/>
        <w:gridCol w:w="127"/>
        <w:gridCol w:w="109"/>
        <w:gridCol w:w="109"/>
        <w:gridCol w:w="109"/>
        <w:gridCol w:w="255"/>
        <w:gridCol w:w="744"/>
        <w:gridCol w:w="186"/>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2934" w:type="dxa"/>
            <w:gridSpan w:val="12"/>
            <w:tcBorders/>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Components of lease cost were as follows:</w:t>
      </w:r>
    </w:p>
    <w:tbl>
      <w:tblPr>
        <w:tblW w:w="5905" w:type="dxa"/>
        <w:jc w:val="left"/>
        <w:tblInd w:w="0" w:type="dxa"/>
        <w:tblLayout w:type="fixed"/>
        <w:tblCellMar>
          <w:top w:w="28" w:type="dxa"/>
          <w:left w:w="28" w:type="dxa"/>
          <w:bottom w:w="28" w:type="dxa"/>
          <w:right w:w="28" w:type="dxa"/>
        </w:tblCellMar>
      </w:tblPr>
      <w:tblGrid>
        <w:gridCol w:w="1053"/>
        <w:gridCol w:w="925"/>
        <w:gridCol w:w="931"/>
        <w:gridCol w:w="278"/>
        <w:gridCol w:w="673"/>
        <w:gridCol w:w="143"/>
        <w:gridCol w:w="109"/>
        <w:gridCol w:w="109"/>
        <w:gridCol w:w="109"/>
        <w:gridCol w:w="278"/>
        <w:gridCol w:w="673"/>
        <w:gridCol w:w="143"/>
        <w:gridCol w:w="109"/>
        <w:gridCol w:w="109"/>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(a)</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(a)Operating lease cost includes amortization of right-of-use assets of $16.4 and $16.0 for the three months ended December 27, 2025 and December 28, 2024, respectively. Short-term lease expense is excluded from operating lease cost and is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86385"/>
                <wp:effectExtent l="0" t="0" r="0" b="0"/>
                <wp:wrapNone/>
                <wp:docPr id="22" name="Frame22"/>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and non-cash activity related to the Company’s leases were as follows:</w:t>
      </w:r>
    </w:p>
    <w:tbl>
      <w:tblPr>
        <w:tblW w:w="9347" w:type="dxa"/>
        <w:jc w:val="left"/>
        <w:tblInd w:w="0" w:type="dxa"/>
        <w:tblLayout w:type="fixed"/>
        <w:tblCellMar>
          <w:top w:w="28" w:type="dxa"/>
          <w:left w:w="28" w:type="dxa"/>
          <w:bottom w:w="28" w:type="dxa"/>
          <w:right w:w="28" w:type="dxa"/>
        </w:tblCellMar>
      </w:tblPr>
      <w:tblGrid>
        <w:gridCol w:w="2196"/>
        <w:gridCol w:w="1927"/>
        <w:gridCol w:w="1937"/>
        <w:gridCol w:w="109"/>
        <w:gridCol w:w="109"/>
        <w:gridCol w:w="166"/>
        <w:gridCol w:w="166"/>
        <w:gridCol w:w="323"/>
        <w:gridCol w:w="782"/>
        <w:gridCol w:w="166"/>
        <w:gridCol w:w="109"/>
        <w:gridCol w:w="109"/>
        <w:gridCol w:w="109"/>
        <w:gridCol w:w="274"/>
        <w:gridCol w:w="665"/>
        <w:gridCol w:w="200"/>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66" w:type="dxa"/>
            <w:gridSpan w:val="6"/>
            <w:tcBorders/>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Weighted-average remaining lease term and discount rate for the Company’s leases were as follows:</w:t>
      </w:r>
    </w:p>
    <w:tbl>
      <w:tblPr>
        <w:tblW w:w="6985" w:type="dxa"/>
        <w:jc w:val="left"/>
        <w:tblInd w:w="0" w:type="dxa"/>
        <w:tblLayout w:type="fixed"/>
        <w:tblCellMar>
          <w:top w:w="28" w:type="dxa"/>
          <w:left w:w="28" w:type="dxa"/>
          <w:bottom w:w="28" w:type="dxa"/>
          <w:right w:w="28" w:type="dxa"/>
        </w:tblCellMar>
      </w:tblPr>
      <w:tblGrid>
        <w:gridCol w:w="1603"/>
        <w:gridCol w:w="1408"/>
        <w:gridCol w:w="1413"/>
        <w:gridCol w:w="244"/>
        <w:gridCol w:w="244"/>
        <w:gridCol w:w="607"/>
        <w:gridCol w:w="109"/>
        <w:gridCol w:w="109"/>
        <w:gridCol w:w="109"/>
        <w:gridCol w:w="231"/>
        <w:gridCol w:w="231"/>
        <w:gridCol w:w="677"/>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leases </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by fiscal year for the Company’s leases as of December 27, 2025 were as follows:</w:t>
      </w:r>
    </w:p>
    <w:tbl>
      <w:tblPr>
        <w:tblW w:w="5662" w:type="dxa"/>
        <w:jc w:val="left"/>
        <w:tblInd w:w="0" w:type="dxa"/>
        <w:tblLayout w:type="fixed"/>
        <w:tblCellMar>
          <w:top w:w="28" w:type="dxa"/>
          <w:left w:w="28" w:type="dxa"/>
          <w:bottom w:w="28" w:type="dxa"/>
          <w:right w:w="28" w:type="dxa"/>
        </w:tblCellMar>
      </w:tblPr>
      <w:tblGrid>
        <w:gridCol w:w="872"/>
        <w:gridCol w:w="767"/>
        <w:gridCol w:w="775"/>
        <w:gridCol w:w="109"/>
        <w:gridCol w:w="109"/>
        <w:gridCol w:w="109"/>
        <w:gridCol w:w="307"/>
        <w:gridCol w:w="898"/>
        <w:gridCol w:w="159"/>
        <w:gridCol w:w="109"/>
        <w:gridCol w:w="109"/>
        <w:gridCol w:w="109"/>
        <w:gridCol w:w="296"/>
        <w:gridCol w:w="718"/>
        <w:gridCol w:w="216"/>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15. SEGMENT INFORMATION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classification of the Hawthorne business as a discontinued operation, the Company’s reportable segments for the fiscal quarter ended December 27, 2025 differ from prior periods. The prior period amounts have been reclassified to reflect the removal of Hawthorne as a reportable segment and from results of continuing operations. The Company has two operating segments: U.S. Consumer and Other; and one reportable segment: U.S. Consumer. Management has chosen to organize the entity primarily around differences in geographic areas. U.S. Consumer consists of the Company’s consumer lawn and garden business in the United States. Other primarily consists of the Company’s consumer lawn and garden business in Canada and does not meet any of the quantitative thresholds requiring separate reportable segment disclosures. This identification of operating segments is consistent with how the segments are managed by the Chief Executive Officer, who has been determined to be the chief operating decision maker (“CODM”) of the Company. The Company is not managed on a consolidated basis. In addition, Corporate consists of general and administrative expenses and certain other income and expense items not allocated to the Company’s operating segments. The accounting policies of the segments are the same as those described in the Company’s summary of 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86385"/>
                <wp:effectExtent l="0" t="0" r="0" b="0"/>
                <wp:wrapNone/>
                <wp:docPr id="23" name="Frame23"/>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CODM uses Segment Profit (Loss), which is defined as income (loss) from continuing operations before income taxes, amortization, impairment, restructuring and other charges (“Segment Profit (Loss)”), to evaluate segment performance, monitor actual results as compared to plan and inform resource allocation decisions. The Company believes this measure is indicative of performance trends and the overall earnings potential of each segment. Asset information and capital expenditures by segment are not provided to the CODM and they are not utilized for the purposes of assessing performance or allocating resources, and therefore such information has not been presented.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by segment and a reconciliation to the Company’s consolidated net sales for the periods indicated:</w:t>
      </w:r>
    </w:p>
    <w:tbl>
      <w:tblPr>
        <w:tblW w:w="6358" w:type="dxa"/>
        <w:jc w:val="left"/>
        <w:tblInd w:w="0" w:type="dxa"/>
        <w:tblLayout w:type="fixed"/>
        <w:tblCellMar>
          <w:top w:w="28" w:type="dxa"/>
          <w:left w:w="28" w:type="dxa"/>
          <w:bottom w:w="28" w:type="dxa"/>
          <w:right w:w="28" w:type="dxa"/>
        </w:tblCellMar>
      </w:tblPr>
      <w:tblGrid>
        <w:gridCol w:w="1215"/>
        <w:gridCol w:w="1069"/>
        <w:gridCol w:w="1076"/>
        <w:gridCol w:w="247"/>
        <w:gridCol w:w="721"/>
        <w:gridCol w:w="127"/>
        <w:gridCol w:w="109"/>
        <w:gridCol w:w="109"/>
        <w:gridCol w:w="109"/>
        <w:gridCol w:w="247"/>
        <w:gridCol w:w="721"/>
        <w:gridCol w:w="127"/>
        <w:gridCol w:w="109"/>
        <w:gridCol w:w="109"/>
        <w:gridCol w:w="109"/>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903" w:type="dxa"/>
            <w:gridSpan w:val="10"/>
            <w:tcBorders/>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 reportable segment</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Segment Profit (Loss), including the significant segment expenses provided to the CODM, and a reconciliation to loss from continuing operations before income taxes for the periods indicated:</w:t>
      </w:r>
    </w:p>
    <w:tbl>
      <w:tblPr>
        <w:tblW w:w="7212" w:type="dxa"/>
        <w:jc w:val="left"/>
        <w:tblInd w:w="0" w:type="dxa"/>
        <w:tblLayout w:type="fixed"/>
        <w:tblCellMar>
          <w:top w:w="28" w:type="dxa"/>
          <w:left w:w="28" w:type="dxa"/>
          <w:bottom w:w="28" w:type="dxa"/>
          <w:right w:w="28" w:type="dxa"/>
        </w:tblCellMar>
      </w:tblPr>
      <w:tblGrid>
        <w:gridCol w:w="1413"/>
        <w:gridCol w:w="1239"/>
        <w:gridCol w:w="1262"/>
        <w:gridCol w:w="267"/>
        <w:gridCol w:w="780"/>
        <w:gridCol w:w="138"/>
        <w:gridCol w:w="109"/>
        <w:gridCol w:w="109"/>
        <w:gridCol w:w="109"/>
        <w:gridCol w:w="211"/>
        <w:gridCol w:w="586"/>
        <w:gridCol w:w="109"/>
        <w:gridCol w:w="109"/>
        <w:gridCol w:w="211"/>
        <w:gridCol w:w="40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880" w:type="dxa"/>
            <w:gridSpan w:val="4"/>
            <w:tcBorders/>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(a)</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selling, general and administrative </w:t>
            </w:r>
            <w:r>
              <w:rPr>
                <w:rFonts w:ascii="Times New Roman;serif" w:hAnsi="Times New Roman;serif"/>
                <w:b w:val="false"/>
                <w:color w:val="000000"/>
                <w:sz w:val="13"/>
              </w:rPr>
              <w:t>(b)</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(c)</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 loss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impairment, restructuring and other </w:t>
            </w:r>
            <w:r>
              <w:rPr>
                <w:rFonts w:ascii="Times New Roman;serif" w:hAnsi="Times New Roman;serif"/>
                <w:b w:val="false"/>
                <w:color w:val="000000"/>
                <w:sz w:val="13"/>
              </w:rPr>
              <w:t>(e)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86385"/>
                <wp:effectExtent l="0" t="0" r="0" b="0"/>
                <wp:wrapNone/>
                <wp:docPr id="24" name="Frame24"/>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1413"/>
        <w:gridCol w:w="1239"/>
        <w:gridCol w:w="1262"/>
        <w:gridCol w:w="267"/>
        <w:gridCol w:w="780"/>
        <w:gridCol w:w="138"/>
        <w:gridCol w:w="109"/>
        <w:gridCol w:w="109"/>
        <w:gridCol w:w="109"/>
        <w:gridCol w:w="211"/>
        <w:gridCol w:w="586"/>
        <w:gridCol w:w="109"/>
        <w:gridCol w:w="109"/>
        <w:gridCol w:w="211"/>
        <w:gridCol w:w="40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December 28, 2024</w:t>
            </w:r>
          </w:p>
        </w:tc>
        <w:tc>
          <w:tcPr>
            <w:tcW w:w="880" w:type="dxa"/>
            <w:gridSpan w:val="4"/>
            <w:tcBorders/>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(a)</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selling, general and administrative </w:t>
            </w:r>
            <w:r>
              <w:rPr>
                <w:rFonts w:ascii="Times New Roman;serif" w:hAnsi="Times New Roman;serif"/>
                <w:b w:val="false"/>
                <w:color w:val="000000"/>
                <w:sz w:val="13"/>
              </w:rPr>
              <w:t>(b)</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(c)</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 loss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impairment, restructuring and other </w:t>
            </w:r>
            <w:r>
              <w:rPr>
                <w:rFonts w:ascii="Times New Roman;serif" w:hAnsi="Times New Roman;serif"/>
                <w:b w:val="false"/>
                <w:color w:val="000000"/>
                <w:sz w:val="13"/>
              </w:rPr>
              <w:t>(e)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r>
        <w:trPr/>
        <w:tc>
          <w:tcPr>
            <w:tcW w:w="54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20"/>
        </w:rPr>
        <w:t>(a)</w:t>
      </w:r>
      <w:r>
        <w:rPr>
          <w:color w:val="000000"/>
        </w:rPr>
        <w:t>“</w:t>
      </w:r>
      <w:r>
        <w:rPr>
          <w:rFonts w:ascii="Times New Roman;serif" w:hAnsi="Times New Roman;serif"/>
          <w:b w:val="false"/>
          <w:color w:val="000000"/>
          <w:sz w:val="20"/>
        </w:rPr>
        <w:t>Adjusted cost of sales” is defined as cost of sales excluding intangible asset amortization, and does not include activity classified as impairment, restructuring and other.</w:t>
      </w:r>
    </w:p>
    <w:p>
      <w:pPr>
        <w:pStyle w:val="TextBody"/>
        <w:bidi w:val="0"/>
        <w:spacing w:lineRule="auto" w:line="288" w:before="0" w:after="0"/>
        <w:ind w:left="0" w:right="0" w:hanging="720"/>
        <w:jc w:val="both"/>
        <w:rPr/>
      </w:pPr>
      <w:r>
        <w:rPr>
          <w:rFonts w:ascii="Times New Roman;serif" w:hAnsi="Times New Roman;serif"/>
          <w:b w:val="false"/>
          <w:color w:val="000000"/>
          <w:sz w:val="20"/>
        </w:rPr>
        <w:t>(b)</w:t>
      </w:r>
      <w:r>
        <w:rPr>
          <w:color w:val="000000"/>
        </w:rPr>
        <w:t>“</w:t>
      </w:r>
      <w:r>
        <w:rPr>
          <w:rFonts w:ascii="Times New Roman;serif" w:hAnsi="Times New Roman;serif"/>
          <w:b w:val="false"/>
          <w:color w:val="000000"/>
          <w:sz w:val="20"/>
        </w:rPr>
        <w:t>Adjusted selling, general and administrative” is defined as selling, general and administrative expenses excluding intangible asset amortization, and does not include activity classified as impairment, restructuring and other.</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(c)Other segment items is comprised of activities such as the discount on sales of accounts receivable under the Master Receivables Purchase Agreement, royalty income from the licensing of certain of the Company’s brand names and foreign exchange transaction gains and losses.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(d)The Company incurs costs attributable to corporate functions such as corporate finance, human resources, legal, communications, corporate affairs, corporate travel and corporate executive costs which are considered corporate costs of the Company and not allocated to the segments.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(e)Total impairment, restructuring and other is comprised of the activity classified within the “Cost of sales—impairment, restructuring and other” and “Impairment, restructuring and other” lines in the Condensed Consolidated Statements of Operations. Refer to “NOTE 4. IMPAIRMENT, RESTRUCTURING AND OTHER” for further details.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certain other segment disclosures for the periods indicated:</w:t>
      </w:r>
    </w:p>
    <w:tbl>
      <w:tblPr>
        <w:tblW w:w="5432" w:type="dxa"/>
        <w:jc w:val="left"/>
        <w:tblInd w:w="0" w:type="dxa"/>
        <w:tblLayout w:type="fixed"/>
        <w:tblCellMar>
          <w:top w:w="28" w:type="dxa"/>
          <w:left w:w="28" w:type="dxa"/>
          <w:bottom w:w="28" w:type="dxa"/>
          <w:right w:w="28" w:type="dxa"/>
        </w:tblCellMar>
      </w:tblPr>
      <w:tblGrid>
        <w:gridCol w:w="961"/>
        <w:gridCol w:w="846"/>
        <w:gridCol w:w="847"/>
        <w:gridCol w:w="278"/>
        <w:gridCol w:w="673"/>
        <w:gridCol w:w="143"/>
        <w:gridCol w:w="109"/>
        <w:gridCol w:w="109"/>
        <w:gridCol w:w="109"/>
        <w:gridCol w:w="278"/>
        <w:gridCol w:w="673"/>
        <w:gridCol w:w="143"/>
        <w:gridCol w:w="109"/>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Consumer </w:t>
            </w:r>
            <w:r>
              <w:rPr>
                <w:rFonts w:ascii="Times New Roman;serif" w:hAnsi="Times New Roman;serif"/>
                <w:b w:val="false"/>
                <w:color w:val="000000"/>
                <w:sz w:val="13"/>
              </w:rPr>
              <w:t>(a)</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(a)Includes certain advertising expenses paid for in Common Shares for the three months ended December 28,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86385"/>
                <wp:effectExtent l="0" t="0" r="0" b="0"/>
                <wp:wrapNone/>
                <wp:docPr id="25" name="Frame25"/>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9868" w:type="dxa"/>
        <w:jc w:val="left"/>
        <w:tblInd w:w="0" w:type="dxa"/>
        <w:tblLayout w:type="fixed"/>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(UNAUDITED) —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by product category for the periods indicated:</w:t>
      </w:r>
    </w:p>
    <w:tbl>
      <w:tblPr>
        <w:tblW w:w="6327" w:type="dxa"/>
        <w:jc w:val="left"/>
        <w:tblInd w:w="0" w:type="dxa"/>
        <w:tblLayout w:type="fixed"/>
        <w:tblCellMar>
          <w:top w:w="28" w:type="dxa"/>
          <w:left w:w="28" w:type="dxa"/>
          <w:bottom w:w="28" w:type="dxa"/>
          <w:right w:w="28" w:type="dxa"/>
        </w:tblCellMar>
      </w:tblPr>
      <w:tblGrid>
        <w:gridCol w:w="1204"/>
        <w:gridCol w:w="1059"/>
        <w:gridCol w:w="1066"/>
        <w:gridCol w:w="247"/>
        <w:gridCol w:w="721"/>
        <w:gridCol w:w="127"/>
        <w:gridCol w:w="109"/>
        <w:gridCol w:w="109"/>
        <w:gridCol w:w="109"/>
        <w:gridCol w:w="247"/>
        <w:gridCol w:w="721"/>
        <w:gridCol w:w="127"/>
        <w:gridCol w:w="109"/>
        <w:gridCol w:w="109"/>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903" w:type="dxa"/>
            <w:gridSpan w:val="10"/>
            <w:tcBorders/>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media and mulch</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Lawn care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primarily gardening</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media</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Lawn care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primarily gardening and controls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450"/>
        <w:jc w:val="both"/>
        <w:rPr/>
      </w:pPr>
      <w:r>
        <w:rPr/>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86385"/>
                <wp:effectExtent l="0" t="0" r="0" b="0"/>
                <wp:wrapNone/>
                <wp:docPr id="26" name="Frame26"/>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purpose of this Management’s Discussion and Analysis of Financial Condition and Results of Operations (“MD&amp;A”) is to provide an understanding of our financial condition and results of operations by focusing on changes in certain key measures from year-to-year. This MD&amp;A includes the following sections: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Executive summary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Segment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matters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Critical accounting estimates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This MD&amp;A should be read in conjunction with “Management’s Discussion and Analysis of Financial Condition and Results of Operations” included in Scotts Miracle-Gro’s Annual Report on Form 10-K for the fiscal year ended September 30, 2025 (the “2025 Annual Report”) and our condensed consolidated financial statements included in this Form 10-Q.</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U.S. Consumer consists of our consumer lawn and garden business in the United States. Other primarily consists of our consumer lawn and garden business in Canada. Corporate consists of general and administrative expenses and certain other income and expense items not allocated to the operating segments. See “SEGMENT RESULTS” below for additional information regarding our evaluation of segment performance.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Through our U.S. Consumer and Other segments, we are the leading marketer of branded consumer lawn and garden products in North America. Our products are marketed under some of the most recognized brand names in the industry. Our key consumer lawn and garden brands include Scotts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Turf Builder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lawn fertilizer and Scotts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grass seed products; Miracle-Gro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soil, plant food and gardening products; Ortho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herbicide and pesticide products; and Tomcat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rodent control and animal repellent products. We are the exclusive agent of Monsanto for the marketing and distribution of certain of Monsanto’s consumer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branded products within the United States and certain other specified countries. In addition, we have an equity interest in Bonnie Plants, LLC, a joint venture with AFC, focused on planting, growing, developing, distributing, marketing and selling live plants.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Due to the seasonal nature of the consumer lawn and garden business, significant portions of our U.S. Consumer and Other segment net sales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w:t>
      </w:r>
    </w:p>
    <w:tbl>
      <w:tblPr>
        <w:tblW w:w="4925" w:type="dxa"/>
        <w:jc w:val="left"/>
        <w:tblInd w:w="0" w:type="dxa"/>
        <w:tblLayout w:type="fixed"/>
        <w:tblCellMar>
          <w:top w:w="28" w:type="dxa"/>
          <w:left w:w="28" w:type="dxa"/>
          <w:bottom w:w="28" w:type="dxa"/>
          <w:right w:w="28" w:type="dxa"/>
        </w:tblCellMar>
      </w:tblPr>
      <w:tblGrid>
        <w:gridCol w:w="494"/>
        <w:gridCol w:w="433"/>
        <w:gridCol w:w="437"/>
        <w:gridCol w:w="255"/>
        <w:gridCol w:w="256"/>
        <w:gridCol w:w="364"/>
        <w:gridCol w:w="146"/>
        <w:gridCol w:w="146"/>
        <w:gridCol w:w="146"/>
        <w:gridCol w:w="255"/>
        <w:gridCol w:w="256"/>
        <w:gridCol w:w="364"/>
        <w:gridCol w:w="146"/>
        <w:gridCol w:w="146"/>
        <w:gridCol w:w="146"/>
        <w:gridCol w:w="255"/>
        <w:gridCol w:w="256"/>
        <w:gridCol w:w="42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5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Net Sales from Continuing </w:t>
              <w:br/>
              <w:t>Operations by Quarter</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60" w:after="283"/>
        <w:jc w:val="both"/>
        <w:rPr>
          <w:rFonts w:ascii="Times New Roman;serif" w:hAnsi="Times New Roman;serif"/>
          <w:b/>
          <w:i/>
          <w:color w:val="000000"/>
          <w:sz w:val="20"/>
        </w:rPr>
      </w:pPr>
      <w:r>
        <w:rPr>
          <w:rFonts w:ascii="Times New Roman;serif" w:hAnsi="Times New Roman;serif"/>
          <w:b/>
          <w:i/>
          <w:color w:val="000000"/>
          <w:sz w:val="20"/>
        </w:rPr>
        <w:t>Trends Affecting our Business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December 27, 2025, we determined that the Hawthorne business meets the criteria to be classified as held for sale, and we have reclassified the related assets and liabilities as held for sale on the Condensed Consolidated Balance Sheets for all periods presented. We expect the sale of the Hawthorne business to occur within twelve months from the date it met the held for sale criteria. We determined this represents a strategic shift, and therefore, effective in the first quarter of fiscal 2026, we classified our results of operations for all periods presented to reflect the Hawthorne business as a discontinued operation, including the Hawthorne professional horticulture business based in the Netherlands that was sold during the three months ended September 30, 2025. During the three months ended December 27, 2025, we recorded a non-cash pre-tax charge of $104.8 related to a valuation adjustment to recognize the carrying amount of the Hawthorne business at fair value less estimated costs to sell in the “Loss from discontinued operations, net of tax” line on the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86385"/>
                <wp:effectExtent l="0" t="0" r="0" b="0"/>
                <wp:wrapNone/>
                <wp:docPr id="27" name="Frame27"/>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impacts of macroeconomic conditions, including elevated interest rates and the impact of inflationary pressures on input costs and consumer behavior; as well as geopolitical uncertainty, including the duration and resolution of ongoing conflicts, potential escalation of tensions and global supply chain disruptions. We are also continuing to monitor ongoing changes to global trade policies, including the imposition of tariffs. The impact that these events and conditions will have on our operational and financial performance will depend on future developments, which are difficult to predict. For more information about factors that could impact our business, refer to “ITEM 1A. RISK FACTORS”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specifically stated, all discussion herein refers to results from our continuing operations. The following table sets forth the components of earnings as a percentage of net sales for the three months ended December 27, 2025 and December 28, 2024:</w:t>
      </w:r>
    </w:p>
    <w:tbl>
      <w:tblPr>
        <w:tblW w:w="9730" w:type="dxa"/>
        <w:jc w:val="left"/>
        <w:tblInd w:w="0" w:type="dxa"/>
        <w:tblLayout w:type="fixed"/>
        <w:tblCellMar>
          <w:top w:w="28" w:type="dxa"/>
          <w:left w:w="28" w:type="dxa"/>
          <w:bottom w:w="28" w:type="dxa"/>
          <w:right w:w="28" w:type="dxa"/>
        </w:tblCellMar>
      </w:tblPr>
      <w:tblGrid>
        <w:gridCol w:w="1604"/>
        <w:gridCol w:w="1402"/>
        <w:gridCol w:w="1418"/>
        <w:gridCol w:w="228"/>
        <w:gridCol w:w="749"/>
        <w:gridCol w:w="118"/>
        <w:gridCol w:w="109"/>
        <w:gridCol w:w="109"/>
        <w:gridCol w:w="109"/>
        <w:gridCol w:w="308"/>
        <w:gridCol w:w="308"/>
        <w:gridCol w:w="424"/>
        <w:gridCol w:w="109"/>
        <w:gridCol w:w="109"/>
        <w:gridCol w:w="109"/>
        <w:gridCol w:w="247"/>
        <w:gridCol w:w="721"/>
        <w:gridCol w:w="127"/>
        <w:gridCol w:w="109"/>
        <w:gridCol w:w="109"/>
        <w:gridCol w:w="109"/>
        <w:gridCol w:w="308"/>
        <w:gridCol w:w="308"/>
        <w:gridCol w:w="479"/>
      </w:tblGrid>
      <w:tr>
        <w:trPr/>
        <w:tc>
          <w:tcPr>
            <w:tcW w:w="160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Net Sales</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from continuing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sum of the components may not equal due to rounding.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86385"/>
                <wp:effectExtent l="0" t="0" r="0" b="0"/>
                <wp:wrapNone/>
                <wp:docPr id="28" name="Frame28"/>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for the three months ended December 27, 2025 were $354.4, a decrease of 3.3% from net sales of $366.6 for the three months ended December 28, 2024. Factors contributing to the change in net sales are outlined in the following table:</w:t>
      </w:r>
    </w:p>
    <w:tbl>
      <w:tblPr>
        <w:tblW w:w="4079" w:type="dxa"/>
        <w:jc w:val="left"/>
        <w:tblInd w:w="0" w:type="dxa"/>
        <w:tblLayout w:type="fixed"/>
        <w:tblCellMar>
          <w:top w:w="28" w:type="dxa"/>
          <w:left w:w="28" w:type="dxa"/>
          <w:bottom w:w="28" w:type="dxa"/>
          <w:right w:w="28" w:type="dxa"/>
        </w:tblCellMar>
      </w:tblPr>
      <w:tblGrid>
        <w:gridCol w:w="721"/>
        <w:gridCol w:w="635"/>
        <w:gridCol w:w="638"/>
        <w:gridCol w:w="109"/>
        <w:gridCol w:w="109"/>
        <w:gridCol w:w="109"/>
        <w:gridCol w:w="109"/>
        <w:gridCol w:w="336"/>
        <w:gridCol w:w="336"/>
        <w:gridCol w:w="977"/>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Volume and mix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Pricing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Foreign exchange rates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Change in net sales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net sales for the three months ended December 27, 2025 as compared to the three months ended December 28, 2024 was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sales volume in our U.S. Consumer segment driven by fertilizer, grass seed, plant food and controls products, partially offset by higher sales of soils products;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decreased net sales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marketing agreement;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partially offset by increased pricing in our U.S. Consumer segment.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cost of sales:</w:t>
      </w:r>
    </w:p>
    <w:tbl>
      <w:tblPr>
        <w:tblW w:w="7833" w:type="dxa"/>
        <w:jc w:val="left"/>
        <w:tblInd w:w="0" w:type="dxa"/>
        <w:tblLayout w:type="fixed"/>
        <w:tblCellMar>
          <w:top w:w="28" w:type="dxa"/>
          <w:left w:w="28" w:type="dxa"/>
          <w:bottom w:w="28" w:type="dxa"/>
          <w:right w:w="28" w:type="dxa"/>
        </w:tblCellMar>
      </w:tblPr>
      <w:tblGrid>
        <w:gridCol w:w="1643"/>
        <w:gridCol w:w="1444"/>
        <w:gridCol w:w="1458"/>
        <w:gridCol w:w="109"/>
        <w:gridCol w:w="109"/>
        <w:gridCol w:w="127"/>
        <w:gridCol w:w="127"/>
        <w:gridCol w:w="127"/>
        <w:gridCol w:w="127"/>
        <w:gridCol w:w="246"/>
        <w:gridCol w:w="722"/>
        <w:gridCol w:w="127"/>
        <w:gridCol w:w="109"/>
        <w:gridCol w:w="109"/>
        <w:gridCol w:w="109"/>
        <w:gridCol w:w="245"/>
        <w:gridCol w:w="716"/>
        <w:gridCol w:w="179"/>
      </w:tblGrid>
      <w:tr>
        <w:trPr/>
        <w:tc>
          <w:tcPr>
            <w:tcW w:w="164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67" w:type="dxa"/>
            <w:gridSpan w:val="6"/>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and warehousing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labor and overhead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Factors contributing to the change in cost of sales are outlined in the following table:</w:t>
      </w:r>
    </w:p>
    <w:tbl>
      <w:tblPr>
        <w:tblW w:w="6631" w:type="dxa"/>
        <w:jc w:val="left"/>
        <w:tblInd w:w="0" w:type="dxa"/>
        <w:tblLayout w:type="fixed"/>
        <w:tblCellMar>
          <w:top w:w="28" w:type="dxa"/>
          <w:left w:w="28" w:type="dxa"/>
          <w:bottom w:w="28" w:type="dxa"/>
          <w:right w:w="28" w:type="dxa"/>
        </w:tblCellMar>
      </w:tblPr>
      <w:tblGrid>
        <w:gridCol w:w="1648"/>
        <w:gridCol w:w="1446"/>
        <w:gridCol w:w="1451"/>
        <w:gridCol w:w="109"/>
        <w:gridCol w:w="109"/>
        <w:gridCol w:w="109"/>
        <w:gridCol w:w="109"/>
        <w:gridCol w:w="366"/>
        <w:gridCol w:w="1017"/>
        <w:gridCol w:w="267"/>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mix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associated with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 changes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rates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cost of sales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The decrease in cost of sales for the three months ended December 27, 2025 as compared to the three months ended December 28, 2024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lower sales volume in our U.S. Consumer segment;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manufacturing costs included within “volume, mix and other” in our U.S. Consumer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costs associated with the 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marketing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86385"/>
                <wp:effectExtent l="0" t="0" r="0" b="0"/>
                <wp:wrapNone/>
                <wp:docPr id="29" name="Frame29"/>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percentage of net sales, our gross margin rate was 25.0% and 24.1% for the three months ended December 27, 2025 and December 28, 2024, respectively. Factors contributing to the change in gross margin rate are outlined in the following table:</w:t>
      </w:r>
    </w:p>
    <w:tbl>
      <w:tblPr>
        <w:tblW w:w="5849" w:type="dxa"/>
        <w:jc w:val="left"/>
        <w:tblInd w:w="0" w:type="dxa"/>
        <w:tblLayout w:type="fixed"/>
        <w:tblCellMar>
          <w:top w:w="28" w:type="dxa"/>
          <w:left w:w="28" w:type="dxa"/>
          <w:bottom w:w="28" w:type="dxa"/>
          <w:right w:w="28" w:type="dxa"/>
        </w:tblCellMar>
      </w:tblPr>
      <w:tblGrid>
        <w:gridCol w:w="1356"/>
        <w:gridCol w:w="1198"/>
        <w:gridCol w:w="1210"/>
        <w:gridCol w:w="109"/>
        <w:gridCol w:w="109"/>
        <w:gridCol w:w="109"/>
        <w:gridCol w:w="109"/>
        <w:gridCol w:w="336"/>
        <w:gridCol w:w="336"/>
        <w:gridCol w:w="977"/>
      </w:tblGrid>
      <w:tr>
        <w:trPr/>
        <w:tc>
          <w:tcPr>
            <w:tcW w:w="135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mix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Roundup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commissions and reimbursements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gross margin 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The increase in gross margin rate for the three months ended December 27, 2025 as compared to the three months ended December 28, 2024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pricing in our U.S. Consumer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lower manufacturing costs included within “volume, mix and other” in our U.S. Consumer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partially offset by unfavorable leverage of fixed costs, included within “volume, mix and other,” driven by lower sales volume in our U.S. Consumer segment.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selling, general and administrative expenses (“SG&amp;A”):</w:t>
      </w:r>
    </w:p>
    <w:tbl>
      <w:tblPr>
        <w:tblW w:w="6707" w:type="dxa"/>
        <w:jc w:val="left"/>
        <w:tblInd w:w="0" w:type="dxa"/>
        <w:tblLayout w:type="fixed"/>
        <w:tblCellMar>
          <w:top w:w="28" w:type="dxa"/>
          <w:left w:w="28" w:type="dxa"/>
          <w:bottom w:w="28" w:type="dxa"/>
          <w:right w:w="28" w:type="dxa"/>
        </w:tblCellMar>
      </w:tblPr>
      <w:tblGrid>
        <w:gridCol w:w="1234"/>
        <w:gridCol w:w="1087"/>
        <w:gridCol w:w="1098"/>
        <w:gridCol w:w="109"/>
        <w:gridCol w:w="109"/>
        <w:gridCol w:w="127"/>
        <w:gridCol w:w="127"/>
        <w:gridCol w:w="127"/>
        <w:gridCol w:w="127"/>
        <w:gridCol w:w="246"/>
        <w:gridCol w:w="722"/>
        <w:gridCol w:w="127"/>
        <w:gridCol w:w="109"/>
        <w:gridCol w:w="109"/>
        <w:gridCol w:w="109"/>
        <w:gridCol w:w="245"/>
        <w:gridCol w:w="716"/>
        <w:gridCol w:w="179"/>
      </w:tblGrid>
      <w:tr>
        <w:trPr/>
        <w:tc>
          <w:tcPr>
            <w:tcW w:w="1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67"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SG&amp;A decreased $7.5, or 6.6%, during the three months ended December 27, 2025 compared to the three months ended December 28, 2024. Advertising expense increased $3.6, or 20.6%, due to higher media spending in our U.S. Consumer segment. Share-based compensation expense, which excludes certain advertising expenses paid for in Common Shares for the three months ended December 28, 2024, decreased $5.0, or 42.7%, due to lower long-term incentive compensation expense. Other SG&amp;A decreased $9.3, or 12.1%, driven by lower short-term variable cash incentive compensation expense partially offset by higher marketing spend.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86385"/>
                <wp:effectExtent l="0" t="0" r="0" b="0"/>
                <wp:wrapNone/>
                <wp:docPr id="30" name="Frame30"/>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Impairment, Restructuring and Other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tbl>
      <w:tblPr>
        <w:tblW w:w="8209" w:type="dxa"/>
        <w:jc w:val="left"/>
        <w:tblInd w:w="0" w:type="dxa"/>
        <w:tblLayout w:type="fixed"/>
        <w:tblCellMar>
          <w:top w:w="28" w:type="dxa"/>
          <w:left w:w="28" w:type="dxa"/>
          <w:bottom w:w="28" w:type="dxa"/>
          <w:right w:w="28" w:type="dxa"/>
        </w:tblCellMar>
      </w:tblPr>
      <w:tblGrid>
        <w:gridCol w:w="1750"/>
        <w:gridCol w:w="1538"/>
        <w:gridCol w:w="1542"/>
        <w:gridCol w:w="109"/>
        <w:gridCol w:w="109"/>
        <w:gridCol w:w="150"/>
        <w:gridCol w:w="150"/>
        <w:gridCol w:w="150"/>
        <w:gridCol w:w="150"/>
        <w:gridCol w:w="318"/>
        <w:gridCol w:w="613"/>
        <w:gridCol w:w="164"/>
        <w:gridCol w:w="109"/>
        <w:gridCol w:w="109"/>
        <w:gridCol w:w="109"/>
        <w:gridCol w:w="274"/>
        <w:gridCol w:w="665"/>
        <w:gridCol w:w="200"/>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66" w:type="dxa"/>
            <w:gridSpan w:val="6"/>
            <w:tcBorders/>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exchange of convertible debt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restructuring and other charges,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Impairment, restructuring and other charges for the three months ended December 27, 2025 were not material.</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28, 2024, we incurred executive severance charges of $9.5 in the “Impairment, restructuring and other” line in the Condensed Consolidated Statements of Operations.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28, 2024, we incurred a non-cash loss of $7.0 in the “Impairment, restructuring and other” line in the Condensed Consolidated Statements of Operations related to the exchange of our convertible debt investment in RIV Capital for an investment in FLUENT.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fiscal 2022, we began implementing a series of Company-wide organizational changes and initiatives intended to create operational and management-level efficiencies. As part of this restructuring initiative, we reduced the size of our supply chain network, reduced staffing levels and implemented other cost-reduction initiatives. During the three months ended December 28, 2024, we incurred costs of $1.4 in our U.S. Consumer segment in the “Cost of sales—impairment, restructuring and other” line in the Condensed Consolidated Statements of Operations associated with this restructuring initiative.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is comprised of activities such as the discount on sales of accounts receivable under the Master Receivables Purchase Agreement, royalty income from the licensing of certain of our brand names and foreign exchange transaction gains and losses. Other expense was $2.7 and $4.3 for the three months ended December 27, 2025 and December 28, 2024,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Loss from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Loss from operations was $21.8 for the three months ended December 27, 2025, a decrease of 52.4% compared to $45.8 for the three months ended December 28, 2024. The decrease was primarily driven by a higher gross margin rate, lower impairment, restructuring, and other charges and lower SG&amp;A, partially offset by lower net sales.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Equity in Loss of Unconsolidated Affiliates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Equity in loss of unconsolidated affiliates was $13.1 and $9.9 during the three months ended December 27, 2025 and December 28, 2024, respectively. Equity in loss of unconsolidated affiliates associated with Bonnie Plants, LLC was $10.6 and $9.9 during the three months ended December 27, 2025 and December 28, 2024, respectively. We anticipated a net loss for Bonnie Plants, LLC in the first quarter due to the seasonal nature of its business, in which sales are heavily weighted to the spring and summer selling periods. Equity in loss of unconsolidated affiliates associated with FLUENT was $2.6 during the three months ended December 27, 2025, which reduced the balance of this investment to zero as of December 27, 2025, and resulted in the discontinuation of equity method recognition of our proportionate share of FLUENT losses.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was $27.2 for the three months ended December 27, 2025, a decrease of 19.8% compared to $33.9 for the three months ended December 28, 2024. The decrease was driven by lower average borrowings of $172.8 and a decrease in our weighted average interest rate, net of the impact of interest rate swaps, of 80 basis points. The decrease in average borrowings was driven by our focus on using available cash flow to reduce our debt. The decrease in our weighted average interest rate was primarily driven by lower borrowing rates under the Seventh A&amp;R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86385"/>
                <wp:effectExtent l="0" t="0" r="0" b="0"/>
                <wp:wrapNone/>
                <wp:docPr id="31" name="Frame31"/>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Income Tax Benefit from Continuing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months ended December 27, 2025 and December 28, 2024 were 24.5% and 27.3%,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Net Loss from Continuing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loss from continuing operations was $47.8, or $0.83 per diluted share, for the three months ended December 27, 2025 compared to $66.1, or $1.15 per diluted share, for the three months ended December 28, 2024. The decrease was driven by a higher gross margin rate, lower impairment, restructuring, and other charges, lower SG&amp;A and lower interest expense, partially offset by lower net sales, higher equity in loss of unconsolidated affiliates and lower income tax benefit.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Diluted average common shares used in the diluted net loss per common share from continuing operations calculation for the three months ended December 27, 2025 and December 28, 2024 were 57.9 million and 57.3 million, respectively, which excluded potential common shares of 0.9 million and 1.5 million, respectively, because the effect of their inclusion would be anti-dilutive as we incurred a net loss for the three months ended December 27, 2025 and December 28, 2024. The increase in diluted average common shares was primarily the result of the exercise and issuance of share-based compensation awards.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Loss from Discontinued Operations, net of tax</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Loss from discontinued operations, net of tax, associated with our Hawthorne business was $77.2 and $3.4 for the three months ended December 27, 2025 and December 28, 2024, respectively. During the three months ended December 27, 2025, we recorded a non-cash pre-tax charge of $104.8 related to a valuation adjustment to recognize the carrying amount of the Hawthorne business at fair value less estimated costs to sell.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classification of the Hawthorne business as a discontinued operation, our reportable segments for the fiscal quarter ended December 27, 2025 differ from prior periods. The prior period amounts have been reclassified to reflect the removal of Hawthorne as a reportable segment. Segment performance is evaluated based on several factors, including income (loss) from continuing operations before income taxes, amortization, impairment, restructuring and other charges (“Segment Profit (Loss)”), which is a non-GAAP financial measure. We believe this measure is indicative of performance trends and the overall earnings potential of each segment.</w:t>
      </w:r>
    </w:p>
    <w:p>
      <w:pPr>
        <w:pStyle w:val="TextBody"/>
        <w:bidi w:val="0"/>
        <w:spacing w:lineRule="auto" w:line="288" w:before="1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net sales by segment:</w:t>
      </w:r>
    </w:p>
    <w:tbl>
      <w:tblPr>
        <w:tblW w:w="6648" w:type="dxa"/>
        <w:jc w:val="left"/>
        <w:tblInd w:w="0" w:type="dxa"/>
        <w:tblLayout w:type="fixed"/>
        <w:tblCellMar>
          <w:top w:w="28" w:type="dxa"/>
          <w:left w:w="28" w:type="dxa"/>
          <w:bottom w:w="28" w:type="dxa"/>
          <w:right w:w="28" w:type="dxa"/>
        </w:tblCellMar>
      </w:tblPr>
      <w:tblGrid>
        <w:gridCol w:w="1215"/>
        <w:gridCol w:w="1069"/>
        <w:gridCol w:w="1076"/>
        <w:gridCol w:w="109"/>
        <w:gridCol w:w="109"/>
        <w:gridCol w:w="127"/>
        <w:gridCol w:w="127"/>
        <w:gridCol w:w="127"/>
        <w:gridCol w:w="127"/>
        <w:gridCol w:w="246"/>
        <w:gridCol w:w="722"/>
        <w:gridCol w:w="127"/>
        <w:gridCol w:w="109"/>
        <w:gridCol w:w="109"/>
        <w:gridCol w:w="109"/>
        <w:gridCol w:w="245"/>
        <w:gridCol w:w="716"/>
        <w:gridCol w:w="179"/>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67" w:type="dxa"/>
            <w:gridSpan w:val="6"/>
            <w:tcBorders/>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 reportable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86385"/>
                <wp:effectExtent l="0" t="0" r="0" b="0"/>
                <wp:wrapNone/>
                <wp:docPr id="32" name="Frame32"/>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Segment Profit (Loss) as well as a reconciliation to loss from continuing operations before income taxes, the most directly comparable measure prepared in accordance with GAAP:</w:t>
      </w:r>
    </w:p>
    <w:tbl>
      <w:tblPr>
        <w:tblW w:w="8444" w:type="dxa"/>
        <w:jc w:val="left"/>
        <w:tblInd w:w="0" w:type="dxa"/>
        <w:tblLayout w:type="fixed"/>
        <w:tblCellMar>
          <w:top w:w="28" w:type="dxa"/>
          <w:left w:w="28" w:type="dxa"/>
          <w:bottom w:w="28" w:type="dxa"/>
          <w:right w:w="28" w:type="dxa"/>
        </w:tblCellMar>
      </w:tblPr>
      <w:tblGrid>
        <w:gridCol w:w="1863"/>
        <w:gridCol w:w="1638"/>
        <w:gridCol w:w="1643"/>
        <w:gridCol w:w="109"/>
        <w:gridCol w:w="109"/>
        <w:gridCol w:w="130"/>
        <w:gridCol w:w="130"/>
        <w:gridCol w:w="130"/>
        <w:gridCol w:w="130"/>
        <w:gridCol w:w="255"/>
        <w:gridCol w:w="709"/>
        <w:gridCol w:w="131"/>
        <w:gridCol w:w="109"/>
        <w:gridCol w:w="109"/>
        <w:gridCol w:w="109"/>
        <w:gridCol w:w="253"/>
        <w:gridCol w:w="703"/>
        <w:gridCol w:w="184"/>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67" w:type="dxa"/>
            <w:gridSpan w:val="6"/>
            <w:tcBorders/>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Consumer Segment Profit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operating segment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continuing operations before income taxes (GAAP)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U.S. Consumer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U.S. Consumer segment net sales were $328.5 in the first quarter of fiscal 2026, a decrease of 3.6% from first quarter of fiscal 2025 net sales of $340.9. The decrease was driven by lower sales volume of 5.4%, partially offset by increased pricing of 1.8%. Lower sales volume was driven by fertilizer, grass seed, plant food and controls products, partially offset by higher sales of soils products.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U.S. Consumer Segment Profit was $9.0 in the first quarter of fiscal 2026, a decrease from first quarter of fiscal 2025 Segment Profit of $9.8. The decrease was due to lower net sales, partially offset by a higher gross margin rate.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segment net sales were $25.9 in the first quarter of fiscal 2026, an increase of 0.8% from the first quarter of fiscal 2025 net sales of $25.7. The increase was driven by increased pricing of 1.6% and favorable foreign exchange rates of 1.2%, partially offset by lower sales volume of 2.0%.</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segment loss was $1.7 in the first quarter of fiscal 2026, a decrease from first quarter of fiscal 2025 segment loss of $3.1.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Corporate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Corporate expenses were $25.3 in the first quarter of fiscal 2026, a decrease of 25.4% from first quarter of fiscal 2025 expenses of $33.9. The decrease was driven by lower short-term variable incentive compensation expense and lower share-based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cash activities:</w:t>
      </w:r>
    </w:p>
    <w:tbl>
      <w:tblPr>
        <w:tblW w:w="6025" w:type="dxa"/>
        <w:jc w:val="left"/>
        <w:tblInd w:w="0" w:type="dxa"/>
        <w:tblLayout w:type="fixed"/>
        <w:tblCellMar>
          <w:top w:w="28" w:type="dxa"/>
          <w:left w:w="28" w:type="dxa"/>
          <w:bottom w:w="28" w:type="dxa"/>
          <w:right w:w="28" w:type="dxa"/>
        </w:tblCellMar>
      </w:tblPr>
      <w:tblGrid>
        <w:gridCol w:w="1253"/>
        <w:gridCol w:w="1104"/>
        <w:gridCol w:w="1107"/>
        <w:gridCol w:w="228"/>
        <w:gridCol w:w="749"/>
        <w:gridCol w:w="118"/>
        <w:gridCol w:w="109"/>
        <w:gridCol w:w="109"/>
        <w:gridCol w:w="109"/>
        <w:gridCol w:w="227"/>
        <w:gridCol w:w="746"/>
        <w:gridCol w:w="166"/>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w:t>
              <w:br/>
              <w:t>2024</w:t>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466" w:type="dxa"/>
            <w:gridSpan w:val="6"/>
            <w:tcBorders/>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used in operating activities totaled $370.4 for the three months ended December 27, 2025, a decrease of $74.9 compared to $445.3 for the three months ended December 28, 2024. This decrease was driven by the timing of inventory production and lower payments to customers related to promotional programs, partially offset by higher short-term variable cash incentive compensation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86385"/>
                <wp:effectExtent l="0" t="0" r="0" b="0"/>
                <wp:wrapNone/>
                <wp:docPr id="33" name="Frame33"/>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totaled $21.8 for the three months ended December 27, 2025, a decrease of $1.5 compared to $23.3 for the three months ended December 28, 2024. Cash used for investments in property, plant and equipment during the first three months of fiscal 2026 and 2025 was $20.0 and $29.3, respectively, driven by the timing of spending on capital projects. During the three months ended December 27, 2025 and December 28, 2024, we had net other investing cash (outflows) inflows of $(1.8) and $6.0, respectively.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totaled $366.8 for the three months ended December 27, 2025 compared to $407.7 for the three months ended December 28, 2024. During the three months ended December 27, 2025, we had net borrowings on our debt instruments of $422.5 due to our seasonal working capital build. We also paid dividends of $38.3, financing and issuance fees of $8.6 and repurchased Common Shares for $8.3 (which represents cash paid to tax authorities to satisfy statutory income tax withholding obligations related to share-based compensation). During the three months ended December 28, 2024, we had net borrowings on our debt instruments of $464.8, paid dividends of $39.2 and repurchased Common Shares for $15.6 (which represents cash paid to tax authorities to satisfy statutory income tax withholding obligations related to share-based compensation).</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19, 2025, the Company’s Board of Directors authorized a share repurchase program, with no expiration date, for the repurchase of up to $500.0 of Common Shares. There have been no share repurchases under this authorization as of December 27, 2025.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Accounts Receivable Sales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a Master Receivables Purchase Agreement, which is uncommitted and expires on September 1, 2026, under which we may sell up to $750.0 of available and eligible outstanding customer accounts receivable generated by sales to five specified customers. 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We record the discount on sales in the “Other expense, net” line in the Condensed Consolidated Statements of Operations. At December 27, 2025, December 28, 2024 and September 30, 2025, net receivables derecognized were $220.3, $236.7 and $163.3, respectively. During the three months ended December 27, 2025 and December 28, 2024, proceeds from the sale of receivables under the Master Receivables Purchase Agreement totaled $254.6 and $274.0, respectively, and the total discount recorded on sales was $2.9 and $3.3,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Supplier Finance Program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an agreement to provide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 obligations under our supplier finance program were $30.7, $26.7 and $13.9 at December 27, 2025, December 28, 2024 and September 30, 2025, respectively, and are recorded within accounts payable in the Condensed Consolidated Balance Sheets. The associated payments were $68.0 and $72.7 for the three months ended December 27, 2025 and December 28, 2024, respectively, and are classified as operating activities in the Condensed Consolidated Statements of Cash Flows.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were held in cash depository accounts with major financial institutions around the world or invested in high-quality, short-term liquid investments having original maturities of three months or less. The cash and cash equivalents balances, including cash and cash equivalents classified within current assets held for sale, of $11.3, $9.8 and $36.6 as of December 27, 2025, December 28, 2024 and September 30, 2025, respectively, included $7.2, $6.1 and $4.2, respectively, held by controlled foreign corporations. As of December 27, 2025, we maintain our assertion of indefinite reinvestment of the earnings of all material foreign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86385"/>
                <wp:effectExtent l="0" t="0" r="0" b="0"/>
                <wp:wrapNone/>
                <wp:docPr id="34" name="Frame34"/>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Borrowing Agreements</w:t>
      </w:r>
    </w:p>
    <w:p>
      <w:pPr>
        <w:pStyle w:val="TextBody"/>
        <w:bidi w:val="0"/>
        <w:spacing w:lineRule="auto" w:line="288" w:before="160" w:after="283"/>
        <w:ind w:left="0" w:right="0" w:firstLine="180"/>
        <w:jc w:val="left"/>
        <w:rPr>
          <w:rFonts w:ascii="Times New Roman;serif" w:hAnsi="Times New Roman;serif"/>
          <w:b/>
          <w:i/>
          <w:color w:val="000000"/>
          <w:sz w:val="20"/>
          <w:u w:val="single"/>
        </w:rPr>
      </w:pPr>
      <w:r>
        <w:rPr>
          <w:rFonts w:ascii="Times New Roman;serif" w:hAnsi="Times New Roman;serif"/>
          <w:b/>
          <w:i/>
          <w:color w:val="000000"/>
          <w:sz w:val="20"/>
          <w:u w:val="single"/>
        </w:rPr>
        <w:t>Credit Facilities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are cash generated by operations and borrowings under our credit facilities, which are guaranteed by substantially all of Scotts Miracle-Gro’s domestic subsidiaries. On November 21, 2025, we entered into the Seventh A&amp;R Credit Agreement, providing the Company and certain of its subsidiaries with five-year senior secured loan facilities in the aggregate principal amount of $2,000.0, comprised of a revolving credit facility of $1,500.0 and a term loan in the original principal amount of $500.0. The Seventh A&amp;R Credit Agreement also provides us with the right to seek additional committed credit under the agreement in an aggregate amount of up to $500.0 plus an unlimited additional amount, subject to certain specified financial and other conditions. The Seventh A&amp;R Credit Agreement will be available for issuance of letters of credit up to $100.0 and will terminate on November 21, 2030. The terms of the Seventh A&amp;R Credit Agreement include customary representations and warranties, affirmative and negative covenants, financial covenants and events of default.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Borrowings under the Seventh A&amp;R Credit Agreement bear interest at variable rates derived from the prevailing U.S. Prime Rate, Federal Reserve Bank of New York Rate, Secured Overnight Financing Rate, Euro Interbank Offered Rate, Canadian Prime Rate or Canadian Overnight Repo Rate Average (all as defined in the Seventh A&amp;R Credit Agreement), based on our election, plus a spread that depends on our quarterly-tested leverage ratio.</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December 27, 2025, we had letters of credit outstanding in the aggregate principal amount of $93.2, and had $979.8 of borrowing availability under the Seventh A&amp;R Credit Agreement. The weighted average interest rates on average borrowings under the credit facilities, excluding the impact of interest rate swaps, were 7.0% and 8.5% for the three months ended December 27, 2025 and December 28, 2024, respectively.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A&amp;R Credit Agreement contains, among other obligations, an affirmative covenant regarding our leverage ratio determined as of the end of each of our fiscal quarters, calculated as average total indebtedness divided by our Adjusted EBITDA. The maximum permitted leverage ratio is 5.00. Our leverage ratio was 4.03 at December 27, 2025. The Seventh A&amp;R Credit Agreement also contains an affirmative covenant regarding our interest coverage ratio determined as of the end of each of our fiscal quarters, calculated as Adjusted EBITDA divided by interest expense, as described in the Seventh A&amp;R Credit Agreement. The minimum required interest coverage ratio is (i) 3.00 for each of the fiscal quarters within fiscal 2026, (ii) 3.25 for each of the fiscal quarters within fiscal 2027 and (iii) 3.50 for fiscal quarters thereafter. Our interest coverage ratio was 5.05 at December 27, 2025.</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Seventh A&amp;R Credit Agreement allows us to make unlimited restricted payments (as defined in the Seventh A&amp;R Credit Agreement), including dividend payments on, and repurchases of, Common Shares, as long as the leverage ratio resulting from the making of such restricted payments is 4.00 or less. Otherwise, we are limited to restricted payments in an aggregate amount for each fiscal year not to exceed $225.0.</w:t>
      </w:r>
    </w:p>
    <w:p>
      <w:pPr>
        <w:pStyle w:val="TextBody"/>
        <w:bidi w:val="0"/>
        <w:spacing w:lineRule="auto" w:line="288" w:before="160" w:after="283"/>
        <w:ind w:left="0" w:right="0" w:firstLine="180"/>
        <w:jc w:val="both"/>
        <w:rPr>
          <w:rFonts w:ascii="Times New Roman;serif" w:hAnsi="Times New Roman;serif"/>
          <w:b/>
          <w:i/>
          <w:color w:val="000000"/>
          <w:sz w:val="20"/>
          <w:u w:val="single"/>
        </w:rPr>
      </w:pPr>
      <w:r>
        <w:rPr>
          <w:rFonts w:ascii="Times New Roman;serif" w:hAnsi="Times New Roman;serif"/>
          <w:b/>
          <w:i/>
          <w:color w:val="000000"/>
          <w:sz w:val="20"/>
          <w:u w:val="single"/>
        </w:rPr>
        <w:t>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15, 2016, Scotts Miracle-Gro issued $250.0 aggregate principal amount of 5.250% Senior Notes with a maturity date of December 15, 2026. The 5.250% Senior Notes represent general unsecured senior obligations and rank equal in right of payment with our existing and future unsecured senior debt. The 5.250% Senior Notes have interest payment dates of June 15 and December 15 of each year. At December 27, 2025, the $250.0 aggregate principal amount of the 5.250% Senior Notes was reclassified to the “Current portion of debt” line in the Condensed Consolidated Balance Sheets as it is payable within one year. We intend to repay the 5.250% Senior Notes during fiscal 2026 using a combination of cash flow from operations and available borrowing capacity under the Seventh A&amp;R Credit Agreement.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86385"/>
                <wp:effectExtent l="0" t="0" r="0" b="0"/>
                <wp:wrapNone/>
                <wp:docPr id="35" name="Frame35"/>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TextBody"/>
        <w:bidi w:val="0"/>
        <w:spacing w:lineRule="auto" w:line="288" w:before="160" w:after="283"/>
        <w:ind w:left="0" w:right="0" w:firstLine="180"/>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Swap Agreements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interest rate swap agreements with major financial institutions that effectively convert a portion of our variable-rate debt to a fixed rate. Interest payments made between the effective date and expiration date are hedged by the swap agreements. Swap agreements that were hedging interest payments as of December 27, 2025, December 28, 2024 and September 30, 2025 had a maximum total U.S. dollar equivalent notional amount of $450.0. The notional amount, effective date, expiration date and rate of each of the swap agreements outstanding at December 27, 2025 are shown in the table below:</w:t>
      </w:r>
    </w:p>
    <w:tbl>
      <w:tblPr>
        <w:tblW w:w="4805"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(b)Notional amount adjusts in accordance with a specified seasonal schedule. This represents the maximum notional amount at any point in time.</w:t>
      </w:r>
    </w:p>
    <w:p>
      <w:pPr>
        <w:pStyle w:val="TextBody"/>
        <w:bidi w:val="0"/>
        <w:spacing w:lineRule="auto" w:line="288" w:before="160" w:after="283"/>
        <w:ind w:left="0" w:right="0" w:firstLine="180"/>
        <w:jc w:val="both"/>
        <w:rPr>
          <w:rFonts w:ascii="Times New Roman;serif" w:hAnsi="Times New Roman;serif"/>
          <w:b/>
          <w:i/>
          <w:color w:val="000000"/>
          <w:sz w:val="20"/>
          <w:u w:val="single"/>
        </w:rPr>
      </w:pPr>
      <w:r>
        <w:rPr>
          <w:rFonts w:ascii="Times New Roman;serif" w:hAnsi="Times New Roman;serif"/>
          <w:b/>
          <w:i/>
          <w:color w:val="000000"/>
          <w:sz w:val="20"/>
          <w:u w:val="single"/>
        </w:rPr>
        <w:t>Availability and Use of Cash</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2025 Annual Report, under “ITEM 1A. RISK FACTORS — Risks Related to Our M&amp;A, Lending and Financing Activities — Our indebtedness could limit our flexibility and adversely affect our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180"/>
        <w:jc w:val="left"/>
        <w:rPr>
          <w:rFonts w:ascii="Times New Roman;serif" w:hAnsi="Times New Roman;serif"/>
          <w:b/>
          <w:i/>
          <w:color w:val="000000"/>
          <w:sz w:val="20"/>
          <w:u w:val="single"/>
        </w:rPr>
      </w:pPr>
      <w:r>
        <w:rPr>
          <w:rFonts w:ascii="Times New Roman;serif" w:hAnsi="Times New Roman;serif"/>
          <w:b/>
          <w:i/>
          <w:color w:val="000000"/>
          <w:sz w:val="20"/>
          <w:u w:val="single"/>
        </w:rPr>
        <w:t>Financial Disclosures About Guarantors and Issuers of Guaranteed Securities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5.250% Senior Notes, 4.500% Senior Notes, 4.000% Senior Notes and 4.375%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Seventh A&amp;R Credit Agreement, except a release by or as a result of the repayment of the Seventh A&amp;R Credit Agreement; or (vi) if the Guarantor ceases to be a “restricted subsidiary” and the Guarantor is not otherwise required to provide a guarantee of the Senior Notes pursuant to the applicable indenture.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86385"/>
                <wp:effectExtent l="0" t="0" r="0" b="0"/>
                <wp:wrapNone/>
                <wp:docPr id="36" name="Frame36"/>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W w:w="4789" w:type="dxa"/>
        <w:jc w:val="left"/>
        <w:tblInd w:w="0" w:type="dxa"/>
        <w:tblLayout w:type="fixed"/>
        <w:tblCellMar>
          <w:top w:w="28" w:type="dxa"/>
          <w:left w:w="28" w:type="dxa"/>
          <w:bottom w:w="28" w:type="dxa"/>
          <w:right w:w="28" w:type="dxa"/>
        </w:tblCellMar>
      </w:tblPr>
      <w:tblGrid>
        <w:gridCol w:w="710"/>
        <w:gridCol w:w="625"/>
        <w:gridCol w:w="630"/>
        <w:gridCol w:w="212"/>
        <w:gridCol w:w="773"/>
        <w:gridCol w:w="110"/>
        <w:gridCol w:w="109"/>
        <w:gridCol w:w="109"/>
        <w:gridCol w:w="109"/>
        <w:gridCol w:w="257"/>
        <w:gridCol w:w="750"/>
        <w:gridCol w:w="132"/>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Non-current assets </w:t>
            </w:r>
            <w:r>
              <w:rPr>
                <w:rFonts w:ascii="Times New Roman;serif" w:hAnsi="Times New Roman;serif"/>
                <w:b w:val="false"/>
                <w:color w:val="000000"/>
                <w:sz w:val="13"/>
              </w:rPr>
              <w:t>(a)</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liabilities </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(a)Includes amounts due from Non-Guarantor subsidiaries of $43.9 and $11.4, respectively.</w:t>
      </w:r>
    </w:p>
    <w:tbl>
      <w:tblPr>
        <w:tblW w:w="6912" w:type="dxa"/>
        <w:jc w:val="left"/>
        <w:tblInd w:w="0" w:type="dxa"/>
        <w:tblLayout w:type="fixed"/>
        <w:tblCellMar>
          <w:top w:w="28" w:type="dxa"/>
          <w:left w:w="28" w:type="dxa"/>
          <w:bottom w:w="28" w:type="dxa"/>
          <w:right w:w="28" w:type="dxa"/>
        </w:tblCellMar>
      </w:tblPr>
      <w:tblGrid>
        <w:gridCol w:w="1374"/>
        <w:gridCol w:w="1204"/>
        <w:gridCol w:w="1217"/>
        <w:gridCol w:w="362"/>
        <w:gridCol w:w="1056"/>
        <w:gridCol w:w="187"/>
        <w:gridCol w:w="109"/>
        <w:gridCol w:w="109"/>
        <w:gridCol w:w="109"/>
        <w:gridCol w:w="221"/>
        <w:gridCol w:w="803"/>
        <w:gridCol w:w="161"/>
      </w:tblGrid>
      <w:tr>
        <w:trPr/>
        <w:tc>
          <w:tcPr>
            <w:tcW w:w="137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512" w:type="dxa"/>
            <w:gridSpan w:val="6"/>
            <w:tcBorders/>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(loss) </w:t>
            </w:r>
            <w:r>
              <w:rPr>
                <w:rFonts w:ascii="Times New Roman;serif" w:hAnsi="Times New Roman;serif"/>
                <w:b w:val="false"/>
                <w:color w:val="000000"/>
                <w:sz w:val="13"/>
              </w:rPr>
              <w:t>(a)</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(a)Includes intercompany income (expense) from Non-Guarantor subsidiaries of $(1.1) and $5.9,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86385"/>
                <wp:effectExtent l="0" t="0" r="0" b="0"/>
                <wp:wrapNone/>
                <wp:docPr id="37" name="Frame37"/>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tbl>
      <w:tblPr>
        <w:tblW w:w="5068" w:type="dxa"/>
        <w:jc w:val="left"/>
        <w:tblInd w:w="0" w:type="dxa"/>
        <w:tblLayout w:type="fixed"/>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Judicial and Administrative Proceedings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party to various pending judicial and administrative proceedings and claims arising in the ordinary course of business relating to, among others, product and general liabilities, workers’ compensation, property losses and other liabilities for which we are self-insured or retain a high exposure limit.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related accruals are adequate, both individually and in the aggregate; however, there can be no assurance that final resolution of these matters will not have a material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2025 Annual Report, under “ITEM 1. BUSINESS — Regulatory Considerations” and “ITEM 3. LEGAL PROCEEDINGS.”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have been prepared in accordance with GAAP. The preparation of financial statements and related disclosures in accordance with GAAP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current trends and other factors that we believe to be relevant under the circumstances at the time the estimate was made. Certain accounting estimates are particularly significant, including those related to revenue recognition and promotional allowances, income taxes and goodwill and indefinite-lived intangible assets.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of the Board of Directors of Scotts Miracle-Gro reviews our critical accounting estimates on an ongoing basis, including those related to revenue recognition and promotional allowances, income taxes and goodwill and indefinite-lived intangible assets. Our critical accounting estimates have not changed materially from those disclosed in the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there are no material changes to our quantitative and qualitative disclosures about market risks during the three months ended December 27, 2025 compared to those disclosed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Scotts Miracle-Gro Company (the “Registrant”) maintains “disclosure controls and procedures,” as such term is defined under the Securities Exchange Act of 1934 (the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86385"/>
                <wp:effectExtent l="0" t="0" r="0" b="0"/>
                <wp:wrapNone/>
                <wp:docPr id="38" name="Frame38"/>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the participation of the principal executive officer and the principal financial officer of the Registrant, the Registrant’s management has evaluated the effectiveness of the Registrant’s disclosure controls and procedures (as defined in Rule 13a-15(e) under the Exchange Act), as of the end of the fiscal quarter covered by this Form 10-Q. Based upon that evaluation, the Registrant’s principal executive officer and principal financial officer have concluded that the Registrant’s disclosure controls and procedures were effective as of December 27,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changes in the Registrant’s internal control over financial reporting (as defined in Rule 13a-15(f) under the Exchange Act) occurred during the Registrant’s fiscal quarter ended December 27, 2025, that have materially affected, or are reasonably likely to materially affect, the Registrant’s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Reference is made to the legal proceedings that have been previously disclosed in Part I, Item 3 of the 2025 Annual Report. There have been no material developments to the pending legal proceedings set forth therein.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involved in other lawsuits and claims which arise in the normal course of our business relating to advertising claims, securities matters, employment disputes and the enforcement and defense of intellectual property rights. In our opinion, these claims individually and in the aggregate are not expected to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risk factors, as of December 27, 2025, have not materially changed from those described in Part I, Item 1A of the 2025 Annual Report.</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Form 10-Q, including the exhibits hereto and the information incorporated by reference herein, contains “forward-looking statements” within the meaning of Section 27A of the Securities Act of 1933, as amended, and Section 21E of the Exchange Act,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Form 10-Q are predictions only and actual results could differ materially from management’s expectations due to a variety of factors, including those described in “ITEM 1A. RISK FACTORS” in the 2025 Annual Report. All forward-looking statements attributable to us or persons working on our behalf are expressly qualified in their entirety by such risk factors and other cautionary statements that we make from time to time in our other SEC filings and public communications.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You should evaluate forward-looking statements in the context of these risks and uncertainties and are cautioned not to place undue reliance on such statements. These factors may not contain all of the factors that are important to you. We cannot assure you that we will realize the results or developments we expect or anticipate or, even if substantially realized, that they will result in the consequences or affect us or our operations in the way we expect. The forward-looking statements that we make in this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86385"/>
                <wp:effectExtent l="0" t="0" r="0" b="0"/>
                <wp:wrapNone/>
                <wp:docPr id="39" name="Frame39"/>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Seventh A&amp;R Credit Agreement allows the Company to make unlimited restricted payments (as defined in the Seventh A&amp;R Credit Agreement), including dividend payments on, and repurchases of, Common Shares, as long as the leverage ratio resulting from the making of such restricted payments is 4.00 or less. Otherwise, the Company is limited to restricted payments in an aggregate amount for each fiscal year not to exceed $225.0 million.</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following table shows the purchases of Common Shares made by or on behalf of Scotts Miracle-Gro or any “affiliated purchaser” (as defined in Rule 10b-18(a)(3) under the Exchange Act) of Scotts Miracle-Gro for each of the three fiscal months in the quarter ended December 27, 2025:</w:t>
      </w:r>
      <w:r>
        <w:rPr>
          <w:color w:val="000000"/>
        </w:rPr>
        <w:t> </w:t>
      </w:r>
    </w:p>
    <w:tbl>
      <w:tblPr>
        <w:tblW w:w="10205" w:type="dxa"/>
        <w:jc w:val="left"/>
        <w:tblInd w:w="0" w:type="dxa"/>
        <w:tblLayout w:type="fixed"/>
        <w:tblCellMar>
          <w:top w:w="28" w:type="dxa"/>
          <w:left w:w="28" w:type="dxa"/>
          <w:bottom w:w="28" w:type="dxa"/>
          <w:right w:w="28" w:type="dxa"/>
        </w:tblCellMar>
      </w:tblPr>
      <w:tblGrid>
        <w:gridCol w:w="1081"/>
        <w:gridCol w:w="912"/>
        <w:gridCol w:w="928"/>
        <w:gridCol w:w="440"/>
        <w:gridCol w:w="440"/>
        <w:gridCol w:w="441"/>
        <w:gridCol w:w="109"/>
        <w:gridCol w:w="109"/>
        <w:gridCol w:w="109"/>
        <w:gridCol w:w="323"/>
        <w:gridCol w:w="918"/>
        <w:gridCol w:w="181"/>
        <w:gridCol w:w="109"/>
        <w:gridCol w:w="109"/>
        <w:gridCol w:w="109"/>
        <w:gridCol w:w="520"/>
        <w:gridCol w:w="520"/>
        <w:gridCol w:w="521"/>
        <w:gridCol w:w="109"/>
        <w:gridCol w:w="109"/>
        <w:gridCol w:w="109"/>
        <w:gridCol w:w="584"/>
        <w:gridCol w:w="584"/>
        <w:gridCol w:w="831"/>
      </w:tblGrid>
      <w:tr>
        <w:trPr/>
        <w:tc>
          <w:tcPr>
            <w:tcW w:w="108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Common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w:t>
              <w:br/>
              <w:t>Paid per </w:t>
              <w:br/>
              <w:t>Common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Common Shares</w:t>
              <w:br/>
              <w:t>Purchased as</w:t>
              <w:br/>
              <w:t>Part of Publicly</w:t>
              <w:br/>
              <w:t>Announced Plans or</w:t>
              <w:br/>
              <w:t>Programs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Common Shares</w:t>
              <w:br/>
              <w:t>That May Yet be</w:t>
              <w:br/>
              <w:t>Purchased Under the</w:t>
              <w:br/>
              <w:t>Plans or Programs (3)</w:t>
            </w:r>
          </w:p>
        </w:tc>
      </w:tr>
      <w:tr>
        <w:trPr/>
        <w:tc>
          <w:tcPr>
            <w:tcW w:w="2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1, 2025 through October 25, 2025</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26, 2025 through November 22, 2025</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23, 2025 through December 27, 2025</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of the Common Shares purchased during the first quarter of fiscal 2026 were purchased in open market transactions. The Common Shares purchased during the quarter consisted of 4,951 Common Shares purchased by the trustee of the rabbi trust established by the Company as permitted pursuant to the terms of The Scotts Company LLC Executive Retirement Plan.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price paid per Common Share is calculated on a settlement basis and includes commissions.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(3)On December 19, 2025, the Company’s Board of Directors authorized a share repurchase program, with a commencement date of January 29, 2026 and no expiration date, for the repurchase of up to $500.0 million of Common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no director or officer (as defined under Rule 16a-1 of the Exchange Act) adopted, modified or terminated any Rule 10b5-1 trading arrangement or non Rule 10b5-1 trading arrangement (in each case, as defined in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Index to Exhibits at page 41 for a list of the exhibits included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86385"/>
                <wp:effectExtent l="0" t="0" r="0" b="0"/>
                <wp:wrapNone/>
                <wp:docPr id="40" name="Frame40"/>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QUARTERLY REPORT ON 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DECEMBER 27,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 TO EXHIBITS</w:t>
      </w:r>
    </w:p>
    <w:tbl>
      <w:tblPr>
        <w:tblW w:w="10205" w:type="dxa"/>
        <w:jc w:val="center"/>
        <w:tblInd w:w="0" w:type="dxa"/>
        <w:tblLayout w:type="fixed"/>
        <w:tblCellMar>
          <w:top w:w="28" w:type="dxa"/>
          <w:left w:w="28" w:type="dxa"/>
          <w:bottom w:w="28" w:type="dxa"/>
          <w:right w:w="28" w:type="dxa"/>
        </w:tblCellMar>
      </w:tblPr>
      <w:tblGrid>
        <w:gridCol w:w="268"/>
        <w:gridCol w:w="236"/>
        <w:gridCol w:w="238"/>
        <w:gridCol w:w="109"/>
        <w:gridCol w:w="109"/>
        <w:gridCol w:w="109"/>
        <w:gridCol w:w="1942"/>
        <w:gridCol w:w="1360"/>
        <w:gridCol w:w="1364"/>
        <w:gridCol w:w="109"/>
        <w:gridCol w:w="109"/>
        <w:gridCol w:w="109"/>
        <w:gridCol w:w="175"/>
        <w:gridCol w:w="175"/>
        <w:gridCol w:w="176"/>
        <w:gridCol w:w="111"/>
        <w:gridCol w:w="111"/>
        <w:gridCol w:w="111"/>
        <w:gridCol w:w="240"/>
        <w:gridCol w:w="240"/>
        <w:gridCol w:w="241"/>
        <w:gridCol w:w="111"/>
        <w:gridCol w:w="111"/>
        <w:gridCol w:w="111"/>
        <w:gridCol w:w="351"/>
        <w:gridCol w:w="351"/>
        <w:gridCol w:w="284"/>
        <w:gridCol w:w="109"/>
        <w:gridCol w:w="109"/>
        <w:gridCol w:w="109"/>
        <w:gridCol w:w="266"/>
        <w:gridCol w:w="266"/>
        <w:gridCol w:w="385"/>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Form of Fiscal Year Incentive RSU Award Notice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Seventh Amended and Restated Credit Agreement, dated as of November 21, 2025, by and among The Scotts Miracle-Gro Company, as a Borrower; the Subsidiary Borrowers (as defined therein); JPMorgan Chase Bank, N.A., as Administrative Agent; Bank of America, N.A., Mizuho Bank, LTD., Wells Fargo Bank, National Association, Truist Bank, PNC Bank, National Association and Capital One, N.A, as Co-Syndication Agents, Farm Credit Canada, TD Bank, N.A., Coöperatieve Rabobank U.A., New York Branch, U.S. Bank National Association and Citizens Bank, N.A., as Co-Documentation Agents; and the several other banks and other financial institutions from time to time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Seventh Amended and Restated Guarantee and Collateral Agreement, dated as of November 21, 2025, made by The Scotts Miracle-Gro Company, each domestic Subsidiary Borrower under the Seventh Amended and Restated Credit Agreement, and certain of its and their domestic subsidiaries, in favor of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smg20251227.htm">
              <w:r>
                <w:rPr>
                  <w:rStyle w:val="InternetLink"/>
                  <w:rFonts w:ascii="Times New Roman;serif" w:hAnsi="Times New Roman;serif"/>
                  <w:b w:val="false"/>
                  <w:color w:val="0000FF"/>
                  <w:sz w:val="20"/>
                  <w:u w:val="single"/>
                </w:rPr>
                <w:t>Consulting Agreement, dated November 7, 2025, between The Scotts Company LLC and Hanft Ideas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smg20251227.htm">
              <w:r>
                <w:rPr>
                  <w:rStyle w:val="InternetLink"/>
                  <w:rFonts w:ascii="Times New Roman;serif" w:hAnsi="Times New Roman;serif"/>
                  <w:b w:val="false"/>
                  <w:color w:val="0000FF"/>
                  <w:sz w:val="20"/>
                  <w:u w:val="single"/>
                </w:rPr>
                <w:t>Rule 13a-14(a)/15d-14(a) Certifications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smg20251227.htm">
              <w:r>
                <w:rPr>
                  <w:rStyle w:val="InternetLink"/>
                  <w:rFonts w:ascii="Times New Roman;serif" w:hAnsi="Times New Roman;serif"/>
                  <w:b w:val="false"/>
                  <w:color w:val="0000FF"/>
                  <w:sz w:val="20"/>
                  <w:u w:val="single"/>
                </w:rPr>
                <w:t>Rule 13a-14(a)/15d-14(a) Certifications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smg20251227.htm">
              <w:r>
                <w:rPr>
                  <w:rStyle w:val="InternetLink"/>
                  <w:rFonts w:ascii="Times New Roman;serif" w:hAnsi="Times New Roman;serif"/>
                  <w:b w:val="false"/>
                  <w:color w:val="0000FF"/>
                  <w:sz w:val="20"/>
                  <w:u w:val="single"/>
                </w:rPr>
                <w:t>Section 1350 Certifications (Principal Executive Officer and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03a61f52c714595bfada157e1a45500_7">
        <w:r>
          <w:rPr>
            <w:rStyle w:val="InternetLink"/>
            <w:rFonts w:ascii="Times New Roman;serif" w:hAnsi="Times New Roman;serif"/>
            <w:b w:val="false"/>
            <w:color w:val="FFFFFF"/>
            <w:sz w:val="20"/>
            <w:u w:val="single"/>
          </w:rPr>
          <w:t>Contents</w:t>
        </w:r>
      </w:hyperlink>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237"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2027"/>
        <w:gridCol w:w="2027"/>
        <w:gridCol w:w="2876"/>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86385"/>
                <wp:effectExtent l="0" t="0" r="0" b="0"/>
                <wp:wrapNone/>
                <wp:docPr id="42" name="Frame42"/>
                <a:graphic xmlns:a="http://schemas.openxmlformats.org/drawingml/2006/main">
                  <a:graphicData uri="http://schemas.microsoft.com/office/word/2010/wordprocessingShape">
                    <wps:wsp>
                      <wps:cNvSpPr txBox="1"/>
                      <wps:spPr>
                        <a:xfrm>
                          <a:off x="0" y="0"/>
                          <a:ext cx="6480175" cy="286385"/>
                        </a:xfrm>
                        <a:prstGeom prst="rect"/>
                        <a:solidFill>
                          <a:srgbClr val="FFFFFF"/>
                        </a:solidFill>
                      </wps:spPr>
                      <wps:txb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2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
        <w:ind w:left="0" w:right="0" w:firstLine="4"/>
        <w:jc w:val="left"/>
        <w:rPr/>
      </w:pPr>
      <w:r>
        <w:rPr/>
      </w:r>
    </w:p>
    <w:p>
      <w:pPr>
        <w:pStyle w:val="TextBody"/>
        <w:bidi w:val="0"/>
        <w:spacing w:lineRule="auto" w:line="288" w:before="0" w:after="2"/>
        <w:ind w:left="0" w:right="0" w:firstLine="4"/>
        <w:jc w:val="center"/>
        <w:rPr>
          <w:rFonts w:ascii="Garamond;serif" w:hAnsi="Garamond;serif"/>
          <w:b w:val="false"/>
          <w:color w:val="000000"/>
          <w:sz w:val="20"/>
        </w:rPr>
      </w:pPr>
      <w:r>
        <w:rPr>
          <w:rFonts w:ascii="Garamond;serif" w:hAnsi="Garamond;serif"/>
          <w:b w:val="false"/>
          <w:color w:val="000000"/>
          <w:sz w:val="20"/>
        </w:rPr>
        <w:t>[LOGO]</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November 7,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Mr. Adam Hanft</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Hanft Ideas LLC</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50 Astor Lane</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Sands Point, New York 11050</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adam@hanftideas.com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Dear Adam: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This letter sets forth our agreement (the “Agreement”) regarding a consulting engagement between Hanft Ideas and The Scotts Company LLC (“Scotts” or the “Company”). For the purposes of this Agreement, the term “Contractor” means Hanft Ideas, its primary designee/employee Adam Hanft, and any other designee or employee of Hanft Ideas. These consulting services are separate and distinct from the services you are and will be providing as a member of the Scotts Miracle-Gro Company’s Board of Directors (the “Board”) or any Board Committees or other Committees on which you may serve.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    Scope of Services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Contractor agrees to provide the consulting services to Scotts described below. It is anticipated that Contractor will generally undertake the following work and activities pursuant to this Agreement:</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    Provide insights and expertise to help inspire and develop a culture of creativity, with emphasis on: Shaping and assisting with the development of the overall marketing, creative and content strategies in conjunction with the CEO, COO, CCO and BU Leaders; inspiring innovation; and building Scotts’ brands and consumer loyalty;</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Consult with and provide recommendations to the CEO, COO and CCO on an as-needed basis on issues of marketing strategy, including new product development; and</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    Participate in marketing meetings to support the successful execution of the anticipated marketing initiatives of the Company, including on-going support of core brands, the Company’s direct-to-consumer business, live goods, the efforts of Hawthorne Gardening Company, and any other special projects as assigned.</w:t>
      </w:r>
    </w:p>
    <w:p>
      <w:pPr>
        <w:pStyle w:val="TextBody"/>
        <w:bidi w:val="0"/>
        <w:spacing w:before="0" w:after="0"/>
        <w:ind w:left="0" w:right="0" w:hanging="36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Contractor and the Company may agree to modifications of these work activities from time to time as necessary to achieve the purpose of this Agreement. When such modifications are necessary, Contractor and the Company will execute an amendment to this agreement reflecting the agreed upon modifications, which may include, by way of non-limiting examples, modifications regarding the work activities, the hours of consulting services provided, and/or the consulting fees and expenses paid to Contractor. </w:t>
      </w:r>
    </w:p>
    <w:p>
      <w:pPr>
        <w:pStyle w:val="TextBody"/>
        <w:bidi w:val="0"/>
        <w:spacing w:before="0" w:after="0"/>
        <w:jc w:val="left"/>
        <w:rPr/>
      </w:pPr>
      <w:r>
        <w:rPr/>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Mr. Adam Hanft                    – 2 –                November 3, 2025</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82625"/>
                <wp:effectExtent l="0" t="0" r="0" b="0"/>
                <wp:wrapNone/>
                <wp:docPr id="43" name="Frame43"/>
                <a:graphic xmlns:a="http://schemas.openxmlformats.org/drawingml/2006/main">
                  <a:graphicData uri="http://schemas.microsoft.com/office/word/2010/wordprocessingShape">
                    <wps:wsp>
                      <wps:cNvSpPr txBox="1"/>
                      <wps:spPr>
                        <a:xfrm>
                          <a:off x="0" y="0"/>
                          <a:ext cx="6480175" cy="6826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Garamond;serif" w:hAnsi="Garamond;serif"/>
                                <w:b/>
                                <w:i/>
                                <w:color w:val="000000"/>
                                <w:sz w:val="20"/>
                              </w:rPr>
                            </w:pPr>
                            <w:r>
                              <w:rPr>
                                <w:rFonts w:ascii="Garamond;serif" w:hAnsi="Garamond;serif"/>
                                <w:b/>
                                <w:i/>
                                <w:color w:val="000000"/>
                                <w:sz w:val="20"/>
                              </w:rPr>
                              <w:t>14111 Scottslawn Road Marysville, Ohio 43041</w:t>
                              <w:br/>
                              <w:t>937-644-0011</w:t>
                              <w:br/>
                              <w:t>www.scotts.com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Garamond;serif" w:hAnsi="Garamond;serif"/>
                          <w:b/>
                          <w:i/>
                          <w:color w:val="000000"/>
                          <w:sz w:val="20"/>
                        </w:rPr>
                      </w:pPr>
                      <w:r>
                        <w:rPr>
                          <w:rFonts w:ascii="Garamond;serif" w:hAnsi="Garamond;serif"/>
                          <w:b/>
                          <w:i/>
                          <w:color w:val="000000"/>
                          <w:sz w:val="20"/>
                        </w:rPr>
                        <w:t>14111 Scottslawn Road Marysville, Ohio 43041</w:t>
                        <w:br/>
                        <w:t>937-644-0011</w:t>
                        <w:br/>
                        <w:t>www.scotts.com</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providing consulting services to Scotts under this Agreement, Contractor will be an independent contractor and will not be an employee, agent, partner, or joint venturer of Scotts or of any of Scotts’ affiliates, or of any of its or their respective officers, directors or employees. Except as provided as a member of the Board, if applicable, and except as otherwise expressly stated herein, you and any other designee or employee of Contractor will not participate in or receive benefits under any of Scotts’ employee fringe benefit programs or receive any other fringe benefits from Scotts, including, without limitation, the health, disability, life insurance, retirement, equity awards, pension and profit sharing benefits on account of the consulting services provided to Scotts under this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II.    Length of Agreement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term of this Agreement will commence on October 1, 2025 and end on September 30, 2026 (the “Termination Date”), unless terminated earlier under Section V.1. The term of this Agreement may be extended only by written agreement, signed by both parties and setting forth expressly the terms related to the consulting fee.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III.    Authority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providing consulting services to Scotts under this Agreement, Contractor will have no authority at any time to assume or create any obligation or liability, express or implied, on Scotts’ behalf or in Scotts’ name or to bind Scotts in any manner whatsoever.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IV.    Consulting Fees and Expenses</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    In exchange for providing the consulting services hereunder, during the term of this Agreement, Scotts shall pay Contractor a consulting fee of $250,000.00, in 12 equal payments of $20,833.33 per month for each month during the term irrespective of whether Scotts requests that Contractor provides consulting services hereunder. The consulting fee shall be paid as a retainer on or around the first of each month. The payments for October and November will be paid as soon as practicable after this Agreement is executed.</w:t>
      </w:r>
    </w:p>
    <w:p>
      <w:pPr>
        <w:pStyle w:val="TextBody"/>
        <w:bidi w:val="0"/>
        <w:spacing w:before="0" w:after="0"/>
        <w:ind w:left="0" w:right="0" w:hanging="72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Contractor shall be required to submit monthly invoices including days/hours worked with brief descriptions of the services provided.</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Scotts also will pay or reimburse Contractor for all reasonable expenses incurred by Contractor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Contractor must incur and account for expenses in accordance with the policies and procedures established by Scotts as a precondition to Scotts’ obligation to pay or reimburse Contractor for such expenses pursuant to the terms of the preceding sentence. This includes describing expenses in reasonable detail on invoices. Scotts will provide private transportation when practical and economically reasonable.</w:t>
      </w:r>
    </w:p>
    <w:p>
      <w:pPr>
        <w:pStyle w:val="TextBody"/>
        <w:bidi w:val="0"/>
        <w:spacing w:before="0" w:after="0"/>
        <w:jc w:val="left"/>
        <w:rPr/>
      </w:pPr>
      <w:r>
        <w:rPr/>
      </w:r>
    </w:p>
    <w:p>
      <w:pPr>
        <w:pStyle w:val="TextBody"/>
        <w:bidi w:val="0"/>
        <w:spacing w:lineRule="auto" w:line="268"/>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3.    Contractor agrees to provide, at its own expense, all equipment necessary to provide the consulting services contemplated herein and to be responsible for its own overhead costs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Mr. Adam Hanft                    – 3 –                November 3, 2025</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and expenses except for those expenses that Scotts has expressly agreed to pay pursuant to the terms of the preceding paragraph.</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V.    Termination</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This Agreement shall naturally expire according to its terms on the Termination Date. However:</w:t>
      </w:r>
    </w:p>
    <w:p>
      <w:pPr>
        <w:pStyle w:val="TextBody"/>
        <w:bidi w:val="0"/>
        <w:spacing w:before="0" w:after="0"/>
        <w:jc w:val="both"/>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    Scotts shall be permitted to terminate this Agreement and its consulting relationship with Contractor prior to the Termination Date under any of the following circumstances: (a) upon Scotts’ 60 days advance written notice to Contractor, (b) Mr. Hanft’s death or disability, or Contractor ceasing operations, (c) Contractor’s material breach of its obligations to Scotts if such breach is not cured within 30 days after receiving notice thereof, (d) Contractor’s and/or Mr. Hanft’s indictment for a felony or serious misdemeanor, (e) Contractor’s and/or Mr. Hanft’s commission of an act of fraud or bad faith toward Scotts, or (f) Contractor’s and/or Mr. Hanft’s misappropriation of any funds, property or rights of Scotts. Contractor shall be permitted to terminate this Agreement and its consulting relationship with Scotts upon Contractor’s 30 day advance written notice to Scotts.</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In the event that Scotts terminates this Agreement for any reason other than those listed in Section V.1(b)-(f), Scotts will pay Contractor the total value of this Agreement, less any amounts already paid pursuant to this Agreement, as well as any expenses Contractor has incurred pursuant to the terms of this Agreement prior to the date of such termination.</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3.    In the event that Contractor terminates this Agreement and its consulting relationship with Scotts or Scotts terminates this Agreement and its consulting relationship with Contractor for any reason listed in Section V.1(b)-(f) of this Agreement, such termination shall not affect Scotts’ obligation to pay Contractor for the cash fees Contractor has earned prior to the date of such termination or reimburse Contractor for the expenses Contractor has incurred pursuant to the terms of this Agreement prior to the date of such termination.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VI.    Confidential Information and Insider Trading</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    In providing the consulting services contemplated herein, Contractor will receive Confidential Information about Scotts and its affiliates. Maintaining the confidential nature of this information is very important to Scotts. As used in this Agreement, “Confidential Information” is any information about Scotts, or its affiliates, to which Contractor gains access in connection with its provision of consulting or other services to Scotts, including Mr. Hanft’s service as a member of the Board. Confidential Information does not include information Contractor can show (a) was already in Contractor’s possession prior to the time Contractor received such information as a consultant to Scotts, or (b) is publicly available or otherwise in the public domain by means other than Contractor’s violation of the terms of this Agreement.</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Contractor agrees to not at any time hereafter, without the prior written consent of Scotts, disclose, directly or indirectly, any Confidential Information or use any Confidential Information for any purpose other than providing consulting services to Scotts as contemplated herein.</w:t>
      </w:r>
    </w:p>
    <w:p>
      <w:pPr>
        <w:pStyle w:val="TextBody"/>
        <w:bidi w:val="0"/>
        <w:spacing w:before="0" w:after="0"/>
        <w:jc w:val="left"/>
        <w:rPr/>
      </w:pPr>
      <w:r>
        <w:rPr/>
      </w:r>
    </w:p>
    <w:p>
      <w:pPr>
        <w:pStyle w:val="TextBody"/>
        <w:bidi w:val="0"/>
        <w:spacing w:lineRule="auto" w:line="268"/>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3.    In an effort to avoid the appearance of impropriety, Contractor agrees to follow all laws and regulations concerning insider trading, as well as the Scotts Insider Trading policy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Mr. Adam Hanft                    – 4 –                November 3, 2025</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(attached), during the term of this Agreement. Further, Contractor agrees that Contractor will not engage in any transaction of Scotts securities during the term of this Agreement except while the Scotts trading window is open and only after having obtained pre-clearance of the transaction per the procedure described in the Scotts Insider Trading policy. Following the termination of this Agreement, you agree that you remains subject to the Scotts Insider Trading policy if you are still serving as a member of the Board; if not, you agree that you remain subject to the Scotts Insider Trading policy until the next scheduled open trading window period and will not engage in any transaction of Scotts securities until then, and then only if you are not in possession of material, non-public information.</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    Contractor agrees to promptly return to Scotts, upon Scotts’ request, all electronic or tangible documents that contain any Confidential Information and to retain no copies.</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 These confidentiality obligations are in addition to, and not in place of, any and all confidentiality obligations arising as a result of your membership on the Board and applicable Board Committees.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VII.    Conflicts of Interest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While Contractor is not restricted from having other clients during the term of this Agreement, it is important to the Company that Contractor avoids actual or potential conflicts of interest. As such, Contractor agrees that Contractor has no business, professional, personal or other interest, including but not limited to representation of other clients, that conflicts in any manner or degree with the performance of Contractor’s obligations under this Agreement. If any such actual or potential conflict of interest arises under this Agreement, Contractor shall immediately inform the Company in writing of such conflict.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If, in the reasonable judgment of the Company, such conflict poses a material conflict to and with the performance of Contractor’s obligations under this Agreement, then the Company may terminate this Agreement for Cause in accordance with Section V above.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VIII.    Cooperation with Litigation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Contractor agrees to cooperate fully with Scotts in its defense of any lawsuit filed over matters that occurred while Contractor was or is a consultant to Scotts. Contractor agrees to provide full and accurate information with respect to the same. Contractor further agrees not to assist any party in maintaining any lawsuit against Scotts or any of its employees, officers or agents, and that Contractor will not provide any information to anyone concerning Scotts or its employees, directors, officers or agents, unless compelled to do so by valid subpoena or other court order, and in such case only after first notifying Scotts sufficiently in advance of such subpoena or court order to reasonably allow Scotts an opportunity to object to same. In the event that Contractor’s cooperation is necessary under this paragraph, Contractor and Scotts shall agree on a reasonable rate for Contractor’s time in providing that cooperation.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IX.    Other</w:t>
      </w:r>
    </w:p>
    <w:p>
      <w:pPr>
        <w:pStyle w:val="TextBody"/>
        <w:bidi w:val="0"/>
        <w:spacing w:before="0" w:after="0"/>
        <w:jc w:val="left"/>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2"/>
        </w:rPr>
        <w:t>1.    </w:t>
      </w:r>
      <w:r>
        <w:rPr>
          <w:rFonts w:ascii="Times New Roman;serif" w:hAnsi="Times New Roman;serif"/>
          <w:b/>
          <w:color w:val="000000"/>
          <w:sz w:val="22"/>
        </w:rPr>
        <w:t>No Obligation</w:t>
      </w:r>
      <w:r>
        <w:rPr>
          <w:rFonts w:ascii="Times New Roman;serif" w:hAnsi="Times New Roman;serif"/>
          <w:b w:val="false"/>
          <w:color w:val="000000"/>
          <w:sz w:val="22"/>
        </w:rPr>
        <w:t>. Contractor understands and agrees that this Agreement does not obligate Scotts to utilize Contractor’s consulting services, but it is intended to set forth the terms pursuant to which Scotts may utilize Contractor’s consulting services.</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Mr. Adam Hanft                    – 5 –                November 3, 2025</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2"/>
        </w:rPr>
        <w:t>2.    </w:t>
      </w:r>
      <w:r>
        <w:rPr>
          <w:rFonts w:ascii="Times New Roman;serif" w:hAnsi="Times New Roman;serif"/>
          <w:b/>
          <w:color w:val="000000"/>
          <w:sz w:val="22"/>
        </w:rPr>
        <w:t>Notice</w:t>
      </w:r>
      <w:r>
        <w:rPr>
          <w:rFonts w:ascii="Times New Roman;serif" w:hAnsi="Times New Roman;serif"/>
          <w:b w:val="false"/>
          <w:color w:val="000000"/>
          <w:sz w:val="22"/>
        </w:rPr>
        <w:t>. All notices pursuant to this Agreement will be in writing, addressed as stated below (or to such other address that may be designated by the receiving party in accordance with this Section), and will be deemed given when: (a) delivered by hand (with written confirmation of receipt); (b) when received by the addressee if sent by a nationally recognized overnight carrier (receipt requested); (c) on the date sent by e-mail of a PDF document (with confirmation of transmission if sent during normal business hours of the recipient, and on the next business day if sent after normal business hours of the receiving party; or (d) on the third day after the date mailed, by certified or registered mail, return receipt requested.</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to Contractor: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Mr. Adam Hanft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Hanft Ideas LLC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50 Astor Lane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Sands Point, New York 11050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Email: adam@hanftideas.com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If to Scotts: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Scotts Company LLC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14111 Scottslawn Rd.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Marysville, OH 43041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Chief Human Resources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 a copy 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Scotts Company LLC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14111 Scottslawn Rd.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Marysville, OH 43041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Legal Department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Email: contractnotice@scotts.com </w:t>
      </w:r>
    </w:p>
    <w:p>
      <w:pPr>
        <w:pStyle w:val="TextBody"/>
        <w:bidi w:val="0"/>
        <w:spacing w:before="0" w:after="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2"/>
        </w:rPr>
        <w:t>3.    </w:t>
      </w:r>
      <w:r>
        <w:rPr>
          <w:rFonts w:ascii="Times New Roman;serif" w:hAnsi="Times New Roman;serif"/>
          <w:b/>
          <w:color w:val="000000"/>
          <w:sz w:val="22"/>
        </w:rPr>
        <w:t>Governing Law; Venue; Jurisdiction</w:t>
      </w:r>
      <w:r>
        <w:rPr>
          <w:rFonts w:ascii="Times New Roman;serif" w:hAnsi="Times New Roman;serif"/>
          <w:b w:val="false"/>
          <w:color w:val="000000"/>
          <w:sz w:val="22"/>
        </w:rPr>
        <w:t>. This Agreement is governed by the laws of the State of New York, without giving effect to any conflict-of-law principle that would result in the laws of any other jurisdiction governing this Agreement. Any action or proceeding arising out of this Agreement will be litigated in state or federal courts located in New York. Each of Scotts, LRC and Contractor consents and submits to the jurisdiction of any state or federal court located in New York County, New York.</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2"/>
        </w:rPr>
        <w:t>4.    </w:t>
      </w:r>
      <w:r>
        <w:rPr>
          <w:rFonts w:ascii="Times New Roman;serif" w:hAnsi="Times New Roman;serif"/>
          <w:b/>
          <w:color w:val="000000"/>
          <w:sz w:val="22"/>
        </w:rPr>
        <w:t>Severability</w:t>
      </w:r>
      <w:r>
        <w:rPr>
          <w:rFonts w:ascii="Times New Roman;serif" w:hAnsi="Times New Roman;serif"/>
          <w:b w:val="false"/>
          <w:color w:val="000000"/>
          <w:sz w:val="22"/>
        </w:rPr>
        <w:t>. If a provision of this Agreement is determined to be unenforceable in any respect, the enforceability of the provision in any other respect and of the remaining provisions of this Agreement will not be impaired.</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2"/>
        </w:rPr>
        <w:t>5.    </w:t>
      </w:r>
      <w:r>
        <w:rPr>
          <w:rFonts w:ascii="Times New Roman;serif" w:hAnsi="Times New Roman;serif"/>
          <w:b/>
          <w:color w:val="000000"/>
          <w:sz w:val="22"/>
        </w:rPr>
        <w:t>Survival</w:t>
      </w:r>
      <w:r>
        <w:rPr>
          <w:rFonts w:ascii="Times New Roman;serif" w:hAnsi="Times New Roman;serif"/>
          <w:b w:val="false"/>
          <w:color w:val="000000"/>
          <w:sz w:val="22"/>
        </w:rPr>
        <w:t>. Termination or expiration of this Agreement shall not release either Party from obligations that, either expressly or by their nature, survive such termination or expiration.</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2"/>
        </w:rPr>
        <w:t>6.    </w:t>
      </w:r>
      <w:r>
        <w:rPr>
          <w:rFonts w:ascii="Times New Roman;serif" w:hAnsi="Times New Roman;serif"/>
          <w:b/>
          <w:color w:val="000000"/>
          <w:sz w:val="22"/>
        </w:rPr>
        <w:t>Waiver</w:t>
      </w:r>
      <w:r>
        <w:rPr>
          <w:rFonts w:ascii="Times New Roman;serif" w:hAnsi="Times New Roman;serif"/>
          <w:b w:val="false"/>
          <w:color w:val="000000"/>
          <w:sz w:val="22"/>
        </w:rPr>
        <w:t>. The waiver by either party of a breach of any provision of this Agreement shall not operate, or be construed, as a waiver of any subsequent breach.</w:t>
      </w:r>
    </w:p>
    <w:p>
      <w:pPr>
        <w:pStyle w:val="TextBody"/>
        <w:bidi w:val="0"/>
        <w:ind w:left="0" w:right="0" w:hanging="72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Mr. Adam Hanft                    – 6 –                November 3, 2025</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2"/>
        </w:rPr>
        <w:t>7.    </w:t>
      </w:r>
      <w:r>
        <w:rPr>
          <w:rFonts w:ascii="Times New Roman;serif" w:hAnsi="Times New Roman;serif"/>
          <w:b/>
          <w:color w:val="000000"/>
          <w:sz w:val="22"/>
        </w:rPr>
        <w:t>Entire Agreement; Amendment</w:t>
      </w:r>
      <w:r>
        <w:rPr>
          <w:rFonts w:ascii="Times New Roman;serif" w:hAnsi="Times New Roman;serif"/>
          <w:b w:val="false"/>
          <w:color w:val="000000"/>
          <w:sz w:val="22"/>
        </w:rPr>
        <w:t>. This Agreement contains the entire agreement between the parties about its subject matter. Contractor and Scotts agree that if any term in this Agreement conflicts with previously agreed-upon terms, the terms of this Agreement control and supersede the previously agreed-upon terms. This Agreement may not be modified or altered except by a written instrument duly executed by both parties.</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22"/>
        </w:rPr>
        <w:t>8.    </w:t>
      </w:r>
      <w:r>
        <w:rPr>
          <w:rFonts w:ascii="Times New Roman;serif" w:hAnsi="Times New Roman;serif"/>
          <w:b/>
          <w:color w:val="000000"/>
          <w:sz w:val="22"/>
        </w:rPr>
        <w:t>Assignment</w:t>
      </w:r>
      <w:r>
        <w:rPr>
          <w:rFonts w:ascii="Times New Roman;serif" w:hAnsi="Times New Roman;serif"/>
          <w:b w:val="false"/>
          <w:color w:val="000000"/>
          <w:sz w:val="22"/>
        </w:rPr>
        <w:t>. Contractor acknowledges that the Services are in the character of a personal services contract and Contractor hereby represents and warrants that neither Contractor nor you will engage others to assist in providing the consulting services agreed upon in this Agreement without the prior written consent of Scotts. Contractor is not permitted to assign, sell or otherwise transfer any of Contractor’s rights or obligations hereunder.</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    Contractor acknowledges that neither Scotts nor any representatives of Scotts have made any representations or promises about the tax implications of this Agreement. Nothing in this Agreement may be construed as tax advice from Scotts to Contractor. Contractor has been encouraged to discuss the tax implications of this Agreement with his own tax and financial counsel.</w:t>
      </w:r>
    </w:p>
    <w:p>
      <w:pPr>
        <w:pStyle w:val="TextBody"/>
        <w:bidi w:val="0"/>
        <w:spacing w:before="0" w:after="0"/>
        <w:ind w:left="0" w:right="0" w:hanging="720"/>
        <w:jc w:val="both"/>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0"/>
        <w:jc w:val="both"/>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Mr. Adam Hanft                    – 7 –                November 3, 2025</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Hanft Ideas LLC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left"/>
        <w:rPr/>
      </w:pPr>
      <w:r>
        <w:rPr/>
      </w:r>
    </w:p>
    <w:tbl>
      <w:tblPr>
        <w:tblW w:w="4656" w:type="dxa"/>
        <w:jc w:val="right"/>
        <w:tblInd w:w="0" w:type="dxa"/>
        <w:tblLayout w:type="fixed"/>
        <w:tblCellMar>
          <w:top w:w="28" w:type="dxa"/>
          <w:left w:w="28" w:type="dxa"/>
          <w:bottom w:w="28" w:type="dxa"/>
          <w:right w:w="28" w:type="dxa"/>
        </w:tblCellMar>
      </w:tblPr>
      <w:tblGrid>
        <w:gridCol w:w="546"/>
        <w:gridCol w:w="480"/>
        <w:gridCol w:w="480"/>
        <w:gridCol w:w="922"/>
        <w:gridCol w:w="922"/>
        <w:gridCol w:w="1306"/>
      </w:tblGrid>
      <w:tr>
        <w:trPr/>
        <w:tc>
          <w:tcPr>
            <w:tcW w:w="5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465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SCOTTS COMPANY LLC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r>
        <w:trPr/>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AMANDA RICO</w:t>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ind w:left="0" w:right="0" w:hanging="15"/>
              <w:jc w:val="left"/>
              <w:rPr>
                <w:rFonts w:ascii="Times New Roman;serif" w:hAnsi="Times New Roman;serif"/>
                <w:b w:val="false"/>
                <w:color w:val="000000"/>
                <w:sz w:val="22"/>
              </w:rPr>
            </w:pPr>
            <w:r>
              <w:rPr>
                <w:rFonts w:ascii="Times New Roman;serif" w:hAnsi="Times New Roman;serif"/>
                <w:b w:val="false"/>
                <w:color w:val="000000"/>
                <w:sz w:val="22"/>
              </w:rPr>
              <w:t>Amanda Rico</w:t>
            </w:r>
          </w:p>
          <w:p>
            <w:pPr>
              <w:pStyle w:val="TableContents"/>
              <w:bidi w:val="0"/>
              <w:spacing w:lineRule="auto" w:line="288" w:before="0" w:after="0"/>
              <w:ind w:left="0" w:right="0" w:hanging="15"/>
              <w:jc w:val="left"/>
              <w:rPr>
                <w:rFonts w:ascii="Times New Roman;serif" w:hAnsi="Times New Roman;serif"/>
                <w:b w:val="false"/>
                <w:color w:val="000000"/>
                <w:sz w:val="22"/>
              </w:rPr>
            </w:pPr>
            <w:r>
              <w:rPr>
                <w:rFonts w:ascii="Times New Roman;serif" w:hAnsi="Times New Roman;serif"/>
                <w:b w:val="false"/>
                <w:color w:val="000000"/>
                <w:sz w:val="22"/>
              </w:rPr>
              <w:t>Chief Human Resources Officer</w:t>
            </w:r>
          </w:p>
        </w:tc>
      </w:tr>
    </w:tbl>
    <w:p>
      <w:pPr>
        <w:pStyle w:val="TextBody"/>
        <w:bidi w:val="0"/>
        <w:spacing w:before="0" w:after="0"/>
        <w:jc w:val="left"/>
        <w:rPr/>
      </w:pPr>
      <w:r>
        <w:rPr/>
      </w:r>
    </w:p>
    <w:p>
      <w:pPr>
        <w:pStyle w:val="TextBody"/>
        <w:bidi w:val="0"/>
        <w:spacing w:before="0" w:after="0"/>
        <w:jc w:val="left"/>
        <w:rPr/>
      </w:pPr>
      <w:r>
        <w:rPr/>
      </w:r>
    </w:p>
    <w:tbl>
      <w:tblPr>
        <w:tblW w:w="3675" w:type="dxa"/>
        <w:jc w:val="left"/>
        <w:tblInd w:w="0" w:type="dxa"/>
        <w:tblLayout w:type="fixed"/>
        <w:tblCellMar>
          <w:top w:w="28" w:type="dxa"/>
          <w:left w:w="28" w:type="dxa"/>
          <w:bottom w:w="28" w:type="dxa"/>
          <w:right w:w="28" w:type="dxa"/>
        </w:tblCellMar>
      </w:tblPr>
      <w:tblGrid>
        <w:gridCol w:w="1177"/>
        <w:gridCol w:w="1034"/>
        <w:gridCol w:w="146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ACKNOWLEDGED AND AGREED:</w:t>
            </w:r>
          </w:p>
          <w:p>
            <w:pPr>
              <w:pStyle w:val="TableContents"/>
              <w:bidi w:val="0"/>
              <w:spacing w:before="0" w:after="0"/>
              <w:jc w:val="left"/>
              <w:rPr/>
            </w:pPr>
            <w:r>
              <w:rPr/>
            </w:r>
          </w:p>
          <w:p>
            <w:pPr>
              <w:pStyle w:val="TableContents"/>
              <w:bidi w:val="0"/>
              <w:spacing w:before="0" w:after="0"/>
              <w:jc w:val="left"/>
              <w:rPr/>
            </w:pPr>
            <w:r>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ADAM HANFT</w:t>
            </w:r>
          </w:p>
        </w:tc>
      </w:tr>
      <w:tr>
        <w:trPr/>
        <w:tc>
          <w:tcPr>
            <w:tcW w:w="36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Adam Hanft, Chief Executive Officer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Hanft Ideas LLC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Hagedorn,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Scotts Miracle-Gro Company for the fiscal quarter ended December 27, 2025;</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7687"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34"/>
        <w:gridCol w:w="134"/>
        <w:gridCol w:w="136"/>
        <w:gridCol w:w="109"/>
        <w:gridCol w:w="109"/>
        <w:gridCol w:w="109"/>
        <w:gridCol w:w="1360"/>
        <w:gridCol w:w="1360"/>
        <w:gridCol w:w="192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HAGEDORN</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Printed Name: James Hagedorn</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Chairman of the Board &amp;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J. Scheiwer,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Scotts Miracle-Gro Company for the fiscal quarter ended December 27, 2025;</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9967"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34"/>
        <w:gridCol w:w="134"/>
        <w:gridCol w:w="136"/>
        <w:gridCol w:w="109"/>
        <w:gridCol w:w="109"/>
        <w:gridCol w:w="109"/>
        <w:gridCol w:w="2026"/>
        <w:gridCol w:w="2026"/>
        <w:gridCol w:w="2877"/>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1350 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Scotts Miracle-Gro Company (the “Company”) for the fiscal quarter ended December 27, 2025 as filed with the Securities and Exchange Commission on the date hereof (the “Report”), the undersigned James Hagedorn, Chairman of the Board &amp; Chief Executive Officer of the Company, and Mark J. Scheiwer, Executive Vice President, Chief Financial Officer &amp; Chief Accounting Officer of the Company, certify, pursuant to Section 1350 of Chapter 63 of Title 18 of the United States Code, as adopted pursuant to Section 906 of the Sarbanes-Oxley Act of 2002, that, to the best of their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consolidated financial condition and results of operations of the Company and its subsidiaries.</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44"/>
        <w:gridCol w:w="1244"/>
        <w:gridCol w:w="1248"/>
        <w:gridCol w:w="109"/>
        <w:gridCol w:w="109"/>
        <w:gridCol w:w="109"/>
        <w:gridCol w:w="109"/>
        <w:gridCol w:w="109"/>
        <w:gridCol w:w="109"/>
        <w:gridCol w:w="1599"/>
        <w:gridCol w:w="1599"/>
        <w:gridCol w:w="2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J. SCHEIWER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Printed Name: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Printed Name: Mark J. Scheiwer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Chairman of the Board &amp;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&amp;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4, 2026</w:t>
            </w:r>
          </w:p>
        </w:tc>
      </w:tr>
    </w:tbl>
    <w:p>
      <w:pPr>
        <w:pStyle w:val="TextBody"/>
        <w:bidi w:val="0"/>
        <w:spacing w:lineRule="auto" w:line="288" w:before="0" w:after="0"/>
        <w:ind w:left="0" w:right="0" w:hanging="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25542/000082554225000014/smg2025-11x128xkxexhibit101.htm" TargetMode="External"/><Relationship Id="rId3" Type="http://schemas.openxmlformats.org/officeDocument/2006/relationships/hyperlink" Target="https://www.sec.gov/Archives/edgar/data/825542/000082554225000018/exhibit101smg2025-11x248xk.htm" TargetMode="External"/><Relationship Id="rId4" Type="http://schemas.openxmlformats.org/officeDocument/2006/relationships/hyperlink" Target="https://www.sec.gov/Archives/edgar/data/825542/000082554225000018/exhibit102smg2025-11x248xk.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23410</Words>
  <Characters>131169</Characters>
  <CharactersWithSpaces>153255</CharactersWithSpaces>
  <Paragraphs>2674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