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18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187315"/>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HAGEDORN JAMES</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line="361"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SCOTTS MIRACLE-GRO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00" w:type="dxa"/>
            <w:vAlign w:val="bottom"/>
            <w:tcBorders>
              <w:top w:val="single" w:sz="8" w:color="0000EE"/>
            </w:tcBorders>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0000FF"/>
              </w:rPr>
              <w:t>Chairman &amp; CEO</w:t>
            </w:r>
          </w:p>
        </w:tc>
        <w:tc>
          <w:tcPr>
            <w:tcW w:w="0" w:type="dxa"/>
            <w:vAlign w:val="bottom"/>
          </w:tcPr>
          <w:p>
            <w:pPr>
              <w:spacing w:after="0"/>
              <w:rPr>
                <w:sz w:val="1"/>
                <w:szCs w:val="1"/>
                <w:color w:val="auto"/>
              </w:rPr>
            </w:pPr>
          </w:p>
        </w:tc>
      </w:tr>
      <w:tr>
        <w:trPr>
          <w:trHeight w:val="211"/>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04/03/2025</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423" w:lineRule="exact"/>
        <w:rPr>
          <w:sz w:val="24"/>
          <w:szCs w:val="24"/>
          <w:color w:val="auto"/>
        </w:rPr>
      </w:pPr>
    </w:p>
    <w:p>
      <w:pPr>
        <w:sectPr>
          <w:pgSz w:w="11900" w:h="16838" w:orient="portrait"/>
          <w:cols w:equalWidth="0" w:num="2">
            <w:col w:w="3400" w:space="44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40" w:type="dxa"/>
            <w:vAlign w:val="bottom"/>
          </w:tcPr>
          <w:p>
            <w:pPr>
              <w:spacing w:after="0"/>
              <w:rPr>
                <w:sz w:val="21"/>
                <w:szCs w:val="21"/>
                <w:color w:val="auto"/>
              </w:rPr>
            </w:pPr>
          </w:p>
        </w:tc>
        <w:tc>
          <w:tcPr>
            <w:tcW w:w="182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04/03/2025</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rPr>
              <w:t>1,127.385</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79,499.3538</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40" w:type="dxa"/>
            <w:vAlign w:val="bottom"/>
          </w:tcPr>
          <w:p>
            <w:pPr>
              <w:spacing w:after="0"/>
              <w:rPr>
                <w:sz w:val="21"/>
                <w:szCs w:val="21"/>
                <w:color w:val="auto"/>
              </w:rPr>
            </w:pPr>
          </w:p>
        </w:tc>
        <w:tc>
          <w:tcPr>
            <w:tcW w:w="182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04/03/2025</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w w:val="82"/>
              </w:rPr>
              <w:t>F</w:t>
            </w:r>
          </w:p>
        </w:tc>
        <w:tc>
          <w:tcPr>
            <w:tcW w:w="96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0000FF"/>
              </w:rPr>
              <w:t>67.385</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54.429</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79,431.9688</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29,413.378</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1,231,147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HPLP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gridSpan w:val="12"/>
          </w:tcPr>
          <w:p>
            <w:pPr>
              <w:jc w:val="right"/>
              <w:ind w:right="2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04/03/2025</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1,127.385</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1,127.385</w:t>
            </w:r>
          </w:p>
        </w:tc>
        <w:tc>
          <w:tcPr>
            <w:tcW w:w="700" w:type="dxa"/>
            <w:vAlign w:val="bottom"/>
            <w:gridSpan w:val="2"/>
          </w:tcPr>
          <w:p>
            <w:pPr>
              <w:jc w:val="right"/>
              <w:ind w:right="24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212,742.365</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Shares</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-1544955</wp:posOffset>
            </wp:positionV>
            <wp:extent cx="28575" cy="155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500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4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was the economic equivalent of one share of Issuer's common shares. On April 3, 2025, the reporting person's phantom stock units were settled for an equal number of shares of Issuer's common shares.</w:t>
      </w:r>
    </w:p>
    <w:p>
      <w:pPr>
        <w:spacing w:after="0" w:line="22" w:lineRule="exact"/>
        <w:rPr>
          <w:rFonts w:ascii="Times New Roman" w:cs="Times New Roman" w:eastAsia="Times New Roman" w:hAnsi="Times New Roman"/>
          <w:sz w:val="13"/>
          <w:szCs w:val="13"/>
          <w:color w:val="008000"/>
        </w:rPr>
      </w:pPr>
    </w:p>
    <w:p>
      <w:pPr>
        <w:jc w:val="both"/>
        <w:ind w:left="40" w:right="46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Exchange Act Rule 16a-1(a)(1), the reporting person may be deemed, solely for purposes of determining whether he is a beneficial owner of more than 10% of the common shares of the Issuer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38" w:lineRule="exact"/>
        <w:rPr>
          <w:rFonts w:ascii="Times New Roman" w:cs="Times New Roman" w:eastAsia="Times New Roman" w:hAnsi="Times New Roman"/>
          <w:sz w:val="13"/>
          <w:szCs w:val="13"/>
          <w:color w:val="008000"/>
        </w:rPr>
      </w:pPr>
    </w:p>
    <w:p>
      <w:pPr>
        <w:ind w:left="40" w:right="3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into an alternative investment at any time.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Kathy L. Uttley as attorney-</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04/07/2025</w:t>
            </w:r>
          </w:p>
        </w:tc>
        <w:tc>
          <w:tcPr>
            <w:tcW w:w="0" w:type="dxa"/>
            <w:vAlign w:val="bottom"/>
          </w:tcPr>
          <w:p>
            <w:pPr>
              <w:spacing w:after="0"/>
              <w:rPr>
                <w:sz w:val="1"/>
                <w:szCs w:val="1"/>
                <w:color w:val="auto"/>
              </w:rPr>
            </w:pPr>
          </w:p>
        </w:tc>
      </w:tr>
      <w:tr>
        <w:trPr>
          <w:trHeight w:val="80"/>
        </w:trPr>
        <w:tc>
          <w:tcPr>
            <w:tcW w:w="21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James Hagedorn</w:t>
            </w: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0171"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2025-04-07T15:09:27Z</dcterms:created>
  <dcterms:modified xsi:type="dcterms:W3CDTF">2025-04-07T15:09:27Z</dcterms:modified>
</cp:coreProperties>
</file>