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40" w:right="14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-223520</wp:posOffset>
            </wp:positionV>
            <wp:extent cx="119380" cy="1193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" cy="119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34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-563245</wp:posOffset>
            </wp:positionV>
            <wp:extent cx="119380" cy="1193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" cy="119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4"/>
        </w:trPr>
        <w:tc>
          <w:tcPr>
            <w:tcW w:w="620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39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59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5207000</wp:posOffset>
            </wp:positionH>
            <wp:positionV relativeFrom="paragraph">
              <wp:posOffset>-607695</wp:posOffset>
            </wp:positionV>
            <wp:extent cx="57150" cy="6210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3928745</wp:posOffset>
            </wp:positionH>
            <wp:positionV relativeFrom="paragraph">
              <wp:posOffset>-607695</wp:posOffset>
            </wp:positionV>
            <wp:extent cx="57150" cy="6210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-1701165</wp:posOffset>
            </wp:positionH>
            <wp:positionV relativeFrom="paragraph">
              <wp:posOffset>638810</wp:posOffset>
            </wp:positionV>
            <wp:extent cx="6997700" cy="49803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0" cy="4980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40"/>
            <w:col w:w="8420"/>
          </w:cols>
          <w:pgMar w:left="460" w:top="214" w:right="359" w:bottom="1440" w:gutter="0" w:footer="0" w:header="0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HAGEDORN JAMES</w:t>
        </w:r>
      </w:hyperlink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 w:line="36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THE SCOTTS MIRACLE-GRO COMPANY 14111 SCOTTSLAWN ROAD</w:t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MARYSVILLE</w:t>
        <w:tab/>
        <w:t>OH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43041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12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SCOTTS MIRACLE-GRO CO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SMG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Chairman &amp;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04/27/2026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Form filed by More than One Reporting Person</w:t>
      </w:r>
    </w:p>
    <w:p>
      <w:pPr>
        <w:spacing w:after="0" w:line="4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400" w:space="440"/>
            <w:col w:w="7240"/>
          </w:cols>
          <w:pgMar w:left="460" w:top="214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5"/>
              </w:rPr>
              <w:t>(A) or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Shares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03/31/2026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J</w:t>
            </w:r>
          </w:p>
        </w:tc>
        <w:tc>
          <w:tcPr>
            <w:tcW w:w="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36.583</w:t>
            </w:r>
          </w:p>
        </w:tc>
        <w:tc>
          <w:tcPr>
            <w:tcW w:w="5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54.67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88,591.5658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Shares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31,533.64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Shares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997,910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HPLP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320" w:type="dxa"/>
            <w:vAlign w:val="bottom"/>
            <w:gridSpan w:val="1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40" w:type="dxa"/>
            <w:vAlign w:val="bottom"/>
            <w:gridSpan w:val="1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04/27/2026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1,226.377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1,226.377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67.95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239,899.404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-1544955</wp:posOffset>
            </wp:positionV>
            <wp:extent cx="28575" cy="15500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550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both"/>
        <w:ind w:left="40" w:right="460" w:hanging="2"/>
        <w:spacing w:after="0" w:line="231" w:lineRule="auto"/>
        <w:tabs>
          <w:tab w:leader="none" w:pos="16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Pursuant to Exchange Act Rule 16a-1(a)(1), the reporting person may be deemed, solely for purposes of determining whether he is a beneficial owner of more than 10% of the common shares of the Issuer ("Common Shares"), to be the beneficial owner of the securities of the Issuer that are held by Hagedorn Partnership, L.P., a Delaware limited partnership in which the reporting person is a general partner (the "Partnership"). Represents the aggregate proportionate interest of the reporting person and those family members in whose holdings he may be deemed to have a pecuniary interest, in Common Shares held by the Partnership.</w:t>
      </w:r>
    </w:p>
    <w:p>
      <w:pPr>
        <w:spacing w:after="0" w:line="2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share of phantom stock represents the right to receive one common share of Issuer or the cash value thereof.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40" w:hanging="2"/>
        <w:spacing w:after="0" w:line="243" w:lineRule="auto"/>
        <w:tabs>
          <w:tab w:leader="none" w:pos="16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of phantom stock are payable in cash following termination of the reporting person's employment with Issuer. The reporting person may transfer his/her phantom stock into an alternative investment at any time.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Kathy L. Uttley as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04/29/2026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in-fact for James Hagedorn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both"/>
        <w:ind w:left="40" w:right="3820" w:hanging="2"/>
        <w:spacing w:after="0" w:line="355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4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0171" TargetMode="External"/><Relationship Id="rId14" Type="http://schemas.openxmlformats.org/officeDocument/2006/relationships/hyperlink" Target="http://www.sec.gov/cgi-bin/browse-edgar?action=getcompany&amp;CIK=0000825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2026-04-29T10:32:32Z</dcterms:created>
  <dcterms:modified xsi:type="dcterms:W3CDTF">2026-04-29T10:32:32Z</dcterms:modified>
</cp:coreProperties>
</file>