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rPr>
          <w:sz w:val="20"/>
          <w:szCs w:val="20"/>
          <w:color w:val="auto"/>
        </w:rPr>
      </w:pPr>
      <w:r>
        <w:rPr>
          <w:rFonts w:ascii="Courier New" w:cs="Courier New" w:eastAsia="Courier New" w:hAnsi="Courier New"/>
          <w:sz w:val="15"/>
          <w:szCs w:val="15"/>
          <w:color w:val="auto"/>
        </w:rPr>
        <w:t>WASHINGTON, D. C. 20549</w:t>
      </w:r>
    </w:p>
    <w:p>
      <w:pPr>
        <w:spacing w:after="0" w:line="174" w:lineRule="exact"/>
        <w:rPr>
          <w:sz w:val="24"/>
          <w:szCs w:val="24"/>
          <w:color w:val="auto"/>
        </w:rPr>
      </w:pPr>
    </w:p>
    <w:p>
      <w:pPr>
        <w:ind w:left="440" w:right="317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|X|</w:t>
        <w:tab/>
        <w:t>QUARTERLY REPORT PURSUANT TO SECTION 13 OR 15(d) OF THE SECURITIES EXCHANGE ACT OF 1934</w:t>
      </w:r>
    </w:p>
    <w:p>
      <w:pPr>
        <w:spacing w:after="0" w:line="170"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QUARTERLY PERIOD ENDED JUNE 30, 2001</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440" w:right="3879" w:hanging="440"/>
        <w:spacing w:after="0" w:line="235" w:lineRule="auto"/>
        <w:tabs>
          <w:tab w:leader="none" w:pos="420"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w:t>
      </w:r>
    </w:p>
    <w:p>
      <w:pPr>
        <w:spacing w:after="0" w:line="170"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COMMISSION FILE NUMBER 1-13292</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SCOTTS COMPANY</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26" w:right="1440" w:bottom="1440" w:gutter="0" w:footer="0" w:header="0"/>
        </w:sectPr>
      </w:pPr>
    </w:p>
    <w:p>
      <w:pPr>
        <w:spacing w:after="0" w:line="169" w:lineRule="exact"/>
        <w:rPr>
          <w:sz w:val="24"/>
          <w:szCs w:val="24"/>
          <w:color w:val="auto"/>
        </w:rPr>
      </w:pPr>
    </w:p>
    <w:p>
      <w:pPr>
        <w:ind w:left="122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220"/>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5" w:lineRule="exact"/>
        <w:rPr>
          <w:sz w:val="24"/>
          <w:szCs w:val="24"/>
          <w:color w:val="auto"/>
        </w:rPr>
      </w:pPr>
    </w:p>
    <w:p>
      <w:pPr>
        <w:sectPr>
          <w:pgSz w:w="11900" w:h="16838" w:orient="portrait"/>
          <w:cols w:equalWidth="0" w:num="2">
            <w:col w:w="3080" w:space="620"/>
            <w:col w:w="6519"/>
          </w:cols>
          <w:pgMar w:left="240" w:top="226" w:right="1440" w:bottom="1440" w:gutter="0" w:footer="0" w:header="0"/>
          <w:type w:val="continuous"/>
        </w:sectPr>
      </w:pPr>
    </w:p>
    <w:p>
      <w:pPr>
        <w:spacing w:after="0" w:line="139"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41 SOUTH HIGH STREET, SUITE 3500, COLUMBUS, OHIO 43215</w:t>
      </w:r>
    </w:p>
    <w:p>
      <w:pPr>
        <w:ind w:left="132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(614) 719-5500</w:t>
      </w:r>
    </w:p>
    <w:p>
      <w:pPr>
        <w:jc w:val="center"/>
        <w:ind w:right="317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NO CHANGE</w:t>
      </w:r>
    </w:p>
    <w:p>
      <w:pPr>
        <w:jc w:val="center"/>
        <w:ind w:right="3099"/>
        <w:spacing w:after="0"/>
        <w:rPr>
          <w:sz w:val="20"/>
          <w:szCs w:val="20"/>
          <w:color w:val="auto"/>
        </w:rPr>
      </w:pPr>
      <w:r>
        <w:rPr>
          <w:rFonts w:ascii="Courier New" w:cs="Courier New" w:eastAsia="Courier New" w:hAnsi="Courier New"/>
          <w:sz w:val="15"/>
          <w:szCs w:val="15"/>
          <w:color w:val="auto"/>
        </w:rPr>
        <w:t>(Former name, former address and former fiscal year, if</w:t>
      </w:r>
    </w:p>
    <w:p>
      <w:pPr>
        <w:jc w:val="center"/>
        <w:ind w:right="3099"/>
        <w:spacing w:after="0"/>
        <w:rPr>
          <w:sz w:val="20"/>
          <w:szCs w:val="20"/>
          <w:color w:val="auto"/>
        </w:rPr>
      </w:pPr>
      <w:r>
        <w:rPr>
          <w:rFonts w:ascii="Courier New" w:cs="Courier New" w:eastAsia="Courier New" w:hAnsi="Courier New"/>
          <w:sz w:val="15"/>
          <w:szCs w:val="15"/>
          <w:color w:val="auto"/>
        </w:rPr>
        <w:t>changed since last report.)</w:t>
      </w:r>
    </w:p>
    <w:p>
      <w:pPr>
        <w:spacing w:after="0" w:line="174" w:lineRule="exact"/>
        <w:rPr>
          <w:sz w:val="24"/>
          <w:szCs w:val="24"/>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8" w:lineRule="exact"/>
        <w:rPr>
          <w:sz w:val="24"/>
          <w:szCs w:val="24"/>
          <w:color w:val="auto"/>
        </w:rPr>
      </w:pPr>
    </w:p>
    <w:p>
      <w:pPr>
        <w:ind w:right="3699" w:firstLine="793"/>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226" w:right="1440" w:bottom="1440" w:gutter="0" w:footer="0" w:header="0"/>
          <w:type w:val="continuous"/>
        </w:sectPr>
      </w:pPr>
    </w:p>
    <w:p>
      <w:pPr>
        <w:spacing w:after="0" w:line="170" w:lineRule="exact"/>
        <w:rPr>
          <w:sz w:val="24"/>
          <w:szCs w:val="24"/>
          <w:color w:val="auto"/>
        </w:rPr>
      </w:pPr>
    </w:p>
    <w:p>
      <w:pPr>
        <w:jc w:val="center"/>
        <w:ind w:left="520"/>
        <w:spacing w:after="0"/>
        <w:rPr>
          <w:sz w:val="20"/>
          <w:szCs w:val="20"/>
          <w:color w:val="auto"/>
        </w:rPr>
      </w:pPr>
      <w:r>
        <w:rPr>
          <w:rFonts w:ascii="Courier New" w:cs="Courier New" w:eastAsia="Courier New" w:hAnsi="Courier New"/>
          <w:sz w:val="15"/>
          <w:szCs w:val="15"/>
          <w:color w:val="auto"/>
        </w:rPr>
        <w:t>28,826,247</w:t>
      </w:r>
    </w:p>
    <w:p>
      <w:pPr>
        <w:spacing w:after="0" w:line="5" w:lineRule="exact"/>
        <w:rPr>
          <w:sz w:val="24"/>
          <w:szCs w:val="24"/>
          <w:color w:val="auto"/>
        </w:rPr>
      </w:pPr>
    </w:p>
    <w:p>
      <w:pPr>
        <w:jc w:val="center"/>
        <w:ind w:left="440"/>
        <w:spacing w:after="0"/>
        <w:rPr>
          <w:sz w:val="20"/>
          <w:szCs w:val="20"/>
          <w:color w:val="auto"/>
        </w:rPr>
      </w:pPr>
      <w:r>
        <w:rPr>
          <w:rFonts w:ascii="Courier New" w:cs="Courier New" w:eastAsia="Courier New" w:hAnsi="Courier New"/>
          <w:sz w:val="14"/>
          <w:szCs w:val="14"/>
          <w:color w:val="auto"/>
        </w:rPr>
        <w:t>Common Shares, voting, no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August 10, 2001</w:t>
      </w:r>
    </w:p>
    <w:p>
      <w:pPr>
        <w:sectPr>
          <w:pgSz w:w="11900" w:h="16838" w:orient="portrait"/>
          <w:cols w:equalWidth="0" w:num="2">
            <w:col w:w="3520" w:space="700"/>
            <w:col w:w="5999"/>
          </w:cols>
          <w:pgMar w:left="24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280" w:type="dxa"/>
            <w:vAlign w:val="bottom"/>
          </w:tcPr>
          <w:p>
            <w:pPr>
              <w:ind w:left="1320"/>
              <w:spacing w:after="0"/>
              <w:rPr>
                <w:sz w:val="20"/>
                <w:szCs w:val="20"/>
                <w:color w:val="auto"/>
              </w:rPr>
            </w:pPr>
            <w:r>
              <w:rPr>
                <w:rFonts w:ascii="Courier New" w:cs="Courier New" w:eastAsia="Courier New" w:hAnsi="Courier New"/>
                <w:sz w:val="15"/>
                <w:szCs w:val="15"/>
                <w:color w:val="auto"/>
              </w:rPr>
              <w:t>THE SCOTTS</w:t>
            </w: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COMPANY AND SUBSIDIARIES</w:t>
            </w:r>
          </w:p>
        </w:tc>
        <w:tc>
          <w:tcPr>
            <w:tcW w:w="1140" w:type="dxa"/>
            <w:vAlign w:val="bottom"/>
          </w:tcPr>
          <w:p>
            <w:pPr>
              <w:spacing w:after="0"/>
              <w:rPr>
                <w:sz w:val="14"/>
                <w:szCs w:val="14"/>
                <w:color w:val="auto"/>
              </w:rPr>
            </w:pPr>
          </w:p>
        </w:tc>
      </w:tr>
      <w:tr>
        <w:trPr>
          <w:trHeight w:val="339"/>
        </w:trPr>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0" w:type="dxa"/>
            <w:vAlign w:val="bottom"/>
          </w:tcPr>
          <w:p>
            <w:pPr>
              <w:ind w:left="360"/>
              <w:spacing w:after="0"/>
              <w:rPr>
                <w:sz w:val="20"/>
                <w:szCs w:val="20"/>
                <w:color w:val="auto"/>
              </w:rPr>
            </w:pPr>
            <w:r>
              <w:rPr>
                <w:rFonts w:ascii="Courier New" w:cs="Courier New" w:eastAsia="Courier New" w:hAnsi="Courier New"/>
                <w:sz w:val="15"/>
                <w:szCs w:val="15"/>
                <w:color w:val="auto"/>
              </w:rPr>
              <w:t>INDEX</w:t>
            </w:r>
          </w:p>
        </w:tc>
        <w:tc>
          <w:tcPr>
            <w:tcW w:w="1140" w:type="dxa"/>
            <w:vAlign w:val="bottom"/>
          </w:tcPr>
          <w:p>
            <w:pPr>
              <w:spacing w:after="0"/>
              <w:rPr>
                <w:sz w:val="24"/>
                <w:szCs w:val="24"/>
                <w:color w:val="auto"/>
              </w:rPr>
            </w:pPr>
          </w:p>
        </w:tc>
      </w:tr>
      <w:tr>
        <w:trPr>
          <w:trHeight w:val="678"/>
        </w:trPr>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509"/>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6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6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700" w:type="dxa"/>
            <w:vAlign w:val="bottom"/>
          </w:tcPr>
          <w:p>
            <w:pPr>
              <w:spacing w:after="0"/>
              <w:rPr>
                <w:sz w:val="24"/>
                <w:szCs w:val="24"/>
                <w:color w:val="auto"/>
              </w:rPr>
            </w:pP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w:t>
            </w: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Statements of Operations - Three and nine month</w:t>
            </w:r>
          </w:p>
        </w:tc>
        <w:tc>
          <w:tcPr>
            <w:tcW w:w="114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9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periods ended June 30, 2001 and July 1, 2000....................................................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w:t>
            </w:r>
          </w:p>
        </w:tc>
      </w:tr>
      <w:tr>
        <w:trPr>
          <w:trHeight w:val="339"/>
        </w:trPr>
        <w:tc>
          <w:tcPr>
            <w:tcW w:w="700" w:type="dxa"/>
            <w:vAlign w:val="bottom"/>
          </w:tcPr>
          <w:p>
            <w:pPr>
              <w:spacing w:after="0"/>
              <w:rPr>
                <w:sz w:val="24"/>
                <w:szCs w:val="24"/>
                <w:color w:val="auto"/>
              </w:rPr>
            </w:pP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w:t>
            </w: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Statements of Cash Flows - Nine month periods</w:t>
            </w:r>
          </w:p>
        </w:tc>
        <w:tc>
          <w:tcPr>
            <w:tcW w:w="114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ended June 30, 2001 and</w:t>
            </w: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July 1, 2000............................................................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r>
      <w:tr>
        <w:trPr>
          <w:trHeight w:val="339"/>
        </w:trPr>
        <w:tc>
          <w:tcPr>
            <w:tcW w:w="700" w:type="dxa"/>
            <w:vAlign w:val="bottom"/>
          </w:tcPr>
          <w:p>
            <w:pPr>
              <w:spacing w:after="0"/>
              <w:rPr>
                <w:sz w:val="24"/>
                <w:szCs w:val="24"/>
                <w:color w:val="auto"/>
              </w:rPr>
            </w:pP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w:t>
            </w: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Balance Sheets - June 30, 2001, July 1, 2000</w:t>
            </w:r>
          </w:p>
        </w:tc>
        <w:tc>
          <w:tcPr>
            <w:tcW w:w="114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9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September 30, 2000..........................................................................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r>
      <w:tr>
        <w:trPr>
          <w:trHeight w:val="339"/>
        </w:trPr>
        <w:tc>
          <w:tcPr>
            <w:tcW w:w="700" w:type="dxa"/>
            <w:vAlign w:val="bottom"/>
          </w:tcPr>
          <w:p>
            <w:pPr>
              <w:spacing w:after="0"/>
              <w:rPr>
                <w:sz w:val="24"/>
                <w:szCs w:val="24"/>
                <w:color w:val="auto"/>
              </w:rPr>
            </w:pPr>
          </w:p>
        </w:tc>
        <w:tc>
          <w:tcPr>
            <w:tcW w:w="9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w:t>
            </w: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and Analysis of Financial Condition and Results</w:t>
            </w:r>
          </w:p>
        </w:tc>
        <w:tc>
          <w:tcPr>
            <w:tcW w:w="114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9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Operations...................................................................................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w:t>
            </w:r>
          </w:p>
        </w:tc>
      </w:tr>
      <w:tr>
        <w:trPr>
          <w:trHeight w:val="339"/>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6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9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Legal Proceedings...............................................................................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w:t>
            </w: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Exhibits and Reports on</w:t>
            </w:r>
          </w:p>
        </w:tc>
        <w:tc>
          <w:tcPr>
            <w:tcW w:w="6800" w:type="dxa"/>
            <w:vAlign w:val="bottom"/>
          </w:tcPr>
          <w:p>
            <w:pPr>
              <w:spacing w:after="0"/>
              <w:rPr>
                <w:sz w:val="20"/>
                <w:szCs w:val="20"/>
                <w:color w:val="auto"/>
              </w:rPr>
            </w:pPr>
            <w:r>
              <w:rPr>
                <w:rFonts w:ascii="Courier New" w:cs="Courier New" w:eastAsia="Courier New" w:hAnsi="Courier New"/>
                <w:sz w:val="15"/>
                <w:szCs w:val="15"/>
                <w:color w:val="auto"/>
              </w:rPr>
              <w:t>Form 8-K................................................................</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w:t>
            </w:r>
          </w:p>
        </w:tc>
      </w:tr>
      <w:tr>
        <w:trPr>
          <w:trHeight w:val="339"/>
        </w:trPr>
        <w:tc>
          <w:tcPr>
            <w:tcW w:w="9780" w:type="dxa"/>
            <w:vAlign w:val="bottom"/>
            <w:gridSpan w:val="3"/>
          </w:tcPr>
          <w:p>
            <w:pPr>
              <w:spacing w:after="0"/>
              <w:rPr>
                <w:sz w:val="20"/>
                <w:szCs w:val="20"/>
                <w:color w:val="auto"/>
              </w:rPr>
            </w:pPr>
            <w:r>
              <w:rPr>
                <w:rFonts w:ascii="Courier New" w:cs="Courier New" w:eastAsia="Courier New" w:hAnsi="Courier New"/>
                <w:sz w:val="15"/>
                <w:szCs w:val="15"/>
                <w:color w:val="auto"/>
                <w:w w:val="98"/>
              </w:rPr>
              <w:t>Signatures.........................................................................................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w:t>
            </w:r>
          </w:p>
        </w:tc>
      </w:tr>
      <w:tr>
        <w:trPr>
          <w:trHeight w:val="339"/>
        </w:trPr>
        <w:tc>
          <w:tcPr>
            <w:tcW w:w="9780" w:type="dxa"/>
            <w:vAlign w:val="bottom"/>
            <w:gridSpan w:val="3"/>
          </w:tcPr>
          <w:p>
            <w:pPr>
              <w:spacing w:after="0"/>
              <w:rPr>
                <w:sz w:val="20"/>
                <w:szCs w:val="20"/>
                <w:color w:val="auto"/>
              </w:rPr>
            </w:pPr>
            <w:r>
              <w:rPr>
                <w:rFonts w:ascii="Courier New" w:cs="Courier New" w:eastAsia="Courier New" w:hAnsi="Courier New"/>
                <w:sz w:val="15"/>
                <w:szCs w:val="15"/>
                <w:color w:val="auto"/>
                <w:w w:val="98"/>
              </w:rPr>
              <w:t>Exhibit Index.........................................................................................</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w:t>
            </w:r>
          </w:p>
        </w:tc>
      </w:tr>
      <w:tr>
        <w:trPr>
          <w:trHeight w:val="848"/>
        </w:trPr>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0" w:type="dxa"/>
            <w:vAlign w:val="bottom"/>
          </w:tcPr>
          <w:p>
            <w:pPr>
              <w:ind w:left="440"/>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spacing w:after="0"/>
              <w:rPr>
                <w:sz w:val="24"/>
                <w:szCs w:val="24"/>
                <w:color w:val="auto"/>
              </w:rPr>
            </w:pPr>
          </w:p>
        </w:tc>
      </w:tr>
    </w:tbl>
    <w:p>
      <w:pPr>
        <w:sectPr>
          <w:pgSz w:w="11900" w:h="16838" w:orient="portrait"/>
          <w:cols w:equalWidth="0" w:num="1">
            <w:col w:w="10920"/>
          </w:cols>
          <w:pgMar w:left="240" w:top="283" w:right="7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jc w:val="right"/>
              <w:ind w:right="456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4980" w:type="dxa"/>
            <w:vAlign w:val="bottom"/>
          </w:tcPr>
          <w:p>
            <w:pPr>
              <w:jc w:val="center"/>
              <w:ind w:left="1987"/>
              <w:spacing w:after="0"/>
              <w:rPr>
                <w:sz w:val="20"/>
                <w:szCs w:val="20"/>
                <w:color w:val="auto"/>
              </w:rPr>
            </w:pPr>
            <w:r>
              <w:rPr>
                <w:rFonts w:ascii="Courier New" w:cs="Courier New" w:eastAsia="Courier New" w:hAnsi="Courier New"/>
                <w:sz w:val="15"/>
                <w:szCs w:val="15"/>
                <w:color w:val="auto"/>
                <w:w w:val="97"/>
              </w:rPr>
              <w:t>PART I - FINANCIAL INFORMATION</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980" w:type="dxa"/>
            <w:vAlign w:val="bottom"/>
          </w:tcPr>
          <w:p>
            <w:pPr>
              <w:jc w:val="center"/>
              <w:ind w:left="1987"/>
              <w:spacing w:after="0"/>
              <w:rPr>
                <w:sz w:val="20"/>
                <w:szCs w:val="20"/>
                <w:color w:val="auto"/>
              </w:rPr>
            </w:pPr>
            <w:r>
              <w:rPr>
                <w:rFonts w:ascii="Courier New" w:cs="Courier New" w:eastAsia="Courier New" w:hAnsi="Courier New"/>
                <w:sz w:val="15"/>
                <w:szCs w:val="15"/>
                <w:color w:val="auto"/>
                <w:w w:val="98"/>
              </w:rPr>
              <w:t>ITEM 1. FINANCIAL STATEMENTS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980" w:type="dxa"/>
            <w:vAlign w:val="bottom"/>
          </w:tcPr>
          <w:p>
            <w:pPr>
              <w:jc w:val="center"/>
              <w:ind w:left="1967"/>
              <w:spacing w:after="0"/>
              <w:rPr>
                <w:sz w:val="20"/>
                <w:szCs w:val="20"/>
                <w:color w:val="auto"/>
              </w:rPr>
            </w:pPr>
            <w:r>
              <w:rPr>
                <w:rFonts w:ascii="Courier New" w:cs="Courier New" w:eastAsia="Courier New" w:hAnsi="Courier New"/>
                <w:sz w:val="15"/>
                <w:szCs w:val="15"/>
                <w:color w:val="auto"/>
                <w:w w:val="97"/>
              </w:rPr>
              <w:t>THE SCOTTS COMPANY</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60" w:type="dxa"/>
            <w:vAlign w:val="bottom"/>
            <w:gridSpan w:val="2"/>
          </w:tcPr>
          <w:p>
            <w:pPr>
              <w:jc w:val="center"/>
              <w:ind w:left="807"/>
              <w:spacing w:after="0"/>
              <w:rPr>
                <w:sz w:val="20"/>
                <w:szCs w:val="20"/>
                <w:color w:val="auto"/>
              </w:rPr>
            </w:pPr>
            <w:r>
              <w:rPr>
                <w:rFonts w:ascii="Courier New" w:cs="Courier New" w:eastAsia="Courier New" w:hAnsi="Courier New"/>
                <w:sz w:val="15"/>
                <w:szCs w:val="15"/>
                <w:color w:val="auto"/>
                <w:w w:val="98"/>
              </w:rPr>
              <w:t>CONDENSED, CONSOLIDATED STATEMENTS OF OPERATIONS</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98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60" w:type="dxa"/>
            <w:vAlign w:val="bottom"/>
            <w:gridSpan w:val="2"/>
          </w:tcPr>
          <w:p>
            <w:pPr>
              <w:jc w:val="center"/>
              <w:ind w:left="807"/>
              <w:spacing w:after="0"/>
              <w:rPr>
                <w:sz w:val="20"/>
                <w:szCs w:val="20"/>
                <w:color w:val="auto"/>
              </w:rPr>
            </w:pPr>
            <w:r>
              <w:rPr>
                <w:rFonts w:ascii="Courier New" w:cs="Courier New" w:eastAsia="Courier New" w:hAnsi="Courier New"/>
                <w:sz w:val="15"/>
                <w:szCs w:val="15"/>
                <w:color w:val="auto"/>
                <w:w w:val="98"/>
              </w:rPr>
              <w:t>(IN MILLIONS EXCEPT PER SHARE AMOUNTS)</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48"/>
        </w:trPr>
        <w:tc>
          <w:tcPr>
            <w:tcW w:w="4980" w:type="dxa"/>
            <w:vAlign w:val="bottom"/>
          </w:tcPr>
          <w:p>
            <w:pPr>
              <w:spacing w:after="0"/>
              <w:rPr>
                <w:sz w:val="24"/>
                <w:szCs w:val="24"/>
                <w:color w:val="auto"/>
              </w:rPr>
            </w:pPr>
          </w:p>
        </w:tc>
        <w:tc>
          <w:tcPr>
            <w:tcW w:w="19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THREE MONTHS ENDED</w:t>
            </w:r>
          </w:p>
        </w:tc>
        <w:tc>
          <w:tcPr>
            <w:tcW w:w="300" w:type="dxa"/>
            <w:vAlign w:val="bottom"/>
          </w:tcPr>
          <w:p>
            <w:pPr>
              <w:spacing w:after="0"/>
              <w:rPr>
                <w:sz w:val="24"/>
                <w:szCs w:val="24"/>
                <w:color w:val="auto"/>
              </w:rPr>
            </w:pPr>
          </w:p>
        </w:tc>
        <w:tc>
          <w:tcPr>
            <w:tcW w:w="19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4980" w:type="dxa"/>
            <w:vAlign w:val="bottom"/>
          </w:tcPr>
          <w:p>
            <w:pPr>
              <w:spacing w:after="0"/>
              <w:rPr>
                <w:sz w:val="14"/>
                <w:szCs w:val="14"/>
                <w:color w:val="auto"/>
              </w:rPr>
            </w:pPr>
          </w:p>
        </w:tc>
        <w:tc>
          <w:tcPr>
            <w:tcW w:w="19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9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JUNE 30,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JULY 1,</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JULY 1,</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$610.3</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$581.4</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$1,499.4</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$1,461.4</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378.7</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355.6</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914.1</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880.1</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Cost of sales - restructuring and other charges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0.9</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Gross profit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230.7</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225.8</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584.4</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581.3</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Gross commission earned from agency agreement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20.7</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16.9</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37.2</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Costs associated with agency agreement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4.6</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commission earned from agency agreement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16.1</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14.9</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23.4</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Advertising and promotion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48.0</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127.8</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137.6</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Selling, general and administrative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80.8</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76.8</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245.5</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229.8</w:t>
            </w:r>
          </w:p>
        </w:tc>
      </w:tr>
      <w:tr>
        <w:trPr>
          <w:trHeight w:val="170"/>
        </w:trPr>
        <w:tc>
          <w:tcPr>
            <w:tcW w:w="4980" w:type="dxa"/>
            <w:vAlign w:val="bottom"/>
          </w:tcPr>
          <w:p>
            <w:pPr>
              <w:jc w:val="right"/>
              <w:ind w:right="1127"/>
              <w:spacing w:after="0"/>
              <w:rPr>
                <w:sz w:val="20"/>
                <w:szCs w:val="20"/>
                <w:color w:val="auto"/>
              </w:rPr>
            </w:pPr>
            <w:r>
              <w:rPr>
                <w:rFonts w:ascii="Courier New" w:cs="Courier New" w:eastAsia="Courier New" w:hAnsi="Courier New"/>
                <w:sz w:val="15"/>
                <w:szCs w:val="15"/>
                <w:color w:val="auto"/>
              </w:rPr>
              <w:t>Selling, general and administrative -</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restructuring and other charges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15.1</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21.1</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(income) expense, net ..................</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Income from operations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103.1</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108.0</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206.9</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212.4</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Interest expense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22.3</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24.8</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69.7</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74.4</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Income before income taxes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80.8</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83.2</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137.2</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138.0</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Income taxes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35.4</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30.4</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58.3</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52.6</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Net income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45.4</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52.8</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78.9</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85.4</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Payments to preferred shareholders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Income applicable to common shareholders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$45.4</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$ 52.8</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79.0</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Basic earnings per share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$ 1.89</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Diluted earnings per share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$ 1.77</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earnings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per share calculation ............................</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28.3</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27.9</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28.3</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used in diluted earnings per share calculation</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30.6</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29.7</w:t>
            </w:r>
          </w:p>
        </w:tc>
        <w:tc>
          <w:tcPr>
            <w:tcW w:w="30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30.3</w:t>
            </w:r>
          </w:p>
        </w:tc>
        <w:tc>
          <w:tcPr>
            <w:tcW w:w="3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w:t>
            </w:r>
          </w:p>
        </w:tc>
      </w:tr>
      <w:tr>
        <w:trPr>
          <w:trHeight w:val="170"/>
        </w:trPr>
        <w:tc>
          <w:tcPr>
            <w:tcW w:w="498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748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8"/>
        </w:trPr>
        <w:tc>
          <w:tcPr>
            <w:tcW w:w="7480" w:type="dxa"/>
            <w:vAlign w:val="bottom"/>
          </w:tcPr>
          <w:p>
            <w:pPr>
              <w:jc w:val="right"/>
              <w:ind w:right="3107"/>
              <w:spacing w:after="0"/>
              <w:rPr>
                <w:sz w:val="20"/>
                <w:szCs w:val="20"/>
                <w:color w:val="auto"/>
              </w:rPr>
            </w:pPr>
            <w:r>
              <w:rPr>
                <w:rFonts w:ascii="Courier New" w:cs="Courier New" w:eastAsia="Courier New" w:hAnsi="Courier New"/>
                <w:sz w:val="15"/>
                <w:szCs w:val="15"/>
                <w:color w:val="auto"/>
              </w:rPr>
              <w:t>THE SCOTTS COMPANY</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748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80" w:type="dxa"/>
            <w:vAlign w:val="bottom"/>
          </w:tcPr>
          <w:p>
            <w:pPr>
              <w:jc w:val="right"/>
              <w:ind w:right="3367"/>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8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848"/>
        </w:trPr>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JUNE 30,</w:t>
            </w:r>
          </w:p>
        </w:tc>
        <w:tc>
          <w:tcPr>
            <w:tcW w:w="8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JULY 1,</w:t>
            </w:r>
          </w:p>
        </w:tc>
      </w:tr>
      <w:tr>
        <w:trPr>
          <w:trHeight w:val="170"/>
        </w:trPr>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2000</w:t>
            </w:r>
          </w:p>
        </w:tc>
      </w:tr>
      <w:tr>
        <w:trPr>
          <w:trHeight w:val="170"/>
        </w:trPr>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7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78.9</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$ 85.4</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 operating activities: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Depreciation and amortization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47.9</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Restructuring and other charges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9.4</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Loss on sale of property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change in certain components of working capital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(60.2)</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change in other assets and liabilities and other adjustments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67.0</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164.5</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Investment in property, plant and equipment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(36.2)</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(37.2)</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Investment in acquired businesses, net of cash acquired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Other, net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cash used in investing activities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(46.2)</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(38.9)</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borrowings (repayments) under revolving and bank lines of credit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82.2</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(24.1)</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Gross borrowings under term loans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260.0</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Gross repayments under term loans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(309.8)</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(18.4)</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Financing and issuance fees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Payments to preferred shareholders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Repurchase of treasury shares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(23.9)</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Cash received from the exercise of stock options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13.3</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Payments on seller notes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cash provided by (used in) financing activities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(74.6)</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Effect of exchange rate changes on cash .........................................</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Net increase in cash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40.1</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49.1</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Cash and cash equivalents at beginning of period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33.0</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Cash and cash equivalents at end of period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73.1</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$ 79.4</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48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7480" w:type="dxa"/>
            <w:vAlign w:val="bottom"/>
          </w:tcPr>
          <w:p>
            <w:pPr>
              <w:ind w:left="260"/>
              <w:spacing w:after="0"/>
              <w:rPr>
                <w:sz w:val="20"/>
                <w:szCs w:val="20"/>
                <w:color w:val="auto"/>
              </w:rPr>
            </w:pPr>
            <w:r>
              <w:rPr>
                <w:rFonts w:ascii="Courier New" w:cs="Courier New" w:eastAsia="Courier New" w:hAnsi="Courier New"/>
                <w:sz w:val="15"/>
                <w:szCs w:val="15"/>
                <w:color w:val="auto"/>
              </w:rPr>
              <w:t>Businesses acquired:</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Fair value of assets acquired, net of cash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45.9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Liabilities assumed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spacing w:after="0"/>
              <w:rPr>
                <w:sz w:val="14"/>
                <w:szCs w:val="14"/>
                <w:color w:val="auto"/>
              </w:rPr>
            </w:pPr>
          </w:p>
        </w:tc>
        <w:tc>
          <w:tcPr>
            <w:tcW w:w="13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assets acquired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45.9</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Cash paid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9.8</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Notes issued to seller ....................................................</w:t>
            </w:r>
          </w:p>
        </w:tc>
        <w:tc>
          <w:tcPr>
            <w:tcW w:w="4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36.1</w:t>
            </w:r>
          </w:p>
        </w:tc>
        <w:tc>
          <w:tcPr>
            <w:tcW w:w="3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7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Debt issued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THE SCOTTS COMPANY</w:t>
      </w:r>
    </w:p>
    <w:p>
      <w:pPr>
        <w:jc w:val="center"/>
        <w:ind w:right="336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6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(IN MILLIONS, EXCEPT PER SHARE AMOUNTS)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48"/>
        </w:trPr>
        <w:tc>
          <w:tcPr>
            <w:tcW w:w="6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6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420" w:type="dxa"/>
            <w:vAlign w:val="bottom"/>
          </w:tcPr>
          <w:p>
            <w:pPr>
              <w:spacing w:after="0"/>
              <w:rPr>
                <w:sz w:val="14"/>
                <w:szCs w:val="14"/>
                <w:color w:val="auto"/>
              </w:rPr>
            </w:pPr>
          </w:p>
        </w:tc>
        <w:tc>
          <w:tcPr>
            <w:tcW w:w="1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JUNE 30,</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JULY 1,</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6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2001</w:t>
            </w:r>
          </w:p>
        </w:tc>
        <w:tc>
          <w:tcPr>
            <w:tcW w:w="3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Cash and cash equivalents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33.0</w:t>
            </w:r>
          </w:p>
        </w:tc>
      </w:tr>
      <w:tr>
        <w:trPr>
          <w:trHeight w:val="170"/>
        </w:trPr>
        <w:tc>
          <w:tcPr>
            <w:tcW w:w="64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allowances of $21.9,</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$13.1 and $11.7, respectively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358.1</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374.2</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216.0</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Inventories, net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359.0</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294.1</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307.5</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Current deferred tax asset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27.5</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25.1</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Prepaid and other assets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60.0</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62.3</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current assets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877.7</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793.7</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643.9</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Property, plant and equipment, net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291.9</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266.6</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290.5</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Intangible assets, net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762.1</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758.9</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743.1</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Other assets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72.2</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75.9</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83.9</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assets ..................................................</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$2,003.9</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$1,895.1</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$1,761.4</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Short-term debt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49.4</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Accounts payable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233.8</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195.5</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153.0</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Accrued liabilities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250.9</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258.0</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207.4</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current liabilities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545.5</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503.7</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409.8</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Long-term debt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835.9</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836.0</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813.4</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Other liabilities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55.9</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60.3</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liabilities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1,437.3</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1,400.5</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1,283.5</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Class A Convertible Preferred Stock, no par value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 share, $.01 stated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value per share, issued 31.3, 31.3 and 31.3, respectively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Capital in excess of par value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386.3</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388.1</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389.3</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Retained earnings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275.7</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209.1</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196.8</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Treasury stock, 2.7, 3.4, and 3.4 shares, respectively, at cost ..</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(72.2)</w:t>
            </w:r>
          </w:p>
        </w:tc>
        <w:tc>
          <w:tcPr>
            <w:tcW w:w="3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(83.7)</w:t>
            </w:r>
          </w:p>
        </w:tc>
        <w:tc>
          <w:tcPr>
            <w:tcW w:w="4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Accumulated other comprehensive expense ..........................</w:t>
            </w:r>
          </w:p>
        </w:tc>
        <w:tc>
          <w:tcPr>
            <w:tcW w:w="44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w:t>
            </w:r>
          </w:p>
        </w:tc>
        <w:tc>
          <w:tcPr>
            <w:tcW w:w="3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w:t>
            </w:r>
          </w:p>
        </w:tc>
        <w:tc>
          <w:tcPr>
            <w:tcW w:w="4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shareholders' equity ....................................</w:t>
            </w:r>
          </w:p>
        </w:tc>
        <w:tc>
          <w:tcPr>
            <w:tcW w:w="4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566.6</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494.6</w:t>
            </w:r>
          </w:p>
        </w:tc>
        <w:tc>
          <w:tcPr>
            <w:tcW w:w="44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477.9</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Total liabilities and shareholders' equity ..........................</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$2,003.9</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$1,895.1</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$1,761.4</w:t>
            </w:r>
          </w:p>
        </w:tc>
      </w:tr>
      <w:tr>
        <w:trPr>
          <w:trHeight w:val="170"/>
        </w:trPr>
        <w:tc>
          <w:tcPr>
            <w:tcW w:w="642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00"/>
          </w:cols>
          <w:pgMar w:left="240" w:top="283" w:right="1259" w:bottom="1440" w:gutter="0" w:footer="0" w:header="0"/>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(ALL AMOUNTS ARE IN MILLIONS EXCEPT PER SHARE DATA OR AS OTHERWISE NOTED)</w:t>
      </w:r>
    </w:p>
    <w:p>
      <w:pPr>
        <w:spacing w:after="0" w:line="344" w:lineRule="exact"/>
        <w:rPr>
          <w:sz w:val="20"/>
          <w:szCs w:val="20"/>
          <w:color w:val="auto"/>
        </w:rPr>
      </w:pPr>
    </w:p>
    <w:p>
      <w:pPr>
        <w:ind w:left="790" w:right="5739" w:hanging="790"/>
        <w:spacing w:after="0" w:line="471"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1" w:lineRule="exact"/>
        <w:rPr>
          <w:rFonts w:ascii="Courier New" w:cs="Courier New" w:eastAsia="Courier New" w:hAnsi="Courier New"/>
          <w:sz w:val="15"/>
          <w:szCs w:val="15"/>
          <w:color w:val="auto"/>
        </w:rPr>
      </w:pPr>
    </w:p>
    <w:p>
      <w:pPr>
        <w:ind w:left="79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Company and its subsidiaries, (collectively, the "Company") is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6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4" w:lineRule="exact"/>
        <w:rPr>
          <w:rFonts w:ascii="Courier New" w:cs="Courier New" w:eastAsia="Courier New" w:hAnsi="Courier New"/>
          <w:sz w:val="15"/>
          <w:szCs w:val="15"/>
          <w:color w:val="auto"/>
        </w:rPr>
      </w:pPr>
    </w:p>
    <w:p>
      <w:pPr>
        <w:ind w:left="79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Company. All material intercompany transactions have been eliminated.</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sheets as of June 30, 2001 and July 1, 2000, and the related condensed, consolidated statements of operations for the three and nine month periods then ended and of cash flows for the nine month periods then ended,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Company's fiscal 2000 Annual Report on Form 10-K.</w:t>
      </w:r>
    </w:p>
    <w:p>
      <w:pPr>
        <w:spacing w:after="0" w:line="177"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 based on historical rates of returns as a percentage of sales.</w:t>
      </w:r>
    </w:p>
    <w:p>
      <w:pPr>
        <w:spacing w:after="0" w:line="171"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w:t>
      </w:r>
    </w:p>
    <w:p>
      <w:pPr>
        <w:spacing w:after="0" w:line="174" w:lineRule="exact"/>
        <w:rPr>
          <w:rFonts w:ascii="Courier New" w:cs="Courier New" w:eastAsia="Courier New" w:hAnsi="Courier New"/>
          <w:sz w:val="15"/>
          <w:szCs w:val="15"/>
          <w:color w:val="auto"/>
        </w:rPr>
      </w:pPr>
    </w:p>
    <w:p>
      <w:pPr>
        <w:ind w:left="79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Promotional amounts are classified as a reduction of net sales.</w:t>
      </w:r>
    </w:p>
    <w:p>
      <w:pPr>
        <w:spacing w:after="0" w:line="17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INSTRUMENTS</w:t>
      </w:r>
    </w:p>
    <w:p>
      <w:pPr>
        <w:spacing w:after="0" w:line="174" w:lineRule="exact"/>
        <w:rPr>
          <w:rFonts w:ascii="Courier New" w:cs="Courier New" w:eastAsia="Courier New" w:hAnsi="Courier New"/>
          <w:sz w:val="15"/>
          <w:szCs w:val="15"/>
          <w:color w:val="auto"/>
        </w:rPr>
      </w:pPr>
    </w:p>
    <w:p>
      <w:pPr>
        <w:ind w:left="79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3" w:right="1440" w:bottom="1440" w:gutter="0" w:footer="0" w:header="0"/>
          <w:type w:val="continuous"/>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790" w:right="3179"/>
        <w:spacing w:after="0" w:line="256" w:lineRule="auto"/>
        <w:rPr>
          <w:sz w:val="20"/>
          <w:szCs w:val="20"/>
          <w:color w:val="auto"/>
        </w:rPr>
      </w:pPr>
      <w:r>
        <w:rPr>
          <w:rFonts w:ascii="Courier New" w:cs="Courier New" w:eastAsia="Courier New" w:hAnsi="Courier New"/>
          <w:sz w:val="14"/>
          <w:szCs w:val="14"/>
          <w:color w:val="auto"/>
        </w:rPr>
        <w:t>to manage certain of the exposures when practical. By policy, the 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the Company's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are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348" w:lineRule="exact"/>
        <w:rPr>
          <w:sz w:val="20"/>
          <w:szCs w:val="20"/>
          <w:color w:val="auto"/>
        </w:rPr>
      </w:pPr>
    </w:p>
    <w:p>
      <w:pPr>
        <w:ind w:left="790" w:right="3179"/>
        <w:spacing w:after="0" w:line="257" w:lineRule="auto"/>
        <w:rPr>
          <w:sz w:val="20"/>
          <w:szCs w:val="20"/>
          <w:color w:val="auto"/>
        </w:rPr>
      </w:pPr>
      <w:r>
        <w:rPr>
          <w:rFonts w:ascii="Courier New" w:cs="Courier New" w:eastAsia="Courier New" w:hAnsi="Courier New"/>
          <w:sz w:val="14"/>
          <w:szCs w:val="14"/>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Gains or losses resulting from valuing these swaps at fair value are recorded in other comprehensive income.</w:t>
      </w:r>
    </w:p>
    <w:p>
      <w:pPr>
        <w:spacing w:after="0" w:line="166" w:lineRule="exact"/>
        <w:rPr>
          <w:sz w:val="20"/>
          <w:szCs w:val="20"/>
          <w:color w:val="auto"/>
        </w:rPr>
      </w:pPr>
    </w:p>
    <w:p>
      <w:pPr>
        <w:ind w:left="790" w:right="3359"/>
        <w:spacing w:after="0" w:line="237" w:lineRule="auto"/>
        <w:rPr>
          <w:sz w:val="20"/>
          <w:szCs w:val="20"/>
          <w:color w:val="auto"/>
        </w:rPr>
      </w:pPr>
      <w:r>
        <w:rPr>
          <w:rFonts w:ascii="Courier New" w:cs="Courier New" w:eastAsia="Courier New" w:hAnsi="Courier New"/>
          <w:sz w:val="15"/>
          <w:szCs w:val="15"/>
          <w:color w:val="auto"/>
        </w:rPr>
        <w:t>The Company adopted FAS 133 as of October 2000. Since adoption, there have been no gains or losses recognized in earnings for hedge ineffectiveness or due to excluding a portion of the value from measuring effectiveness.</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790" w:right="3179"/>
        <w:spacing w:after="0" w:line="257"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returns,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6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left="790" w:right="3439"/>
        <w:spacing w:after="0" w:line="235"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2001 classifications.</w:t>
      </w:r>
    </w:p>
    <w:p>
      <w:pPr>
        <w:spacing w:after="0" w:line="170" w:lineRule="exact"/>
        <w:rPr>
          <w:sz w:val="20"/>
          <w:szCs w:val="20"/>
          <w:color w:val="auto"/>
        </w:rPr>
      </w:pPr>
    </w:p>
    <w:p>
      <w:pPr>
        <w:ind w:left="790" w:hanging="790"/>
        <w:spacing w:after="0"/>
        <w:tabs>
          <w:tab w:leader="none" w:pos="79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AGENCY AGREEMENT</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commission rates that vary by threshold and program year.</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3"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86" w:lineRule="exact"/>
        <w:rPr>
          <w:sz w:val="20"/>
          <w:szCs w:val="20"/>
          <w:color w:val="auto"/>
        </w:rPr>
      </w:pPr>
    </w:p>
    <w:p>
      <w:pPr>
        <w:ind w:left="520" w:right="3259"/>
        <w:spacing w:after="0" w:line="257" w:lineRule="auto"/>
        <w:rPr>
          <w:sz w:val="20"/>
          <w:szCs w:val="20"/>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66" w:lineRule="exact"/>
        <w:rPr>
          <w:sz w:val="20"/>
          <w:szCs w:val="20"/>
          <w:color w:val="auto"/>
        </w:rPr>
      </w:pPr>
    </w:p>
    <w:p>
      <w:pPr>
        <w:ind w:left="520" w:right="3179"/>
        <w:spacing w:after="0" w:line="239" w:lineRule="auto"/>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management's assessment and consultations with the Company's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economic penalty, and avoid paying the unpaid deferred amounts. The Company has concluded that, should the Company elect to terminate the agreement at any balance sheet date, it will not incur significant economic consequences as a result of such action.</w:t>
      </w:r>
    </w:p>
    <w:p>
      <w:pPr>
        <w:spacing w:after="0" w:line="175"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8"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June 30, 2001, contribution payments and related per annum charges of approximately $44.2 million had been deferred under the agreement. This amount is considered a contingent obligation and has not been reflected in the financial statements as of and for the three and nine months then ended.</w:t>
      </w:r>
    </w:p>
    <w:p>
      <w:pPr>
        <w:spacing w:after="0" w:line="181"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5" w:lineRule="exact"/>
        <w:rPr>
          <w:sz w:val="20"/>
          <w:szCs w:val="20"/>
          <w:color w:val="auto"/>
        </w:rPr>
      </w:pPr>
    </w:p>
    <w:p>
      <w:pPr>
        <w:ind w:left="520" w:right="3259"/>
        <w:spacing w:after="0" w:line="257"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w:t>
      </w:r>
    </w:p>
    <w:p>
      <w:pPr>
        <w:sectPr>
          <w:pgSz w:w="11900" w:h="16838" w:orient="portrait"/>
          <w:cols w:equalWidth="0" w:num="1">
            <w:col w:w="9959"/>
          </w:cols>
          <w:pgMar w:left="500" w:top="283" w:right="1440" w:bottom="226" w:gutter="0" w:footer="0" w:header="0"/>
        </w:sectPr>
      </w:pPr>
    </w:p>
    <w:p>
      <w:pPr>
        <w:spacing w:after="0" w:line="200" w:lineRule="exact"/>
        <w:rPr>
          <w:sz w:val="20"/>
          <w:szCs w:val="20"/>
          <w:color w:val="auto"/>
        </w:rPr>
      </w:pPr>
    </w:p>
    <w:p>
      <w:pPr>
        <w:spacing w:after="0" w:line="29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3" w:right="1440" w:bottom="226" w:gutter="0" w:footer="0" w:header="0"/>
          <w:type w:val="continuous"/>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left="790" w:right="3179"/>
        <w:spacing w:after="0" w:line="237" w:lineRule="auto"/>
        <w:rPr>
          <w:sz w:val="20"/>
          <w:szCs w:val="20"/>
          <w:color w:val="auto"/>
        </w:rPr>
      </w:pPr>
      <w:r>
        <w:rPr>
          <w:rFonts w:ascii="Courier New" w:cs="Courier New" w:eastAsia="Courier New" w:hAnsi="Courier New"/>
          <w:sz w:val="15"/>
          <w:szCs w:val="15"/>
          <w:color w:val="auto"/>
        </w:rPr>
        <w:t>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78"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77" w:lineRule="exact"/>
        <w:rPr>
          <w:sz w:val="20"/>
          <w:szCs w:val="20"/>
          <w:color w:val="auto"/>
        </w:rPr>
      </w:pPr>
    </w:p>
    <w:p>
      <w:pPr>
        <w:ind w:left="790" w:right="3179"/>
        <w:spacing w:after="0" w:line="237" w:lineRule="auto"/>
        <w:rPr>
          <w:sz w:val="20"/>
          <w:szCs w:val="20"/>
          <w:color w:val="auto"/>
        </w:rPr>
      </w:pPr>
      <w:r>
        <w:rPr>
          <w:rFonts w:ascii="Courier New" w:cs="Courier New" w:eastAsia="Courier New" w:hAnsi="Courier New"/>
          <w:sz w:val="15"/>
          <w:szCs w:val="15"/>
          <w:color w:val="auto"/>
        </w:rPr>
        <w:t>In accordance with SEC Staff Accounting Bulletin No. 101, "Revenue Recognition in Financial Statements", the Company will not recognize commission income until actual Roundup EBIT reaches the first commission threshold for that year. The annual contribution payment, if any, is recognized ratably throughout the year.</w:t>
      </w:r>
    </w:p>
    <w:p>
      <w:pPr>
        <w:spacing w:after="0" w:line="173" w:lineRule="exact"/>
        <w:rPr>
          <w:sz w:val="20"/>
          <w:szCs w:val="20"/>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w:t>
      </w:r>
    </w:p>
    <w:p>
      <w:pPr>
        <w:spacing w:after="0" w:line="174" w:lineRule="exact"/>
        <w:rPr>
          <w:rFonts w:ascii="Courier New" w:cs="Courier New" w:eastAsia="Courier New" w:hAnsi="Courier New"/>
          <w:sz w:val="15"/>
          <w:szCs w:val="15"/>
          <w:color w:val="auto"/>
        </w:rPr>
      </w:pPr>
    </w:p>
    <w:p>
      <w:pPr>
        <w:ind w:left="790" w:right="33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third quarter of fiscal 2001, the Company recorded $16.0 million of restructuring and other charges, primarily associated with the sale, closure or relocation of certain manufacturing and administrative facilities. Of the $16.0 million in charges, $12.1 million qualify as restructuring costs in accordance with generally accepted accounting principles; the remaining $3.9 million are other non-recurring costs associated with these restructuring activities.</w:t>
      </w:r>
    </w:p>
    <w:p>
      <w:pPr>
        <w:spacing w:after="0" w:line="336" w:lineRule="exact"/>
        <w:rPr>
          <w:rFonts w:ascii="Courier New" w:cs="Courier New" w:eastAsia="Courier New" w:hAnsi="Courier New"/>
          <w:sz w:val="15"/>
          <w:szCs w:val="15"/>
          <w:color w:val="auto"/>
        </w:rPr>
      </w:pPr>
    </w:p>
    <w:p>
      <w:pPr>
        <w:ind w:left="79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$16.0 million in charges is segregated in the Statements of Operations in two components: (i) $0.9 million included in cost of sales for the write-off of inventory that was rendered unusable as a result of the restructuring activities and (ii) $15.1 million included in selling, general and administrative costs. Included in the $15.1 million charge in selling, general and administrative costs is $8.4 million to write-off the remaining carrying value of certain property and equipment; $4.0 million of facility exit costs; $0.6 million of severance costs; and $2.1 million in other restructuring and related costs.</w:t>
      </w:r>
    </w:p>
    <w:p>
      <w:pPr>
        <w:spacing w:after="0" w:line="179" w:lineRule="exact"/>
        <w:rPr>
          <w:rFonts w:ascii="Courier New" w:cs="Courier New" w:eastAsia="Courier New" w:hAnsi="Courier New"/>
          <w:sz w:val="15"/>
          <w:szCs w:val="15"/>
          <w:color w:val="auto"/>
        </w:rPr>
      </w:pPr>
    </w:p>
    <w:p>
      <w:pPr>
        <w:ind w:left="79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rollforward of the restructuring and related charges recorded in the third quarter of fiscal 2001: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TYPE</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CLASSIFICATION</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CHARGE</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PAYMENT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BALANCE</w:t>
            </w:r>
          </w:p>
        </w:tc>
      </w:tr>
      <w:tr>
        <w:trPr>
          <w:trHeight w:val="170"/>
        </w:trPr>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6/30/01</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Cash</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SG&amp;A</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Facility exit costs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Cash</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SG&amp;A</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related costs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Cash</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SG&amp;A</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Total Cash</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Property and equipment write downs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Non-Cash</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SG&amp;A</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Obsolete inventory writeoffs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Non-Cash</w:t>
            </w:r>
          </w:p>
        </w:tc>
        <w:tc>
          <w:tcPr>
            <w:tcW w:w="1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sales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Total Non-cash</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w:t>
            </w:r>
          </w:p>
        </w:tc>
        <w:tc>
          <w:tcPr>
            <w:tcW w:w="10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0"/>
        </w:trPr>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0"/>
        </w:trPr>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4"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January 1, 2001, the Company acquired the Substral(R) brand and consumer plant care business from Henkel KgaA. Substral is a leading consumer fertilizer brand in many European countries including Germany, Austria, Belgium, France and the Nordics. Under the terms of the Asset Purchase Agreement, the Company acquired specified working capital and intangible assets associated with the Substral business. The purchase price will be determined based on the value of the working capital assets acquired and the performance of the business for the period from June 15, 2000 to December 31, 2000. The parties to the transaction are still in the process of determining a final purchase price, however, the Company's management estimates that the final purchase price will be approximately $30-$35 million. On June 29, 2001 and December 29, 2000, the Company advanced $6.4 million and $6.9 million, respectively, to Henkel KgaA toward the Substral purchase price.</w:t>
      </w:r>
    </w:p>
    <w:p>
      <w:pPr>
        <w:sectPr>
          <w:pgSz w:w="11900" w:h="16838" w:orient="portrait"/>
          <w:cols w:equalWidth="0" w:num="1">
            <w:col w:w="10229"/>
          </w:cols>
          <w:pgMar w:left="230" w:top="283" w:right="1440" w:bottom="904" w:gutter="0" w:footer="0" w:header="0"/>
        </w:sectPr>
      </w:pPr>
    </w:p>
    <w:p>
      <w:pPr>
        <w:spacing w:after="0" w:line="200" w:lineRule="exact"/>
        <w:rPr>
          <w:sz w:val="20"/>
          <w:szCs w:val="20"/>
          <w:color w:val="auto"/>
        </w:rPr>
      </w:pPr>
    </w:p>
    <w:p>
      <w:pPr>
        <w:spacing w:after="0" w:line="29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904" w:gutter="0" w:footer="0" w:header="0"/>
          <w:type w:val="continuous"/>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790" w:right="3179"/>
        <w:spacing w:after="0" w:line="237" w:lineRule="auto"/>
        <w:rPr>
          <w:sz w:val="20"/>
          <w:szCs w:val="20"/>
          <w:color w:val="auto"/>
        </w:rPr>
      </w:pPr>
      <w:r>
        <w:rPr>
          <w:rFonts w:ascii="Courier New" w:cs="Courier New" w:eastAsia="Courier New" w:hAnsi="Courier New"/>
          <w:sz w:val="15"/>
          <w:szCs w:val="15"/>
          <w:color w:val="auto"/>
        </w:rPr>
        <w:t>Through third quarter of fiscal 2001, the Company acquired several lawn service businesses for a total of approximately $16.7 million. These acquisitions were accounted for under the purchase method of accounting with substantially all of the purchase price assigned to intangible assets.</w:t>
      </w:r>
    </w:p>
    <w:p>
      <w:pPr>
        <w:spacing w:after="0" w:line="173" w:lineRule="exact"/>
        <w:rPr>
          <w:sz w:val="20"/>
          <w:szCs w:val="20"/>
          <w:color w:val="auto"/>
        </w:rPr>
      </w:pP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4" w:lineRule="exact"/>
        <w:rPr>
          <w:rFonts w:ascii="Courier New" w:cs="Courier New" w:eastAsia="Courier New" w:hAnsi="Courier New"/>
          <w:sz w:val="15"/>
          <w:szCs w:val="15"/>
          <w:color w:val="auto"/>
        </w:rPr>
      </w:pPr>
    </w:p>
    <w:p>
      <w:pPr>
        <w:ind w:left="79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 $22.4 million, $24.9 million, and $20.1 million, respectively, consisted of:</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JUNE 30,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JULY 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509"/>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Finished goods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$272.5</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$219.1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$232.9</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Raw materials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85.8</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73.7</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FIFO cost</w:t>
            </w:r>
          </w:p>
        </w:tc>
        <w:tc>
          <w:tcPr>
            <w:tcW w:w="3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358.3</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293.1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306.6</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LIFO reserve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0.9</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Total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$359.0</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$294.1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$307.5</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7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78"/>
        </w:trPr>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JUNE 30,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JULY 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509"/>
        </w:trPr>
        <w:tc>
          <w:tcPr>
            <w:tcW w:w="7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$283.3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$280.4</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Trademarks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331.1</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Other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158.8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131.6</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Total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$762.1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$743.1</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678"/>
        </w:trPr>
        <w:tc>
          <w:tcPr>
            <w:tcW w:w="78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78"/>
        </w:trPr>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JUNE 30,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JULY 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509"/>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Revolving loans under credit facility........</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$ 38.4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$ 37.3</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Term loans under credit facility.............</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396.4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452.2</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Senior Subordinated Notes....................</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320.2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319.2</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Notes due to sellers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Amounts due to the State of Ohio.............</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Foreign bank borrowings and term loans.......</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 and other .........</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896.7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886.2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862.8</w:t>
            </w: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portions........................</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49.4</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$835.9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$836.0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$813.4</w:t>
            </w:r>
          </w:p>
        </w:tc>
      </w:tr>
      <w:tr>
        <w:trPr>
          <w:trHeight w:val="170"/>
        </w:trPr>
        <w:tc>
          <w:tcPr>
            <w:tcW w:w="7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The Company's credit facility provides for borrowings in the aggregate principal amount of $1.1 billion and consists of term loan facilities in the aggregate amount of $525 million and a revolving credit facility in the amount of $575 million. Financial covenants included as part of the facility include, among others, minimum net worth, interest coverage and net leverage ratios.</w:t>
      </w:r>
    </w:p>
    <w:p>
      <w:pPr>
        <w:spacing w:after="0" w:line="176" w:lineRule="exact"/>
        <w:rPr>
          <w:sz w:val="20"/>
          <w:szCs w:val="20"/>
          <w:color w:val="auto"/>
        </w:rPr>
      </w:pPr>
    </w:p>
    <w:p>
      <w:pPr>
        <w:ind w:left="790" w:right="3359"/>
        <w:spacing w:after="0" w:line="238" w:lineRule="auto"/>
        <w:rPr>
          <w:sz w:val="20"/>
          <w:szCs w:val="20"/>
          <w:color w:val="auto"/>
        </w:rPr>
      </w:pPr>
      <w:r>
        <w:rPr>
          <w:rFonts w:ascii="Courier New" w:cs="Courier New" w:eastAsia="Courier New" w:hAnsi="Courier New"/>
          <w:sz w:val="15"/>
          <w:szCs w:val="15"/>
          <w:color w:val="auto"/>
        </w:rPr>
        <w:t>In December 2000, the Company entered into an Amended and Restated Credit Agreement (the "Amended Agreement"). Under the terms of the Amended Agreement, the Company entered into a new Tranche B Term Loan Facility with an aggregate principal amount of $260 million, the proceeds of which repaid the then outstanding principal amount of the original Tranche B and C facilities. The new Tranche B Term Loan Facility will be repaid in quarterly installments of $0.25 million beginning June 30, 2001 through December 31, 2006, quarterly installments of $63.5 million beginning March 31, 2007 through September 30, 2007 and a final quarterly installment of $63.8 million on</w:t>
      </w:r>
    </w:p>
    <w:p>
      <w:pPr>
        <w:sectPr>
          <w:pgSz w:w="11900" w:h="16838" w:orient="portrait"/>
          <w:cols w:equalWidth="0" w:num="1">
            <w:col w:w="10229"/>
          </w:cols>
          <w:pgMar w:left="230" w:top="283" w:right="1440" w:bottom="57" w:gutter="0" w:footer="0" w:header="0"/>
        </w:sectPr>
      </w:pPr>
    </w:p>
    <w:p>
      <w:pPr>
        <w:spacing w:after="0" w:line="34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83" w:right="1440" w:bottom="57"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344"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December 31, 2007. The new Tranche B Term Loan Facility bears interest at a variable rate that is less than the rates on the original Tranche B and C facilities. Under the terms of the Amended Agreement, the revolving credit facility was increased from $500 million to $575 million and the net worth covenant under the original credit facility was amended to be measured only during the Company's second through fourth fiscal quarters. At the time the Company entered into the Amended Agreement, the amounts outstanding under the original Tranche B and C facilities were prepayable without penalty.</w:t>
      </w:r>
    </w:p>
    <w:p>
      <w:pPr>
        <w:spacing w:after="0" w:line="179"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178"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178"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In conjunction with the acquisitions of the Substral business, Rhone-Poulenc Jardin and Sanford Scientific, Inc., notes were issued for certain portions of the total purchase price or other consideration that are to be paid in annual installments over a two to four-year period. The present value of the remaining note payments at June 30, 2001 is $18.4 million, $16.3 million and $2.9 million, respectively. The Company is imputing interest on the non-interest bearing notes using an interest rate prevalent for similar instruments at the time of acquisition (approximately 5.5%, 9% and 8%, respectively). With respect to the recent series of small to mid-range lawn service acquisitions, similar notes were issued for portions of the purchase price. Collectively, the present value of these notes approximates $6.8 million at June 30, 2001. These notes will be paid in annual installments over a two to nine-year period. The Company is imputing interest on the non-interest bearing notes using an interest rate of</w:t>
      </w:r>
    </w:p>
    <w:p>
      <w:pPr>
        <w:spacing w:after="0" w:line="15"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5.0%. Other recent acquisitions have involved similar notes issued for portions of the purchase price. These notes are to be paid in annual installments over periods ranging from four to five years. The present value of the remaining note payments is $5.8 million at June 30, 2001. The Company is imputing interest on these non-interest bearing notes using an interest rate prevalent for similar instruments at the time of the acquisitions (approximating 8%).</w:t>
      </w:r>
    </w:p>
    <w:p>
      <w:pPr>
        <w:spacing w:after="0" w:line="177" w:lineRule="exact"/>
        <w:rPr>
          <w:sz w:val="20"/>
          <w:szCs w:val="20"/>
          <w:color w:val="auto"/>
        </w:rPr>
      </w:pPr>
    </w:p>
    <w:p>
      <w:pPr>
        <w:ind w:left="520" w:right="3179"/>
        <w:spacing w:after="0" w:line="258" w:lineRule="auto"/>
        <w:rPr>
          <w:sz w:val="20"/>
          <w:szCs w:val="20"/>
          <w:color w:val="auto"/>
        </w:rPr>
      </w:pPr>
      <w:r>
        <w:rPr>
          <w:rFonts w:ascii="Courier New" w:cs="Courier New" w:eastAsia="Courier New" w:hAnsi="Courier New"/>
          <w:sz w:val="14"/>
          <w:szCs w:val="14"/>
          <w:color w:val="auto"/>
        </w:rPr>
        <w:t>In May 2000, the Company sold its North American headquarters and research facilities to the State of Ohio for approximately $8.0 million and leased these facilities back from the State of Ohio through lease agreements extending through June 2020. The proceeds of the sale were used to fund the expansion of the North American headquarters facility.</w:t>
      </w:r>
    </w:p>
    <w:p>
      <w:pPr>
        <w:spacing w:after="0" w:line="165"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The foreign term loans of $3.0 million issued on December 12, 1997, have an 8-year term and bear interest at 1% below LIBOR. The loans are denominated in Pounds Sterling and can be redeemed, on demand, by the note holder. The foreign bank borrowings of $4.3 million at June 30, 2001 represent lines of credit for foreign operations and are primarily denominated in German Marks.</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3"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339"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4" w:lineRule="exact"/>
        <w:rPr>
          <w:rFonts w:ascii="Courier New" w:cs="Courier New" w:eastAsia="Courier New" w:hAnsi="Courier New"/>
          <w:sz w:val="15"/>
          <w:szCs w:val="15"/>
          <w:color w:val="auto"/>
        </w:rPr>
      </w:pPr>
    </w:p>
    <w:p>
      <w:pPr>
        <w:ind w:left="79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information necessary to calculate basic and diluted earnings per common share ("EPS").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FOR THE</w:t>
            </w:r>
          </w:p>
        </w:tc>
        <w:tc>
          <w:tcPr>
            <w:tcW w:w="18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FOR THE</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 ENDED</w:t>
            </w: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JULY 1,</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JUNE 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JULY 1,</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$85.4</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Payments to preferred shareholders . ....................</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200" w:type="dxa"/>
            <w:vAlign w:val="bottom"/>
          </w:tcPr>
          <w:p>
            <w:pPr>
              <w:ind w:left="520"/>
              <w:spacing w:after="0"/>
              <w:rPr>
                <w:sz w:val="20"/>
                <w:szCs w:val="20"/>
                <w:color w:val="auto"/>
              </w:rPr>
            </w:pPr>
            <w:r>
              <w:rPr>
                <w:rFonts w:ascii="Courier New" w:cs="Courier New" w:eastAsia="Courier New" w:hAnsi="Courier New"/>
                <w:sz w:val="15"/>
                <w:szCs w:val="15"/>
                <w:color w:val="auto"/>
              </w:rPr>
              <w:t>during the period..................................</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28.3</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27.9</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$1.89</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200" w:type="dxa"/>
            <w:vAlign w:val="bottom"/>
          </w:tcPr>
          <w:p>
            <w:pPr>
              <w:ind w:left="520"/>
              <w:spacing w:after="0"/>
              <w:rPr>
                <w:sz w:val="20"/>
                <w:szCs w:val="20"/>
                <w:color w:val="auto"/>
              </w:rPr>
            </w:pPr>
            <w:r>
              <w:rPr>
                <w:rFonts w:ascii="Courier New" w:cs="Courier New" w:eastAsia="Courier New" w:hAnsi="Courier New"/>
                <w:sz w:val="15"/>
                <w:szCs w:val="15"/>
                <w:color w:val="auto"/>
              </w:rPr>
              <w:t>and potential common shares........................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30.6</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74" w:lineRule="exact"/>
        <w:rPr>
          <w:rFonts w:ascii="Courier New" w:cs="Courier New" w:eastAsia="Courier New" w:hAnsi="Courier New"/>
          <w:sz w:val="15"/>
          <w:szCs w:val="15"/>
          <w:color w:val="auto"/>
        </w:rPr>
      </w:pPr>
    </w:p>
    <w:p>
      <w:pPr>
        <w:jc w:val="both"/>
        <w:ind w:left="790" w:right="34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components of other comprehensive income and total comprehensive income for the three and nine months ended June 30, 2001 and July 1,</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FOR THE</w:t>
            </w:r>
          </w:p>
        </w:tc>
        <w:tc>
          <w:tcPr>
            <w:tcW w:w="18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FOR THE</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 ENDED</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5200" w:type="dxa"/>
            <w:vAlign w:val="bottom"/>
          </w:tcPr>
          <w:p>
            <w:pPr>
              <w:spacing w:after="0"/>
              <w:rPr>
                <w:sz w:val="14"/>
                <w:szCs w:val="14"/>
                <w:color w:val="auto"/>
              </w:rPr>
            </w:pPr>
          </w:p>
        </w:tc>
        <w:tc>
          <w:tcPr>
            <w:tcW w:w="1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JULY 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JUNE 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JULY 1,</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$52.8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$85.4</w:t>
            </w:r>
          </w:p>
        </w:tc>
      </w:tr>
      <w:tr>
        <w:trPr>
          <w:trHeight w:val="170"/>
        </w:trPr>
        <w:tc>
          <w:tcPr>
            <w:tcW w:w="5200" w:type="dxa"/>
            <w:vAlign w:val="bottom"/>
          </w:tcPr>
          <w:p>
            <w:pPr>
              <w:jc w:val="right"/>
              <w:ind w:right="1867"/>
              <w:spacing w:after="0"/>
              <w:rPr>
                <w:sz w:val="20"/>
                <w:szCs w:val="20"/>
                <w:color w:val="auto"/>
              </w:rPr>
            </w:pPr>
            <w:r>
              <w:rPr>
                <w:rFonts w:ascii="Courier New" w:cs="Courier New" w:eastAsia="Courier New" w:hAnsi="Courier New"/>
                <w:sz w:val="15"/>
                <w:szCs w:val="15"/>
                <w:color w:val="auto"/>
                <w:w w:val="97"/>
              </w:rPr>
              <w:t>Other comprehensive income (expense):</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Foreign currency translation adjustments...........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Change in valuation of derivative instruments......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Comprehensive income.....................................</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$41.4</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$52.1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$79.1</w:t>
            </w:r>
          </w:p>
        </w:tc>
      </w:tr>
      <w:tr>
        <w:trPr>
          <w:trHeight w:val="170"/>
        </w:trPr>
        <w:tc>
          <w:tcPr>
            <w:tcW w:w="52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3"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OHIO ENVIRONMENTAL PROTECTION AGENCY</w:t>
      </w:r>
    </w:p>
    <w:p>
      <w:pPr>
        <w:spacing w:after="0" w:line="174"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166"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February 1997, the Company learned that the Ohio Environmental Protection Agency was referring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ectPr>
          <w:pgSz w:w="11900" w:h="16838" w:orient="portrait"/>
          <w:cols w:equalWidth="0" w:num="1">
            <w:col w:w="10229"/>
          </w:cols>
          <w:pgMar w:left="230" w:top="283" w:right="1440" w:bottom="226" w:gutter="0" w:footer="0" w:header="0"/>
        </w:sectPr>
      </w:pPr>
    </w:p>
    <w:p>
      <w:pPr>
        <w:spacing w:after="0" w:line="200" w:lineRule="exact"/>
        <w:rPr>
          <w:sz w:val="20"/>
          <w:szCs w:val="20"/>
          <w:color w:val="auto"/>
        </w:rPr>
      </w:pPr>
    </w:p>
    <w:p>
      <w:pPr>
        <w:spacing w:after="0" w:line="30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283" w:right="1440" w:bottom="226"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left="520" w:right="3179"/>
        <w:spacing w:after="0" w:line="256" w:lineRule="auto"/>
        <w:rPr>
          <w:sz w:val="20"/>
          <w:szCs w:val="20"/>
          <w:color w:val="auto"/>
        </w:rPr>
      </w:pPr>
      <w:r>
        <w:rPr>
          <w:rFonts w:ascii="Courier New" w:cs="Courier New" w:eastAsia="Courier New" w:hAnsi="Courier New"/>
          <w:sz w:val="14"/>
          <w:szCs w:val="14"/>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Comments on that draft were received from the Ohio Attorney General in February 2000, and the Company replied with another revised draft in March 2000. Since July 2000, the parties have been engaged in settlement discussions resulting in various revisions to the March 2000 draft, as they seek to resolve this matter.</w:t>
      </w:r>
    </w:p>
    <w:p>
      <w:pPr>
        <w:spacing w:after="0" w:line="346" w:lineRule="exact"/>
        <w:rPr>
          <w:sz w:val="20"/>
          <w:szCs w:val="20"/>
          <w:color w:val="auto"/>
        </w:rPr>
      </w:pPr>
    </w:p>
    <w:p>
      <w:pPr>
        <w:ind w:left="520" w:right="3179"/>
        <w:spacing w:after="0" w:line="257" w:lineRule="auto"/>
        <w:rPr>
          <w:sz w:val="20"/>
          <w:szCs w:val="20"/>
          <w:color w:val="auto"/>
        </w:rPr>
      </w:pPr>
      <w:r>
        <w:rPr>
          <w:rFonts w:ascii="Courier New" w:cs="Courier New" w:eastAsia="Courier New" w:hAnsi="Courier New"/>
          <w:sz w:val="14"/>
          <w:szCs w:val="14"/>
          <w:color w:val="auto"/>
        </w:rPr>
        <w:t>The Company is continuing to meet with the Ohio Attorney General and the Ohio Environmental Protection Agency in an effort to complete negotiations of an amicable resolution of these issues. Negotiations have narrowed the unresolved issues between the Company and the Ohio Attorney General/Ohio Environmental Protection Agency, and the parties anticipate concluding negotiations on an agreed Consent Order, shortly. A significant negotiating point is the degree to which stream remediation will be conducted on Crosses Run, as it runs through the Company's property. The parties have agreed to a civil penalty cash payment subject to the successful completion of negotiations on the remaining provisions of a judicial consent order. The Company believes that it has viable defenses to the State's enforcement action, including that it had been proceeding under VAP to address specified environmental issues, and will assert those defenses should an amicable resolution of the State's enforcement action not be reached.</w:t>
      </w:r>
    </w:p>
    <w:p>
      <w:pPr>
        <w:spacing w:after="0" w:line="165" w:lineRule="exact"/>
        <w:rPr>
          <w:sz w:val="20"/>
          <w:szCs w:val="20"/>
          <w:color w:val="auto"/>
        </w:rPr>
      </w:pPr>
    </w:p>
    <w:p>
      <w:pPr>
        <w:ind w:left="520" w:right="3179"/>
        <w:spacing w:after="0" w:line="256"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have been implemented, which consist of capping two on-site waste disposal areas, closing of several ponds, and partial removal of sediment from a small, adjacent watercourse.</w:t>
      </w:r>
    </w:p>
    <w:p>
      <w:pPr>
        <w:spacing w:after="0" w:line="176" w:lineRule="exact"/>
        <w:rPr>
          <w:sz w:val="20"/>
          <w:szCs w:val="20"/>
          <w:color w:val="auto"/>
        </w:rPr>
      </w:pPr>
    </w:p>
    <w:p>
      <w:pPr>
        <w:ind w:left="520" w:right="3179"/>
        <w:spacing w:after="0" w:line="257" w:lineRule="auto"/>
        <w:rPr>
          <w:sz w:val="20"/>
          <w:szCs w:val="20"/>
          <w:color w:val="auto"/>
        </w:rPr>
      </w:pPr>
      <w:r>
        <w:rPr>
          <w:rFonts w:ascii="Courier New" w:cs="Courier New" w:eastAsia="Courier New" w:hAnsi="Courier New"/>
          <w:sz w:val="14"/>
          <w:szCs w:val="14"/>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As of June 30, 2001, management estimates that the range of possible loss that could be incurred in connection with this matter is $6 million to $10 million. The Company has accrued for the amount it considers to be the most probable within that range and believes the outcome will not differ materially from the amount reserved. Many of the issues raised by the State of Ohio are already being investigated and addressed by the Company during the normal course of conducting business.</w:t>
      </w:r>
    </w:p>
    <w:p>
      <w:pPr>
        <w:sectPr>
          <w:pgSz w:w="11900" w:h="16838" w:orient="portrait"/>
          <w:cols w:equalWidth="0" w:num="1">
            <w:col w:w="9959"/>
          </w:cols>
          <w:pgMar w:left="500" w:top="28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83"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14</w:t>
      </w:r>
    </w:p>
    <w:p>
      <w:pPr>
        <w:spacing w:after="0" w:line="33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LAFAYETTE</w:t>
      </w:r>
    </w:p>
    <w:p>
      <w:pPr>
        <w:spacing w:after="0" w:line="175" w:lineRule="exact"/>
        <w:rPr>
          <w:sz w:val="20"/>
          <w:szCs w:val="20"/>
          <w:color w:val="auto"/>
        </w:rPr>
      </w:pPr>
    </w:p>
    <w:p>
      <w:pPr>
        <w:ind w:left="520" w:right="3179"/>
        <w:spacing w:after="0" w:line="256"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The Company is defending this suit and is asserting a right to recover its economic losses resulting from the government's actions. The suit was placed in administrative suspension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and other terms of the consent order proposed by the government in April 2001. The Company has reserved for its estimate of the probable loss to be incurred under this proceeding as of June 30, 2001. Furthermore, management believes the Company has sufficient raw material supplies available such that service to customers will not be materially adversely affected by the planned permanent closure of this facility.</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BRAMFORD</w:t>
      </w:r>
    </w:p>
    <w:p>
      <w:pPr>
        <w:spacing w:after="0" w:line="175" w:lineRule="exact"/>
        <w:rPr>
          <w:sz w:val="20"/>
          <w:szCs w:val="20"/>
          <w:color w:val="auto"/>
        </w:rPr>
      </w:pPr>
    </w:p>
    <w:p>
      <w:pPr>
        <w:ind w:left="520" w:right="3179"/>
        <w:spacing w:after="0" w:line="239" w:lineRule="auto"/>
        <w:rPr>
          <w:sz w:val="20"/>
          <w:szCs w:val="20"/>
          <w:color w:val="auto"/>
        </w:rPr>
      </w:pPr>
      <w:r>
        <w:rPr>
          <w:rFonts w:ascii="Courier New" w:cs="Courier New" w:eastAsia="Courier New" w:hAnsi="Courier New"/>
          <w:sz w:val="15"/>
          <w:szCs w:val="15"/>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is deciding whether to surrender the waste management license or continue licensure as a dormant facility, which is no longer used for any disposal wastes. The Company is addressing the reasonable remediation concerns of the Environment Agency in connection with the lagoon and a former landfill at the site. The Company previously installed an environmental enhancement to the facility to reduce emissions to both air and ground water. Additional work has successfully reduced emissions to groundwater and surface water. The Company believes that it has adequately addressed the environmental concerns of the Environment Agency regarding emissions to air and groundwater. The Scotts Company (UK) Ltd. has retained an environmental consulting firm to advise on these matters. The Company and the Environment Agency are expected to have further discussions over the final plan for remediating the lagoon and the landfill. The Company has reserved for its estimate of the probable loss to be incurred in connection with this matter as of June 30, 2001.</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OTHER ENVIRONMENTAL MATTERS</w:t>
      </w:r>
    </w:p>
    <w:p>
      <w:pPr>
        <w:spacing w:after="0" w:line="175"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 The Company has reserved for the estimate of costs to be incurred for this matter as of June 30, 2001.</w:t>
      </w:r>
    </w:p>
    <w:p>
      <w:pPr>
        <w:spacing w:after="0" w:line="176" w:lineRule="exact"/>
        <w:rPr>
          <w:sz w:val="20"/>
          <w:szCs w:val="20"/>
          <w:color w:val="auto"/>
        </w:rPr>
      </w:pPr>
    </w:p>
    <w:p>
      <w:pPr>
        <w:ind w:left="520" w:right="3259"/>
        <w:spacing w:after="0" w:line="256" w:lineRule="auto"/>
        <w:rPr>
          <w:sz w:val="20"/>
          <w:szCs w:val="20"/>
          <w:color w:val="auto"/>
        </w:rPr>
      </w:pPr>
      <w:r>
        <w:rPr>
          <w:rFonts w:ascii="Courier New" w:cs="Courier New" w:eastAsia="Courier New" w:hAnsi="Courier New"/>
          <w:sz w:val="14"/>
          <w:szCs w:val="14"/>
          <w:color w:val="auto"/>
        </w:rPr>
        <w:t>The Company has accrued $6.5 million at June 30, 2001 for the environmental matters described in Note 10. The significant components of the accrual are: (i) costs for site remediation of $4.0 million;</w:t>
      </w:r>
    </w:p>
    <w:p>
      <w:pPr>
        <w:spacing w:after="0" w:line="1" w:lineRule="exact"/>
        <w:rPr>
          <w:sz w:val="20"/>
          <w:szCs w:val="20"/>
          <w:color w:val="auto"/>
        </w:rPr>
      </w:pPr>
    </w:p>
    <w:p>
      <w:pPr>
        <w:ind w:left="520" w:right="3179" w:firstLine="4"/>
        <w:spacing w:after="0" w:line="237" w:lineRule="auto"/>
        <w:tabs>
          <w:tab w:leader="none" w:pos="96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for asbestos abatement of $1.8 million; and (iii) fines and penalties of $0.5 million. The significant portion of the costs accrued as of June 30, 2001 are expected to be paid in fiscal 2001 and 2002; however, payments are expected to be made through fiscal 2003 and possibly for a period thereafter.</w:t>
      </w:r>
    </w:p>
    <w:p>
      <w:pPr>
        <w:spacing w:after="0" w:line="178" w:lineRule="exact"/>
        <w:rPr>
          <w:sz w:val="20"/>
          <w:szCs w:val="20"/>
          <w:color w:val="auto"/>
        </w:rPr>
      </w:pPr>
    </w:p>
    <w:p>
      <w:pPr>
        <w:ind w:left="520" w:right="3359"/>
        <w:spacing w:after="0" w:line="259" w:lineRule="auto"/>
        <w:rPr>
          <w:sz w:val="20"/>
          <w:szCs w:val="20"/>
          <w:color w:val="auto"/>
        </w:rPr>
      </w:pPr>
      <w:r>
        <w:rPr>
          <w:rFonts w:ascii="Courier New" w:cs="Courier New" w:eastAsia="Courier New" w:hAnsi="Courier New"/>
          <w:sz w:val="14"/>
          <w:szCs w:val="14"/>
          <w:color w:val="auto"/>
        </w:rPr>
        <w:t>The Company believes that the amounts accrued as of June 30, 2001 are adequate to cover its known environmental expenses based on current facts and estimates of likely outcome. However, the adequacy of these accruals is based on several significant assumptions:</w:t>
      </w:r>
    </w:p>
    <w:p>
      <w:pPr>
        <w:spacing w:after="0" w:line="163" w:lineRule="exact"/>
        <w:rPr>
          <w:sz w:val="20"/>
          <w:szCs w:val="20"/>
          <w:color w:val="auto"/>
        </w:rPr>
      </w:pPr>
    </w:p>
    <w:p>
      <w:pPr>
        <w:ind w:left="520" w:right="3359" w:firstLine="4"/>
        <w:spacing w:after="0" w:line="235" w:lineRule="auto"/>
        <w:tabs>
          <w:tab w:leader="none" w:pos="87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has identified all of the significant sites that must be remediated;</w:t>
      </w:r>
    </w:p>
    <w:p>
      <w:pPr>
        <w:sectPr>
          <w:pgSz w:w="11900" w:h="16838" w:orient="portrait"/>
          <w:cols w:equalWidth="0" w:num="1">
            <w:col w:w="9959"/>
          </w:cols>
          <w:pgMar w:left="500" w:top="283"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83"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left="520" w:right="4319" w:firstLine="4"/>
        <w:spacing w:after="0" w:line="235" w:lineRule="auto"/>
        <w:tabs>
          <w:tab w:leader="none" w:pos="9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w:t>
      </w:r>
    </w:p>
    <w:p>
      <w:pPr>
        <w:spacing w:after="0" w:line="175" w:lineRule="exact"/>
        <w:rPr>
          <w:rFonts w:ascii="Courier New" w:cs="Courier New" w:eastAsia="Courier New" w:hAnsi="Courier New"/>
          <w:sz w:val="15"/>
          <w:szCs w:val="15"/>
          <w:color w:val="auto"/>
        </w:rPr>
      </w:pPr>
    </w:p>
    <w:p>
      <w:pPr>
        <w:ind w:left="520" w:right="3539" w:firstLine="4"/>
        <w:spacing w:after="0" w:line="235" w:lineRule="auto"/>
        <w:tabs>
          <w:tab w:leader="none" w:pos="10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potentially contaminated soil can be remediated in place rather than having to be removed; and</w:t>
      </w:r>
    </w:p>
    <w:p>
      <w:pPr>
        <w:spacing w:after="0" w:line="175" w:lineRule="exact"/>
        <w:rPr>
          <w:rFonts w:ascii="Courier New" w:cs="Courier New" w:eastAsia="Courier New" w:hAnsi="Courier New"/>
          <w:sz w:val="15"/>
          <w:szCs w:val="15"/>
          <w:color w:val="auto"/>
        </w:rPr>
      </w:pPr>
    </w:p>
    <w:p>
      <w:pPr>
        <w:ind w:left="520" w:right="3259" w:firstLine="4"/>
        <w:spacing w:after="0" w:line="235" w:lineRule="auto"/>
        <w:tabs>
          <w:tab w:leader="none" w:pos="9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only specific stream sediment sites with unacceptable levels of potential contaminant will be remediated.</w:t>
      </w:r>
    </w:p>
    <w:p>
      <w:pPr>
        <w:spacing w:after="0" w:line="176" w:lineRule="exact"/>
        <w:rPr>
          <w:sz w:val="20"/>
          <w:szCs w:val="20"/>
          <w:color w:val="auto"/>
        </w:rPr>
      </w:pPr>
    </w:p>
    <w:p>
      <w:pPr>
        <w:ind w:left="520" w:right="3359"/>
        <w:spacing w:after="0" w:line="237"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5" w:lineRule="exact"/>
        <w:rPr>
          <w:sz w:val="20"/>
          <w:szCs w:val="20"/>
          <w:color w:val="auto"/>
        </w:rPr>
      </w:pPr>
    </w:p>
    <w:p>
      <w:pPr>
        <w:ind w:left="520" w:right="3179"/>
        <w:spacing w:after="0" w:line="256" w:lineRule="auto"/>
        <w:rPr>
          <w:sz w:val="20"/>
          <w:szCs w:val="20"/>
          <w:color w:val="auto"/>
        </w:rPr>
      </w:pPr>
      <w:r>
        <w:rPr>
          <w:rFonts w:ascii="Courier New" w:cs="Courier New" w:eastAsia="Courier New" w:hAnsi="Courier New"/>
          <w:sz w:val="14"/>
          <w:szCs w:val="14"/>
          <w:color w:val="auto"/>
        </w:rPr>
        <w:t>On June 3, 1999, AgrEvo Environmental Health, Inc. ("AgrEvo") (which is reported to have changed its name to Aventis Environmental Health Science USA LP) filed a complaint in the U.S. District Court for the Southern 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contract by Monsanto. The Company purchased a consumer herbicide business from AgrEvo in May 1998. AgrEvo claims in the suit that 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176" w:lineRule="exact"/>
        <w:rPr>
          <w:sz w:val="20"/>
          <w:szCs w:val="20"/>
          <w:color w:val="auto"/>
        </w:rPr>
      </w:pPr>
    </w:p>
    <w:p>
      <w:pPr>
        <w:ind w:left="520" w:right="3179"/>
        <w:spacing w:after="0" w:line="256"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the purchase of the consumer herbicide business and the related agreements, and that AgrEvo breached the representations and warranties contained in these agreements. On October 1, 1999, the Company moved to dismiss the antitrust allegations against it on the ground that the claims fail to state claims for which relief may be granted. On October 12, 1999, AgrEvo moved to dismiss the Company's counterclaims. On May 5, 2000, AgrEvo amended its complaint to add a claim for fraud and to incorporate the Delaware Action described below. Thereafter, the Company moved to dismiss the new claims, and the defendants renewed their pending motions to dismiss. On June 2, 2000, the court (i) granted the Company's motion to dismiss the fraud claim AgrEvo had added to its complaint; (ii) granted AgrEvo's motion to dismiss the Company's fraudulent-inducement counterclaim;</w:t>
      </w:r>
    </w:p>
    <w:p>
      <w:pPr>
        <w:spacing w:after="0" w:line="6" w:lineRule="exact"/>
        <w:rPr>
          <w:sz w:val="20"/>
          <w:szCs w:val="20"/>
          <w:color w:val="auto"/>
        </w:rPr>
      </w:pPr>
    </w:p>
    <w:p>
      <w:pPr>
        <w:ind w:left="520" w:right="3179" w:firstLine="4"/>
        <w:spacing w:after="0" w:line="238" w:lineRule="auto"/>
        <w:tabs>
          <w:tab w:leader="none" w:pos="10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denied AgrEvo's motion to dismiss the Company's counterclaims related to breach of representations and warranties; and (iv) denied defendants' motion to dismiss the antitrust claims. On July 14, 2000, the Company served an answer to AgrEvo's amended complaint and re-pleaded its fraud counterclaim. Under the indemnification provisions of the Roundup(R) marketing agreement, Monsanto and the Company each have requested that the other indemnify against any losses arising from this lawsuit.</w:t>
      </w:r>
    </w:p>
    <w:p>
      <w:pPr>
        <w:spacing w:after="0" w:line="178"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83"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If the above actions are determined adversely to the Company, the result could have a material adverse effect on the Company's results of operations, financial position and cash flows. The Company believes that we will prevail in the</w:t>
      </w:r>
    </w:p>
    <w:p>
      <w:pPr>
        <w:sectPr>
          <w:pgSz w:w="11900" w:h="16838" w:orient="portrait"/>
          <w:cols w:equalWidth="0" w:num="1">
            <w:col w:w="9959"/>
          </w:cols>
          <w:pgMar w:left="500" w:top="283" w:right="1440" w:bottom="1074" w:gutter="0" w:footer="0" w:header="0"/>
        </w:sectPr>
      </w:pP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83" w:right="1440" w:bottom="1074"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16</w:t>
      </w:r>
    </w:p>
    <w:p>
      <w:pPr>
        <w:spacing w:after="0" w:line="344"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AgrEvo matter and that any potential exposure that the Company may face cannot be reasonably estimated. Therefore, no accrual has been established related to this matter.</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CENTRAL GARDEN &amp; PET COMPANY</w:t>
      </w:r>
    </w:p>
    <w:p>
      <w:pPr>
        <w:spacing w:after="0" w:line="175" w:lineRule="exact"/>
        <w:rPr>
          <w:sz w:val="20"/>
          <w:szCs w:val="20"/>
          <w:color w:val="auto"/>
        </w:rPr>
      </w:pPr>
    </w:p>
    <w:p>
      <w:pPr>
        <w:ind w:left="520" w:right="3539"/>
        <w:spacing w:after="0" w:line="237" w:lineRule="auto"/>
        <w:rPr>
          <w:sz w:val="20"/>
          <w:szCs w:val="20"/>
          <w:color w:val="auto"/>
        </w:rPr>
      </w:pPr>
      <w:r>
        <w:rPr>
          <w:rFonts w:ascii="Courier New" w:cs="Courier New" w:eastAsia="Courier New" w:hAnsi="Courier New"/>
          <w:sz w:val="15"/>
          <w:szCs w:val="15"/>
          <w:color w:val="auto"/>
        </w:rPr>
        <w:t>The Company is currently engaged in several litigation matters with Central Garden &amp; Pet Company ("Central Garden"). These cases are summarized below.</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5"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On June 30, 2000, the Company filed suit against Central Garden in the U.S. District Court for the Southern District of Ohio to recover approximately $17 million in its outstanding accounts receivable from Central Garden with respect to the Company's 2000 fiscal year. The Company's complaint was later amended to seek approximately $24 million in accounts receivable and additional damages for other breaches of duty.</w:t>
      </w:r>
    </w:p>
    <w:p>
      <w:pPr>
        <w:spacing w:after="0" w:line="177" w:lineRule="exact"/>
        <w:rPr>
          <w:sz w:val="20"/>
          <w:szCs w:val="20"/>
          <w:color w:val="auto"/>
        </w:rPr>
      </w:pPr>
    </w:p>
    <w:p>
      <w:pPr>
        <w:ind w:left="520" w:right="3259"/>
        <w:spacing w:after="0" w:line="239" w:lineRule="auto"/>
        <w:rPr>
          <w:sz w:val="20"/>
          <w:szCs w:val="20"/>
          <w:color w:val="auto"/>
        </w:rPr>
      </w:pPr>
      <w:r>
        <w:rPr>
          <w:rFonts w:ascii="Courier New" w:cs="Courier New" w:eastAsia="Courier New" w:hAnsi="Courier New"/>
          <w:sz w:val="15"/>
          <w:szCs w:val="15"/>
          <w:color w:val="auto"/>
        </w:rPr>
        <w:t>On April 13, 2001, Central Garden filed an answer and counterclaim in the Ohio action. On April 24, 2001, Central Garden filed an amended counterclaim. Central Garden's counterclaims include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Based on these allegations, Central Garden has asserted several causes of action, including breach of oral contract and fraudulent misrepresentation, and seeks damages in excess of $900 million. The Company believes that the preliminary discussions regarding any acquisition from Pharmacia that occurred are not actionable under any legal theory. In addition, Central Garden asserts various other causes of action, including breach of written contract and quantum valebant, and seeks damages in excess of $76 million based on the allegations that Central Garden was entitled to receive credit for the value of inventory improperly seized by Scotts. These allegations are made without regard to the fact that the amounts sought from Central in litigation filed by Scotts and Pharmacia are net of any such alleged credit. The Company believes all of Central Garden's counterclaims in Ohio are without merit and it intends to vigorously defend against them.</w:t>
      </w:r>
    </w:p>
    <w:p>
      <w:pPr>
        <w:spacing w:after="0" w:line="176" w:lineRule="exact"/>
        <w:rPr>
          <w:sz w:val="20"/>
          <w:szCs w:val="20"/>
          <w:color w:val="auto"/>
        </w:rPr>
      </w:pPr>
    </w:p>
    <w:p>
      <w:pPr>
        <w:ind w:left="520" w:right="3439"/>
        <w:spacing w:after="0" w:line="235" w:lineRule="auto"/>
        <w:rPr>
          <w:sz w:val="20"/>
          <w:szCs w:val="20"/>
          <w:color w:val="auto"/>
        </w:rPr>
      </w:pPr>
      <w:r>
        <w:rPr>
          <w:rFonts w:ascii="Courier New" w:cs="Courier New" w:eastAsia="Courier New" w:hAnsi="Courier New"/>
          <w:sz w:val="15"/>
          <w:szCs w:val="15"/>
          <w:color w:val="auto"/>
        </w:rPr>
        <w:t>Pharmacia Corporation v. Central Garden, Circuit Court of St. Louis, Missouri</w:t>
      </w:r>
    </w:p>
    <w:p>
      <w:pPr>
        <w:spacing w:after="0" w:line="176" w:lineRule="exact"/>
        <w:rPr>
          <w:sz w:val="20"/>
          <w:szCs w:val="20"/>
          <w:color w:val="auto"/>
        </w:rPr>
      </w:pPr>
    </w:p>
    <w:p>
      <w:pPr>
        <w:ind w:left="520" w:right="3259"/>
        <w:spacing w:after="0" w:line="238" w:lineRule="auto"/>
        <w:rPr>
          <w:sz w:val="20"/>
          <w:szCs w:val="20"/>
          <w:color w:val="auto"/>
        </w:rPr>
      </w:pPr>
      <w:r>
        <w:rPr>
          <w:rFonts w:ascii="Courier New" w:cs="Courier New" w:eastAsia="Courier New" w:hAnsi="Courier New"/>
          <w:sz w:val="15"/>
          <w:szCs w:val="15"/>
          <w:color w:val="auto"/>
        </w:rPr>
        <w:t>On June 30, 2000, Pharmacia Corporation filed suit against Central Garden in Missouri state court, seeking unspecified damages allegedly due Pharmacia under a four-year Alliance Agreement between Pharmacia and Central. The Company was, for a short time, an assignee of this Alliance Agreement, which it has reassigned to Pharmacia. Accordingly, on January 18, 2001, Pharmacia joined the Company as a nominal defendant in the Missouri state court action.</w:t>
      </w:r>
    </w:p>
    <w:p>
      <w:pPr>
        <w:spacing w:after="0" w:line="177" w:lineRule="exact"/>
        <w:rPr>
          <w:sz w:val="20"/>
          <w:szCs w:val="20"/>
          <w:color w:val="auto"/>
        </w:rPr>
      </w:pPr>
    </w:p>
    <w:p>
      <w:pPr>
        <w:ind w:left="520" w:right="3179"/>
        <w:spacing w:after="0" w:line="257" w:lineRule="auto"/>
        <w:rPr>
          <w:sz w:val="20"/>
          <w:szCs w:val="20"/>
          <w:color w:val="auto"/>
        </w:rPr>
      </w:pPr>
      <w:r>
        <w:rPr>
          <w:rFonts w:ascii="Courier New" w:cs="Courier New" w:eastAsia="Courier New" w:hAnsi="Courier New"/>
          <w:sz w:val="14"/>
          <w:szCs w:val="14"/>
          <w:color w:val="auto"/>
        </w:rPr>
        <w:t>On January 29, 2001, Central Garden filed its answer and cross-claims and counterclaims in the Missouri action. In its cross-claims, Central Garden seeks an unspecified amount of damages for alleged contractual breaches by the Company with respect to the agreements which are the subject of the Missouri and Ohio actions described above. In addition, Central Garden has included cross-claims under Section 17200 of the California Business and Professions Code on behalf of the general public and/or third party purchasers of the Company's products. Central Garden seeks injunctive and restitutionary relief pursuant to this newly added purported consumer representative action. On February 8, 2001, the Company filed a motion to stay Central Garden's cross-claims based on the pendency of the prior filed actions in the Ohio and California federal courts that involve the same subject matter. At a hearing on March 20, 2001, the Missouri state court stayed all cross-claims pending before it against the Company.</w:t>
      </w:r>
    </w:p>
    <w:p>
      <w:pPr>
        <w:spacing w:after="0" w:line="334" w:lineRule="exact"/>
        <w:rPr>
          <w:sz w:val="20"/>
          <w:szCs w:val="20"/>
          <w:color w:val="auto"/>
        </w:rPr>
      </w:pPr>
    </w:p>
    <w:p>
      <w:pPr>
        <w:ind w:left="520" w:right="3179"/>
        <w:spacing w:after="0" w:line="256" w:lineRule="auto"/>
        <w:rPr>
          <w:sz w:val="20"/>
          <w:szCs w:val="20"/>
          <w:color w:val="auto"/>
        </w:rPr>
      </w:pPr>
      <w:r>
        <w:rPr>
          <w:rFonts w:ascii="Courier New" w:cs="Courier New" w:eastAsia="Courier New" w:hAnsi="Courier New"/>
          <w:sz w:val="14"/>
          <w:szCs w:val="14"/>
          <w:color w:val="auto"/>
        </w:rPr>
        <w:t>The Missouri court clarified its stay order on June 13, 2001, permitting Central Garden to pursue contract claims arising under or related to the Alliance Agreement. On June 23, 2001, the Company filed a cross-claim against Central Garden for an equitable accounting to establish the parties' relative financial positions under the Alliance Agreement at the conclusion of that agreement. On June 28, 2001, Central Garden amended its cross-claims against the Company to assert claims for declaratory relief and an accounting, breaches of various contracts, breach of an indemnification agreement, promissory estoppel, promissory fraud, conversion, and unfair business practices. On July 18, 2001, the Company filed a motion to strike Central Garden's amended cross-claims because certain of those claims involved issues arising after the conclusion of the Alliance Agreement. On the same date, Central Garden moved for leave to file its amended cross-claims, which the Company opposed. The Missouri state court held a hearing on</w:t>
      </w:r>
    </w:p>
    <w:p>
      <w:pPr>
        <w:spacing w:after="0" w:line="5" w:lineRule="exact"/>
        <w:rPr>
          <w:sz w:val="20"/>
          <w:szCs w:val="20"/>
          <w:color w:val="auto"/>
        </w:rPr>
      </w:pPr>
    </w:p>
    <w:p>
      <w:pPr>
        <w:ind w:left="520" w:right="3359"/>
        <w:spacing w:after="0" w:line="235" w:lineRule="auto"/>
        <w:rPr>
          <w:sz w:val="20"/>
          <w:szCs w:val="20"/>
          <w:color w:val="auto"/>
        </w:rPr>
      </w:pPr>
      <w:r>
        <w:rPr>
          <w:rFonts w:ascii="Courier New" w:cs="Courier New" w:eastAsia="Courier New" w:hAnsi="Courier New"/>
          <w:sz w:val="15"/>
          <w:szCs w:val="15"/>
          <w:color w:val="auto"/>
        </w:rPr>
        <w:t>July 26, 2001 on these motions but has not issued a ruling. The trial date for the Missouri state action is set for December 2001.</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Central Garden v. Scotts &amp; Pharmacia, Northern District of California</w:t>
      </w:r>
    </w:p>
    <w:p>
      <w:pPr>
        <w:spacing w:after="0" w:line="175" w:lineRule="exact"/>
        <w:rPr>
          <w:sz w:val="20"/>
          <w:szCs w:val="20"/>
          <w:color w:val="auto"/>
        </w:rPr>
      </w:pPr>
    </w:p>
    <w:p>
      <w:pPr>
        <w:ind w:left="520" w:right="3259"/>
        <w:spacing w:after="0" w:line="260" w:lineRule="auto"/>
        <w:rPr>
          <w:sz w:val="20"/>
          <w:szCs w:val="20"/>
          <w:color w:val="auto"/>
        </w:rPr>
      </w:pPr>
      <w:r>
        <w:rPr>
          <w:rFonts w:ascii="Courier New" w:cs="Courier New" w:eastAsia="Courier New" w:hAnsi="Courier New"/>
          <w:sz w:val="14"/>
          <w:szCs w:val="14"/>
          <w:color w:val="auto"/>
        </w:rPr>
        <w:t>On July 7, 2000, Central Garden filed suit against the Company and Pharmacia in the U.S. District Court for the Northern District of California (San Francisco Division) alleging various claims, including</w:t>
      </w:r>
    </w:p>
    <w:p>
      <w:pPr>
        <w:sectPr>
          <w:pgSz w:w="11900" w:h="16838" w:orient="portrait"/>
          <w:cols w:equalWidth="0" w:num="1">
            <w:col w:w="9959"/>
          </w:cols>
          <w:pgMar w:left="500" w:top="283" w:right="1440" w:bottom="0" w:gutter="0" w:footer="0" w:header="0"/>
        </w:sectPr>
      </w:pPr>
    </w:p>
    <w:bookmarkStart w:id="16" w:name="page17"/>
    <w:bookmarkEnd w:id="16"/>
    <w:p>
      <w:pPr>
        <w:ind w:right="3179"/>
        <w:spacing w:after="0" w:line="238" w:lineRule="auto"/>
        <w:rPr>
          <w:sz w:val="20"/>
          <w:szCs w:val="20"/>
          <w:color w:val="auto"/>
        </w:rPr>
      </w:pPr>
      <w:r>
        <w:rPr>
          <w:rFonts w:ascii="Courier New" w:cs="Courier New" w:eastAsia="Courier New" w:hAnsi="Courier New"/>
          <w:sz w:val="15"/>
          <w:szCs w:val="15"/>
          <w:color w:val="auto"/>
        </w:rPr>
        <w:t>breach of contract and violations of federal antitrust laws, and seeking an unspecified amount of damages and injunctive relief. On October 26, 2000, after a noticed hearing, the District Court dismissed all of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The trial date for the California federal action is set for July 2002.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39"/>
          </w:cols>
          <w:pgMar w:left="1020" w:top="141"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17</w:t>
      </w:r>
    </w:p>
    <w:p>
      <w:pPr>
        <w:spacing w:after="0" w:line="33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5"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On October 31, 2000, Central Garden filed a complaint against the Company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181"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On April 6, 2001, Central Garden filed a motion to lift the stay of the Contra Costa County action. The Company and Pharmacia filed a joint opposition to Central Garden's motion. On May 4, 2001, the Court issued a tentative ruling denying Central Garden's motion to lift the stay of the action. Central Garden did not challenge the tentative ruling, which accordingly became the ruling of the court. Consequently, all claims in the Contra Costa action remain stayed.</w:t>
      </w:r>
    </w:p>
    <w:p>
      <w:pPr>
        <w:spacing w:after="0" w:line="177"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The Company believes that all of Central Garden's federal and state claims are entirely without merit and it intends to vigorously defend against them. If the above actions are determined adversely to the Company, the result could have a material adverse effect on the Company's results of operations, financial position and cash flows. The Company believes that we will prevail in the Central Garden matters and that any potential exposure that the Company may face cannot be reasonably estimated. Therefore, no accrual has been established related to these matters.</w:t>
      </w:r>
    </w:p>
    <w:p>
      <w:pPr>
        <w:spacing w:after="0" w:line="200" w:lineRule="exact"/>
        <w:rPr>
          <w:sz w:val="20"/>
          <w:szCs w:val="20"/>
          <w:color w:val="auto"/>
        </w:rPr>
      </w:pPr>
    </w:p>
    <w:p>
      <w:pPr>
        <w:spacing w:after="0" w:line="318" w:lineRule="exact"/>
        <w:rPr>
          <w:sz w:val="20"/>
          <w:szCs w:val="20"/>
          <w:color w:val="auto"/>
        </w:rPr>
      </w:pPr>
    </w:p>
    <w:p>
      <w:pPr>
        <w:ind w:left="790" w:right="3179"/>
        <w:spacing w:after="0" w:line="237"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 material adverse effect on the Company's financial position or operations.</w:t>
      </w:r>
    </w:p>
    <w:p>
      <w:pPr>
        <w:spacing w:after="0" w:line="173" w:lineRule="exact"/>
        <w:rPr>
          <w:sz w:val="20"/>
          <w:szCs w:val="20"/>
          <w:color w:val="auto"/>
        </w:rPr>
      </w:pPr>
    </w:p>
    <w:p>
      <w:pPr>
        <w:ind w:left="790" w:hanging="790"/>
        <w:spacing w:after="0"/>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2000, the Emerging Issues Task Force (EITF) reached consensus on Issue 00-14 "Accounting for Certain Sales Incentives". This Issue requires certain sales incentives (e.g., discounts, rebates, coupons) offered by the Company to distributors, retail customers and consumers to be classified as a reduction of sales revenue. Like many other consumer products companies, the Company has historically classified these costs as advertising, promotion, or selling expenses. The Company has adopted the guidance for the first quarter of fiscal 2001 and does not anticipate that the new accounting policy will impact fiscal 2001 results of operations.</w:t>
      </w:r>
    </w:p>
    <w:p>
      <w:pPr>
        <w:spacing w:after="0" w:line="179"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EITF reached consensus on Issue 00-22 "Accounting for Points and Certain Other Time or Volume-Based Sales Incentive Offers". This Issue requires certain allowances and discounts (e.g., volume discounts) paid to distributors and retail customers to be classified as a reduction of sales revenue. Like many other consumer products companies, the Company has historically classified these costs as advertising, promotion, or selling expenses. The Company adopted this guidance for the second quarter of fiscal 2001. The Company does not anticipate that the new accounting policy will impact fiscal 2001 results of operations.</w:t>
      </w:r>
    </w:p>
    <w:p>
      <w:pPr>
        <w:spacing w:after="0" w:line="179"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2001, the EITF reached consensus on Issue 00-25 "Accounting for Consideration from a Vendor to a Retailer in Connection with the Purchase or Promotion of the Vendor's Products". This Issue requires that certain consideration from a vendor to a retailer be classified as a reduction of sales revenue. Like many other consumer products companies, the Company has historically classified these costs as advertising, promotion, or selling expenses. The guidance is effective for the Company's first quarter of fiscal 2002. The Company does not anticipate that the new accounting policy will impact fiscal 2001 results of operations.</w:t>
      </w:r>
    </w:p>
    <w:p>
      <w:pPr>
        <w:spacing w:after="0" w:line="179"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2001, the Financial Accounting Standards Board (FASB) issued Statement of Accounting Standard No. 141, "Business Combinations". This statement requires that all business combinations initiated after June 30, 2001, be accounted for using the purchase accounting method and also established specific criteria for recognition of intangible assets separately from goodwill. The acquisitions discussed in footnote 4 herein were accounted for using the purchase accounting method.</w:t>
      </w:r>
    </w:p>
    <w:p>
      <w:pPr>
        <w:sectPr>
          <w:pgSz w:w="11900" w:h="16838" w:orient="portrait"/>
          <w:cols w:equalWidth="0" w:num="1">
            <w:col w:w="10229"/>
          </w:cols>
          <w:pgMar w:left="230" w:top="283" w:right="1440" w:bottom="7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83" w:right="1440" w:bottom="735" w:gutter="0" w:footer="0" w:header="0"/>
          <w:type w:val="continuous"/>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Also in June 2001, the FASB issued Statement of Accounting Standard No. 142, "Goodwill and Other Intangible Assets". This statement addresses how goodwill and other intangible assets should be accounted for subsequent to their acquisition. The Company will adopt this guidance beginning with the first quarter of fiscal 2002. The Company is evaluating the impact this Standard will have on its financial statements.</w:t>
      </w:r>
    </w:p>
    <w:p>
      <w:pPr>
        <w:spacing w:after="0" w:line="200" w:lineRule="exact"/>
        <w:rPr>
          <w:sz w:val="20"/>
          <w:szCs w:val="20"/>
          <w:color w:val="auto"/>
        </w:rPr>
      </w:pPr>
    </w:p>
    <w:p>
      <w:pPr>
        <w:spacing w:after="0" w:line="310" w:lineRule="exact"/>
        <w:rPr>
          <w:sz w:val="20"/>
          <w:szCs w:val="20"/>
          <w:color w:val="auto"/>
        </w:rPr>
      </w:pPr>
    </w:p>
    <w:p>
      <w:pPr>
        <w:ind w:left="790" w:hanging="790"/>
        <w:spacing w:after="0"/>
        <w:tabs>
          <w:tab w:leader="none" w:pos="7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divided into three reportable segments - North American Consumer, Global Professional and International Consumer. The North American Consumer segment consists of the Lawns, Gardens, Growing Media, Ortho, Lawn Service and Canadian business units. These segments differ from those used in the prior year due to the sale of the Company's professional turfgrass business in May 2000 and the resulting change in management reporting structure.</w:t>
      </w:r>
    </w:p>
    <w:p>
      <w:pPr>
        <w:spacing w:after="0" w:line="176"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 centers.</w:t>
      </w:r>
    </w:p>
    <w:p>
      <w:pPr>
        <w:spacing w:after="0" w:line="177" w:lineRule="exact"/>
        <w:rPr>
          <w:rFonts w:ascii="Courier New" w:cs="Courier New" w:eastAsia="Courier New" w:hAnsi="Courier New"/>
          <w:sz w:val="15"/>
          <w:szCs w:val="15"/>
          <w:color w:val="auto"/>
        </w:rPr>
      </w:pPr>
    </w:p>
    <w:p>
      <w:pPr>
        <w:ind w:left="790" w:right="34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 crop growers. Prior to June 2000, this segment also included the Company's North American professional turf business, which was sold in May 2000.</w:t>
      </w:r>
    </w:p>
    <w:p>
      <w:pPr>
        <w:spacing w:after="0" w:line="177" w:lineRule="exact"/>
        <w:rPr>
          <w:rFonts w:ascii="Courier New" w:cs="Courier New" w:eastAsia="Courier New" w:hAnsi="Courier New"/>
          <w:sz w:val="15"/>
          <w:szCs w:val="15"/>
          <w:color w:val="auto"/>
        </w:rPr>
      </w:pPr>
    </w:p>
    <w:p>
      <w:pPr>
        <w:ind w:left="79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344" w:lineRule="exact"/>
        <w:rPr>
          <w:sz w:val="20"/>
          <w:szCs w:val="20"/>
          <w:color w:val="auto"/>
        </w:rPr>
      </w:pPr>
    </w:p>
    <w:p>
      <w:pPr>
        <w:ind w:left="780" w:right="3439"/>
        <w:spacing w:after="0" w:line="238"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Certain prior year amounts have been restated to conform with the Company's current segment presentation.</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NORTH AMERICAN</w:t>
            </w: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GLOBAL</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INTERNATIONAL</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13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CONSUMER</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PROFESSIONAL</w:t>
            </w:r>
          </w:p>
        </w:tc>
        <w:tc>
          <w:tcPr>
            <w:tcW w:w="1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CONSUMER</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SALES: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YTD..........................</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1,135.2</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138.6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225.6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1,499.4</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YTD..........................</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1,090.4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134.7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236.3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1,461.4</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Q3...........................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487.1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610.3</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Q3...........................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449.9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581.4</w:t>
            </w: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YTD..........................</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(79.3)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206.9</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YTD..........................</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227.0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(58.4)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212.4</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Q3...........................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127.0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(35.4)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103.1</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Q3...........................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101.7</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108.0</w:t>
            </w: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YTD..........................</w:t>
            </w:r>
          </w:p>
        </w:tc>
        <w:tc>
          <w:tcPr>
            <w:tcW w:w="3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13.9%</w:t>
            </w:r>
          </w:p>
        </w:tc>
        <w:tc>
          <w:tcPr>
            <w:tcW w:w="4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YTD..........................</w:t>
            </w:r>
          </w:p>
        </w:tc>
        <w:tc>
          <w:tcPr>
            <w:tcW w:w="3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w:t>
            </w:r>
          </w:p>
        </w:tc>
        <w:tc>
          <w:tcPr>
            <w:tcW w:w="4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Q3...........................</w:t>
            </w:r>
          </w:p>
        </w:tc>
        <w:tc>
          <w:tcPr>
            <w:tcW w:w="3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14.6%</w:t>
            </w:r>
          </w:p>
        </w:tc>
        <w:tc>
          <w:tcPr>
            <w:tcW w:w="4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Q3...........................</w:t>
            </w:r>
          </w:p>
        </w:tc>
        <w:tc>
          <w:tcPr>
            <w:tcW w:w="3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13.8%</w:t>
            </w:r>
          </w:p>
        </w:tc>
        <w:tc>
          <w:tcPr>
            <w:tcW w:w="4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17.3%</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nm</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339"/>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(June 30)....................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1,297.6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147.7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440.0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118.6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2,003.9</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(July 1).....................</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1,205.1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158.3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444.3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1,895.1</w:t>
            </w:r>
          </w:p>
        </w:tc>
      </w:tr>
      <w:tr>
        <w:trPr>
          <w:trHeight w:val="678"/>
        </w:trPr>
        <w:tc>
          <w:tcPr>
            <w:tcW w:w="440" w:type="dxa"/>
            <w:vAlign w:val="bottom"/>
          </w:tcPr>
          <w:p>
            <w:pPr>
              <w:spacing w:after="0"/>
              <w:rPr>
                <w:sz w:val="20"/>
                <w:szCs w:val="20"/>
                <w:color w:val="auto"/>
              </w:rPr>
            </w:pPr>
            <w:r>
              <w:rPr>
                <w:rFonts w:ascii="Courier New" w:cs="Courier New" w:eastAsia="Courier New" w:hAnsi="Courier New"/>
                <w:sz w:val="15"/>
                <w:szCs w:val="15"/>
                <w:color w:val="auto"/>
              </w:rPr>
              <w:t>nm</w:t>
            </w:r>
          </w:p>
        </w:tc>
        <w:tc>
          <w:tcPr>
            <w:tcW w:w="2600" w:type="dxa"/>
            <w:vAlign w:val="bottom"/>
          </w:tcPr>
          <w:p>
            <w:pPr>
              <w:ind w:left="340"/>
              <w:spacing w:after="0"/>
              <w:rPr>
                <w:sz w:val="20"/>
                <w:szCs w:val="20"/>
                <w:color w:val="auto"/>
              </w:rPr>
            </w:pPr>
            <w:r>
              <w:rPr>
                <w:rFonts w:ascii="Courier New" w:cs="Courier New" w:eastAsia="Courier New" w:hAnsi="Courier New"/>
                <w:sz w:val="15"/>
                <w:szCs w:val="15"/>
                <w:color w:val="auto"/>
              </w:rPr>
              <w:t>Not meaningful.</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75"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Operating income reported for the Company's three operating segments represents earnings before amortization of intangible assets, interest and taxes, since this is the measure of profitability used by management. Accordingly, corporate operating income for the three and nine months ended June 30, 2001 and July 1, 2000 includes amortization of certain intangible assets, corporate general and administrative expenses, restructuring and other charges and certain "other" income/expense not allocated to the business segments.</w:t>
      </w:r>
    </w:p>
    <w:p>
      <w:pPr>
        <w:spacing w:after="0" w:line="178" w:lineRule="exact"/>
        <w:rPr>
          <w:sz w:val="20"/>
          <w:szCs w:val="20"/>
          <w:color w:val="auto"/>
        </w:rPr>
      </w:pPr>
    </w:p>
    <w:p>
      <w:pPr>
        <w:ind w:left="780" w:right="3179"/>
        <w:spacing w:after="0" w:line="259" w:lineRule="auto"/>
        <w:rPr>
          <w:sz w:val="20"/>
          <w:szCs w:val="20"/>
          <w:color w:val="auto"/>
        </w:rPr>
      </w:pPr>
      <w:r>
        <w:rPr>
          <w:rFonts w:ascii="Courier New" w:cs="Courier New" w:eastAsia="Courier New" w:hAnsi="Courier New"/>
          <w:sz w:val="14"/>
          <w:szCs w:val="14"/>
          <w:color w:val="auto"/>
        </w:rPr>
        <w:t>Total assets reported for the Company's operating segments include the intangible assets for the acquired businesses within those segments. Corporate assets primarily include deferred financing and debt issuance costs, corporate fixed assets as well as deferred tax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20</w:t>
      </w:r>
    </w:p>
    <w:p>
      <w:pPr>
        <w:spacing w:after="0" w:line="339" w:lineRule="exact"/>
        <w:rPr>
          <w:sz w:val="20"/>
          <w:szCs w:val="20"/>
          <w:color w:val="auto"/>
        </w:rPr>
      </w:pPr>
    </w:p>
    <w:p>
      <w:pPr>
        <w:ind w:left="790" w:hanging="790"/>
        <w:spacing w:after="0"/>
        <w:tabs>
          <w:tab w:leader="none" w:pos="7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4" w:lineRule="exact"/>
        <w:rPr>
          <w:rFonts w:ascii="Courier New" w:cs="Courier New" w:eastAsia="Courier New" w:hAnsi="Courier New"/>
          <w:sz w:val="15"/>
          <w:szCs w:val="15"/>
          <w:color w:val="auto"/>
        </w:rPr>
      </w:pPr>
    </w:p>
    <w:p>
      <w:pPr>
        <w:ind w:left="79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Company issued $330 million of 8 5/8% Senior Subordinated Notes due 2009 to qualified institutional buyers under the provisions of Rule 144A of the Securities Act of 1933. During the first quarter of fiscal 2001, the Company completed the registration of an exchange offer for these Notes under the Securities Act.</w:t>
      </w:r>
    </w:p>
    <w:p>
      <w:pPr>
        <w:spacing w:after="0" w:line="178"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Notes are general obligations of the Company and are guaranteed by all of the existing wholly-owned, domestic subsidiaries and all future wholly-owned, significant (as defined in Regulation S-X)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6" w:lineRule="exact"/>
        <w:rPr>
          <w:rFonts w:ascii="Courier New" w:cs="Courier New" w:eastAsia="Courier New" w:hAnsi="Courier New"/>
          <w:sz w:val="15"/>
          <w:szCs w:val="15"/>
          <w:color w:val="auto"/>
        </w:rPr>
      </w:pPr>
    </w:p>
    <w:p>
      <w:pPr>
        <w:ind w:left="79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unaudited information presents condensed, consolidated statements of operations, for the three and nine-month periods ended June 30, 2001 and July 1, 2000; the condensed, consolidated statements of cash flows for the nine-month periods ended June 30, 2001 and July, 1, 2000; and the condensed, consolidated balance sheets at June 30, 2001 and July 1, 2000.</w:t>
      </w:r>
    </w:p>
    <w:p>
      <w:pPr>
        <w:spacing w:after="0" w:line="175" w:lineRule="exact"/>
        <w:rPr>
          <w:rFonts w:ascii="Courier New" w:cs="Courier New" w:eastAsia="Courier New" w:hAnsi="Courier New"/>
          <w:sz w:val="15"/>
          <w:szCs w:val="15"/>
          <w:color w:val="auto"/>
        </w:rPr>
      </w:pPr>
    </w:p>
    <w:p>
      <w:pPr>
        <w:ind w:left="79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unaudited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283"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5540" w:type="dxa"/>
            <w:vAlign w:val="bottom"/>
          </w:tcPr>
          <w:p>
            <w:pPr>
              <w:ind w:left="260"/>
              <w:spacing w:after="0"/>
              <w:rPr>
                <w:sz w:val="20"/>
                <w:szCs w:val="20"/>
                <w:color w:val="auto"/>
              </w:rPr>
            </w:pPr>
            <w:r>
              <w:rPr>
                <w:rFonts w:ascii="Courier New" w:cs="Courier New" w:eastAsia="Courier New" w:hAnsi="Courier New"/>
                <w:sz w:val="15"/>
                <w:szCs w:val="15"/>
                <w:color w:val="auto"/>
              </w:rPr>
              <w:t>21</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9"/>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 SCOTTS COMPANY</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FOR THE THREE MONTHS ENDED JUNE 30, 2001 (IN MILLIONS)</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8"/>
        </w:trPr>
        <w:tc>
          <w:tcPr>
            <w:tcW w:w="5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SUBSIDIARY</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NON-</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PARENT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GUARANTORS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$315.4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$168.7</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$126.2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$610.3</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232.1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74.1</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72.5</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378.7</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 of sales - restructuring and other charges..............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82.4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94.6</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53.7</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230.7</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Costs associated with agency agreement.......................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Net commission...........................................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15.3</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Advertising and promotion................................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14.4</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27.9</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 -</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restructuring and other charges.....................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(42.3)</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42.3</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Intercompany allocations.....................................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(income) expense, net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71.8</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(42.3)</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103.1</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(42.3)</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33.1</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35.4</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$ 45.4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(0.2)</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$(42.3)</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$ 45.4</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678"/>
        </w:trPr>
        <w:tc>
          <w:tcPr>
            <w:tcW w:w="5540" w:type="dxa"/>
            <w:vAlign w:val="bottom"/>
          </w:tcPr>
          <w:p>
            <w:pPr>
              <w:spacing w:after="0"/>
              <w:rPr>
                <w:sz w:val="20"/>
                <w:szCs w:val="20"/>
                <w:color w:val="auto"/>
              </w:rPr>
            </w:pPr>
            <w:r>
              <w:rPr>
                <w:rFonts w:ascii="Courier New" w:cs="Courier New" w:eastAsia="Courier New" w:hAnsi="Courier New"/>
                <w:sz w:val="15"/>
                <w:szCs w:val="15"/>
                <w:color w:val="auto"/>
              </w:rPr>
              <w:t>FOR THE NINE MONTHS ENDED JUNE 30, 2001 (IN MILLIONS)</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5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SUBSIDIARY</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NON-</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PARENT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GUARANTORS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$833.4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$331.4</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$334.6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$1,499.4</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548.8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169.6</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195.7</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914.1</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 of sales - restructuring and other charges..............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283.7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161.8</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138.9</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584.4</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Costs associated with agency agreement.......................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Net commission...........................................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Advertising and promotion................................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35.1</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127.8</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144.2</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81.5</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245.5</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 -</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540" w:type="dxa"/>
            <w:vAlign w:val="bottom"/>
          </w:tcPr>
          <w:p>
            <w:pPr>
              <w:ind w:left="780"/>
              <w:spacing w:after="0"/>
              <w:rPr>
                <w:sz w:val="20"/>
                <w:szCs w:val="20"/>
                <w:color w:val="auto"/>
              </w:rPr>
            </w:pPr>
            <w:r>
              <w:rPr>
                <w:rFonts w:ascii="Courier New" w:cs="Courier New" w:eastAsia="Courier New" w:hAnsi="Courier New"/>
                <w:sz w:val="15"/>
                <w:szCs w:val="15"/>
                <w:color w:val="auto"/>
              </w:rPr>
              <w:t>restructuring and other charges.....................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70.1</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Intercompany allocations.....................................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(income) expense, net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147.7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119.5</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9.8</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(70.1)</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206.9</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69.7</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85.5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(70.1)</w:t>
            </w: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137.2</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58.3</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$ 78.9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$ 75.2</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(5.1)</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78.9</w:t>
            </w:r>
          </w:p>
        </w:tc>
      </w:tr>
      <w:tr>
        <w:trPr>
          <w:trHeight w:val="170"/>
        </w:trPr>
        <w:tc>
          <w:tcPr>
            <w:tcW w:w="55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360"/>
          </w:cols>
          <w:pgMar w:left="240" w:top="283" w:right="299"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360"/>
          </w:cols>
          <w:pgMar w:left="240" w:top="283" w:right="299"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22</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9"/>
        </w:trPr>
        <w:tc>
          <w:tcPr>
            <w:tcW w:w="5420" w:type="dxa"/>
            <w:vAlign w:val="bottom"/>
          </w:tcPr>
          <w:p>
            <w:pPr>
              <w:spacing w:after="0"/>
              <w:rPr>
                <w:sz w:val="20"/>
                <w:szCs w:val="20"/>
                <w:color w:val="auto"/>
              </w:rPr>
            </w:pPr>
            <w:r>
              <w:rPr>
                <w:rFonts w:ascii="Courier New" w:cs="Courier New" w:eastAsia="Courier New" w:hAnsi="Courier New"/>
                <w:sz w:val="15"/>
                <w:szCs w:val="15"/>
                <w:color w:val="auto"/>
              </w:rPr>
              <w:t>THE SCOTTS COMPANY</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FOR THE NINE MONTH PERIOD ENDED JUNE 30, 2001 (IN MILLIONS)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8"/>
        </w:trPr>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SUBSIDIARY</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PARENT</w:t>
            </w: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GUARANTORS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ELIMINATIONS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w:t>
            </w: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75.2</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(5.1)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(70.1)</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$ 78.9</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15.9</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19.3</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12.7</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47.9</w:t>
            </w: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Restructuring and other charges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w:t>
            </w: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Equity income in subsidiaries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(70.1)</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70.1</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Net change in certain components of</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working capital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27.5</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(60.5)</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(27.2)</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(60.2)</w:t>
            </w: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Net changes in other assets and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liabilities and other adjustments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(26.0)</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71.0</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(12.0)</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67.0</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Investment in property, plant and equipment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(36.2)</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Investments in acquired businesses, net of cash acquired</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(11.9)</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(16.4)</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(46.2)</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Net borrowings and repayments under</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revolving and bank lines of credit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82.2</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82.2</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Gross borrowings under term loans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260.0</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260.0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Gross repayments under term loans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(258.5)</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(51.3)</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(309.8)</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Financing and issuance fees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Cash received from exercise of stock options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13.3</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Payments on seller notes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(23.4)</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Intercompany financing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27.9</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35.4</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19.7</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38.2</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40.1</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16.0</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33.0</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54.2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$ 18.9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$ 73.1</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360"/>
          </w:cols>
          <w:pgMar w:left="240" w:top="283" w:right="299"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BALANCE SHEET</w:t>
      </w:r>
    </w:p>
    <w:p>
      <w:pPr>
        <w:spacing w:after="0"/>
        <w:rPr>
          <w:sz w:val="20"/>
          <w:szCs w:val="20"/>
          <w:color w:val="auto"/>
        </w:rPr>
      </w:pPr>
      <w:r>
        <w:rPr>
          <w:rFonts w:ascii="Courier New" w:cs="Courier New" w:eastAsia="Courier New" w:hAnsi="Courier New"/>
          <w:sz w:val="15"/>
          <w:szCs w:val="15"/>
          <w:color w:val="auto"/>
        </w:rPr>
        <w:t>AS OF JUNE 30, 2001 (IN MILLIONS)</w:t>
      </w:r>
    </w:p>
    <w:p>
      <w:pPr>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SUBSIDIARY</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NON-</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PARENT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$ 18.9</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73.1</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 net.....................................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136.8</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137.1</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358.1</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Inventories, net.............................................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232.8</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76.8</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359.0</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Current deferred tax asset...................................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Prepaid and other assets.....................................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38.7</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 ....................................</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490.6</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137.1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877.7</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Property, plant and equipment, net ..........................</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180.6</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36.9</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291.9</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Intangible assets, net ......................................</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459.2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273.1</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762.1</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Other assets ................................................</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55.1</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72.2</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Investment in affiliates.....................................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910.4</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(910.4)</w:t>
            </w: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Intercompany assets..........................................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195.6</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(195.6)</w:t>
            </w: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$1,666.5</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$885.8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$557.6</w:t>
            </w:r>
          </w:p>
        </w:tc>
        <w:tc>
          <w:tcPr>
            <w:tcW w:w="13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$(1,106.0)</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$2,003.9</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Short-term debt..............................................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$ 30.8</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Accounts payable.............................................</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117.8</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77.0</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233.8</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Accrued liabilities .........................................</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171.3</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51.7</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250.9</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317.1</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159.5</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545.5</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Long-term debt ..............................................</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559.8</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271.9</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835.9</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Other liabilities ...........................................</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41.2</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55.9</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Intercompany liabilities.....................................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159.8</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w:t>
            </w:r>
          </w:p>
        </w:tc>
        <w:tc>
          <w:tcPr>
            <w:tcW w:w="5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(195.6)</w:t>
            </w: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1,077.9</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481.9</w:t>
            </w:r>
          </w:p>
        </w:tc>
        <w:tc>
          <w:tcPr>
            <w:tcW w:w="5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(195.6)</w:t>
            </w: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1,437.3</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Investment from parent.......................................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488.3</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60.2</w:t>
            </w:r>
          </w:p>
        </w:tc>
        <w:tc>
          <w:tcPr>
            <w:tcW w:w="5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(548.5)</w:t>
            </w: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Common shares, no par value per share,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$.01 stated value per share..............................</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Capital in excess of par value...............................</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386.3</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386.3</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Retained earnings............................................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275.7</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327.2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w:t>
            </w:r>
          </w:p>
        </w:tc>
        <w:tc>
          <w:tcPr>
            <w:tcW w:w="5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(361.9)</w:t>
            </w: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275.7</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Treasury stock, 2.7 shares at cost...........................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(72.2)</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(72.2)</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Accumulated other comprehensive expense......................</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(19.2)</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Total shareholders' equity...................................</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588.6</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812.7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w:t>
            </w:r>
          </w:p>
        </w:tc>
        <w:tc>
          <w:tcPr>
            <w:tcW w:w="5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(910.4)</w:t>
            </w:r>
          </w:p>
        </w:tc>
        <w:tc>
          <w:tcPr>
            <w:tcW w:w="3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566.6</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Total liabilities and shareholders' equity...................</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$1,666.5</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$885.8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$557.6</w:t>
            </w:r>
          </w:p>
        </w:tc>
        <w:tc>
          <w:tcPr>
            <w:tcW w:w="13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$(1,106.0)</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$2,003.9</w:t>
            </w:r>
          </w:p>
        </w:tc>
      </w:tr>
      <w:tr>
        <w:trPr>
          <w:trHeight w:val="170"/>
        </w:trPr>
        <w:tc>
          <w:tcPr>
            <w:tcW w:w="55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678"/>
        </w:trPr>
        <w:tc>
          <w:tcPr>
            <w:tcW w:w="5500" w:type="dxa"/>
            <w:vAlign w:val="bottom"/>
          </w:tcPr>
          <w:p>
            <w:pPr>
              <w:ind w:left="3420"/>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360"/>
          </w:cols>
          <w:pgMar w:left="240" w:top="283" w:right="29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STATEMENT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JULY 1, 2000 (IN MILLIONS)</w:t>
      </w:r>
    </w:p>
    <w:p>
      <w:pPr>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SUBSIDIARY</w:t>
            </w:r>
          </w:p>
        </w:tc>
        <w:tc>
          <w:tcPr>
            <w:tcW w:w="340" w:type="dxa"/>
            <w:vAlign w:val="bottom"/>
          </w:tcPr>
          <w:p>
            <w:pPr>
              <w:spacing w:after="0"/>
              <w:rPr>
                <w:sz w:val="14"/>
                <w:szCs w:val="14"/>
                <w:color w:val="auto"/>
              </w:rPr>
            </w:pPr>
          </w:p>
        </w:tc>
        <w:tc>
          <w:tcPr>
            <w:tcW w:w="7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NON-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GUARANTORS</w:t>
            </w:r>
          </w:p>
        </w:tc>
        <w:tc>
          <w:tcPr>
            <w:tcW w:w="1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ELIMINATIONS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$165.6</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$127.9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$581.4</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100.6</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69.5</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355.6</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Gross profit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58.4</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225.8</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Gross commission earned from agency agreement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Costs associated with agency agreement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Net commission...........................................</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Advertising and promotion................................</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22.9</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76.8</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Equity income in subsidiaries................................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Intercompany allocations.....................................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 net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Income (loss) from operations................................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17.8</w:t>
            </w:r>
          </w:p>
        </w:tc>
        <w:tc>
          <w:tcPr>
            <w:tcW w:w="44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(37.1)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108.0</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Interest (income) expense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24.8</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47.1</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11.4</w:t>
            </w:r>
          </w:p>
        </w:tc>
        <w:tc>
          <w:tcPr>
            <w:tcW w:w="44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(37.1)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83.2</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$ 52.8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$ 29.9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$(37.1)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$ 52.8</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678"/>
        </w:trPr>
        <w:tc>
          <w:tcPr>
            <w:tcW w:w="5500" w:type="dxa"/>
            <w:vAlign w:val="bottom"/>
          </w:tcPr>
          <w:p>
            <w:pPr>
              <w:spacing w:after="0"/>
              <w:rPr>
                <w:sz w:val="20"/>
                <w:szCs w:val="20"/>
                <w:color w:val="auto"/>
              </w:rPr>
            </w:pPr>
            <w:r>
              <w:rPr>
                <w:rFonts w:ascii="Courier New" w:cs="Courier New" w:eastAsia="Courier New" w:hAnsi="Courier New"/>
                <w:sz w:val="15"/>
                <w:szCs w:val="15"/>
                <w:color w:val="auto"/>
              </w:rPr>
              <w:t>FOR THE NINE MONTHS ENDED JULY 1, 2000 (IN MILLIONS)</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8"/>
        </w:trPr>
        <w:tc>
          <w:tcPr>
            <w:tcW w:w="5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SUBSIDIARY</w:t>
            </w:r>
          </w:p>
        </w:tc>
        <w:tc>
          <w:tcPr>
            <w:tcW w:w="340" w:type="dxa"/>
            <w:vAlign w:val="bottom"/>
          </w:tcPr>
          <w:p>
            <w:pPr>
              <w:spacing w:after="0"/>
              <w:rPr>
                <w:sz w:val="24"/>
                <w:szCs w:val="24"/>
                <w:color w:val="auto"/>
              </w:rPr>
            </w:pPr>
          </w:p>
        </w:tc>
        <w:tc>
          <w:tcPr>
            <w:tcW w:w="7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NON-</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GUARANTORS</w:t>
            </w:r>
          </w:p>
        </w:tc>
        <w:tc>
          <w:tcPr>
            <w:tcW w:w="1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ELIMINATIONS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$787.4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$339.8</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$334.2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$1,461.4</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Cost of sales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489.2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202.3</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188.6</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880.1</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Gross profit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137.5</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145.6</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581.3</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Gross commission earned from agency agreement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Costs associated with agency agreement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Net commission...........................................</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0.7</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Advertising and promotion................................</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36.0</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137.6</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70.1</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229.8</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goodwill and other intangibles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Equity income in subsidiaries................................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Intercompany allocations.....................................</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 net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Income (loss) from operations................................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83.2</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24.3</w:t>
            </w:r>
          </w:p>
        </w:tc>
        <w:tc>
          <w:tcPr>
            <w:tcW w:w="44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(59.7)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212.4</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Interest (income) expense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18.4</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74.4</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w:t>
            </w:r>
          </w:p>
        </w:tc>
        <w:tc>
          <w:tcPr>
            <w:tcW w:w="44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(59.7)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138.0</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Income taxes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34.6</w:t>
            </w:r>
          </w:p>
        </w:tc>
        <w:tc>
          <w:tcPr>
            <w:tcW w:w="34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$ 85.4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$ 56.1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$(59.7)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85.4</w:t>
            </w:r>
          </w:p>
        </w:tc>
      </w:tr>
      <w:tr>
        <w:trPr>
          <w:trHeight w:val="170"/>
        </w:trPr>
        <w:tc>
          <w:tcPr>
            <w:tcW w:w="55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920"/>
          </w:cols>
          <w:pgMar w:left="240" w:top="283" w:right="739" w:bottom="1074" w:gutter="0" w:footer="0" w:header="0"/>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920"/>
          </w:cols>
          <w:pgMar w:left="240" w:top="283" w:right="739" w:bottom="1074"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25</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9"/>
        </w:trPr>
        <w:tc>
          <w:tcPr>
            <w:tcW w:w="5940" w:type="dxa"/>
            <w:vAlign w:val="bottom"/>
          </w:tcPr>
          <w:p>
            <w:pPr>
              <w:spacing w:after="0"/>
              <w:rPr>
                <w:sz w:val="20"/>
                <w:szCs w:val="20"/>
                <w:color w:val="auto"/>
              </w:rPr>
            </w:pPr>
            <w:r>
              <w:rPr>
                <w:rFonts w:ascii="Courier New" w:cs="Courier New" w:eastAsia="Courier New" w:hAnsi="Courier New"/>
                <w:sz w:val="15"/>
                <w:szCs w:val="15"/>
                <w:color w:val="auto"/>
              </w:rPr>
              <w:t>THE SCOTTS COMPANY</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FOR THE NINE MONTH PERIOD ENDED JULY 1, 2000 (IN MILLIONS)</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78"/>
        </w:trPr>
        <w:tc>
          <w:tcPr>
            <w:tcW w:w="5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SUBSIDIARY</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9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PARENT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GUARANTORS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GUARANTORS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ELIMINATIONS</w:t>
            </w:r>
          </w:p>
        </w:tc>
        <w:tc>
          <w:tcPr>
            <w:tcW w:w="11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CONSOLIDATED</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$ 85.4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$ 56.1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$ 85.4</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net cash used in operating activities:</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w:t>
            </w:r>
          </w:p>
        </w:tc>
        <w:tc>
          <w:tcPr>
            <w:tcW w:w="12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48.9</w:t>
            </w:r>
          </w:p>
        </w:tc>
      </w:tr>
      <w:tr>
        <w:trPr>
          <w:trHeight w:val="170"/>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Loss on sale of property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2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4.0</w:t>
            </w:r>
          </w:p>
        </w:tc>
      </w:tr>
      <w:tr>
        <w:trPr>
          <w:trHeight w:val="170"/>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Equity income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(59.7)</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59.7</w:t>
            </w:r>
          </w:p>
        </w:tc>
        <w:tc>
          <w:tcPr>
            <w:tcW w:w="11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 of working capital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88.5</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12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33.7</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 liabilities and other adjustments</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134.3</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164.5</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Investment in property, plant and equipment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(37.2)</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 net of cash acquired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2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1.7</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(28.2)</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(38.9)</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 and bank lines of credit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(24.1)</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Gross repayments under term loans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Financing and issuance fees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Payments to preferred shareholders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Repurchase of treasury shares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(23.9)</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(23.9)</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Intracompany financing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received from the exercise of stock options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2.5</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Payments on seller notes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(57.7)</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(74.6)</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12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49.1</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w:t>
            </w:r>
          </w:p>
        </w:tc>
        <w:tc>
          <w:tcPr>
            <w:tcW w:w="1240" w:type="dxa"/>
            <w:vAlign w:val="bottom"/>
          </w:tcPr>
          <w:p>
            <w:pPr>
              <w:spacing w:after="0"/>
              <w:rPr>
                <w:sz w:val="14"/>
                <w:szCs w:val="14"/>
                <w:color w:val="auto"/>
              </w:rPr>
            </w:pP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30.3</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$ 55.8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0.6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$ 23.0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$ 79.4</w:t>
            </w:r>
          </w:p>
        </w:tc>
      </w:tr>
      <w:tr>
        <w:trPr>
          <w:trHeight w:val="170"/>
        </w:trPr>
        <w:tc>
          <w:tcPr>
            <w:tcW w:w="594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520"/>
          </w:cols>
          <w:pgMar w:left="240" w:top="283" w:right="139"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rPr>
          <w:sz w:val="20"/>
          <w:szCs w:val="20"/>
          <w:color w:val="auto"/>
        </w:rPr>
      </w:pPr>
      <w:r>
        <w:rPr>
          <w:rFonts w:ascii="Courier New" w:cs="Courier New" w:eastAsia="Courier New" w:hAnsi="Courier New"/>
          <w:sz w:val="15"/>
          <w:szCs w:val="15"/>
          <w:color w:val="auto"/>
        </w:rPr>
        <w:t>BALANCE SHEET</w:t>
      </w:r>
    </w:p>
    <w:p>
      <w:pPr>
        <w:spacing w:after="0"/>
        <w:rPr>
          <w:sz w:val="20"/>
          <w:szCs w:val="20"/>
          <w:color w:val="auto"/>
        </w:rPr>
      </w:pPr>
      <w:r>
        <w:rPr>
          <w:rFonts w:ascii="Courier New" w:cs="Courier New" w:eastAsia="Courier New" w:hAnsi="Courier New"/>
          <w:sz w:val="15"/>
          <w:szCs w:val="15"/>
          <w:color w:val="auto"/>
        </w:rPr>
        <w:t>AS OF JULY 1, 2000 (IN MILLIONS)</w:t>
      </w:r>
    </w:p>
    <w:p>
      <w:pPr>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SUBSIDIARY</w:t>
            </w:r>
          </w:p>
        </w:tc>
        <w:tc>
          <w:tcPr>
            <w:tcW w:w="400" w:type="dxa"/>
            <w:vAlign w:val="bottom"/>
          </w:tcPr>
          <w:p>
            <w:pPr>
              <w:spacing w:after="0"/>
              <w:rPr>
                <w:sz w:val="14"/>
                <w:szCs w:val="14"/>
                <w:color w:val="auto"/>
              </w:rPr>
            </w:pPr>
          </w:p>
        </w:tc>
        <w:tc>
          <w:tcPr>
            <w:tcW w:w="74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NON-</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PARENT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GUARANTORS</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GUARANTORS</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4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Cash and cash equivalents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79.4</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Accounts receivable, net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164.1</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83.5</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126.6</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374.2</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Inventories, net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165.3</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59.9</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68.9</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294.1</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Current deferred tax asset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Prepaid and other assets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current assets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415.5</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145.1</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233.1</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793.7</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Property, plant and equipment, net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171.0</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56.8</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266.6</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Intangible assets, net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234.4</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267.2</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257.3</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758.9</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Other assets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60.9</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75.9</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Investment in affiliates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843.9</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(843.9)</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Intracompany assets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396.2</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(396.2)</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assets ..................................</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$1,725.7</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$867.2</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$ 542.3</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$(1,240.1)</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$1,895.1</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Short-term debt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Accounts payable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92.2</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73.3</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195.5</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Accrued liabilities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111.9</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94.7</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51.4</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258.0</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current liabilities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232.2</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127.4</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144.1</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503.7</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Long-term debt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556.6</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274.5</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836.0</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Other liabilities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41.5</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Intracompany liabilities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386.6</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w:t>
            </w:r>
          </w:p>
        </w:tc>
        <w:tc>
          <w:tcPr>
            <w:tcW w:w="4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(396.2)</w:t>
            </w:r>
          </w:p>
        </w:tc>
        <w:tc>
          <w:tcPr>
            <w:tcW w:w="34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liabilities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1,216.9</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132.4</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447.4</w:t>
            </w:r>
          </w:p>
        </w:tc>
        <w:tc>
          <w:tcPr>
            <w:tcW w:w="4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(396.2)</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1,400.5</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Investment from parent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488.6</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w:t>
            </w:r>
          </w:p>
        </w:tc>
        <w:tc>
          <w:tcPr>
            <w:tcW w:w="4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(548.6)</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Common shares, no par value per share,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 stated value per share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Capital in excess of par value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388.1</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388.1</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Class A Convertible Preferred Stock, no par value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Retained earnings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209.1</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248.4</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46.9</w:t>
            </w:r>
          </w:p>
        </w:tc>
        <w:tc>
          <w:tcPr>
            <w:tcW w:w="4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(295.3)</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209.1</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Treasury stock, 31.3 shares at cost .............</w:t>
            </w:r>
          </w:p>
        </w:tc>
        <w:tc>
          <w:tcPr>
            <w:tcW w:w="3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(83.7)</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Accumulated other comprehensive expense .........</w:t>
            </w:r>
          </w:p>
        </w:tc>
        <w:tc>
          <w:tcPr>
            <w:tcW w:w="3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w:t>
            </w:r>
          </w:p>
        </w:tc>
        <w:tc>
          <w:tcPr>
            <w:tcW w:w="44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Total shareholders' equity ..........................</w:t>
            </w:r>
          </w:p>
        </w:tc>
        <w:tc>
          <w:tcPr>
            <w:tcW w:w="3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508.8</w:t>
            </w:r>
          </w:p>
        </w:tc>
        <w:tc>
          <w:tcPr>
            <w:tcW w:w="440" w:type="dxa"/>
            <w:vAlign w:val="bottom"/>
          </w:tcPr>
          <w:p>
            <w:pPr>
              <w:spacing w:after="0"/>
              <w:rPr>
                <w:sz w:val="14"/>
                <w:szCs w:val="14"/>
                <w:color w:val="auto"/>
              </w:rPr>
            </w:pPr>
          </w:p>
        </w:tc>
        <w:tc>
          <w:tcPr>
            <w:tcW w:w="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734.8</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94.9</w:t>
            </w:r>
          </w:p>
        </w:tc>
        <w:tc>
          <w:tcPr>
            <w:tcW w:w="4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(843.9)</w:t>
            </w:r>
          </w:p>
        </w:tc>
        <w:tc>
          <w:tcPr>
            <w:tcW w:w="3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494.6</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Total liabilities and shareholders' equity ..........</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$1,725.7</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$867.2</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$ 542.3</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$(1,240.1)</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$1,895.1</w:t>
            </w:r>
          </w:p>
        </w:tc>
      </w:tr>
      <w:tr>
        <w:trPr>
          <w:trHeight w:val="170"/>
        </w:trPr>
        <w:tc>
          <w:tcPr>
            <w:tcW w:w="498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180"/>
          </w:cols>
          <w:pgMar w:left="240" w:top="283" w:right="479"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left="700" w:right="3259" w:hanging="704"/>
        <w:spacing w:after="0" w:line="256" w:lineRule="auto"/>
        <w:rPr>
          <w:sz w:val="20"/>
          <w:szCs w:val="20"/>
          <w:color w:val="auto"/>
        </w:rPr>
      </w:pPr>
      <w:r>
        <w:rPr>
          <w:rFonts w:ascii="Courier New" w:cs="Courier New" w:eastAsia="Courier New" w:hAnsi="Courier New"/>
          <w:sz w:val="14"/>
          <w:szCs w:val="14"/>
          <w:color w:val="auto"/>
        </w:rPr>
        <w:t>ITEM 2. MANAGEMENT'S DISCUSSION AND ANALYSIS OF FINANCIAL CONDITION AND RESULTS OF OPERATIONS (ALL AMOUNTS ARE IN MILLIONS EXCEPT PER SHARE DATA OR</w:t>
      </w:r>
    </w:p>
    <w:p>
      <w:pPr>
        <w:ind w:left="700"/>
        <w:spacing w:after="0" w:line="233" w:lineRule="auto"/>
        <w:rPr>
          <w:sz w:val="20"/>
          <w:szCs w:val="20"/>
          <w:color w:val="auto"/>
        </w:rPr>
      </w:pPr>
      <w:r>
        <w:rPr>
          <w:rFonts w:ascii="Courier New" w:cs="Courier New" w:eastAsia="Courier New" w:hAnsi="Courier New"/>
          <w:sz w:val="15"/>
          <w:szCs w:val="15"/>
          <w:color w:val="auto"/>
        </w:rPr>
        <w:t>AS OTHERWISE NOTED)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Our operations are divided into three business segments: North American Consumer, Global Professional and International Consumer. The North American Consumer segment includes the Lawns, Gardens, Growing Media, Ortho, Lawn Service and Canadian business groups.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 through the retail distribution channels. We have applied this consumer marketing focus over the past several years, and we believe that Scotts continues to receive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the acquisitions we have made over the past several years diversify both our product line risk and geographic risk to weather conditions.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Scotts has entered into a long-term marketing agreement with Monsanto for its consumer Roundup(R) herbicide products. Under the marketing agreement, Scotts and Monsanto are jointly developing global consumer and trade marketing programs for Roundup(R), while Scotts is responsible for sales support, merchandising, distribution, logistics and certain administrative functions. In addition, in January 1999 Scotts purchased from Monsanto the assets of its worldwide consumer lawn and garden businesses, exclusive of the Roundup(R) business. These transactions with Monsanto further our strategic objective of significantly enhancing our position in the pesticides segment of the consumer lawn and garden category. These businesses make up the Ortho business group within the North American Consumer segment.</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believe that these transactions provided us with several strategic benefits including immediate market penetration into new categories, geographic expansion, brand leveraging opportunities, and the achievement of substantial cost savings. With the Ortho acquisition, we believe we are currently a leader by market share in all five segments of the consumer lawn and garden category in North America: lawn fertilizer, garden fertilizer, growing media, grass seeds and pesticides. We believe that we are now positioned as the only company with a complete offering of consumer lawn and garden products in the United States.</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Over the past several years, we have made other acquisitions to strengthen our global market position in the lawn and garden category, including Rhone-Poulenc Jardin, Asef Holding B.V. and, most recently, Substral. These acquisitions provided a significant addition to our then existing European platform and strengthened our foothold in the continental European consumer lawn and garden market. Through these acquisitions, we have established a strong presence in France, Germany, Austria, and the Benelux countries. These acquisitions may also mitigate, to a certain extent, our susceptibility to weather conditions by expanding the regions in which we operate.</w:t>
      </w:r>
    </w:p>
    <w:p>
      <w:pPr>
        <w:spacing w:after="0" w:line="179"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The following discussion and analysis of the consolidated results of operations and financial position should be read in conjunction with our Condensed, Consolidated Financial Statements included elsewhere in this report. The Company's Annual Report on Form 10-K for the fiscal year ended September 30,</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2000 includes additional information about the Company, our operations, and our financial position, and should be read in conjunction with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w w:val="99"/>
              </w:rPr>
              <w:t>The following table sets forth sales by business segment for the three and nine</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200" w:type="dxa"/>
            <w:vAlign w:val="bottom"/>
            <w:gridSpan w:val="3"/>
          </w:tcPr>
          <w:p>
            <w:pPr>
              <w:spacing w:after="0"/>
              <w:rPr>
                <w:sz w:val="20"/>
                <w:szCs w:val="20"/>
                <w:color w:val="auto"/>
              </w:rPr>
            </w:pPr>
            <w:r>
              <w:rPr>
                <w:rFonts w:ascii="Courier New" w:cs="Courier New" w:eastAsia="Courier New" w:hAnsi="Courier New"/>
                <w:sz w:val="15"/>
                <w:szCs w:val="15"/>
                <w:color w:val="auto"/>
                <w:w w:val="99"/>
              </w:rPr>
              <w:t>months ended June 30, 2001 and July 1, 2000. Sales figures</w:t>
            </w:r>
          </w:p>
        </w:tc>
        <w:tc>
          <w:tcPr>
            <w:tcW w:w="19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w w:val="96"/>
              </w:rPr>
              <w:t>for all periods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rPr>
              <w:t>presented reflect the reclassification of certain rebates and allowances in</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200" w:type="dxa"/>
            <w:vAlign w:val="bottom"/>
            <w:gridSpan w:val="3"/>
          </w:tcPr>
          <w:p>
            <w:pPr>
              <w:spacing w:after="0"/>
              <w:rPr>
                <w:sz w:val="20"/>
                <w:szCs w:val="20"/>
                <w:color w:val="auto"/>
              </w:rPr>
            </w:pPr>
            <w:r>
              <w:rPr>
                <w:rFonts w:ascii="Courier New" w:cs="Courier New" w:eastAsia="Courier New" w:hAnsi="Courier New"/>
                <w:sz w:val="15"/>
                <w:szCs w:val="15"/>
                <w:color w:val="auto"/>
                <w:w w:val="99"/>
              </w:rPr>
              <w:t>accordance with accounting guidance adopted by the Company</w:t>
            </w:r>
          </w:p>
        </w:tc>
        <w:tc>
          <w:tcPr>
            <w:tcW w:w="19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in the first half of</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fiscal 2001.</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FOR THE THREE MONTHS ENDED</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NINE MONTHS ENDED</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0"/>
                <w:szCs w:val="10"/>
                <w:color w:val="auto"/>
                <w:w w:val="78"/>
              </w:rPr>
              <w:t>--------------------------</w:t>
            </w:r>
          </w:p>
        </w:tc>
        <w:tc>
          <w:tcPr>
            <w:tcW w:w="158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JULY 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JULY 1,</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North American Consumer:</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Lawns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$137.6</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$ 97.5</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$ 456.8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403.5</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Gardens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67.7</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61.8</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138.4</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142.8</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Growing Media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149.6</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139.0</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267.6</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254.4</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Ortho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93.9</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119.5</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192.5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220.0</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Lawn Service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15.2</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8.2</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Canada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11.7</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27.3</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Other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11.4</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11.9</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28.8</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14"/>
                <w:szCs w:val="14"/>
                <w:color w:val="auto"/>
              </w:rPr>
            </w:pPr>
          </w:p>
        </w:tc>
        <w:tc>
          <w:tcPr>
            <w:tcW w:w="4080" w:type="dxa"/>
            <w:vAlign w:val="bottom"/>
          </w:tcPr>
          <w:p>
            <w:pPr>
              <w:ind w:left="300"/>
              <w:spacing w:after="0"/>
              <w:rPr>
                <w:sz w:val="20"/>
                <w:szCs w:val="20"/>
                <w:color w:val="auto"/>
              </w:rPr>
            </w:pPr>
            <w:r>
              <w:rPr>
                <w:rFonts w:ascii="Courier New" w:cs="Courier New" w:eastAsia="Courier New" w:hAnsi="Courier New"/>
                <w:sz w:val="15"/>
                <w:szCs w:val="15"/>
                <w:color w:val="auto"/>
              </w:rPr>
              <w:t>Total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487.1</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449.9</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1,135.2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1,090.4</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Consumer.......................</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77.3</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86.6</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225.6</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236.3</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Global Professional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45.9</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44.9</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138.6</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134.7</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$610.3</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$581.4</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$1,499.4</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$1,461.4</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678"/>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rPr>
              <w:t>The following table sets forth the components of income and expense as a</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rPr>
              <w:t>percentage of sales for the three and nine months ended June 30, 2001 and July</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9"/>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FOR THE THREE MONTHS ENDED</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NINE MONTHS ENDED</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0"/>
                <w:szCs w:val="10"/>
                <w:color w:val="auto"/>
                <w:w w:val="78"/>
              </w:rPr>
              <w:t>--------------------------</w:t>
            </w:r>
          </w:p>
        </w:tc>
        <w:tc>
          <w:tcPr>
            <w:tcW w:w="158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JULY 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JULY 1,</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50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Net sales........................................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340" w:type="dxa"/>
            <w:vAlign w:val="bottom"/>
          </w:tcPr>
          <w:p>
            <w:pPr>
              <w:spacing w:after="0"/>
              <w:rPr>
                <w:sz w:val="24"/>
                <w:szCs w:val="2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Cost of sales....................................</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62.1</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61.2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60.9</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60.2</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Cost of sales - restructuring and other charges..</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Gross profit.....................................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37.8</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38.8</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39.0</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39.8</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Net commission earned from agency agreement......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2.6</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w w:val="97"/>
              </w:rPr>
              <w:t>Advertising and promotion.....................</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w w:val="97"/>
              </w:rPr>
              <w:t>Selling, general and administrative...........</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13.2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15.7</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Selling, general and administrative -</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4080" w:type="dxa"/>
            <w:vAlign w:val="bottom"/>
          </w:tcPr>
          <w:p>
            <w:pPr>
              <w:ind w:left="380"/>
              <w:spacing w:after="0"/>
              <w:rPr>
                <w:sz w:val="20"/>
                <w:szCs w:val="20"/>
                <w:color w:val="auto"/>
              </w:rPr>
            </w:pPr>
            <w:r>
              <w:rPr>
                <w:rFonts w:ascii="Courier New" w:cs="Courier New" w:eastAsia="Courier New" w:hAnsi="Courier New"/>
                <w:sz w:val="15"/>
                <w:szCs w:val="15"/>
                <w:color w:val="auto"/>
                <w:w w:val="97"/>
              </w:rPr>
              <w:t>restructuring and other charges...........</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Amortization of goodwill and</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4080" w:type="dxa"/>
            <w:vAlign w:val="bottom"/>
          </w:tcPr>
          <w:p>
            <w:pPr>
              <w:ind w:left="300"/>
              <w:spacing w:after="0"/>
              <w:rPr>
                <w:sz w:val="20"/>
                <w:szCs w:val="20"/>
                <w:color w:val="auto"/>
              </w:rPr>
            </w:pPr>
            <w:r>
              <w:rPr>
                <w:rFonts w:ascii="Courier New" w:cs="Courier New" w:eastAsia="Courier New" w:hAnsi="Courier New"/>
                <w:sz w:val="15"/>
                <w:szCs w:val="15"/>
                <w:color w:val="auto"/>
                <w:w w:val="97"/>
              </w:rPr>
              <w:t>other intangibles..........................</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w:t>
            </w:r>
          </w:p>
        </w:tc>
      </w:tr>
      <w:tr>
        <w:trPr>
          <w:trHeight w:val="170"/>
        </w:trPr>
        <w:tc>
          <w:tcPr>
            <w:tcW w:w="22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w w:val="97"/>
              </w:rPr>
              <w:t>Other expense (income), net...................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0.2</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Income from operations...........................</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Interest expense.................................</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Income before income taxes.......................</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14.3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Income taxes.....................................</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Net income.......................................</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9.1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Payments to preferred shareholders...............</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0.4</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Income available to common shareholders..........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340" w:type="dxa"/>
            <w:vAlign w:val="bottom"/>
          </w:tcPr>
          <w:p>
            <w:pPr>
              <w:spacing w:after="0"/>
              <w:rPr>
                <w:sz w:val="14"/>
                <w:szCs w:val="1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9.1%</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w:t>
            </w:r>
          </w:p>
        </w:tc>
      </w:tr>
      <w:tr>
        <w:trPr>
          <w:trHeight w:val="170"/>
        </w:trPr>
        <w:tc>
          <w:tcPr>
            <w:tcW w:w="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30, 2001 COMPARED TO THREE MONTHS ENDED JULY 1, 2000</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Sales for the third quarter ended June 30, 2001 were $610.3 million, an increase of 5.0% over the third quarter ended July 1, 2000 of $581.4 million. The increase in sales was driven primarily by an increase in sales in the North American Consumer segment as discussed below.</w:t>
      </w:r>
    </w:p>
    <w:p>
      <w:pPr>
        <w:spacing w:after="0" w:line="176"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North American Consumer segment sales were $487.1 million in the third quarter of fiscal 2001, an increase of $37.2 million, or 8.3%, over sales for the third quarter of fiscal 2000 of $449.9 million. Sales in the Consumer Lawns business group within this segment increased $40.1 million, or 41.2%, from fiscal 2000 to fiscal 2001. Beginning in fiscal 2001, the Company has significantly changed the selling and distribution model for the Lawns, Gardens and Ortho business groups in North America. The products in these groups are now being sold by an integrated sales force, as opposed to separate sales forces in prior years, and the majority of these products are now being sold directly to retail customers rather than through distributors. The impact of these changes is that sales are recognized generally later in the season than they were in prior years, which contributed to the increase in third quarter sales for the Lawns group compared to the prior year. The Consumer Lawns business group also benefited in the quarter from the successful introduction of the Company's new Turf Builder grass seed line this year. Sales in the Consumer Gardens business group increased $5.9 million, or 9.5%, from the third quarter of fiscal 2000 to fiscal 2001. As a result of the change in distribution described above, it is anticipated that shipments for products in the Gardens business group have been delayed in the season closer to the time of sale to the consumer or into our third and fourth quarters. The Consumer Ortho business group experienced a 21.4% decrease in sales from the third quarter of fiscal 2000 to fiscal 2001. Sales for the third quarter of fiscal 2001 were $93.9 million, compared to $119.5 million for the same period in fiscal 2000. The decrease in sales is largely attributed to adverse weather conditions in May and June; difficulties implementing our new Enterprise Resource Planning (ERP) system and increased competition in the controls product category. Many of these issues arose as the Company adjusted to the change in our selling and distribution model. Sales in the Consumer Lawn Service business group increased $7.0 million, or 86.2%, from fiscal 2000 to 2001. This growth reflects the continued expansion of the Company's Consumer Lawn Service business group through acquisitions and new branch openings, as well as the success of our direct marketing campaign utilizing the Scotts(R) brand name. Sales for the other business groups in the North America Consumer segment did not vary significantly in the third quarter of fiscal 2001 compared to the third quarter of fiscal 2000.</w:t>
      </w:r>
    </w:p>
    <w:p>
      <w:pPr>
        <w:spacing w:after="0" w:line="350"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Sales for the International Consumer segment of $77.3 million in the third quarter of fiscal 2001 were $9.3 million, or 10.7% lower than sales for the third quarter of fiscal 2000 of $86.6 million. Excluding the adverse impact of changes in exchange rates, sales for the International Consumer segment declined approximately 5.0% compared to the prior year period. The decrease in sales is primarily due to extremely poor weather in our significant European markets.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Sales for the Global Professional segment of $45.9 million in the third quarter of fiscal 2001 were $1.0 million, or 2.1% higher than the third quarter of fiscal 2000 sales of $44.9 million. Excluding the unfavorable impact of changes in foreign exchange rates, Global Professional segment sales increased approximately 5.8% quarter over quarter. The increase in sales is due to new product introductions in the horticultural business, and increased growing media sales.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Gross profit increased to $230.7 million in the third quarter of fiscal 2001, an increase of 2.2% over fiscal 2000 gross profit of $225.8 million. As a percentage of sales, gross profit was 37.8% of sales for fiscal 2001 compared to 38.8% of sales for the third quarter of fiscal 2000. This decrease in profitability on sales was driven by unfavorable product mixes in the Ortho, Gardens, and the Global Professional business, lower margins on Lawn seed sales, and increased distribution costs in the Gardens and the International Consumer business.</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net commission earned from agency agreement in the third quarter of fiscal 2001 was $16.1 million compared to $14.9 million in the third quarter of fiscal 2000. The increase in net commission reflects a significant increase in gross commission for the quarter, reflecting the successful introduction of new and improved formulations, partially offset by an increase in contribution expenses as specified in the agreement with Monsanto. Scotts does not recognize commission income under the agency agreement until minimum earnings thresholds in the agreement are achieved, which is generally in our second quarter.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and promotion expenses for the third quarter of fiscal 2001 were</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$47.0 million, a decrease of $1.0 million, or 2.1% over fiscal 2000 advertising and promotion expenses of $48.0 million. This decrease reflects the impact of improved media buying efficiencies and lower advertising rates compared to the prior year.</w:t>
      </w:r>
    </w:p>
    <w:p>
      <w:pPr>
        <w:sectPr>
          <w:pgSz w:w="11900" w:h="16838" w:orient="portrait"/>
          <w:cols w:equalWidth="0" w:num="1">
            <w:col w:w="10219"/>
          </w:cols>
          <w:pgMar w:left="240" w:top="283" w:right="1440" w:bottom="1440" w:gutter="0" w:footer="0" w:header="0"/>
        </w:sect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Selling, general and administrative expenses in the third quarter of fiscal 2001 were $80.8 million, an increase of $4.0 million, or 5.2% over similar expenses in the third quarter of fiscal 2000 of $76.8 million. As a percentage of sales, selling, general and administrative expenses were 13.2% for the third quarter of fiscal 2001, unchanged from the same quarter in the prior year. The increase in selling, general and administrative expenses from the prior year is partially due to an increase in selling expenses as a result of the change in the selling and distribution model for the North American business described above.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a year ago and the increased depreciation on the new ERP system. Most of these information technology resources have assumed a system support function that is now being expensed as incurred.</w:t>
      </w:r>
    </w:p>
    <w:p>
      <w:pPr>
        <w:spacing w:after="0" w:line="18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Selling, general and administrative expenses associated with restructuring and other one-time events were $15.1 million in third quarter of fiscal 2001, and none in the same quarter of prior year. These charges, along with the $0.9 million which is included in cost of sales, were primarily associated with the sale, closure, or relocation of certain U.S. plants and administrative facilities. Included in the $15.1 million of selling, general and administrative expenses is $0.6 million of termination benefits, accrued to cover the cost of employee terminations. At June 30, 2001, none of these benefits had been paid. Selling, general and administrative expenses associated with restructuring and other one-time charges also include $8.4 million to write-off the remaining carrying value of certain property and equipment, $4.0 million of facility exit costs, $2.1 million in other restructuring related costs. In the fourth quarter, the Company expects to recognize additional restructuring and other charges, primarily from reductions in headcount and some additional facility closures. A reduction in workforce in the Company's North American Operations was implemented on July 25, 2001, resulting in the elimination of 123 employees at an expected cost of approximately $8.5 million. We anticipate, based on our current plans, the combined total of restructuring charges for fiscal 2001 will be approximately $75 million. We estimate that 60-70 percent of the charges are expected to be cash payments. As a result of these restructuring efforts, the Company expects to reduce its manufacturing and employee-related costs.</w:t>
      </w:r>
    </w:p>
    <w:p>
      <w:pPr>
        <w:spacing w:after="0" w:line="17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Other income for the third quarter of fiscal 2001 was $6.1 million compared to other expense of $1.0 million in the prior year. The increase in other income was primarily due to the favorable settlement of some previously outstanding legal matters in the third quarter of fiscal 2001.</w:t>
      </w:r>
    </w:p>
    <w:p>
      <w:pPr>
        <w:spacing w:after="0" w:line="176"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Income from operations for the third quarter of fiscal 2001 was $103.1 million compared to $108.0 million for the third quarter of fiscal 2000. The decrease was primarily due to the restructuring and other one-time charges offset by the increase in gross margin and in the net Roundup(R) commission described above.</w:t>
      </w:r>
    </w:p>
    <w:p>
      <w:pPr>
        <w:spacing w:after="0" w:line="163"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Interest expense for the third quarter of fiscal 2001 was $22.3 million, a decrease of 10.1% over fiscal 2000 interest expense of $24.8 million. The favorable interest rate environment contributed to the reduction in interest expense.</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Income tax expense was $35.4 million for the third quarter of fiscal 2001 compared to $30.4 million for the same quarter in the prior year due to the change in the Company's effective tax rate, quarter over quarter. The third quarter effective tax rate for fiscal 2001 was 43.8%, compared to 36.6% for the same period in fiscal 2000. The primary driver of the change in the effective tax rate was the restructuring and other charges recorded in the third quarter of fiscal 2001, which reduced pre-tax income thereby increasing the effect of non-deductible goodwill amortization. The prior year effective tax rate benefited from the elimination of tax reserves due to the settlement of certain tax contingencies.</w:t>
      </w:r>
    </w:p>
    <w:p>
      <w:pPr>
        <w:spacing w:after="0" w:line="180"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Scotts reported net income of $45.4 million for the third quarter of fiscal 2001, or $1.49 per common share on a diluted basis, compared to net income of $52.8 million for fiscal 2000, or $1.77 per common share on a diluted basis.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2001 COMPARED TO NINE MONTHS ENDED JULY 1, 2000</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Net sales for the nine months ended June 30, 2001 were $1,499.4 million, an increase of 2.6% over the nine months ended July 1, 2000 of $1,461.4 million. The increase in sales was driven primarily by increases in sales in the North American Consumer segment as discussed below.</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North American Consumer segment sales were $1,135.2 million for the nine months of fiscal 2001, an increase of $44.8 million, or 4.1%, over sales for the nine months of fiscal 2000 of $1,090.4 million. Sales in the Consumer Lawns business group within this segment increased $53.3 million, or 13.2%, from fiscal 2000 to fiscal 2001, primarily due to the introduction of a new line of grass seed products. Sales for the Consumer Ortho business group decreased 12.5% from the nine months ended July 1, 2000 to the nine months ended June 30, 2001. Sales for this period were $192.5 million in fiscal 2001 compared to $220.0 million in fiscal 2000. This decrease is primarily due to the weather, data problems and shelf space issues described above. Also contributing to the decrease was the ongoing transition to an integrated sales force and distribution system. Sales in the Consumer Lawn Service business group increased to $24.5 million at June 30, 2001, up 79.9% or $10.9 million, from $13.6 million at July</w:t>
      </w:r>
    </w:p>
    <w:p>
      <w:pPr>
        <w:sectPr>
          <w:pgSz w:w="11900" w:h="16838" w:orient="portrait"/>
          <w:cols w:equalWidth="0" w:num="1">
            <w:col w:w="10219"/>
          </w:cols>
          <w:pgMar w:left="240" w:top="283" w:right="1440" w:bottom="396" w:gutter="0" w:footer="0" w:header="0"/>
        </w:sectPr>
      </w:pP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3" w:right="1440" w:bottom="396"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179" w:firstLine="88"/>
        <w:spacing w:after="0" w:line="238" w:lineRule="auto"/>
        <w:rPr>
          <w:sz w:val="20"/>
          <w:szCs w:val="20"/>
          <w:color w:val="auto"/>
        </w:rPr>
      </w:pPr>
      <w:r>
        <w:rPr>
          <w:rFonts w:ascii="Courier New" w:cs="Courier New" w:eastAsia="Courier New" w:hAnsi="Courier New"/>
          <w:sz w:val="15"/>
          <w:szCs w:val="15"/>
          <w:color w:val="auto"/>
        </w:rPr>
        <w:t>1, 2000. This growth reflects the continued expansion of the Company's Consumer Lawn Service business group through acquisitions and new branch openings, as well as the success of our direct marketing campaign utilizing the Scotts(R) brand name. Sales for the other business groups in the North American Consumer segment did not vary significantly for the nine months ended June 30, 2001 compared to the same period in the prior year. Certain of the business groups have realized price increases from the prior year of up to 2%.</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Sales for the International Consumer segment of $225.6 million for the first nine months of fiscal 2001 were 4.5% or $10.7 million lower than sales for the first nine months of fiscal 2000 of $236.3 million. Excluding the adverse impact of changes in exchange rates, sales for the International Consumer segment increased approximately 4.0% compared to the prior year period. The increase in sales is primarily due to the successful sell-in of a new line of fertilizer products under the Substral(R) brand name.</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Sales for the Global Professional segment of $138.6 million for the first nine months of fiscal 2001 were $3.9 million, or 2.9%, higher than the first nine months of fiscal 2000 sales of $134.7 million. Excluding the unfavorable impact of changes in foreign exchange rates, Global Professional segment sales increased approximately 7.5% year over year. The increase in sales is due to new product introductions, and increased growing media sales.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Gross profit for the first nine months of fiscal 2001 was $584.4 million, up slightly from fiscal 2000 gross profit of $581.3 million. As a percentage of sales, gross profit was 39.0% of sales for the first nine months of fiscal 2001 compared to 39.8% of sales for the first nine months of fiscal 2000. This decrease in profitability on sales was driven by unfavorable product mixes in the Ortho, Gardens and the Global Professional businesses, lower margins on Lawn seed sales, and increased distribution costs in the Gardens and International Consumer business.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net commission earned from agency agreement in the first nine months of fiscal 2001 was $23.4 million, compared to $18.4 million in the first nine months of fiscal 2000. The increase in net commission reflects a significant increase in gross commission for the nine-month period, reflecting the successful introduction of new and improved formulations, partially offset by an increase in contribution expenses as specified in the agreement with Monsanto. Scotts does not recognize commission income under the agency agreement until minimum earnings thresholds in the agreement are achieved, which is generally in our second quarter.</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Advertising and promotion expenses for the first nine months of fiscal 2001 were $127.8 million compared to fiscal 2000 advertising and promotion expenses of $137.6 million. This decrease reflects the impact of improved media buying efficiencies and lower advertising rates compared to the prior year.</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Selling, general and administrative expenses in the first nine months of fiscal 2001 were $245.5 million, an increase of $15.7 million, or 6.8%, over similar expenses in the first nine months of fiscal 2000 of $229.8 million. As a percentage of sales, selling, general and administrative expenses were 16.4% for the first nine months of fiscal 2001 compared to 15.7% for fiscal 2000. The increase in selling, general and administrative expenses from the prior year is partially due to an increase in selling expenses as a result of the change in the selling and distribution model for the North American business described above.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a year ago and the increased depreciation on the new ERP system. Most of these information technology resources have assumed a system support function that is now being expensed as incurred.</w:t>
      </w:r>
    </w:p>
    <w:p>
      <w:pPr>
        <w:spacing w:after="0" w:line="18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Selling, general and administrative expenses associated with restructuring and other one-time events were $15.1 million for the nine months ended June 30, 2001, and none for the same period in prior year. These charges, along with the $0.9 million which is included in cost of sales, were primarily associated with the sale, closure or relocation of certain U.S. plants and administrative facilities. Included in the $15.1 million of selling, general and administrative expenses is $0.6 million of termination benefits, accrued to cover the cost of employee terminations. At June 30, 2001, none of these benefits had been paid. Selling, general and administrative expenses associated with restructuring and other one-time charges also include $8.4 million to write-off the remaining carrying value of certain property and equipment, $4.0 million of facility exit costs, $2.1 million in other related costs. In the fourth quarter, the Company expects to recognize additional restructuring and other charges, primarily from the reduction in headcount and some additional facility closures. A reduction in workforce in the Company's North American operations was implemented on July 25, 2001, resulting in the elimination of 123 employees at an expected cost of approximately $8.5 million. We anticipate, based on our current plans, will bring the combined total of restructuring charges for fiscal 2001 will be approximately $75 million. We estimate that 60-70 percent of the charges are expected to be cash payments. As a result of these restructuring efforts, the Company expects to reduce its manufacturing and employee-related costs.</w:t>
      </w:r>
    </w:p>
    <w:p>
      <w:pPr>
        <w:spacing w:after="0" w:line="34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Amortization of goodwill and other intangibles was $21.1 million for the first nine months of fiscal 2001, compared to $20.7 million in the prior year, due to adjustments made to the estimated purchase price for the Ortho acquisition made during the prior year.</w:t>
      </w:r>
    </w:p>
    <w:p>
      <w:pPr>
        <w:sectPr>
          <w:pgSz w:w="11900" w:h="16838" w:orient="portrait"/>
          <w:cols w:equalWidth="0" w:num="1">
            <w:col w:w="10219"/>
          </w:cols>
          <w:pgMar w:left="240" w:top="283" w:right="1440" w:bottom="0" w:gutter="0" w:footer="0" w:header="0"/>
        </w:sectPr>
      </w:pP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Other income for the first nine months of fiscal 2001 was $8.6 million compared to other income of $0.8 million in the prior year. The increase in income was primarily due to the favorable settlement of some previously outstanding legal matters in the current year and losses on the sale of miscellaneous assets that were incurred in the prior year.</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Income from operations for the first nine months of fiscal 2001 was $206.9 million compared to $212.4 million for the first nine months of fiscal 2000. The slight decrease was the result of the current year restructuring and one-time charges and increased selling, general and administrative costs, partially offset by increased net commission under the agency agreement and lower advertising and promotion expense.</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Interest expense for the first nine months of fiscal 2001 was $69.7 million, a decrease of $4.7 million from fiscal 2000 interest expense of $74.4 million. The decrease in interest expense was primarily due to the favorable interest rate environments.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Income tax expense was $58.3 million for the first nine months of fiscal 2001 compared to $52.6 million in the prior year due to a slight increase in pre-tax income for fiscal 2001 over the prior year. The provisions for income taxes reflect an estimated rate of 42.5% and 40.5% for the first nine months of fiscal 2001 and 2000, respectively. The primary driver of the change in the effective tax rate was the restructuring and other charges recorded in the third quarter of fiscal 2001, which reduced pre-tax income thereby increasing the effect of non-deductible goodwill amortization. The prior year effective tax rate benefited from the elimination of tax reserves due to the settlement of certain tax contingencies.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reported net income of $78.9 million for the first nine months of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or $2.61 per common share on a diluted basis, compared to net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$79.0 million for fiscal 2000, or $2.66 per common share on a diluted basis.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 for the first nine months of fiscal 2000 is net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one-time reduction of $0.21 per share resulting from the early conversion of</w:t>
      </w:r>
    </w:p>
    <w:p>
      <w:pPr>
        <w:spacing w:after="0"/>
        <w:rPr>
          <w:sz w:val="20"/>
          <w:szCs w:val="20"/>
          <w:color w:val="auto"/>
        </w:rPr>
      </w:pPr>
      <w:r>
        <w:rPr>
          <w:rFonts w:ascii="Courier New" w:cs="Courier New" w:eastAsia="Courier New" w:hAnsi="Courier New"/>
          <w:sz w:val="15"/>
          <w:szCs w:val="15"/>
          <w:color w:val="auto"/>
        </w:rPr>
        <w:t>preferred stock in October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Cash provided by operating activities was $67.0 million for the nine months ended June 30, 2001 compared to cash provided of $164.5 million for the nine months ended July 1, 2000.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increase in cash required to fund operating activities for the first nine months of fiscal 2001 compared to the prior year was due to higher levels of inventory at June 30, 2001 compared to July 1, 2000, due, in part, to the change in the selling and distribution model for North America in fiscal 2001 described above and the trend by major retailers to delay inventory purchases later in season in fiscal 2001 compared to fiscal 2000.</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Cash used in investing activities was $46.2 million for the first nine months of fiscal 2001 compared to $38.9 million in the prior year. The additional cash used for investing activities in fiscal 2001 was primarily due to the $13.3 million in payments toward the purchase of the Substral business discussed in Note 4 to the Company's June 30, 2001, quarterly financial statements and other payments made toward several lawn service acquisitions during the first nine months of fiscal 2001.</w:t>
      </w:r>
    </w:p>
    <w:p>
      <w:pPr>
        <w:spacing w:after="0" w:line="177"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Financing activities provided cash of $19.7 million for the first nine months of fiscal 2001 compared to using cash of $74.6 million in the prior year. The increase in cash from financing activities was primarily due to an increase in borrowings under the Company's revolving credit facility and term loans to fund operations and investing activities during the first nine months of fiscal 2001.</w:t>
      </w:r>
    </w:p>
    <w:p>
      <w:pPr>
        <w:spacing w:after="0" w:line="16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Total debt was $896.7 million as of June 30, 2001, an increase of $10.5 million compared with debt at July 1, 2000 of $886.2. The increase in debt compared to the prior year was primarily due to additional borrowings to fund operations and investing activities as discussed above.</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July 1998, our Board of Directors authorized the repurchase of up to $100 million of our common shares on the open market or in privately negotiated transactions on or prior to September 30, 2001. As of June 30, 2001, 1,106,295 common shares (or $40.6 million) have been repurchased under this repurchase program limit.</w:t>
      </w:r>
    </w:p>
    <w:p>
      <w:pPr>
        <w:sectPr>
          <w:pgSz w:w="11900" w:h="16838" w:orient="portrait"/>
          <w:cols w:equalWidth="0" w:num="1">
            <w:col w:w="10219"/>
          </w:cols>
          <w:pgMar w:left="240" w:top="283"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In October 2000, the Board of Directors approved cancellation of the third year commitment of $50 million under the share repurchase program. The Board did authorize repurchasing the amount still outstanding under the second year repurchase commitment (approximately $9.0 million) through September 30, 2001.</w:t>
      </w:r>
    </w:p>
    <w:p>
      <w:pPr>
        <w:spacing w:after="0" w:line="16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2001,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 At June 30, 2001, the Company believes it is in compliance with all debt covenant requirements.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10 to the Company's unaudited Condensed, Consolidated Financial Statements as of and for the nine months ended June 30, 2001 and in the fiscal 2000 Annual Report on Form 10-K under the "ITEM 1. BUSINESS -- ENVIRONMENTAL AND REGULATORY CONSIDERATIONS" and "ITEM 3. LEGAL PROCEEDINGS" sections.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RESOURCE PLANNING ("ERP")</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July 1998, we announced a project designed to bring our information system resources in line with our current strategic objectives. The project includes the redesign of certain key business processes in connection with the installation of new software. SAP was selected as the primary software provider for this project. As of October 1, 2000, all of the North American businesses with the exception of Canada were operating under the new system. The implementation of the Canadian system began during the third quarter of fiscal 2001 and is expected to be substantially complete by October 1, 2001. Through June 30, 2001, we spent approximately $55.6 million on the project, approximately 75% of which has been capitalized and is being amortized over a period of four to eight years. We are currently evaluating when, and to what extent, the new information systems and applications will be implemented at our international locations.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new currency called the "euro" has been introduced in certain Economic and</w:t>
      </w:r>
    </w:p>
    <w:p>
      <w:pPr>
        <w:spacing w:after="0"/>
        <w:rPr>
          <w:sz w:val="20"/>
          <w:szCs w:val="20"/>
          <w:color w:val="auto"/>
        </w:rPr>
      </w:pPr>
      <w:r>
        <w:rPr>
          <w:rFonts w:ascii="Courier New" w:cs="Courier New" w:eastAsia="Courier New" w:hAnsi="Courier New"/>
          <w:sz w:val="15"/>
          <w:szCs w:val="15"/>
          <w:color w:val="auto"/>
        </w:rPr>
        <w:t>Monetary Union (EMU) countries. During 2002, all EMU countries are expected to</w:t>
      </w:r>
    </w:p>
    <w:p>
      <w:pPr>
        <w:spacing w:after="0"/>
        <w:rPr>
          <w:sz w:val="20"/>
          <w:szCs w:val="20"/>
          <w:color w:val="auto"/>
        </w:rPr>
      </w:pPr>
      <w:r>
        <w:rPr>
          <w:rFonts w:ascii="Courier New" w:cs="Courier New" w:eastAsia="Courier New" w:hAnsi="Courier New"/>
          <w:sz w:val="15"/>
          <w:szCs w:val="15"/>
          <w:color w:val="auto"/>
        </w:rPr>
        <w:t>be operating with the euro as their single currency. Uncertainty exists as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effects the euro currency will have on the marketplace. We are assessing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the EMU formation and euro implementation will have on our internal</w:t>
      </w:r>
    </w:p>
    <w:p>
      <w:pPr>
        <w:spacing w:after="0"/>
        <w:rPr>
          <w:sz w:val="20"/>
          <w:szCs w:val="20"/>
          <w:color w:val="auto"/>
        </w:rPr>
      </w:pPr>
      <w:r>
        <w:rPr>
          <w:rFonts w:ascii="Courier New" w:cs="Courier New" w:eastAsia="Courier New" w:hAnsi="Courier New"/>
          <w:sz w:val="15"/>
          <w:szCs w:val="15"/>
          <w:color w:val="auto"/>
        </w:rPr>
        <w:t>systems and the sale of our products. We are in the process of developing our</w:t>
      </w:r>
    </w:p>
    <w:p>
      <w:pPr>
        <w:spacing w:after="0"/>
        <w:rPr>
          <w:sz w:val="20"/>
          <w:szCs w:val="20"/>
          <w:color w:val="auto"/>
        </w:rPr>
      </w:pPr>
      <w:r>
        <w:rPr>
          <w:rFonts w:ascii="Courier New" w:cs="Courier New" w:eastAsia="Courier New" w:hAnsi="Courier New"/>
          <w:sz w:val="15"/>
          <w:szCs w:val="15"/>
          <w:color w:val="auto"/>
        </w:rPr>
        <w:t>plans and contracts for work to be performed to implement utilization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 as required at our operations in continental Europe. A significant portion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costs associated with this work will be incurred during fiscal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some costs will likely be incurred in the first quarter of fiscal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well. We estimate that the cost related to addressing this issue will be</w:t>
      </w:r>
    </w:p>
    <w:p>
      <w:pPr>
        <w:spacing w:after="0"/>
        <w:rPr>
          <w:sz w:val="20"/>
          <w:szCs w:val="20"/>
          <w:color w:val="auto"/>
        </w:rPr>
      </w:pPr>
      <w:r>
        <w:rPr>
          <w:rFonts w:ascii="Courier New" w:cs="Courier New" w:eastAsia="Courier New" w:hAnsi="Courier New"/>
          <w:sz w:val="15"/>
          <w:szCs w:val="15"/>
          <w:color w:val="auto"/>
        </w:rPr>
        <w:t>$1.5-$2.0 million; however, there can be no assurance that the ultimate costs</w:t>
      </w:r>
    </w:p>
    <w:p>
      <w:pPr>
        <w:spacing w:after="0"/>
        <w:rPr>
          <w:sz w:val="20"/>
          <w:szCs w:val="20"/>
          <w:color w:val="auto"/>
        </w:rPr>
      </w:pPr>
      <w:r>
        <w:rPr>
          <w:rFonts w:ascii="Courier New" w:cs="Courier New" w:eastAsia="Courier New" w:hAnsi="Courier New"/>
          <w:sz w:val="15"/>
          <w:szCs w:val="15"/>
          <w:color w:val="auto"/>
        </w:rPr>
        <w:t>related to this issue will not exceed this estimate.</w:t>
      </w:r>
    </w:p>
    <w:p>
      <w:pPr>
        <w:sectPr>
          <w:pgSz w:w="11900" w:h="16838" w:orient="portrait"/>
          <w:cols w:equalWidth="0" w:num="1">
            <w:col w:w="10219"/>
          </w:cols>
          <w:pgMar w:left="240" w:top="283" w:right="1440" w:bottom="1440" w:gutter="0" w:footer="0" w:header="0"/>
        </w:sectPr>
      </w:pP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Results for the first nine months of fiscal 2001 are in line with management's expectations and we believe we are well positioned to continue our trend of significant sales and earnings growth. We are coming off a very strong fiscal 2000 as we reported record sales of $1.76 billion, grew diluted earnings per share by at least 20% for the fourth consecutive year (on a pro forma basis, excluding extraordinary items and the impact of the early conversion of the Class A Convertible Preferred Stock) and established or maintained what we believe to be the number one market share position in most of the significant lawn and garden categories across the world.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Looking forward, we maintain the following broad tenets to our strategic plan:</w:t>
      </w:r>
    </w:p>
    <w:p>
      <w:pPr>
        <w:spacing w:after="0" w:line="175" w:lineRule="exact"/>
        <w:rPr>
          <w:sz w:val="20"/>
          <w:szCs w:val="20"/>
          <w:color w:val="auto"/>
        </w:rPr>
      </w:pPr>
    </w:p>
    <w:p>
      <w:pPr>
        <w:ind w:left="1580" w:right="3539" w:hanging="796"/>
        <w:spacing w:after="0" w:line="257" w:lineRule="auto"/>
        <w:tabs>
          <w:tab w:leader="none" w:pos="15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Promote and capitalize on the strengths of the Scotts(R), Miracle-Gro(R), Hyponex(R) and Ortho(R) industry-leading brands, as well as our portfolio of powerful brands in our international markets. This involves a commitment to our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66" w:lineRule="exact"/>
        <w:rPr>
          <w:rFonts w:ascii="Courier New" w:cs="Courier New" w:eastAsia="Courier New" w:hAnsi="Courier New"/>
          <w:sz w:val="14"/>
          <w:szCs w:val="14"/>
          <w:color w:val="auto"/>
        </w:rPr>
      </w:pPr>
    </w:p>
    <w:p>
      <w:pPr>
        <w:ind w:left="1580" w:right="3619" w:hanging="796"/>
        <w:spacing w:after="0" w:line="235"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175" w:lineRule="exact"/>
        <w:rPr>
          <w:rFonts w:ascii="Courier New" w:cs="Courier New" w:eastAsia="Courier New" w:hAnsi="Courier New"/>
          <w:sz w:val="15"/>
          <w:szCs w:val="15"/>
          <w:color w:val="auto"/>
        </w:rPr>
      </w:pPr>
    </w:p>
    <w:p>
      <w:pPr>
        <w:ind w:left="1580" w:right="3179" w:hanging="796"/>
        <w:spacing w:after="0" w:line="237"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174" w:lineRule="exact"/>
        <w:rPr>
          <w:rFonts w:ascii="Courier New" w:cs="Courier New" w:eastAsia="Courier New" w:hAnsi="Courier New"/>
          <w:sz w:val="15"/>
          <w:szCs w:val="15"/>
          <w:color w:val="auto"/>
        </w:rPr>
      </w:pPr>
    </w:p>
    <w:p>
      <w:pPr>
        <w:ind w:left="1580" w:right="3259" w:hanging="796"/>
        <w:spacing w:after="0" w:line="237"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world leadership in operations, leveraging technology and know-how to deliver outstanding customer service and quality.</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Scotts anticipates that we will continue to deliver significant revenue and earnings growth through emphasis on executing our strategic plan. We believe that we can continue to generate annual sales growth of 6% to 8% in our core businesses and annual earnings growth of at least 15%. In addition, we have targeted improving our return on invested capital. We believe that we can achieve our goal of realizing a return of 13.5% on our invested capital (our estimate of the average return on invested capital for our consumer products peer group) in the next four years. We expect to achieve this goal by reducing our overhead spending, tightening capital spending controls, implementing return on capital measures into our incentive compensation plans and accelerating operating performance and gross margin improvements utilizing our new Enterprise Resource Planning capabilities in North America.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ectPr>
          <w:pgSz w:w="11900" w:h="16838" w:orient="portrait"/>
          <w:cols w:equalWidth="0" w:num="1">
            <w:col w:w="10219"/>
          </w:cols>
          <w:pgMar w:left="240" w:top="283"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3"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left="1320" w:right="3979" w:hanging="796"/>
        <w:spacing w:after="0" w:line="235" w:lineRule="auto"/>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COULD ADVERSELY IMPACT OUR FINANCIAL RESULTS.</w:t>
      </w:r>
    </w:p>
    <w:p>
      <w:pPr>
        <w:spacing w:after="0" w:line="175" w:lineRule="exact"/>
        <w:rPr>
          <w:rFonts w:ascii="Courier New" w:cs="Courier New" w:eastAsia="Courier New" w:hAnsi="Courier New"/>
          <w:sz w:val="15"/>
          <w:szCs w:val="15"/>
          <w:color w:val="auto"/>
        </w:rPr>
      </w:pPr>
    </w:p>
    <w:p>
      <w:pPr>
        <w:ind w:left="132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77" w:lineRule="exact"/>
        <w:rPr>
          <w:rFonts w:ascii="Courier New" w:cs="Courier New" w:eastAsia="Courier New" w:hAnsi="Courier New"/>
          <w:sz w:val="15"/>
          <w:szCs w:val="15"/>
          <w:color w:val="auto"/>
        </w:rPr>
      </w:pPr>
    </w:p>
    <w:p>
      <w:pPr>
        <w:ind w:left="1320" w:right="3439" w:hanging="796"/>
        <w:spacing w:after="0" w:line="235" w:lineRule="auto"/>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MAKE INTEREST PAYMENTS ON INDEBTEDNESS.</w:t>
      </w:r>
    </w:p>
    <w:p>
      <w:pPr>
        <w:spacing w:after="0" w:line="175"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facility, this seasonality could adversely affect our ability to make interest payments as required by our indebtedness. Adverse weather conditions could heighten this risk.</w:t>
      </w:r>
    </w:p>
    <w:p>
      <w:pPr>
        <w:spacing w:after="0" w:line="182" w:lineRule="exact"/>
        <w:rPr>
          <w:rFonts w:ascii="Courier New" w:cs="Courier New" w:eastAsia="Courier New" w:hAnsi="Courier New"/>
          <w:sz w:val="15"/>
          <w:szCs w:val="15"/>
          <w:color w:val="auto"/>
        </w:rPr>
      </w:pPr>
    </w:p>
    <w:p>
      <w:pPr>
        <w:ind w:left="1320" w:right="3179" w:hanging="796"/>
        <w:spacing w:after="0" w:line="235" w:lineRule="auto"/>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5" w:lineRule="exact"/>
        <w:rPr>
          <w:rFonts w:ascii="Courier New" w:cs="Courier New" w:eastAsia="Courier New" w:hAnsi="Courier New"/>
          <w:sz w:val="15"/>
          <w:szCs w:val="15"/>
          <w:color w:val="auto"/>
        </w:rPr>
      </w:pPr>
    </w:p>
    <w:p>
      <w:pPr>
        <w:ind w:left="132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66" w:lineRule="exact"/>
        <w:rPr>
          <w:rFonts w:ascii="Courier New" w:cs="Courier New" w:eastAsia="Courier New" w:hAnsi="Courier New"/>
          <w:sz w:val="15"/>
          <w:szCs w:val="15"/>
          <w:color w:val="auto"/>
        </w:rPr>
      </w:pPr>
    </w:p>
    <w:p>
      <w:pPr>
        <w:ind w:left="1320" w:right="3799" w:hanging="796"/>
        <w:spacing w:after="0" w:line="237" w:lineRule="auto"/>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69"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w:t>
      </w:r>
    </w:p>
    <w:p>
      <w:pPr>
        <w:spacing w:after="0" w:line="174" w:lineRule="exact"/>
        <w:rPr>
          <w:rFonts w:ascii="Courier New" w:cs="Courier New" w:eastAsia="Courier New" w:hAnsi="Courier New"/>
          <w:sz w:val="15"/>
          <w:szCs w:val="15"/>
          <w:color w:val="auto"/>
        </w:rPr>
      </w:pPr>
    </w:p>
    <w:p>
      <w:pPr>
        <w:ind w:left="2120" w:right="3979" w:hanging="79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omake it more difficult for us to satisfy our obligations;</w:t>
      </w:r>
    </w:p>
    <w:p>
      <w:pPr>
        <w:spacing w:after="0" w:line="175" w:lineRule="exact"/>
        <w:rPr>
          <w:rFonts w:ascii="Courier New" w:cs="Courier New" w:eastAsia="Courier New" w:hAnsi="Courier New"/>
          <w:sz w:val="15"/>
          <w:szCs w:val="15"/>
          <w:color w:val="auto"/>
        </w:rPr>
      </w:pPr>
    </w:p>
    <w:p>
      <w:pPr>
        <w:ind w:left="2120" w:right="3879" w:hanging="79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oincrease our vulnerability to general adverse economic and industry conditions;</w:t>
      </w:r>
    </w:p>
    <w:p>
      <w:pPr>
        <w:spacing w:after="0" w:line="175" w:lineRule="exact"/>
        <w:rPr>
          <w:rFonts w:ascii="Courier New" w:cs="Courier New" w:eastAsia="Courier New" w:hAnsi="Courier New"/>
          <w:sz w:val="15"/>
          <w:szCs w:val="15"/>
          <w:color w:val="auto"/>
        </w:rPr>
      </w:pPr>
    </w:p>
    <w:p>
      <w:pPr>
        <w:ind w:left="2120" w:right="3259" w:hanging="79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olimit our ability to fund future working capital, capital expenditures, research and development costs and other general corporate requirements;</w:t>
      </w:r>
    </w:p>
    <w:p>
      <w:pPr>
        <w:spacing w:after="0" w:line="174" w:lineRule="exact"/>
        <w:rPr>
          <w:rFonts w:ascii="Courier New" w:cs="Courier New" w:eastAsia="Courier New" w:hAnsi="Courier New"/>
          <w:sz w:val="15"/>
          <w:szCs w:val="15"/>
          <w:color w:val="auto"/>
        </w:rPr>
      </w:pPr>
    </w:p>
    <w:p>
      <w:pPr>
        <w:ind w:left="2120" w:right="3179" w:hanging="793"/>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75" w:lineRule="exact"/>
        <w:rPr>
          <w:rFonts w:ascii="Courier New" w:cs="Courier New" w:eastAsia="Courier New" w:hAnsi="Courier New"/>
          <w:sz w:val="15"/>
          <w:szCs w:val="15"/>
          <w:color w:val="auto"/>
        </w:rPr>
      </w:pPr>
    </w:p>
    <w:p>
      <w:pPr>
        <w:ind w:left="2120" w:right="3179" w:hanging="79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olimit our flexibility in planning for, or reacting to, changes in our business and the industry in which we operate;</w:t>
      </w:r>
    </w:p>
    <w:p>
      <w:pPr>
        <w:spacing w:after="0" w:line="174" w:lineRule="exact"/>
        <w:rPr>
          <w:rFonts w:ascii="Courier New" w:cs="Courier New" w:eastAsia="Courier New" w:hAnsi="Courier New"/>
          <w:sz w:val="15"/>
          <w:szCs w:val="15"/>
          <w:color w:val="auto"/>
        </w:rPr>
      </w:pPr>
    </w:p>
    <w:p>
      <w:pPr>
        <w:ind w:left="2120" w:right="3439" w:hanging="79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oplace us at a competitive disadvantage compared to our competitors that have less debt; and</w:t>
      </w:r>
    </w:p>
    <w:p>
      <w:pPr>
        <w:spacing w:after="0" w:line="170"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limit our ability to borrow additional funds.</w:t>
      </w:r>
    </w:p>
    <w:p>
      <w:pPr>
        <w:spacing w:after="0" w:line="174"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ectPr>
          <w:pgSz w:w="11900" w:h="16838" w:orient="portrait"/>
          <w:cols w:equalWidth="0" w:num="1">
            <w:col w:w="9959"/>
          </w:cols>
          <w:pgMar w:left="500" w:top="283" w:right="1440" w:bottom="1440" w:gutter="0" w:footer="0" w:header="0"/>
        </w:sectPr>
      </w:pP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959"/>
          </w:cols>
          <w:pgMar w:left="500" w:top="283" w:right="1440" w:bottom="144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left="1320" w:right="3539" w:hanging="796"/>
        <w:spacing w:after="0" w:line="265"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SERVICE OUR INDEBTEDNESS, WE WILL REQUIRE A SIGNIFICANT AMOUNT OF CASH, WHICH WE MAY NOT BE ABLE TO GENERATE.</w:t>
      </w:r>
    </w:p>
    <w:p>
      <w:pPr>
        <w:spacing w:after="0" w:line="158" w:lineRule="exact"/>
        <w:rPr>
          <w:rFonts w:ascii="Courier New" w:cs="Courier New" w:eastAsia="Courier New" w:hAnsi="Courier New"/>
          <w:sz w:val="14"/>
          <w:szCs w:val="14"/>
          <w:color w:val="auto"/>
        </w:rPr>
      </w:pPr>
    </w:p>
    <w:p>
      <w:pPr>
        <w:ind w:left="132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164" w:lineRule="exact"/>
        <w:rPr>
          <w:rFonts w:ascii="Courier New" w:cs="Courier New" w:eastAsia="Courier New" w:hAnsi="Courier New"/>
          <w:sz w:val="14"/>
          <w:szCs w:val="14"/>
          <w:color w:val="auto"/>
        </w:rPr>
      </w:pPr>
    </w:p>
    <w:p>
      <w:pPr>
        <w:ind w:left="1320" w:right="3179" w:hanging="796"/>
        <w:spacing w:after="0" w:line="235" w:lineRule="auto"/>
        <w:tabs>
          <w:tab w:leader="none" w:pos="13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MIGHT NOT BE ABLE TO INTEGRATE OUR RECENT ACQUISITIONS INTO OUR BUSINESS OPERATIONS SUCCESSFULLY.</w:t>
      </w:r>
    </w:p>
    <w:p>
      <w:pPr>
        <w:spacing w:after="0" w:line="175"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84" w:lineRule="exact"/>
        <w:rPr>
          <w:rFonts w:ascii="Courier New" w:cs="Courier New" w:eastAsia="Courier New" w:hAnsi="Courier New"/>
          <w:sz w:val="15"/>
          <w:szCs w:val="15"/>
          <w:color w:val="auto"/>
        </w:rPr>
      </w:pPr>
    </w:p>
    <w:p>
      <w:pPr>
        <w:jc w:val="both"/>
        <w:ind w:left="1320" w:right="3179" w:hanging="796"/>
        <w:spacing w:after="0" w:line="237" w:lineRule="auto"/>
        <w:tabs>
          <w:tab w:leader="none" w:pos="13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4"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top 10 North American retail customers together accounted for approximately 56.5% of our fiscal 2000 sales and 41% of our outstanding accounts receivable as of September 30, 2000. Our top three customers, Home Depot, Wal*Mart and Kmart represented approximately 22.9%, 8.9% and 8.2% of our fiscal 2000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3" w:lineRule="exact"/>
        <w:rPr>
          <w:rFonts w:ascii="Courier New" w:cs="Courier New" w:eastAsia="Courier New" w:hAnsi="Courier New"/>
          <w:sz w:val="15"/>
          <w:szCs w:val="15"/>
          <w:color w:val="auto"/>
        </w:rPr>
      </w:pPr>
    </w:p>
    <w:p>
      <w:pPr>
        <w:ind w:left="1320" w:right="3259" w:hanging="796"/>
        <w:spacing w:after="0" w:line="237" w:lineRule="auto"/>
        <w:tabs>
          <w:tab w:leader="none" w:pos="13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OR WE WERE TO TERMINATE THE MARKETING AGREEMENT FOR CONSUMER ROUNDUP(R) PRODUCTS, WE WOULD LOSE A SUBSTANTIAL SOURCE OF FUTURE EARNINGS.</w:t>
      </w:r>
    </w:p>
    <w:p>
      <w:pPr>
        <w:spacing w:after="0" w:line="174"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rightfully, or if we were to terminate the agreement without appropriate cause,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176"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Over a cumulative period of three fiscal years; or</w:t>
      </w:r>
    </w:p>
    <w:p>
      <w:pPr>
        <w:spacing w:after="0" w:line="174" w:lineRule="exact"/>
        <w:rPr>
          <w:rFonts w:ascii="Courier New" w:cs="Courier New" w:eastAsia="Courier New" w:hAnsi="Courier New"/>
          <w:sz w:val="15"/>
          <w:szCs w:val="15"/>
          <w:color w:val="auto"/>
        </w:rPr>
      </w:pPr>
    </w:p>
    <w:p>
      <w:pPr>
        <w:ind w:left="2120" w:right="3439" w:hanging="79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oBy more than 5% for each of two consecutive fiscal years.</w:t>
      </w:r>
    </w:p>
    <w:p>
      <w:pPr>
        <w:sectPr>
          <w:pgSz w:w="11900" w:h="16838" w:orient="portrait"/>
          <w:cols w:equalWidth="0" w:num="1">
            <w:col w:w="9959"/>
          </w:cols>
          <w:pgMar w:left="500" w:top="283" w:right="1440" w:bottom="1440" w:gutter="0" w:footer="0" w:header="0"/>
        </w:sectPr>
      </w:pP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959"/>
          </w:cols>
          <w:pgMar w:left="500" w:top="283"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37</w:t>
      </w:r>
    </w:p>
    <w:p>
      <w:pPr>
        <w:spacing w:after="0" w:line="344" w:lineRule="exact"/>
        <w:rPr>
          <w:sz w:val="20"/>
          <w:szCs w:val="20"/>
          <w:color w:val="auto"/>
        </w:rPr>
      </w:pPr>
    </w:p>
    <w:p>
      <w:pPr>
        <w:ind w:left="1320" w:right="3179"/>
        <w:spacing w:after="0" w:line="258" w:lineRule="auto"/>
        <w:rPr>
          <w:sz w:val="20"/>
          <w:szCs w:val="20"/>
          <w:color w:val="auto"/>
        </w:rPr>
      </w:pPr>
      <w:r>
        <w:rPr>
          <w:rFonts w:ascii="Courier New" w:cs="Courier New" w:eastAsia="Courier New" w:hAnsi="Courier New"/>
          <w:sz w:val="14"/>
          <w:szCs w:val="14"/>
          <w:color w:val="auto"/>
        </w:rPr>
        <w:t>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165" w:lineRule="exact"/>
        <w:rPr>
          <w:sz w:val="20"/>
          <w:szCs w:val="20"/>
          <w:color w:val="auto"/>
        </w:rPr>
      </w:pPr>
    </w:p>
    <w:p>
      <w:pPr>
        <w:ind w:left="1320" w:right="3439" w:hanging="796"/>
        <w:spacing w:after="0" w:line="260"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PATENTS RELATING TO ROUNDUP(R) AND THE SCOTTS TURF BUILDER(R) LINE OF PRODUCTS COULD SUBSTANTIALLY INCREASE OUR COMPETITION IN THE UNITED STATES.</w:t>
      </w:r>
    </w:p>
    <w:p>
      <w:pPr>
        <w:spacing w:after="0" w:line="162" w:lineRule="exact"/>
        <w:rPr>
          <w:rFonts w:ascii="Courier New" w:cs="Courier New" w:eastAsia="Courier New" w:hAnsi="Courier New"/>
          <w:sz w:val="14"/>
          <w:szCs w:val="14"/>
          <w:color w:val="auto"/>
        </w:rPr>
      </w:pPr>
    </w:p>
    <w:p>
      <w:pPr>
        <w:ind w:left="132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Glyphosate, the active ingredient in Roundup(R), is covered by a patent in the United States that expired in September 2000. Scotts cannot predict the success of Roundup(R) now that glyphosate is no longer patented. Substantial new competition in the United States could adversely affect Scotts.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Scott's financial results through the reduction of commissions as calculated under the Roundup(R) marketing agreement.</w:t>
      </w:r>
    </w:p>
    <w:p>
      <w:pPr>
        <w:spacing w:after="0" w:line="182" w:lineRule="exact"/>
        <w:rPr>
          <w:rFonts w:ascii="Courier New" w:cs="Courier New" w:eastAsia="Courier New" w:hAnsi="Courier New"/>
          <w:sz w:val="14"/>
          <w:szCs w:val="14"/>
          <w:color w:val="auto"/>
        </w:rPr>
      </w:pPr>
    </w:p>
    <w:p>
      <w:pPr>
        <w:ind w:left="132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Our methylene-urea product composition patent, which covers Scotts Turf Builder(R), Scotts Turf Builder(R) with Plus 2(TM) Weed Control and Scotts Turf Builder(R) with Halts(R) Crabgrass Preventer, expired in July 2001, which may result in increased competition. Any decline in sales of Turf Builder(R) products after the expiration of the methylene-urea product composition patent could adversely affect our financial results.</w:t>
      </w:r>
    </w:p>
    <w:p>
      <w:pPr>
        <w:spacing w:after="0" w:line="177" w:lineRule="exact"/>
        <w:rPr>
          <w:rFonts w:ascii="Courier New" w:cs="Courier New" w:eastAsia="Courier New" w:hAnsi="Courier New"/>
          <w:sz w:val="14"/>
          <w:szCs w:val="14"/>
          <w:color w:val="auto"/>
        </w:rPr>
      </w:pPr>
    </w:p>
    <w:p>
      <w:pPr>
        <w:ind w:left="1320" w:right="3539" w:hanging="796"/>
        <w:spacing w:after="0" w:line="235" w:lineRule="auto"/>
        <w:tabs>
          <w:tab w:leader="none" w:pos="13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INTERESTS OF THE FORMER MIRACLE-GRO SHAREHOLDERS COULD CONFLICT WITH THOSE OF OUR OTHER SHAREHOLDERS.</w:t>
      </w:r>
    </w:p>
    <w:p>
      <w:pPr>
        <w:spacing w:after="0" w:line="175"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78" w:lineRule="exact"/>
        <w:rPr>
          <w:rFonts w:ascii="Courier New" w:cs="Courier New" w:eastAsia="Courier New" w:hAnsi="Courier New"/>
          <w:sz w:val="15"/>
          <w:szCs w:val="15"/>
          <w:color w:val="auto"/>
        </w:rPr>
      </w:pPr>
    </w:p>
    <w:p>
      <w:pPr>
        <w:ind w:left="1320" w:right="3879" w:hanging="796"/>
        <w:spacing w:after="0" w:line="265"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ENVIRONMENTAL AND OTHER PUBLIC HEALTH REGULATIONS COULD INCREASE OUR COST OF DOING BUSINESS.</w:t>
      </w:r>
    </w:p>
    <w:p>
      <w:pPr>
        <w:spacing w:after="0" w:line="158" w:lineRule="exact"/>
        <w:rPr>
          <w:rFonts w:ascii="Courier New" w:cs="Courier New" w:eastAsia="Courier New" w:hAnsi="Courier New"/>
          <w:sz w:val="14"/>
          <w:szCs w:val="14"/>
          <w:color w:val="auto"/>
        </w:rPr>
      </w:pPr>
    </w:p>
    <w:p>
      <w:pPr>
        <w:ind w:left="132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Local, state, federal and foreign laws and regulations relating to environmental matters affect us in several ways. All products containing pesticides must be registered with the U.S. Environmental Protection Agency ("USEPA")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65" w:lineRule="exact"/>
        <w:rPr>
          <w:rFonts w:ascii="Courier New" w:cs="Courier New" w:eastAsia="Courier New" w:hAnsi="Courier New"/>
          <w:sz w:val="14"/>
          <w:szCs w:val="14"/>
          <w:color w:val="auto"/>
        </w:rPr>
      </w:pPr>
    </w:p>
    <w:p>
      <w:pPr>
        <w:ind w:left="132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USEPA is evaluating the cumulative risks from dietary and non-dietary exposures to pesticides. The pesticides in Scotts' products, which are also used on foods, will be evaluated by the USEPA as part of this non-dietary exposure risk assessment. It is possible that the USEPA or the active ingredient registrant may decide that a pesticide Scotts uses in its products would be limited or made unavailable to Scotts. We cannot predict the outcome or the severity of the effect of the USEPA's continuing evaluations. We believe that we should be able to obtain substitute ingredients if selected pesticides are limited or made unavailable, but there can be no assurance that we will be able to do so for all products.</w:t>
      </w:r>
    </w:p>
    <w:p>
      <w:pPr>
        <w:sectPr>
          <w:pgSz w:w="11900" w:h="16838" w:orient="portrait"/>
          <w:cols w:equalWidth="0" w:num="1">
            <w:col w:w="9959"/>
          </w:cols>
          <w:pgMar w:left="500" w:top="283" w:right="1440" w:bottom="1440" w:gutter="0" w:footer="0" w:header="0"/>
        </w:sectPr>
      </w:pPr>
    </w:p>
    <w:p>
      <w:pPr>
        <w:spacing w:after="0" w:line="35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959"/>
          </w:cols>
          <w:pgMar w:left="500" w:top="283" w:right="1440" w:bottom="144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left="1140" w:right="3179"/>
        <w:spacing w:after="0" w:line="238" w:lineRule="auto"/>
        <w:rPr>
          <w:sz w:val="20"/>
          <w:szCs w:val="20"/>
          <w:color w:val="auto"/>
        </w:rPr>
      </w:pPr>
      <w:r>
        <w:rPr>
          <w:rFonts w:ascii="Courier New" w:cs="Courier New" w:eastAsia="Courier New" w:hAnsi="Courier New"/>
          <w:sz w:val="15"/>
          <w:szCs w:val="15"/>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84" w:lineRule="exact"/>
        <w:rPr>
          <w:sz w:val="20"/>
          <w:szCs w:val="20"/>
          <w:color w:val="auto"/>
        </w:rPr>
      </w:pPr>
    </w:p>
    <w:p>
      <w:pPr>
        <w:ind w:left="1140" w:right="3259"/>
        <w:spacing w:after="0" w:line="257" w:lineRule="auto"/>
        <w:rPr>
          <w:sz w:val="20"/>
          <w:szCs w:val="20"/>
          <w:color w:val="auto"/>
        </w:rPr>
      </w:pPr>
      <w:r>
        <w:rPr>
          <w:rFonts w:ascii="Courier New" w:cs="Courier New" w:eastAsia="Courier New" w:hAnsi="Courier New"/>
          <w:sz w:val="14"/>
          <w:szCs w:val="14"/>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and in the European Union, are the subject of conservation proposals.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w:t>
      </w:r>
    </w:p>
    <w:p>
      <w:pPr>
        <w:spacing w:after="0" w:line="165" w:lineRule="exact"/>
        <w:rPr>
          <w:sz w:val="20"/>
          <w:szCs w:val="20"/>
          <w:color w:val="auto"/>
        </w:rPr>
      </w:pPr>
    </w:p>
    <w:p>
      <w:pPr>
        <w:ind w:left="1140" w:right="3179"/>
        <w:spacing w:after="0" w:line="256" w:lineRule="auto"/>
        <w:rPr>
          <w:sz w:val="20"/>
          <w:szCs w:val="20"/>
          <w:color w:val="auto"/>
        </w:rPr>
      </w:pPr>
      <w:r>
        <w:rPr>
          <w:rFonts w:ascii="Courier New" w:cs="Courier New" w:eastAsia="Courier New" w:hAnsi="Courier New"/>
          <w:sz w:val="14"/>
          <w:szCs w:val="14"/>
          <w:color w:val="auto"/>
        </w:rPr>
        <w:t>The European Commission's Habitat Directive (the "Directive") provides that each European Member State must compile a list of areas containing habitats and species of European interest, and sets out scientific criteria for identifying such areas. Lists of proposed areas are submitted by Member States to the European Commission as candidate Special Areas of Conservation (SAC). If ultimately accepted by the Commission, an area will be designated by its Member State. In August 2000, the nature conservation advisory body to the U.K. Government notified Scotts' U.K. subsidiary that three of its peat harvesting sites in the U.K. were under consideration as candidate SAC's because of their European interest as "degraded raised peat bogs capable of natural regeneration". Management is challenging consideration of our peat harvesting sites as potential candidate SAC's, since we believe they do not meet the scientific criteria laid out in the Directive. In April 2001, the Company submitted a scientific report to the nature conservation advisory body of the U.K. Government detailing objections to such proposals. If our objections are not resolved through a process of consultation, the U.K. Government may decide to submit the sites to the European Commission. Upon submission, the sites become candidate SAC's under U.K. law. The peat harvesting sites in the U.K. are operated under mineral planning consents issued by local planning authorities. Following possible submission by the U.K. Government of the harvesting sites as candidate SAC's, these local planning authorities will be required to review the impact of activities likely to affect these areas. If these authorities determine that harvesting activity will damage the features of European interest on the sites, then they may modify or revoke the mineral planning consents. Where a planning consent is altered or revoked by a local planning authority, legislation requires compensation to be paid to those affected. Even if our peat harvesting sites are finally designated as SAC's, management believes the Company has sufficient raw material supplies available such that service to customers will not be materially adversely affected by such final designation.</w:t>
      </w:r>
    </w:p>
    <w:p>
      <w:pPr>
        <w:spacing w:after="0" w:line="200" w:lineRule="exact"/>
        <w:rPr>
          <w:sz w:val="20"/>
          <w:szCs w:val="20"/>
          <w:color w:val="auto"/>
        </w:rPr>
      </w:pPr>
    </w:p>
    <w:p>
      <w:pPr>
        <w:spacing w:after="0" w:line="320" w:lineRule="exact"/>
        <w:rPr>
          <w:sz w:val="20"/>
          <w:szCs w:val="20"/>
          <w:color w:val="auto"/>
        </w:rPr>
      </w:pPr>
    </w:p>
    <w:p>
      <w:pPr>
        <w:ind w:left="1140" w:right="3179"/>
        <w:spacing w:after="0" w:line="257"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("EPA")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165" w:lineRule="exact"/>
        <w:rPr>
          <w:sz w:val="20"/>
          <w:szCs w:val="20"/>
          <w:color w:val="auto"/>
        </w:rPr>
      </w:pPr>
    </w:p>
    <w:p>
      <w:pPr>
        <w:ind w:left="1140" w:right="3179"/>
        <w:spacing w:after="0" w:line="238" w:lineRule="auto"/>
        <w:rPr>
          <w:sz w:val="20"/>
          <w:szCs w:val="20"/>
          <w:color w:val="auto"/>
        </w:rPr>
      </w:pPr>
      <w:r>
        <w:rPr>
          <w:rFonts w:ascii="Courier New" w:cs="Courier New" w:eastAsia="Courier New" w:hAnsi="Courier New"/>
          <w:sz w:val="15"/>
          <w:szCs w:val="15"/>
          <w:color w:val="auto"/>
        </w:rPr>
        <w:t>During fiscal 2000, we made approximately $1.2 million in environmental capital expenditures and $1.8 million in other environmental expenses, compared with approximately $1.1 million in environmental capital expenditures and $5.9 million in other environmental expenses in fiscal 1999. Management anticipates that environmental capital expenditures and other environmental expenses for fiscal 2001 will not differ significantly from those incurred in fiscal 2000. If we are required to significantly increase our actual environmental capital expenditures and other environmental expenses, it could adversely affect our financial results.</w:t>
      </w:r>
    </w:p>
    <w:p>
      <w:pPr>
        <w:sectPr>
          <w:pgSz w:w="11900" w:h="16838" w:orient="portrait"/>
          <w:cols w:equalWidth="0" w:num="1">
            <w:col w:w="9959"/>
          </w:cols>
          <w:pgMar w:left="500" w:top="283" w:right="1440" w:bottom="0" w:gutter="0" w:footer="0" w:header="0"/>
        </w:sectPr>
      </w:pPr>
    </w:p>
    <w:bookmarkStart w:id="39" w:name="page40"/>
    <w:bookmarkEnd w:id="39"/>
    <w:p>
      <w:pPr>
        <w:ind w:left="22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019"/>
          </w:cols>
          <w:pgMar w:left="1440" w:top="30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left="1320" w:right="3699" w:hanging="796"/>
        <w:spacing w:after="0" w:line="235" w:lineRule="auto"/>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THE EURO CURRENCY IN SOME EUROPEAN COUNTRIES COULD ADVERSELY AFFECT US.</w:t>
      </w:r>
    </w:p>
    <w:p>
      <w:pPr>
        <w:spacing w:after="0" w:line="175" w:lineRule="exact"/>
        <w:rPr>
          <w:rFonts w:ascii="Courier New" w:cs="Courier New" w:eastAsia="Courier New" w:hAnsi="Courier New"/>
          <w:sz w:val="15"/>
          <w:szCs w:val="15"/>
          <w:color w:val="auto"/>
        </w:rPr>
      </w:pPr>
    </w:p>
    <w:p>
      <w:pPr>
        <w:ind w:left="13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1999, the "euro" was introduced in some Economic and Monetary Union (EMU) countries and by 2002, all EMU countries are expected to be operating with the euro as their single currency. Uncertainty exists as to the effects the euro currency will have on the market 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We estimate that the cost related to addressing this issue will be $1.5-$2.0 million; however, there can be no assurance that the ultimate costs related to this issue will not exceed this estimate.</w:t>
      </w:r>
    </w:p>
    <w:p>
      <w:pPr>
        <w:spacing w:after="0" w:line="164" w:lineRule="exact"/>
        <w:rPr>
          <w:rFonts w:ascii="Courier New" w:cs="Courier New" w:eastAsia="Courier New" w:hAnsi="Courier New"/>
          <w:sz w:val="15"/>
          <w:szCs w:val="15"/>
          <w:color w:val="auto"/>
        </w:rPr>
      </w:pPr>
    </w:p>
    <w:p>
      <w:pPr>
        <w:ind w:left="1320" w:right="3259" w:hanging="796"/>
        <w:spacing w:after="0" w:line="237" w:lineRule="auto"/>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174"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 Our international operations have increased with the acquisitions of Levington, Miracle Garden, Ortho, Rhone-Poulenc Jardin and Substral and with the marketing agreement for consumer Roundup(R) products. In fiscal 2000, international sales accounted for approximately 21% of our total sales. Accordingly, we are subject to risks associated with operations in foreign countries, including:</w:t>
      </w:r>
    </w:p>
    <w:p>
      <w:pPr>
        <w:spacing w:after="0" w:line="173"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fluctuations in currency exchange rates;</w:t>
      </w:r>
    </w:p>
    <w:p>
      <w:pPr>
        <w:spacing w:after="0" w:line="174" w:lineRule="exact"/>
        <w:rPr>
          <w:rFonts w:ascii="Courier New" w:cs="Courier New" w:eastAsia="Courier New" w:hAnsi="Courier New"/>
          <w:sz w:val="15"/>
          <w:szCs w:val="15"/>
          <w:color w:val="auto"/>
        </w:rPr>
      </w:pPr>
    </w:p>
    <w:p>
      <w:pPr>
        <w:ind w:left="2120" w:right="3359" w:hanging="79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olimitations on the conversion of foreign currencies into U.S. dollars;</w:t>
      </w:r>
    </w:p>
    <w:p>
      <w:pPr>
        <w:spacing w:after="0" w:line="175" w:lineRule="exact"/>
        <w:rPr>
          <w:rFonts w:ascii="Courier New" w:cs="Courier New" w:eastAsia="Courier New" w:hAnsi="Courier New"/>
          <w:sz w:val="15"/>
          <w:szCs w:val="15"/>
          <w:color w:val="auto"/>
        </w:rPr>
      </w:pPr>
    </w:p>
    <w:p>
      <w:pPr>
        <w:ind w:left="2120" w:right="3259" w:hanging="79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olimitations on the remittance of dividends and other payments by foreign subsidiaries;</w:t>
      </w:r>
    </w:p>
    <w:p>
      <w:pPr>
        <w:spacing w:after="0" w:line="175" w:lineRule="exact"/>
        <w:rPr>
          <w:rFonts w:ascii="Courier New" w:cs="Courier New" w:eastAsia="Courier New" w:hAnsi="Courier New"/>
          <w:sz w:val="15"/>
          <w:szCs w:val="15"/>
          <w:color w:val="auto"/>
        </w:rPr>
      </w:pPr>
    </w:p>
    <w:p>
      <w:pPr>
        <w:ind w:left="2120" w:right="4239" w:hanging="79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oadditional costs of compliance with local regulations; and</w:t>
      </w:r>
    </w:p>
    <w:p>
      <w:pPr>
        <w:spacing w:after="0" w:line="175" w:lineRule="exact"/>
        <w:rPr>
          <w:rFonts w:ascii="Courier New" w:cs="Courier New" w:eastAsia="Courier New" w:hAnsi="Courier New"/>
          <w:sz w:val="15"/>
          <w:szCs w:val="15"/>
          <w:color w:val="auto"/>
        </w:rPr>
      </w:pPr>
    </w:p>
    <w:p>
      <w:pPr>
        <w:ind w:left="2120" w:right="3359" w:hanging="79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ohistorically, higher rates of inflation than in the United States.</w:t>
      </w:r>
    </w:p>
    <w:p>
      <w:pPr>
        <w:spacing w:after="0" w:line="175" w:lineRule="exact"/>
        <w:rPr>
          <w:rFonts w:ascii="Courier New" w:cs="Courier New" w:eastAsia="Courier New" w:hAnsi="Courier New"/>
          <w:sz w:val="15"/>
          <w:szCs w:val="15"/>
          <w:color w:val="auto"/>
        </w:rPr>
      </w:pPr>
    </w:p>
    <w:p>
      <w:pPr>
        <w:ind w:left="132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related to our international operations could adversely affect our operations and financial results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ind w:left="2380"/>
        <w:spacing w:after="0"/>
        <w:rPr>
          <w:sz w:val="20"/>
          <w:szCs w:val="20"/>
          <w:color w:val="auto"/>
        </w:rPr>
      </w:pPr>
      <w:r>
        <w:rPr>
          <w:rFonts w:ascii="Courier New" w:cs="Courier New" w:eastAsia="Courier New" w:hAnsi="Courier New"/>
          <w:sz w:val="15"/>
          <w:szCs w:val="15"/>
          <w:color w:val="auto"/>
        </w:rPr>
        <w:t>PART II - OTHER INFORMATION</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780" w:right="3179"/>
        <w:spacing w:after="0" w:line="259" w:lineRule="auto"/>
        <w:rPr>
          <w:sz w:val="20"/>
          <w:szCs w:val="20"/>
          <w:color w:val="auto"/>
        </w:rPr>
      </w:pPr>
      <w:r>
        <w:rPr>
          <w:rFonts w:ascii="Courier New" w:cs="Courier New" w:eastAsia="Courier New" w:hAnsi="Courier New"/>
          <w:sz w:val="14"/>
          <w:szCs w:val="14"/>
          <w:color w:val="auto"/>
        </w:rPr>
        <w:t>As noted in Note 10 to the Company's unaudited Condensed, Consolidated Financial Statements as of and for the period ended June 30, 2001, the Company is involved in several pending legal and environmental matters. Pending other material legal proceedings are as follows:</w:t>
      </w:r>
    </w:p>
    <w:p>
      <w:pPr>
        <w:spacing w:after="0" w:line="15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Rhone-Poulenc, S.A., Rhone-Poulenc Agro S.A. and Hoechst, A.G.</w:t>
      </w:r>
    </w:p>
    <w:p>
      <w:pPr>
        <w:spacing w:after="0" w:line="175" w:lineRule="exact"/>
        <w:rPr>
          <w:sz w:val="20"/>
          <w:szCs w:val="20"/>
          <w:color w:val="auto"/>
        </w:rPr>
      </w:pPr>
    </w:p>
    <w:p>
      <w:pPr>
        <w:ind w:left="780" w:right="3259"/>
        <w:spacing w:after="0" w:line="257" w:lineRule="auto"/>
        <w:rPr>
          <w:sz w:val="20"/>
          <w:szCs w:val="20"/>
          <w:color w:val="auto"/>
        </w:rPr>
      </w:pPr>
      <w:r>
        <w:rPr>
          <w:rFonts w:ascii="Courier New" w:cs="Courier New" w:eastAsia="Courier New" w:hAnsi="Courier New"/>
          <w:sz w:val="14"/>
          <w:szCs w:val="14"/>
          <w:color w:val="auto"/>
        </w:rPr>
        <w:t>On October 15, 1999, the Company began arbitration proceedings before the International Court of Arbitration of the International Chamber of Commerce (the "ICA") against Rhone-Poulenc S.A. and Rhone-Poulenc Agro S.A. (collectively, "Rhone-Poulenc") under arbitration provisions contained in contracts relating to the purchase by the Company of Rhone-Poulenc's European lawn and garden business, Rhone-Poulenc Jardin, in 1998. The Company alleged that the combination of Rhone-Poulenc and Hoechst Schering AgrEvo GmbH ("AgrEvo") into a new entity, Aventis S.A., would result in the violation of non-compete and other provisions in the contracts mentioned above.</w:t>
      </w:r>
    </w:p>
    <w:p>
      <w:pPr>
        <w:spacing w:after="0" w:line="166" w:lineRule="exact"/>
        <w:rPr>
          <w:sz w:val="20"/>
          <w:szCs w:val="20"/>
          <w:color w:val="auto"/>
        </w:rPr>
      </w:pPr>
    </w:p>
    <w:p>
      <w:pPr>
        <w:ind w:left="780" w:right="3179"/>
        <w:spacing w:after="0" w:line="257" w:lineRule="auto"/>
        <w:rPr>
          <w:sz w:val="20"/>
          <w:szCs w:val="20"/>
          <w:color w:val="auto"/>
        </w:rPr>
      </w:pPr>
      <w:r>
        <w:rPr>
          <w:rFonts w:ascii="Courier New" w:cs="Courier New" w:eastAsia="Courier New" w:hAnsi="Courier New"/>
          <w:sz w:val="14"/>
          <w:szCs w:val="14"/>
          <w:color w:val="auto"/>
        </w:rPr>
        <w:t>On October 9, 2000, the ICA issued a First Partial Award by the Tribunal which, inter alia, (i) found that Rhone-Poulenc breached its duty of good faith under French law by not disclosing to the Company the contemplated combination of Rhone-Poulenc and AgrEvo, (ii) directed that the parties re-negotiate a non-compete provision, and (iii) ruled that a research and development agreement entered into ancillary to the purchase of Rhone-Poulenc Jardin is binding upon both Rhone-Poulenc and its post-merger successor. On February 12, 2001, because of the parties' failure to agree on revisions to the non-compete provision, the ICA issued a Second Partial Award by the Tribunal revising that provision. A damages hearing was held July 2-5, 2001. Post-hearing briefs are scheduled to be submitted in September 2001.</w:t>
      </w:r>
    </w:p>
    <w:p>
      <w:pPr>
        <w:spacing w:after="0" w:line="166" w:lineRule="exact"/>
        <w:rPr>
          <w:sz w:val="20"/>
          <w:szCs w:val="20"/>
          <w:color w:val="auto"/>
        </w:rPr>
      </w:pPr>
    </w:p>
    <w:p>
      <w:pPr>
        <w:ind w:left="780" w:right="3179"/>
        <w:spacing w:after="0" w:line="257" w:lineRule="auto"/>
        <w:rPr>
          <w:sz w:val="20"/>
          <w:szCs w:val="20"/>
          <w:color w:val="auto"/>
        </w:rPr>
      </w:pPr>
      <w:r>
        <w:rPr>
          <w:rFonts w:ascii="Courier New" w:cs="Courier New" w:eastAsia="Courier New" w:hAnsi="Courier New"/>
          <w:sz w:val="14"/>
          <w:szCs w:val="14"/>
          <w:color w:val="auto"/>
        </w:rPr>
        <w:t>Also on October 15, 1999, the Company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the Company's contractual rights. On October 19, 1999, the defendants removed the Union County action to the United States District Court for the Southern District of Ohio. On December 8, 1999, the Company requested that this action be stayed pending the outcome of the arbitration proceedings.</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Scotts v. AgrEvo USA Company</w:t>
      </w:r>
    </w:p>
    <w:p>
      <w:pPr>
        <w:spacing w:after="0" w:line="175"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The Company filed suit against AgrEvo USA Company on August 8, 2000 in the Court of Common Pleas for Union County, Ohio, alleging breach of contract relating to an Agreement dated June 22, 1998 entitled "Exclusive Distributor Agreement - Horticulture". The action seeks an unspecified amount of damages resulting from AgrEvo's breaches of the agreement, an order of specific performance directing AgrEvo to comply with its obligations under the agreement, a declaratory judgment that the Company's future performance under the agreement is waived as a result of AgrEvo's failure to perform, and such other relief to which the Company might be entitled. This action was dismissed without prejudice on February 6, 2001, pending the outcome of settlement discussions.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sectPr>
      </w:pPr>
    </w:p>
    <w:bookmarkStart w:id="42" w:name="page43"/>
    <w:bookmarkEnd w:id="42"/>
    <w:p>
      <w:pPr>
        <w:ind w:left="270"/>
        <w:spacing w:after="0"/>
        <w:rPr>
          <w:sz w:val="20"/>
          <w:szCs w:val="20"/>
          <w:color w:val="auto"/>
        </w:rPr>
      </w:pPr>
      <w:r>
        <w:rPr>
          <w:rFonts w:ascii="Courier New" w:cs="Courier New" w:eastAsia="Courier New" w:hAnsi="Courier New"/>
          <w:sz w:val="15"/>
          <w:szCs w:val="15"/>
          <w:color w:val="auto"/>
        </w:rPr>
        <w:t>41</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5" w:lineRule="exact"/>
        <w:rPr>
          <w:sz w:val="20"/>
          <w:szCs w:val="20"/>
          <w:color w:val="auto"/>
        </w:rPr>
      </w:pPr>
    </w:p>
    <w:p>
      <w:pPr>
        <w:ind w:left="790" w:right="3799" w:hanging="790"/>
        <w:spacing w:after="0" w:line="235" w:lineRule="auto"/>
        <w:tabs>
          <w:tab w:leader="none" w:pos="7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Exhibit Index at page 43 for a list of the exhibits included herewith.</w:t>
      </w:r>
    </w:p>
    <w:p>
      <w:pPr>
        <w:spacing w:after="0" w:line="175" w:lineRule="exact"/>
        <w:rPr>
          <w:rFonts w:ascii="Courier New" w:cs="Courier New" w:eastAsia="Courier New" w:hAnsi="Courier New"/>
          <w:sz w:val="15"/>
          <w:szCs w:val="15"/>
          <w:color w:val="auto"/>
        </w:rPr>
      </w:pPr>
    </w:p>
    <w:p>
      <w:pPr>
        <w:ind w:left="790" w:right="3259" w:hanging="790"/>
        <w:spacing w:after="0" w:line="235" w:lineRule="auto"/>
        <w:tabs>
          <w:tab w:leader="none" w:pos="7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no Current Reports on Form 8-K during the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14 , 2001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 Vice President of Finance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Controller</w:t>
      </w:r>
    </w:p>
    <w:p>
      <w:pPr>
        <w:spacing w:after="0" w:line="200" w:lineRule="exact"/>
        <w:rPr>
          <w:sz w:val="20"/>
          <w:szCs w:val="20"/>
          <w:color w:val="auto"/>
        </w:rPr>
      </w:pPr>
    </w:p>
    <w:p>
      <w:pPr>
        <w:sectPr>
          <w:pgSz w:w="11900" w:h="16838" w:orient="portrait"/>
          <w:cols w:equalWidth="0" w:num="2">
            <w:col w:w="3240" w:space="720"/>
            <w:col w:w="6259"/>
          </w:cols>
          <w:pgMar w:left="24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3"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QUARTERLY REPORT ON FORM 10-Q FOR</w:t>
      </w:r>
    </w:p>
    <w:p>
      <w:pPr>
        <w:spacing w:after="0" w:line="11"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FISCAL QUARTER ENDED JUNE 30, 2001</w:t>
      </w:r>
    </w:p>
    <w:p>
      <w:pPr>
        <w:spacing w:after="0" w:line="1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PAGE</w:t>
      </w:r>
    </w:p>
    <w:p>
      <w:pPr>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780" w:space="620"/>
            <w:col w:w="4400" w:space="720"/>
            <w:col w:w="369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10(x)</w:t>
      </w:r>
    </w:p>
    <w:p>
      <w:pPr>
        <w:spacing w:after="0" w:line="20" w:lineRule="exact"/>
        <w:rPr>
          <w:sz w:val="20"/>
          <w:szCs w:val="20"/>
          <w:color w:val="auto"/>
        </w:rPr>
      </w:pPr>
      <w:r>
        <w:rPr>
          <w:sz w:val="20"/>
          <w:szCs w:val="20"/>
          <w:color w:val="auto"/>
        </w:rPr>
        <w:br w:type="column"/>
      </w:r>
    </w:p>
    <w:p>
      <w:pPr>
        <w:jc w:val="both"/>
        <w:ind w:right="600"/>
        <w:spacing w:after="0" w:line="237" w:lineRule="auto"/>
        <w:rPr>
          <w:sz w:val="20"/>
          <w:szCs w:val="20"/>
          <w:color w:val="auto"/>
        </w:rPr>
      </w:pPr>
      <w:r>
        <w:rPr>
          <w:rFonts w:ascii="Courier New" w:cs="Courier New" w:eastAsia="Courier New" w:hAnsi="Courier New"/>
          <w:sz w:val="15"/>
          <w:szCs w:val="15"/>
          <w:color w:val="auto"/>
        </w:rPr>
        <w:t>Letter Agreement dated June 11, 2001, between the Registrant and G. Robert Lucas, regarding Mr. Lucas' retirement from employment by the Registrant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77" w:lineRule="exact"/>
        <w:rPr>
          <w:sz w:val="20"/>
          <w:szCs w:val="20"/>
          <w:color w:val="auto"/>
        </w:rPr>
      </w:pPr>
    </w:p>
    <w:p>
      <w:pPr>
        <w:sectPr>
          <w:pgSz w:w="11900" w:h="16838" w:orient="portrait"/>
          <w:cols w:equalWidth="0" w:num="3">
            <w:col w:w="680" w:space="720"/>
            <w:col w:w="4560" w:space="720"/>
            <w:col w:w="353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10(y)</w:t>
      </w:r>
    </w:p>
    <w:p>
      <w:pPr>
        <w:spacing w:after="0" w:line="20" w:lineRule="exact"/>
        <w:rPr>
          <w:sz w:val="20"/>
          <w:szCs w:val="20"/>
          <w:color w:val="auto"/>
        </w:rPr>
      </w:pPr>
      <w:r>
        <w:rPr>
          <w:sz w:val="20"/>
          <w:szCs w:val="20"/>
          <w:color w:val="auto"/>
        </w:rPr>
        <w:br w:type="column"/>
      </w:r>
    </w:p>
    <w:p>
      <w:pPr>
        <w:ind w:right="500"/>
        <w:spacing w:after="0" w:line="237" w:lineRule="auto"/>
        <w:rPr>
          <w:sz w:val="20"/>
          <w:szCs w:val="20"/>
          <w:color w:val="auto"/>
        </w:rPr>
      </w:pPr>
      <w:r>
        <w:rPr>
          <w:rFonts w:ascii="Courier New" w:cs="Courier New" w:eastAsia="Courier New" w:hAnsi="Courier New"/>
          <w:sz w:val="15"/>
          <w:szCs w:val="15"/>
          <w:color w:val="auto"/>
        </w:rPr>
        <w:t>Letter Agreement dated July 16, 2001, between the Registrant and James Rogula, regarding Mr. Rogula's retirement from employment by the Registrant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77" w:lineRule="exact"/>
        <w:rPr>
          <w:sz w:val="20"/>
          <w:szCs w:val="20"/>
          <w:color w:val="auto"/>
        </w:rPr>
      </w:pPr>
    </w:p>
    <w:p>
      <w:pPr>
        <w:sectPr>
          <w:pgSz w:w="11900" w:h="16838" w:orient="portrait"/>
          <w:cols w:equalWidth="0" w:num="3">
            <w:col w:w="680" w:space="720"/>
            <w:col w:w="4560" w:space="720"/>
            <w:col w:w="353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3"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10(x)</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Hadia Lefavre</w:t>
      </w:r>
    </w:p>
    <w:p>
      <w:pPr>
        <w:spacing w:after="0"/>
        <w:rPr>
          <w:sz w:val="20"/>
          <w:szCs w:val="20"/>
          <w:color w:val="auto"/>
        </w:rPr>
      </w:pPr>
      <w:r>
        <w:rPr>
          <w:rFonts w:ascii="Courier New" w:cs="Courier New" w:eastAsia="Courier New" w:hAnsi="Courier New"/>
          <w:sz w:val="15"/>
          <w:szCs w:val="15"/>
          <w:color w:val="auto"/>
        </w:rPr>
        <w:t>Executive Vice President,</w:t>
      </w:r>
    </w:p>
    <w:p>
      <w:pPr>
        <w:spacing w:after="0"/>
        <w:rPr>
          <w:sz w:val="20"/>
          <w:szCs w:val="20"/>
          <w:color w:val="auto"/>
        </w:rPr>
      </w:pPr>
      <w:r>
        <w:rPr>
          <w:rFonts w:ascii="Courier New" w:cs="Courier New" w:eastAsia="Courier New" w:hAnsi="Courier New"/>
          <w:sz w:val="15"/>
          <w:szCs w:val="15"/>
          <w:color w:val="auto"/>
        </w:rPr>
        <w:t>Human Resources Worldwide</w:t>
      </w:r>
    </w:p>
    <w:p>
      <w:pPr>
        <w:spacing w:after="0" w:line="168"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June 11,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AND CONFIDENTIAL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Robert Lucas</w:t>
      </w:r>
    </w:p>
    <w:p>
      <w:pPr>
        <w:spacing w:after="0"/>
        <w:rPr>
          <w:sz w:val="20"/>
          <w:szCs w:val="20"/>
          <w:color w:val="auto"/>
        </w:rPr>
      </w:pPr>
      <w:r>
        <w:rPr>
          <w:rFonts w:ascii="Courier New" w:cs="Courier New" w:eastAsia="Courier New" w:hAnsi="Courier New"/>
          <w:sz w:val="15"/>
          <w:szCs w:val="15"/>
          <w:color w:val="auto"/>
        </w:rPr>
        <w:t>[residence address]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Rob:</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You have indicated that you wish to take early retirement from The Scotts Company (hereinafter referred to as "Scotts" or the "Company"). Subject to the terms and conditions set forth in this letter agreement (hereinafter referred to as the "Agreement,"), Scotts is willing to grant you retirement status. The terms pursuant to which you will be granted retirement status are as follows:</w:t>
      </w:r>
    </w:p>
    <w:p>
      <w:pPr>
        <w:spacing w:after="0" w:line="176" w:lineRule="exact"/>
        <w:rPr>
          <w:sz w:val="20"/>
          <w:szCs w:val="20"/>
          <w:color w:val="auto"/>
        </w:rPr>
      </w:pPr>
    </w:p>
    <w:p>
      <w:pPr>
        <w:ind w:left="1580" w:right="3179" w:hanging="796"/>
        <w:spacing w:after="0" w:line="257" w:lineRule="auto"/>
        <w:tabs>
          <w:tab w:leader="none" w:pos="15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remain as a full-time Scotts' associate in your present position at your present level of salary and benefits through September 30, 2001. On October 1, 2001, you will retire and you will resign your positions as Executive Vice President, General Counsel and Secretary and all other offices and directorships you may hold with the Company or any of its subsidiaries by executing the attached resignation letter.</w:t>
      </w:r>
    </w:p>
    <w:p>
      <w:pPr>
        <w:spacing w:after="0" w:line="167" w:lineRule="exact"/>
        <w:rPr>
          <w:rFonts w:ascii="Courier New" w:cs="Courier New" w:eastAsia="Courier New" w:hAnsi="Courier New"/>
          <w:sz w:val="14"/>
          <w:szCs w:val="14"/>
          <w:color w:val="auto"/>
        </w:rPr>
      </w:pPr>
    </w:p>
    <w:p>
      <w:pPr>
        <w:ind w:left="1580" w:right="3179" w:hanging="796"/>
        <w:spacing w:after="0" w:line="237" w:lineRule="auto"/>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eligible for a payout under the 2001 Executive Annual Incentive Plan. Payouts under the terms of this Plan are expected to be made in late November 2001. You will not be eligible for any further stock option grants.</w:t>
      </w:r>
    </w:p>
    <w:p>
      <w:pPr>
        <w:spacing w:after="0" w:line="176" w:lineRule="exact"/>
        <w:rPr>
          <w:rFonts w:ascii="Courier New" w:cs="Courier New" w:eastAsia="Courier New" w:hAnsi="Courier New"/>
          <w:sz w:val="15"/>
          <w:szCs w:val="15"/>
          <w:color w:val="auto"/>
        </w:rPr>
      </w:pPr>
    </w:p>
    <w:p>
      <w:pPr>
        <w:ind w:left="1580" w:right="3359" w:hanging="796"/>
        <w:spacing w:after="0" w:line="237" w:lineRule="auto"/>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reward for your past service to the Company, you shall receive the sum of $535,800, payable in 12 equal monthly installments of $44,650 each (less required tax withholding) beginning in October 2001 through and including September 2002.</w:t>
      </w:r>
    </w:p>
    <w:p>
      <w:pPr>
        <w:spacing w:after="0" w:line="178" w:lineRule="exact"/>
        <w:rPr>
          <w:rFonts w:ascii="Courier New" w:cs="Courier New" w:eastAsia="Courier New" w:hAnsi="Courier New"/>
          <w:sz w:val="15"/>
          <w:szCs w:val="15"/>
          <w:color w:val="auto"/>
        </w:rPr>
      </w:pPr>
    </w:p>
    <w:p>
      <w:pPr>
        <w:ind w:left="1580" w:right="3179" w:hanging="796"/>
        <w:spacing w:after="0" w:line="237" w:lineRule="auto"/>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entitled to keep the laptop computers, Palm Pilot, Rex Pro and cellular telephone currently in your possession. You agree to pay all cellular phone charges incurred after October 1, 2001.</w:t>
      </w:r>
    </w:p>
    <w:p>
      <w:pPr>
        <w:spacing w:after="0" w:line="176" w:lineRule="exact"/>
        <w:rPr>
          <w:rFonts w:ascii="Courier New" w:cs="Courier New" w:eastAsia="Courier New" w:hAnsi="Courier New"/>
          <w:sz w:val="15"/>
          <w:szCs w:val="15"/>
          <w:color w:val="auto"/>
        </w:rPr>
      </w:pPr>
    </w:p>
    <w:p>
      <w:pPr>
        <w:ind w:left="1580" w:right="3259" w:hanging="796"/>
        <w:spacing w:after="0" w:line="235" w:lineRule="auto"/>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vision plan insurance coverage will be continued through the end of September 2001.</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Phone 614-719-5602 Fax 614-719-5752 E-Mail: hadia.lefavre@scottsco.com</w:t>
      </w:r>
    </w:p>
    <w:p>
      <w:pPr>
        <w:sectPr>
          <w:pgSz w:w="11900" w:h="16838" w:orient="portrait"/>
          <w:cols w:equalWidth="0" w:num="1">
            <w:col w:w="10219"/>
          </w:cols>
          <w:pgMar w:left="240" w:top="13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2</w:t>
      </w:r>
    </w:p>
    <w:p>
      <w:pPr>
        <w:spacing w:after="0"/>
        <w:rPr>
          <w:sz w:val="20"/>
          <w:szCs w:val="20"/>
          <w:color w:val="auto"/>
        </w:rPr>
      </w:pPr>
      <w:r>
        <w:rPr>
          <w:rFonts w:ascii="Courier New" w:cs="Courier New" w:eastAsia="Courier New" w:hAnsi="Courier New"/>
          <w:sz w:val="15"/>
          <w:szCs w:val="15"/>
          <w:color w:val="auto"/>
        </w:rPr>
        <w:t>G. Robert Lucas</w:t>
      </w:r>
    </w:p>
    <w:p>
      <w:pPr>
        <w:spacing w:after="0"/>
        <w:rPr>
          <w:sz w:val="20"/>
          <w:szCs w:val="20"/>
          <w:color w:val="auto"/>
        </w:rPr>
      </w:pPr>
      <w:r>
        <w:rPr>
          <w:rFonts w:ascii="Courier New" w:cs="Courier New" w:eastAsia="Courier New" w:hAnsi="Courier New"/>
          <w:sz w:val="15"/>
          <w:szCs w:val="15"/>
          <w:color w:val="auto"/>
        </w:rPr>
        <w:t>June 11, 2001</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14" w:lineRule="exact"/>
        <w:rPr>
          <w:sz w:val="20"/>
          <w:szCs w:val="20"/>
          <w:color w:val="auto"/>
        </w:rPr>
      </w:pPr>
    </w:p>
    <w:p>
      <w:pPr>
        <w:ind w:left="1580" w:right="3179" w:hanging="796"/>
        <w:spacing w:after="0" w:line="237" w:lineRule="auto"/>
        <w:tabs>
          <w:tab w:leader="none" w:pos="15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presently have 118,000 stock options. As a retiree, all of these options will vest on the date of your retirement. Your ability to exercise these options will be governed by the terms and conditions of the Scotts' Stock Option Plan pursuant to which they were granted.</w:t>
      </w:r>
    </w:p>
    <w:p>
      <w:pPr>
        <w:spacing w:after="0" w:line="178" w:lineRule="exact"/>
        <w:rPr>
          <w:rFonts w:ascii="Courier New" w:cs="Courier New" w:eastAsia="Courier New" w:hAnsi="Courier New"/>
          <w:sz w:val="15"/>
          <w:szCs w:val="15"/>
          <w:color w:val="auto"/>
        </w:rPr>
      </w:pPr>
    </w:p>
    <w:p>
      <w:pPr>
        <w:ind w:left="1580" w:right="3179" w:hanging="796"/>
        <w:spacing w:after="0" w:line="238" w:lineRule="auto"/>
        <w:tabs>
          <w:tab w:leader="none" w:pos="15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continue to be eligible to participate in the Retirement Savings Plan and the Executive Retirement Plan of the Company through September 30, 2001. Your benefits pursuant to each such Plan will be handled according to your election under the Plan options. You should discuss the tax effect of any decisions you make with respect to such Plans with your legal or tax advisor.</w:t>
      </w:r>
    </w:p>
    <w:p>
      <w:pPr>
        <w:spacing w:after="0" w:line="176" w:lineRule="exact"/>
        <w:rPr>
          <w:rFonts w:ascii="Courier New" w:cs="Courier New" w:eastAsia="Courier New" w:hAnsi="Courier New"/>
          <w:sz w:val="15"/>
          <w:szCs w:val="15"/>
          <w:color w:val="auto"/>
        </w:rPr>
      </w:pPr>
    </w:p>
    <w:p>
      <w:pPr>
        <w:ind w:left="1580" w:right="3179" w:hanging="796"/>
        <w:spacing w:after="0" w:line="238" w:lineRule="auto"/>
        <w:tabs>
          <w:tab w:leader="none" w:pos="15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short and long term disability benefits under Scotts group plans expires on September 30, 2001. Life insurance coverage will continue through September 30, 2001. Within 30 days following the expiration of your life insurance coverage, you have the right to convert all or part of your group life insurance.</w:t>
      </w:r>
    </w:p>
    <w:p>
      <w:pPr>
        <w:spacing w:after="0" w:line="176" w:lineRule="exact"/>
        <w:rPr>
          <w:sz w:val="20"/>
          <w:szCs w:val="20"/>
          <w:color w:val="auto"/>
        </w:rPr>
      </w:pPr>
    </w:p>
    <w:p>
      <w:pPr>
        <w:ind w:right="3539" w:firstLine="793"/>
        <w:spacing w:after="0" w:line="265" w:lineRule="auto"/>
        <w:rPr>
          <w:sz w:val="20"/>
          <w:szCs w:val="20"/>
          <w:color w:val="auto"/>
        </w:rPr>
      </w:pPr>
      <w:r>
        <w:rPr>
          <w:rFonts w:ascii="Courier New" w:cs="Courier New" w:eastAsia="Courier New" w:hAnsi="Courier New"/>
          <w:sz w:val="14"/>
          <w:szCs w:val="14"/>
          <w:color w:val="auto"/>
        </w:rPr>
        <w:t>Except as set forth in this letter, all other benefits to which you were entitled as a full-time Scotts' associate cease as of October 1, 2001.</w:t>
      </w:r>
    </w:p>
    <w:p>
      <w:pPr>
        <w:spacing w:after="0" w:line="158"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You are reminded of the terms of the Key Management Scott Associate Agreement, a copy of which is attached.</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This Agreement is personal and not assignable by you. In the event of your death prior to October 1, 2001, this Agreement shall terminate as of the last day of the month during which your death occurred. In such an event, your designated beneficiary (or if none is designated, your estate) will be paid (i) all pay and benefits due up through the month of your death, and (ii) the pay, awards and benefits due as provided for in this Agreement. If your death occurs while you are still in an employee status, your widow would be entitled to the benefits applicable to widows under the benefit plans in which you are participating at the time of your death.</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Scotts is proposing to provide you with the opportunity to receive this retirement package on an exception basis and in return for your signature of the legal release contained in this Agreement. By executing this Agreement, you acknowledge and agree that the payments to be made to you and the other awards and benefits extended to you exceed the normal policies and practices of the Company and that you have received full and fair consideration for signing this Agreement. You also acknowledge and agree that the payments, awards and benefits provided for herein are in lieu of those provided for in the "Termination" provisions of your Employment Letter dated April 10, 1997.</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If you determine to accept this package, you should sign this Agreement as discussed below. By signing, you agree, except for the obligations set forth in this Agreement, that all of Scotts' other obligations and any claims you may have, whether now known or unknown to you against Scotts, its affiliated corporations and directors or employees thereof ("Releasees") are released. In consideration of the awards and benefits provided to you herein, you agree not to</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3</w:t>
      </w:r>
    </w:p>
    <w:p>
      <w:pPr>
        <w:spacing w:after="0"/>
        <w:rPr>
          <w:sz w:val="20"/>
          <w:szCs w:val="20"/>
          <w:color w:val="auto"/>
        </w:rPr>
      </w:pPr>
      <w:r>
        <w:rPr>
          <w:rFonts w:ascii="Courier New" w:cs="Courier New" w:eastAsia="Courier New" w:hAnsi="Courier New"/>
          <w:sz w:val="15"/>
          <w:szCs w:val="15"/>
          <w:color w:val="auto"/>
        </w:rPr>
        <w:t>G. Robert Lucas</w:t>
      </w:r>
    </w:p>
    <w:p>
      <w:pPr>
        <w:spacing w:after="0"/>
        <w:rPr>
          <w:sz w:val="20"/>
          <w:szCs w:val="20"/>
          <w:color w:val="auto"/>
        </w:rPr>
      </w:pPr>
      <w:r>
        <w:rPr>
          <w:rFonts w:ascii="Courier New" w:cs="Courier New" w:eastAsia="Courier New" w:hAnsi="Courier New"/>
          <w:sz w:val="15"/>
          <w:szCs w:val="15"/>
          <w:color w:val="auto"/>
        </w:rPr>
        <w:t>June 11, 2001</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sue Releasees under any or all causes of action and agree not to file any complaint or other action with any governmental agency, including claims of Age Discrimination in employment under the Federal Age Discrimination in Employment Act and the Older Workers Benefit Protection Act. Except as specifically stated herein and except as provided in the Scotts' Retirement Savings Plan and the Scotts' Executive Retirement Plan, you agree that you have no claim for and will not be entitled to any other benefits, bonus, compensation, perquisites, sick pay allowance or any kind of other remuneration arising out of your employment.</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You agree to keep the terms of this Agreement confidential and not to disclose any information concerning these matters to anyone (excluding your spouse and any attorney you may retain), including but not limited to past, present or future employees of Scotts or its affiliates. You agree to indemnify Releasees from any loss, costs or attorneys' fees arising from any breach by you of this Agreement.</w:t>
      </w:r>
    </w:p>
    <w:p>
      <w:pPr>
        <w:spacing w:after="0" w:line="176"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You will have until July 2, 2001 to consider this offer. If you accept, you will have seven (7) calendar days from the date of acceptance to revoke this Agreement.</w:t>
      </w:r>
    </w:p>
    <w:p>
      <w:pPr>
        <w:spacing w:after="0" w:line="175"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This Agreement contains the release of important legal rights. You should consult with an attorney before executing it.</w:t>
      </w:r>
    </w:p>
    <w:p>
      <w:pPr>
        <w:spacing w:after="0" w:line="176" w:lineRule="exact"/>
        <w:rPr>
          <w:sz w:val="20"/>
          <w:szCs w:val="20"/>
          <w:color w:val="auto"/>
        </w:rPr>
      </w:pPr>
    </w:p>
    <w:p>
      <w:pPr>
        <w:ind w:right="3539" w:firstLine="793"/>
        <w:spacing w:after="0" w:line="258" w:lineRule="auto"/>
        <w:rPr>
          <w:sz w:val="20"/>
          <w:szCs w:val="20"/>
          <w:color w:val="auto"/>
        </w:rPr>
      </w:pPr>
      <w:r>
        <w:rPr>
          <w:rFonts w:ascii="Courier New" w:cs="Courier New" w:eastAsia="Courier New" w:hAnsi="Courier New"/>
          <w:sz w:val="14"/>
          <w:szCs w:val="14"/>
          <w:color w:val="auto"/>
        </w:rPr>
        <w:t>This Agreement will be construed in accordance with the substantive laws of the State of Ohio. The rights and duties of the parties shall not be assignable. The Agreement may not be amended except in writing signed by the party against whom an obligation is to be enforced. You acknowledge that no representations, other than those contained herein, have been made as an inducement for you to accept the terms of this Agreement.</w:t>
      </w:r>
    </w:p>
    <w:p>
      <w:pPr>
        <w:spacing w:after="0" w:line="164"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Intending to be legally bound hereby, we have executed this Agreement this 11th day of June, 2001.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00" w:lineRule="exact"/>
        <w:rPr>
          <w:sz w:val="20"/>
          <w:szCs w:val="20"/>
          <w:color w:val="auto"/>
        </w:rPr>
      </w:pPr>
    </w:p>
    <w:p>
      <w:pPr>
        <w:spacing w:after="0" w:line="30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Hadia Lefavre</w:t>
      </w:r>
    </w:p>
    <w:p>
      <w:pPr>
        <w:ind w:left="340"/>
        <w:spacing w:after="0"/>
        <w:rPr>
          <w:sz w:val="20"/>
          <w:szCs w:val="20"/>
          <w:color w:val="auto"/>
        </w:rPr>
      </w:pPr>
      <w:r>
        <w:rPr>
          <w:rFonts w:ascii="Courier New" w:cs="Courier New" w:eastAsia="Courier New" w:hAnsi="Courier New"/>
          <w:sz w:val="15"/>
          <w:szCs w:val="15"/>
          <w:color w:val="auto"/>
        </w:rPr>
        <w:t>--------------------------------------</w:t>
      </w:r>
    </w:p>
    <w:p>
      <w:pPr>
        <w:ind w:left="780"/>
        <w:spacing w:after="0"/>
        <w:rPr>
          <w:sz w:val="20"/>
          <w:szCs w:val="20"/>
          <w:color w:val="auto"/>
        </w:rPr>
      </w:pPr>
      <w:r>
        <w:rPr>
          <w:rFonts w:ascii="Courier New" w:cs="Courier New" w:eastAsia="Courier New" w:hAnsi="Courier New"/>
          <w:sz w:val="15"/>
          <w:szCs w:val="15"/>
          <w:color w:val="auto"/>
        </w:rPr>
        <w:t>Hadia Lefavre</w:t>
      </w:r>
    </w:p>
    <w:p>
      <w:pPr>
        <w:ind w:left="780"/>
        <w:spacing w:after="0" w:line="238" w:lineRule="auto"/>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w:t>
      </w:r>
    </w:p>
    <w:p>
      <w:pPr>
        <w:spacing w:after="0" w:line="339"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G. Robert Lucas</w:t>
      </w:r>
    </w:p>
    <w:p>
      <w:pPr>
        <w:ind w:left="340"/>
        <w:spacing w:after="0"/>
        <w:rPr>
          <w:sz w:val="20"/>
          <w:szCs w:val="20"/>
          <w:color w:val="auto"/>
        </w:rPr>
      </w:pPr>
      <w:r>
        <w:rPr>
          <w:rFonts w:ascii="Courier New" w:cs="Courier New" w:eastAsia="Courier New" w:hAnsi="Courier New"/>
          <w:sz w:val="15"/>
          <w:szCs w:val="15"/>
          <w:color w:val="auto"/>
        </w:rPr>
        <w:t>--------------------------------------</w:t>
      </w:r>
    </w:p>
    <w:p>
      <w:pPr>
        <w:ind w:left="1400"/>
        <w:spacing w:after="0"/>
        <w:rPr>
          <w:sz w:val="20"/>
          <w:szCs w:val="20"/>
          <w:color w:val="auto"/>
        </w:rPr>
      </w:pPr>
      <w:r>
        <w:rPr>
          <w:rFonts w:ascii="Courier New" w:cs="Courier New" w:eastAsia="Courier New" w:hAnsi="Courier New"/>
          <w:sz w:val="15"/>
          <w:szCs w:val="15"/>
          <w:color w:val="auto"/>
        </w:rPr>
        <w:t>G. Robert Lucas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Attachments</w:t>
      </w:r>
    </w:p>
    <w:p>
      <w:pPr>
        <w:sectPr>
          <w:pgSz w:w="11900" w:h="16838" w:orient="portrait"/>
          <w:cols w:equalWidth="0" w:num="1">
            <w:col w:w="10219"/>
          </w:cols>
          <w:pgMar w:left="240" w:top="283" w:right="1440" w:bottom="1440" w:gutter="0" w:footer="0" w:header="0"/>
        </w:sectPr>
      </w:pPr>
    </w:p>
    <w:bookmarkStart w:id="48" w:name="page49"/>
    <w:bookmarkEnd w:id="48"/>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10(y)</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Hadia Lefavre</w:t>
      </w:r>
    </w:p>
    <w:p>
      <w:pPr>
        <w:ind w:left="10"/>
        <w:spacing w:after="0"/>
        <w:rPr>
          <w:sz w:val="20"/>
          <w:szCs w:val="20"/>
          <w:color w:val="auto"/>
        </w:rPr>
      </w:pPr>
      <w:r>
        <w:rPr>
          <w:rFonts w:ascii="Courier New" w:cs="Courier New" w:eastAsia="Courier New" w:hAnsi="Courier New"/>
          <w:sz w:val="15"/>
          <w:szCs w:val="15"/>
          <w:color w:val="auto"/>
        </w:rPr>
        <w:t>Executive Vice President</w:t>
      </w:r>
    </w:p>
    <w:p>
      <w:pPr>
        <w:ind w:left="10"/>
        <w:spacing w:after="0"/>
        <w:rPr>
          <w:sz w:val="20"/>
          <w:szCs w:val="20"/>
          <w:color w:val="auto"/>
        </w:rPr>
      </w:pPr>
      <w:r>
        <w:rPr>
          <w:rFonts w:ascii="Courier New" w:cs="Courier New" w:eastAsia="Courier New" w:hAnsi="Courier New"/>
          <w:sz w:val="15"/>
          <w:szCs w:val="15"/>
          <w:color w:val="auto"/>
        </w:rPr>
        <w:t>Human Resources Worldwide</w:t>
      </w:r>
    </w:p>
    <w:p>
      <w:pPr>
        <w:spacing w:after="0" w:line="16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July 16, 2001 (revised date)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PERSONAL AND CONFIDENTIAL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James Rogula</w:t>
      </w:r>
    </w:p>
    <w:p>
      <w:pPr>
        <w:ind w:left="10"/>
        <w:spacing w:after="0"/>
        <w:rPr>
          <w:sz w:val="20"/>
          <w:szCs w:val="20"/>
          <w:color w:val="auto"/>
        </w:rPr>
      </w:pPr>
      <w:r>
        <w:rPr>
          <w:rFonts w:ascii="Courier New" w:cs="Courier New" w:eastAsia="Courier New" w:hAnsi="Courier New"/>
          <w:sz w:val="15"/>
          <w:szCs w:val="15"/>
          <w:color w:val="auto"/>
        </w:rPr>
        <w:t>[residence address]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Jim:</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Effective July 1, 2001, you will no longer be the Executive Vice President, North America. All other offices and directorships you may hold with The Scotts Company (hereinafter referred to as "Scotts" or the "Company") will also be resigned. You will report directly to Jim Hagedorn to perform job duties assigned to you. You will remain as a full-time Scotts' associate at your present level of salary and benefits.</w:t>
      </w:r>
    </w:p>
    <w:p>
      <w:pPr>
        <w:spacing w:after="0" w:line="176"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Should you elect to take retirement, we would like to offer you the following terms and conditions set forth in this letter agreement (hereinafter referred to as the "Agreement"). The terms pursuant to which you will be granted retirement status are as follows:</w:t>
      </w:r>
    </w:p>
    <w:p>
      <w:pPr>
        <w:spacing w:after="0" w:line="176" w:lineRule="exact"/>
        <w:rPr>
          <w:sz w:val="20"/>
          <w:szCs w:val="20"/>
          <w:color w:val="auto"/>
        </w:rPr>
      </w:pPr>
    </w:p>
    <w:p>
      <w:pPr>
        <w:ind w:left="1230" w:right="3359" w:hanging="1230"/>
        <w:spacing w:after="0" w:line="238" w:lineRule="auto"/>
        <w:tabs>
          <w:tab w:leader="none" w:pos="12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July 1, 2001, you will retire and resign your positions as Executive Vice President, North America, and all other offices and directorships you may hold with the Company or any of its subsidiaries by executing the attached resignation letter. You will remain as a full-time Scotts' associate in your present position at your present level of salary and benefits through June 30, 2001.</w:t>
      </w:r>
    </w:p>
    <w:p>
      <w:pPr>
        <w:spacing w:after="0" w:line="176" w:lineRule="exact"/>
        <w:rPr>
          <w:rFonts w:ascii="Courier New" w:cs="Courier New" w:eastAsia="Courier New" w:hAnsi="Courier New"/>
          <w:sz w:val="15"/>
          <w:szCs w:val="15"/>
          <w:color w:val="auto"/>
        </w:rPr>
      </w:pPr>
    </w:p>
    <w:p>
      <w:pPr>
        <w:ind w:left="1230" w:right="3359" w:hanging="1230"/>
        <w:spacing w:after="0" w:line="237" w:lineRule="auto"/>
        <w:tabs>
          <w:tab w:leader="none" w:pos="12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eligible for a prorated payout under the 2001 Executive Annual Incentive Plan. Payouts under the terms of this Plan are expected to be made in late November 2001. You will not be eligible for any further stock option grants.</w:t>
      </w:r>
    </w:p>
    <w:p>
      <w:pPr>
        <w:spacing w:after="0" w:line="170" w:lineRule="exact"/>
        <w:rPr>
          <w:rFonts w:ascii="Courier New" w:cs="Courier New" w:eastAsia="Courier New" w:hAnsi="Courier New"/>
          <w:sz w:val="15"/>
          <w:szCs w:val="15"/>
          <w:color w:val="auto"/>
        </w:rPr>
      </w:pPr>
    </w:p>
    <w:p>
      <w:pPr>
        <w:ind w:left="1230" w:hanging="1230"/>
        <w:spacing w:after="0"/>
        <w:tabs>
          <w:tab w:leader="none" w:pos="12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reward for your past service to the Company, you</w:t>
      </w:r>
    </w:p>
    <w:p>
      <w:pPr>
        <w:spacing w:after="0" w:line="5" w:lineRule="exact"/>
        <w:rPr>
          <w:rFonts w:ascii="Courier New" w:cs="Courier New" w:eastAsia="Courier New" w:hAnsi="Courier New"/>
          <w:sz w:val="15"/>
          <w:szCs w:val="15"/>
          <w:color w:val="auto"/>
        </w:rPr>
      </w:pPr>
    </w:p>
    <w:p>
      <w:pPr>
        <w:ind w:left="12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shall receive the sum of $309,000, payable in a lump sum or twelve</w:t>
      </w:r>
    </w:p>
    <w:p>
      <w:pPr>
        <w:spacing w:after="0" w:line="10" w:lineRule="exact"/>
        <w:rPr>
          <w:rFonts w:ascii="Courier New" w:cs="Courier New" w:eastAsia="Courier New" w:hAnsi="Courier New"/>
          <w:sz w:val="15"/>
          <w:szCs w:val="15"/>
          <w:color w:val="auto"/>
        </w:rPr>
      </w:pPr>
    </w:p>
    <w:p>
      <w:pPr>
        <w:ind w:left="1230" w:right="3179" w:firstLine="4"/>
        <w:spacing w:after="0" w:line="237" w:lineRule="auto"/>
        <w:tabs>
          <w:tab w:leader="none" w:pos="167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monthly installments of $25,750 each (less required tax withholding) beginning in July 2001 and continuing through and including June 2002.</w:t>
      </w:r>
    </w:p>
    <w:p>
      <w:pPr>
        <w:spacing w:after="0" w:line="174" w:lineRule="exact"/>
        <w:rPr>
          <w:rFonts w:ascii="Courier New" w:cs="Courier New" w:eastAsia="Courier New" w:hAnsi="Courier New"/>
          <w:sz w:val="15"/>
          <w:szCs w:val="15"/>
          <w:color w:val="auto"/>
        </w:rPr>
      </w:pPr>
    </w:p>
    <w:p>
      <w:pPr>
        <w:ind w:left="1230" w:right="3359" w:hanging="1230"/>
        <w:spacing w:after="0" w:line="237" w:lineRule="auto"/>
        <w:tabs>
          <w:tab w:leader="none" w:pos="12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presently have 134,500 outstanding stock options. As a retiree, all of these options will vest on the date of your retirement. Your ability to exercise these options will be governed by the terms and conditions of the Scotts' Stock Option Plan pursuant to which they were granted.</w:t>
      </w:r>
    </w:p>
    <w:p>
      <w:pPr>
        <w:spacing w:after="0" w:line="200" w:lineRule="exact"/>
        <w:rPr>
          <w:sz w:val="20"/>
          <w:szCs w:val="20"/>
          <w:color w:val="auto"/>
        </w:rPr>
      </w:pPr>
    </w:p>
    <w:p>
      <w:pPr>
        <w:spacing w:after="0" w:line="31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Phone 614-719-5602 Fax 614-719-5596 E-Mail: hadia.lefavre@scottsco.com</w:t>
      </w:r>
    </w:p>
    <w:p>
      <w:pPr>
        <w:sectPr>
          <w:pgSz w:w="11900" w:h="16838" w:orient="portrait"/>
          <w:cols w:equalWidth="0" w:num="1">
            <w:col w:w="10229"/>
          </w:cols>
          <w:pgMar w:left="230" w:top="136" w:right="1440" w:bottom="1440" w:gutter="0" w:footer="0" w:header="0"/>
        </w:sectPr>
      </w:pPr>
    </w:p>
    <w:bookmarkStart w:id="49" w:name="page50"/>
    <w:bookmarkEnd w:id="49"/>
    <w:p>
      <w:pPr>
        <w:ind w:left="270"/>
        <w:spacing w:after="0"/>
        <w:rPr>
          <w:sz w:val="20"/>
          <w:szCs w:val="20"/>
          <w:color w:val="auto"/>
        </w:rPr>
      </w:pPr>
      <w:r>
        <w:rPr>
          <w:rFonts w:ascii="Courier New" w:cs="Courier New" w:eastAsia="Courier New" w:hAnsi="Courier New"/>
          <w:sz w:val="15"/>
          <w:szCs w:val="15"/>
          <w:color w:val="auto"/>
        </w:rPr>
        <w:t>2</w:t>
      </w:r>
    </w:p>
    <w:p>
      <w:pPr>
        <w:ind w:left="10"/>
        <w:spacing w:after="0"/>
        <w:rPr>
          <w:sz w:val="20"/>
          <w:szCs w:val="20"/>
          <w:color w:val="auto"/>
        </w:rPr>
      </w:pPr>
      <w:r>
        <w:rPr>
          <w:rFonts w:ascii="Courier New" w:cs="Courier New" w:eastAsia="Courier New" w:hAnsi="Courier New"/>
          <w:sz w:val="15"/>
          <w:szCs w:val="15"/>
          <w:color w:val="auto"/>
        </w:rPr>
        <w:t>James Rogula</w:t>
      </w:r>
    </w:p>
    <w:p>
      <w:pPr>
        <w:ind w:left="10"/>
        <w:spacing w:after="0"/>
        <w:rPr>
          <w:sz w:val="20"/>
          <w:szCs w:val="20"/>
          <w:color w:val="auto"/>
        </w:rPr>
      </w:pPr>
      <w:r>
        <w:rPr>
          <w:rFonts w:ascii="Courier New" w:cs="Courier New" w:eastAsia="Courier New" w:hAnsi="Courier New"/>
          <w:sz w:val="15"/>
          <w:szCs w:val="15"/>
          <w:color w:val="auto"/>
        </w:rPr>
        <w:t>July 16, 2001 (Revised)</w:t>
      </w:r>
    </w:p>
    <w:p>
      <w:pPr>
        <w:ind w:left="10"/>
        <w:spacing w:after="0" w:line="238" w:lineRule="auto"/>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30" w:right="3179" w:hanging="1230"/>
        <w:spacing w:after="0" w:line="258" w:lineRule="auto"/>
        <w:tabs>
          <w:tab w:leader="none" w:pos="123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continue to be eligible to participate in the Retirement Savings Plan and the Executive Retirement Plan of the Company through June 30, 2001. Your benefits pursuant to each such Plan will be handled according to your election under the Plan options. You should discuss the tax effect of any decisions you make with respect to such Plans with your legal or tax advisor.</w:t>
      </w:r>
    </w:p>
    <w:p>
      <w:pPr>
        <w:spacing w:after="0" w:line="163" w:lineRule="exact"/>
        <w:rPr>
          <w:rFonts w:ascii="Courier New" w:cs="Courier New" w:eastAsia="Courier New" w:hAnsi="Courier New"/>
          <w:sz w:val="14"/>
          <w:szCs w:val="14"/>
          <w:color w:val="auto"/>
        </w:rPr>
      </w:pPr>
    </w:p>
    <w:p>
      <w:pPr>
        <w:ind w:left="1230" w:right="3179" w:hanging="1230"/>
        <w:spacing w:after="0" w:line="238" w:lineRule="auto"/>
        <w:tabs>
          <w:tab w:leader="none" w:pos="12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your medical, dental and vision benefit coverage, as you elected under the benefit terms of the plan, will be continued through June 30, 2001. Should you elect the twelve (12) month payment option, your medical, dental and vision coverage will be continued through the end of the last month of your severance period, June 2002. This would cover a period of twelve (12) months, after which you have the option of continuing coverage under COBRA for six (6) additional months, for a combined total of eighteen (18) months of coverage as provided by COBRA. Should you elect the lump sum option, you will be eligible to purchase medical, dental and vision coverage for eighteen (18) months, per your rights provided under COBRA.</w:t>
      </w:r>
    </w:p>
    <w:p>
      <w:pPr>
        <w:spacing w:after="0" w:line="181" w:lineRule="exact"/>
        <w:rPr>
          <w:rFonts w:ascii="Courier New" w:cs="Courier New" w:eastAsia="Courier New" w:hAnsi="Courier New"/>
          <w:sz w:val="15"/>
          <w:szCs w:val="15"/>
          <w:color w:val="auto"/>
        </w:rPr>
      </w:pPr>
    </w:p>
    <w:p>
      <w:pPr>
        <w:ind w:left="1230" w:right="3179" w:hanging="1230"/>
        <w:spacing w:after="0" w:line="238" w:lineRule="auto"/>
        <w:tabs>
          <w:tab w:leader="none" w:pos="12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short and long term disability benefits under Scotts group plans expires on June 30, 2001. Life insurance stops June 30, 2001. You have 31 days from the day coverage ends to convert the coverage to an individual policy or continue the coverage under the policy's portability option, which allows you to take the life coverage at your expense, based on the supplemental life insurance rates we negotiated with the carrier. These rates are based on age and smoking status. In addition, the portability option gives the right to continue spouse life coverage at the same rate the company has negotiated for that coverage.</w:t>
      </w:r>
    </w:p>
    <w:p>
      <w:pPr>
        <w:spacing w:after="0" w:line="181" w:lineRule="exact"/>
        <w:rPr>
          <w:sz w:val="20"/>
          <w:szCs w:val="20"/>
          <w:color w:val="auto"/>
        </w:rPr>
      </w:pPr>
    </w:p>
    <w:p>
      <w:pPr>
        <w:ind w:left="10" w:right="3539" w:firstLine="793"/>
        <w:spacing w:after="0" w:line="265" w:lineRule="auto"/>
        <w:rPr>
          <w:sz w:val="20"/>
          <w:szCs w:val="20"/>
          <w:color w:val="auto"/>
        </w:rPr>
      </w:pPr>
      <w:r>
        <w:rPr>
          <w:rFonts w:ascii="Courier New" w:cs="Courier New" w:eastAsia="Courier New" w:hAnsi="Courier New"/>
          <w:sz w:val="14"/>
          <w:szCs w:val="14"/>
          <w:color w:val="auto"/>
        </w:rPr>
        <w:t>Except as set forth in this letter, all other benefits to which you were entitled as a full-time Scotts' associate cease as of July 1, 2001.</w:t>
      </w:r>
    </w:p>
    <w:p>
      <w:pPr>
        <w:spacing w:after="0" w:line="158" w:lineRule="exact"/>
        <w:rPr>
          <w:sz w:val="20"/>
          <w:szCs w:val="20"/>
          <w:color w:val="auto"/>
        </w:rPr>
      </w:pPr>
    </w:p>
    <w:p>
      <w:pPr>
        <w:ind w:left="10" w:right="3539" w:firstLine="793"/>
        <w:spacing w:after="0" w:line="235" w:lineRule="auto"/>
        <w:rPr>
          <w:sz w:val="20"/>
          <w:szCs w:val="20"/>
          <w:color w:val="auto"/>
        </w:rPr>
      </w:pPr>
      <w:r>
        <w:rPr>
          <w:rFonts w:ascii="Courier New" w:cs="Courier New" w:eastAsia="Courier New" w:hAnsi="Courier New"/>
          <w:sz w:val="15"/>
          <w:szCs w:val="15"/>
          <w:color w:val="auto"/>
        </w:rPr>
        <w:t>You are reminded of the terms of the Key Management Scott Associate Agreement, a copy of which is attached.</w:t>
      </w:r>
    </w:p>
    <w:p>
      <w:pPr>
        <w:spacing w:after="0" w:line="176"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This Agreement is personal and not assignable by you. In the event of your death prior to July 1, 2001, this Agreement shall terminate as of the last day of the month during which your death occurred. In such an event, your designated beneficiary (or if none is designated, your estate) will be paid (i) all pay and benefits due up through the month of your death, and (ii) the pay, awards and benefits due as provided for in this Agreement. If your death occurs while you are still in an employee status, your widow would be entitled to the benefits applicable to widows under the benefit plans in which you are participating at the time of your death.</w:t>
      </w:r>
    </w:p>
    <w:p>
      <w:pPr>
        <w:spacing w:after="0" w:line="179"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Scotts is proposing to provide you with the opportunity to receive this retirement severance package on an exception basis and in return for your signature of the legal release contained in this Agreement. By executing this Agreement, you acknowledge and agree that the payments to be made to you and the other awards and benefits extended to you exceed the normal policies and practices of the Company and that you have received full and fair consideration for signing this Agreement.</w:t>
      </w:r>
    </w:p>
    <w:p>
      <w:pPr>
        <w:spacing w:after="0" w:line="177"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If you determine to accept this package, you should sign this Agreement as discussed below. By signing, you agree, except for the obligations set forth in this Agreement, that all of Scotts' other</w:t>
      </w:r>
    </w:p>
    <w:p>
      <w:pPr>
        <w:sectPr>
          <w:pgSz w:w="11900" w:h="16838" w:orient="portrait"/>
          <w:cols w:equalWidth="0" w:num="1">
            <w:col w:w="10229"/>
          </w:cols>
          <w:pgMar w:left="230" w:top="283" w:right="1440" w:bottom="1440" w:gutter="0" w:footer="0" w:header="0"/>
        </w:sectPr>
      </w:pPr>
    </w:p>
    <w:bookmarkStart w:id="50" w:name="page51"/>
    <w:bookmarkEnd w:id="50"/>
    <w:p>
      <w:pPr>
        <w:ind w:left="270"/>
        <w:spacing w:after="0"/>
        <w:rPr>
          <w:sz w:val="20"/>
          <w:szCs w:val="20"/>
          <w:color w:val="auto"/>
        </w:rPr>
      </w:pPr>
      <w:r>
        <w:rPr>
          <w:rFonts w:ascii="Courier New" w:cs="Courier New" w:eastAsia="Courier New" w:hAnsi="Courier New"/>
          <w:sz w:val="15"/>
          <w:szCs w:val="15"/>
          <w:color w:val="auto"/>
        </w:rPr>
        <w:t>3</w:t>
      </w:r>
    </w:p>
    <w:p>
      <w:pPr>
        <w:ind w:left="10"/>
        <w:spacing w:after="0"/>
        <w:rPr>
          <w:sz w:val="20"/>
          <w:szCs w:val="20"/>
          <w:color w:val="auto"/>
        </w:rPr>
      </w:pPr>
      <w:r>
        <w:rPr>
          <w:rFonts w:ascii="Courier New" w:cs="Courier New" w:eastAsia="Courier New" w:hAnsi="Courier New"/>
          <w:sz w:val="15"/>
          <w:szCs w:val="15"/>
          <w:color w:val="auto"/>
        </w:rPr>
        <w:t>James Rogula</w:t>
      </w:r>
    </w:p>
    <w:p>
      <w:pPr>
        <w:ind w:left="10"/>
        <w:spacing w:after="0"/>
        <w:rPr>
          <w:sz w:val="20"/>
          <w:szCs w:val="20"/>
          <w:color w:val="auto"/>
        </w:rPr>
      </w:pPr>
      <w:r>
        <w:rPr>
          <w:rFonts w:ascii="Courier New" w:cs="Courier New" w:eastAsia="Courier New" w:hAnsi="Courier New"/>
          <w:sz w:val="15"/>
          <w:szCs w:val="15"/>
          <w:color w:val="auto"/>
        </w:rPr>
        <w:t>July 16, 2001 (Revised)</w:t>
      </w:r>
    </w:p>
    <w:p>
      <w:pPr>
        <w:ind w:left="10"/>
        <w:spacing w:after="0" w:line="238" w:lineRule="auto"/>
        <w:rPr>
          <w:sz w:val="20"/>
          <w:szCs w:val="20"/>
          <w:color w:val="auto"/>
        </w:rPr>
      </w:pPr>
      <w:r>
        <w:rPr>
          <w:rFonts w:ascii="Courier New" w:cs="Courier New" w:eastAsia="Courier New" w:hAnsi="Courier New"/>
          <w:sz w:val="15"/>
          <w:szCs w:val="15"/>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obligations and any claims you may have, whether now known or unknown to you against Scotts, its affiliated corporations and directors or employees thereof ("Releasees") are released. In consideration of the awards and benefits provided to you herein, you agree not to sue Releasees under any or all causes of action and agree not to file any complaint or other action with any governmental agency, including claims of Age Discrimination in employment under the Federal Age Discrimination in Employment Act and the Older Workers Benefit Protection Act. Except as specifically stated herein and except as provided in the Scotts' Retirement Savings Plan and the Scotts' Executive Retirement Plan, you agree that you have no claim for and will not be entitled to any other benefits, bonus, compensation, perquisites, sick pay allowance or any kind of other remuneration arising out of your employment.</w:t>
      </w:r>
    </w:p>
    <w:p>
      <w:pPr>
        <w:spacing w:after="0" w:line="182"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You agree to keep the terms of this Agreement confidential and not to disclose any information concerning these matters to anyone (excluding your spouse, your financial advisor, tax preparer and any attorney you may retain, who will honor the confidentiality of this Agreement), including but not limited to past, present or future employees of Scotts or its affiliates. As a former officer of the Company you will be entitled to be indemnified pursuant to the terms of the Company's by-laws, articles of incorporation and policies of insurance.</w:t>
      </w:r>
    </w:p>
    <w:p>
      <w:pPr>
        <w:spacing w:after="0" w:line="178"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You will have until July 17, 2001, to consider this offer. If you accept, you will have seven (7) calendar days from the date of acceptance to revoke this Agreement.</w:t>
      </w:r>
    </w:p>
    <w:p>
      <w:pPr>
        <w:spacing w:after="0" w:line="175" w:lineRule="exact"/>
        <w:rPr>
          <w:sz w:val="20"/>
          <w:szCs w:val="20"/>
          <w:color w:val="auto"/>
        </w:rPr>
      </w:pPr>
    </w:p>
    <w:p>
      <w:pPr>
        <w:ind w:left="10" w:right="3619" w:firstLine="793"/>
        <w:spacing w:after="0" w:line="235" w:lineRule="auto"/>
        <w:rPr>
          <w:sz w:val="20"/>
          <w:szCs w:val="20"/>
          <w:color w:val="auto"/>
        </w:rPr>
      </w:pPr>
      <w:r>
        <w:rPr>
          <w:rFonts w:ascii="Courier New" w:cs="Courier New" w:eastAsia="Courier New" w:hAnsi="Courier New"/>
          <w:sz w:val="15"/>
          <w:szCs w:val="15"/>
          <w:color w:val="auto"/>
        </w:rPr>
        <w:t>This Agreement contains the release of important legal rights. You should consult with an attorney before executing it.</w:t>
      </w:r>
    </w:p>
    <w:p>
      <w:pPr>
        <w:spacing w:after="0" w:line="176" w:lineRule="exact"/>
        <w:rPr>
          <w:sz w:val="20"/>
          <w:szCs w:val="20"/>
          <w:color w:val="auto"/>
        </w:rPr>
      </w:pPr>
    </w:p>
    <w:p>
      <w:pPr>
        <w:ind w:left="10" w:right="3539" w:firstLine="793"/>
        <w:spacing w:after="0" w:line="258" w:lineRule="auto"/>
        <w:rPr>
          <w:sz w:val="20"/>
          <w:szCs w:val="20"/>
          <w:color w:val="auto"/>
        </w:rPr>
      </w:pPr>
      <w:r>
        <w:rPr>
          <w:rFonts w:ascii="Courier New" w:cs="Courier New" w:eastAsia="Courier New" w:hAnsi="Courier New"/>
          <w:sz w:val="14"/>
          <w:szCs w:val="14"/>
          <w:color w:val="auto"/>
        </w:rPr>
        <w:t>This Agreement will be construed in accordance with the substantive laws of the State of Ohio. The rights and duties of the parties shall not be assignable. The Agreement may not be amended except in writing signed by the party against whom an obligation is to be enforced. You acknowledge that no representations, other than those contained herein, have been made as an inducement for you to accept the terms of this Agreement.</w:t>
      </w:r>
    </w:p>
    <w:p>
      <w:pPr>
        <w:spacing w:after="0" w:line="164" w:lineRule="exact"/>
        <w:rPr>
          <w:sz w:val="20"/>
          <w:szCs w:val="20"/>
          <w:color w:val="auto"/>
        </w:rPr>
      </w:pPr>
    </w:p>
    <w:p>
      <w:pPr>
        <w:ind w:left="10" w:right="4579" w:firstLine="441"/>
        <w:spacing w:after="0" w:line="235" w:lineRule="auto"/>
        <w:rPr>
          <w:sz w:val="20"/>
          <w:szCs w:val="20"/>
          <w:color w:val="auto"/>
        </w:rPr>
      </w:pPr>
      <w:r>
        <w:rPr>
          <w:rFonts w:ascii="Courier New" w:cs="Courier New" w:eastAsia="Courier New" w:hAnsi="Courier New"/>
          <w:sz w:val="15"/>
          <w:szCs w:val="15"/>
          <w:color w:val="auto"/>
        </w:rPr>
        <w:t>Intending to be legally bound hereby, we have executed this Agreement this 16th day of July, 2001.</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 Hadia Lefavre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Hadia Lefavre</w:t>
      </w:r>
    </w:p>
    <w:p>
      <w:pPr>
        <w:ind w:left="520"/>
        <w:spacing w:after="0"/>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ectPr>
          <w:pgSz w:w="11900" w:h="16838" w:orient="portrait"/>
          <w:cols w:equalWidth="0" w:num="2">
            <w:col w:w="270" w:space="0"/>
            <w:col w:w="9959"/>
          </w:cols>
          <w:pgMar w:left="230" w:top="283" w:right="1440"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ACCEPTANCE:</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 James Rogula</w:t>
      </w:r>
    </w:p>
    <w:p>
      <w:pPr>
        <w:spacing w:after="0" w:line="5" w:lineRule="exact"/>
        <w:rPr>
          <w:sz w:val="20"/>
          <w:szCs w:val="20"/>
          <w:color w:val="auto"/>
        </w:rPr>
      </w:pPr>
    </w:p>
    <w:p>
      <w:pPr>
        <w:ind w:left="170" w:hanging="170"/>
        <w:spacing w:after="0"/>
        <w:tabs>
          <w:tab w:leader="none" w:pos="17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7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James Rogula</w:t>
      </w:r>
    </w:p>
    <w:sectPr>
      <w:pgSz w:w="11900" w:h="16838" w:orient="portrait"/>
      <w:cols w:equalWidth="0" w:num="1">
        <w:col w:w="10229"/>
      </w:cols>
      <w:pgMar w:left="230" w:top="28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8"/>
    </w:lvl>
  </w:abstractNum>
  <w:abstractNum w:abstractNumId="6">
    <w:nsid w:val="4E6AFB66"/>
    <w:multiLevelType w:val="hybridMultilevel"/>
    <w:lvl w:ilvl="0">
      <w:lvlJc w:val="left"/>
      <w:lvlText w:val="%1."/>
      <w:numFmt w:val="decimal"/>
      <w:start w:val="9"/>
    </w:lvl>
  </w:abstractNum>
  <w:abstractNum w:abstractNumId="7">
    <w:nsid w:val="25E45D32"/>
    <w:multiLevelType w:val="hybridMultilevel"/>
    <w:lvl w:ilvl="0">
      <w:lvlJc w:val="left"/>
      <w:lvlText w:val="%1."/>
      <w:numFmt w:val="decimal"/>
      <w:start w:val="10"/>
    </w:lvl>
  </w:abstractNum>
  <w:abstractNum w:abstractNumId="8">
    <w:nsid w:val="519B500D"/>
    <w:multiLevelType w:val="hybridMultilevel"/>
    <w:lvl w:ilvl="0">
      <w:lvlJc w:val="left"/>
      <w:lvlText w:val="(%1)"/>
      <w:numFmt w:val="lowerRoman"/>
      <w:start w:val="2"/>
    </w:lvl>
  </w:abstractNum>
  <w:abstractNum w:abstractNumId="9">
    <w:nsid w:val="431BD7B7"/>
    <w:multiLevelType w:val="hybridMultilevel"/>
    <w:lvl w:ilvl="0">
      <w:lvlJc w:val="left"/>
      <w:lvlText w:val="(%1)"/>
      <w:numFmt w:val="lowerRoman"/>
      <w:start w:val="1"/>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1)"/>
      <w:numFmt w:val="lowerRoman"/>
      <w:start w:val="3"/>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1."/>
      <w:numFmt w:val="decimal"/>
      <w:start w:val="13"/>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o"/>
      <w:numFmt w:val="bullet"/>
      <w:start w:val="1"/>
    </w:lvl>
  </w:abstractNum>
  <w:abstractNum w:abstractNumId="17">
    <w:nsid w:val="721DA317"/>
    <w:multiLevelType w:val="hybridMultilevel"/>
    <w:lvl w:ilvl="0">
      <w:lvlJc w:val="left"/>
      <w:lvlText w:val="o"/>
      <w:numFmt w:val="bullet"/>
      <w:start w:val="1"/>
    </w:lvl>
  </w:abstractNum>
  <w:abstractNum w:abstractNumId="18">
    <w:nsid w:val="2443A858"/>
    <w:multiLevelType w:val="hybridMultilevel"/>
    <w:lvl w:ilvl="0">
      <w:lvlJc w:val="left"/>
      <w:lvlText w:val="o"/>
      <w:numFmt w:val="bullet"/>
      <w:start w:val="1"/>
    </w:lvl>
  </w:abstractNum>
  <w:abstractNum w:abstractNumId="19">
    <w:nsid w:val="2D1D5AE9"/>
    <w:multiLevelType w:val="hybridMultilevel"/>
    <w:lvl w:ilvl="0">
      <w:lvlJc w:val="left"/>
      <w:lvlText w:val="o"/>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6"/>
    </w:lvl>
  </w:abstractNum>
  <w:abstractNum w:abstractNumId="23">
    <w:nsid w:val="79838CB2"/>
    <w:multiLevelType w:val="hybridMultilevel"/>
    <w:lvl w:ilvl="0">
      <w:lvlJc w:val="left"/>
      <w:lvlText w:val="%1."/>
      <w:numFmt w:val="decimal"/>
      <w:start w:val="1"/>
    </w:lvl>
    <w:lvl w:ilvl="1">
      <w:lvlJc w:val="left"/>
      <w:lvlText w:val="(%2)"/>
      <w:numFmt w:val="decimal"/>
      <w:start w:val="12"/>
    </w:lvl>
  </w:abstractNum>
  <w:abstractNum w:abstractNumId="24">
    <w:nsid w:val="4353D0CD"/>
    <w:multiLevelType w:val="hybridMultilevel"/>
    <w:lvl w:ilvl="0">
      <w:lvlJc w:val="left"/>
      <w:lvlText w:val="%1."/>
      <w:numFmt w:val="decimal"/>
      <w:start w:val="5"/>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2019-12-20T06:30:02Z</dcterms:created>
  <dcterms:modified xsi:type="dcterms:W3CDTF">2019-12-20T06:30:02Z</dcterms:modified>
</cp:coreProperties>
</file>