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3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For the quarterly period ended January 1, 2022</w:t>
      </w:r>
    </w:p>
    <w:p>
      <w:pPr>
        <w:spacing w:after="0" w:line="11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8" w:lineRule="exact"/>
        <w:rPr>
          <w:sz w:val="24"/>
          <w:szCs w:val="24"/>
          <w:color w:val="auto"/>
        </w:rPr>
      </w:pPr>
    </w:p>
    <w:tbl>
      <w:tblPr>
        <w:tblLayout w:type="fixed"/>
        <w:tblInd w:w="1260" w:type="dxa"/>
        <w:tblCellMar>
          <w:top w:w="0" w:type="dxa"/>
          <w:left w:w="0" w:type="dxa"/>
          <w:bottom w:w="0" w:type="dxa"/>
          <w:right w:w="0" w:type="dxa"/>
        </w:tblCellMar>
      </w:tblPr>
      <w:tr>
        <w:trPr>
          <w:trHeight w:val="215"/>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60" w:type="dxa"/>
            <w:vAlign w:val="bottom"/>
          </w:tcPr>
          <w:p>
            <w:pPr>
              <w:jc w:val="center"/>
              <w:ind w:left="2644"/>
              <w:spacing w:after="0"/>
              <w:rPr>
                <w:sz w:val="20"/>
                <w:szCs w:val="20"/>
                <w:color w:val="auto"/>
              </w:rPr>
            </w:pPr>
            <w:r>
              <w:rPr>
                <w:rFonts w:ascii="Arial" w:cs="Arial" w:eastAsia="Arial" w:hAnsi="Arial"/>
                <w:sz w:val="17"/>
                <w:szCs w:val="17"/>
                <w:b w:val="1"/>
                <w:bCs w:val="1"/>
                <w:color w:val="auto"/>
                <w:w w:val="90"/>
              </w:rPr>
              <w:t>31-1414921</w:t>
            </w:r>
          </w:p>
        </w:tc>
      </w:tr>
      <w:tr>
        <w:trPr>
          <w:trHeight w:val="144"/>
        </w:trPr>
        <w:tc>
          <w:tcPr>
            <w:tcW w:w="4600" w:type="dxa"/>
            <w:vAlign w:val="bottom"/>
          </w:tcPr>
          <w:p>
            <w:pPr>
              <w:jc w:val="center"/>
              <w:ind w:right="2644"/>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left="262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9" w:lineRule="exact"/>
        <w:rPr>
          <w:sz w:val="24"/>
          <w:szCs w:val="24"/>
          <w:color w:val="auto"/>
        </w:rPr>
      </w:pPr>
    </w:p>
    <w:p>
      <w:pPr>
        <w:ind w:left="1060"/>
        <w:spacing w:after="0"/>
        <w:tabs>
          <w:tab w:leader="none" w:pos="4800" w:val="left"/>
          <w:tab w:leader="none" w:pos="79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28" w:lineRule="exact"/>
        <w:rPr>
          <w:sz w:val="24"/>
          <w:szCs w:val="24"/>
          <w:color w:val="auto"/>
        </w:rPr>
      </w:pPr>
    </w:p>
    <w:p>
      <w:pPr>
        <w:ind w:left="400"/>
        <w:spacing w:after="0"/>
        <w:tabs>
          <w:tab w:leader="none" w:pos="5220" w:val="left"/>
          <w:tab w:leader="none" w:pos="918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81"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6"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6" w:right="339" w:bottom="1440" w:gutter="0" w:footer="0" w:header="0"/>
        </w:sectPr>
      </w:pPr>
    </w:p>
    <w:p>
      <w:pPr>
        <w:spacing w:after="0" w:line="41"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Large accelerated filer</w:t>
      </w:r>
    </w:p>
    <w:p>
      <w:pPr>
        <w:spacing w:after="0" w:line="34"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Non-accelerated filer</w:t>
      </w:r>
    </w:p>
    <w:p>
      <w:pPr>
        <w:spacing w:after="0" w:line="21" w:lineRule="exact"/>
        <w:rPr>
          <w:sz w:val="24"/>
          <w:szCs w:val="24"/>
          <w:color w:val="auto"/>
        </w:rPr>
      </w:pPr>
    </w:p>
    <w:p>
      <w:pPr>
        <w:ind w:left="15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77"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96"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360" w:space="720"/>
            <w:col w:w="6160"/>
          </w:cols>
          <w:pgMar w:left="320" w:top="796" w:right="339" w:bottom="1440" w:gutter="0" w:footer="0" w:header="0"/>
          <w:type w:val="continuous"/>
        </w:sectPr>
      </w:pPr>
    </w:p>
    <w:p>
      <w:pPr>
        <w:spacing w:after="0" w:line="14" w:lineRule="exact"/>
        <w:rPr>
          <w:sz w:val="24"/>
          <w:szCs w:val="24"/>
          <w:color w:val="auto"/>
        </w:rPr>
      </w:pPr>
    </w:p>
    <w:p>
      <w:pPr>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080"/>
        <w:spacing w:after="0" w:line="31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35"/>
          <w:szCs w:val="35"/>
          <w:color w:val="auto"/>
          <w:vertAlign w:val="superscript"/>
        </w:rPr>
        <w:t>Yes</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w:t>
      </w:r>
      <w:r>
        <w:rPr>
          <w:rFonts w:ascii="Arial" w:cs="Arial" w:eastAsia="Arial" w:hAnsi="Arial"/>
          <w:sz w:val="35"/>
          <w:szCs w:val="35"/>
          <w:color w:val="auto"/>
          <w:vertAlign w:val="superscript"/>
        </w:rPr>
        <w:t>No</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As of February 4, 2022, there were 55,583,886 Common Shares outstanding.</w:t>
      </w:r>
    </w:p>
    <w:p>
      <w:pPr>
        <w:sectPr>
          <w:pgSz w:w="11900" w:h="16838" w:orient="portrait"/>
          <w:cols w:equalWidth="0" w:num="1">
            <w:col w:w="11240"/>
          </w:cols>
          <w:pgMar w:left="320" w:top="796" w:right="339" w:bottom="1440" w:gutter="0" w:footer="0" w:header="0"/>
          <w:type w:val="continuous"/>
        </w:sectPr>
      </w:pP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jc w:val="center"/>
        <w:ind w:right="-19"/>
        <w:spacing w:after="0"/>
        <w:rPr>
          <w:sz w:val="20"/>
          <w:szCs w:val="20"/>
          <w:color w:val="auto"/>
        </w:rPr>
      </w:pPr>
      <w:r>
        <w:rPr>
          <w:rFonts w:ascii="Arial" w:cs="Arial" w:eastAsia="Arial" w:hAnsi="Arial"/>
          <w:sz w:val="18"/>
          <w:szCs w:val="18"/>
          <w:color w:val="auto"/>
        </w:rPr>
        <w:t>INDEX</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215"/>
        </w:trPr>
        <w:tc>
          <w:tcPr>
            <w:tcW w:w="10100" w:type="dxa"/>
            <w:vAlign w:val="bottom"/>
            <w:gridSpan w:val="1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80" w:type="dxa"/>
            <w:vAlign w:val="bottom"/>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 xml:space="preserve">Condensed Consolidated Statements of Operations — Three months ended January 1, 2022 and January </w:t>
              </w:r>
            </w:hyperlink>
            <w:r>
              <w:rPr>
                <w:rFonts w:ascii="Arial" w:cs="Arial" w:eastAsia="Arial" w:hAnsi="Arial"/>
                <w:sz w:val="18"/>
                <w:szCs w:val="18"/>
                <w:color w:val="0000FF"/>
                <w:w w:val="88"/>
              </w:rPr>
              <w:t xml:space="preserve">2, </w:t>
            </w:r>
            <w:hyperlink w:anchor="page3">
              <w:r>
                <w:rPr>
                  <w:rFonts w:ascii="Arial" w:cs="Arial" w:eastAsia="Arial" w:hAnsi="Arial"/>
                  <w:sz w:val="18"/>
                  <w:szCs w:val="18"/>
                  <w:color w:val="0000FF"/>
                  <w:w w:val="88"/>
                </w:rPr>
                <w:t>2021</w:t>
              </w:r>
            </w:hyperlink>
          </w:p>
        </w:tc>
        <w:tc>
          <w:tcPr>
            <w:tcW w:w="760" w:type="dxa"/>
            <w:vAlign w:val="bottom"/>
            <w:gridSpan w:val="3"/>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4"/>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Comprehensive Income (Loss) — Three months ended January 1, 2022 and</w:t>
              </w:r>
            </w:hyperlink>
          </w:p>
        </w:tc>
        <w:tc>
          <w:tcPr>
            <w:tcW w:w="108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0000FF"/>
            </w:tcBorders>
            <w:gridSpan w:val="4"/>
          </w:tcPr>
          <w:p>
            <w:pPr>
              <w:spacing w:after="0" w:line="156" w:lineRule="exact"/>
              <w:rPr>
                <w:rFonts w:ascii="Arial" w:cs="Arial" w:eastAsia="Arial" w:hAnsi="Arial"/>
                <w:sz w:val="18"/>
                <w:szCs w:val="18"/>
                <w:color w:val="0000FF"/>
                <w:w w:val="86"/>
              </w:rPr>
            </w:pPr>
            <w:r>
              <w:rPr>
                <w:rFonts w:ascii="Arial" w:cs="Arial" w:eastAsia="Arial" w:hAnsi="Arial"/>
                <w:sz w:val="18"/>
                <w:szCs w:val="18"/>
                <w:color w:val="0000FF"/>
                <w:w w:val="86"/>
              </w:rPr>
              <w:t xml:space="preserve">January </w:t>
            </w:r>
            <w:hyperlink w:anchor="page3">
              <w:r>
                <w:rPr>
                  <w:rFonts w:ascii="Arial" w:cs="Arial" w:eastAsia="Arial" w:hAnsi="Arial"/>
                  <w:sz w:val="18"/>
                  <w:szCs w:val="18"/>
                  <w:color w:val="0000FF"/>
                  <w:w w:val="86"/>
                </w:rPr>
                <w:t>2, 2021</w:t>
              </w:r>
            </w:hyperlink>
          </w:p>
        </w:tc>
        <w:tc>
          <w:tcPr>
            <w:tcW w:w="7180" w:type="dxa"/>
            <w:vAlign w:val="bottom"/>
            <w:tcBorders>
              <w:top w:val="single" w:sz="8" w:color="0000FF"/>
            </w:tcBorders>
            <w:gridSpan w:val="9"/>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4"/>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 xml:space="preserve">Condensed Consolidated Statements of Cash Flows — Three months ended January 1, 2022 </w:t>
              </w:r>
            </w:hyperlink>
            <w:r>
              <w:rPr>
                <w:rFonts w:ascii="Arial" w:cs="Arial" w:eastAsia="Arial" w:hAnsi="Arial"/>
                <w:sz w:val="18"/>
                <w:szCs w:val="18"/>
                <w:color w:val="0000FF"/>
                <w:w w:val="96"/>
              </w:rPr>
              <w:t xml:space="preserve">and </w:t>
            </w:r>
            <w:hyperlink w:anchor="page4">
              <w:r>
                <w:rPr>
                  <w:rFonts w:ascii="Arial" w:cs="Arial" w:eastAsia="Arial" w:hAnsi="Arial"/>
                  <w:sz w:val="18"/>
                  <w:szCs w:val="18"/>
                  <w:color w:val="0000FF"/>
                  <w:w w:val="96"/>
                </w:rPr>
                <w:t>January 2, 2021</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20" w:type="dxa"/>
            <w:vAlign w:val="bottom"/>
            <w:gridSpan w:val="12"/>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 xml:space="preserve">Condensed Consolidated Balance Sheets — </w:t>
              </w:r>
            </w:hyperlink>
            <w:hyperlink w:anchor="page3">
              <w:r>
                <w:rPr>
                  <w:rFonts w:ascii="Arial" w:cs="Arial" w:eastAsia="Arial" w:hAnsi="Arial"/>
                  <w:sz w:val="18"/>
                  <w:szCs w:val="18"/>
                  <w:color w:val="0000FF"/>
                  <w:w w:val="97"/>
                </w:rPr>
                <w:t xml:space="preserve">January 1, 2022, January </w:t>
              </w:r>
            </w:hyperlink>
            <w:r>
              <w:rPr>
                <w:rFonts w:ascii="Arial" w:cs="Arial" w:eastAsia="Arial" w:hAnsi="Arial"/>
                <w:sz w:val="18"/>
                <w:szCs w:val="18"/>
                <w:color w:val="0000FF"/>
                <w:w w:val="97"/>
              </w:rPr>
              <w:t xml:space="preserve">2, </w:t>
            </w:r>
            <w:hyperlink w:anchor="page3">
              <w:r>
                <w:rPr>
                  <w:rFonts w:ascii="Arial" w:cs="Arial" w:eastAsia="Arial" w:hAnsi="Arial"/>
                  <w:sz w:val="18"/>
                  <w:szCs w:val="18"/>
                  <w:color w:val="0000FF"/>
                  <w:w w:val="97"/>
                </w:rPr>
                <w:t xml:space="preserve">2021 </w:t>
              </w:r>
            </w:hyperlink>
            <w:hyperlink w:anchor="page5">
              <w:r>
                <w:rPr>
                  <w:rFonts w:ascii="Arial" w:cs="Arial" w:eastAsia="Arial" w:hAnsi="Arial"/>
                  <w:sz w:val="18"/>
                  <w:szCs w:val="18"/>
                  <w:color w:val="0000FF"/>
                  <w:w w:val="97"/>
                </w:rPr>
                <w:t>and September 30, 2021</w:t>
              </w:r>
            </w:hyperlink>
          </w:p>
        </w:tc>
        <w:tc>
          <w:tcPr>
            <w:tcW w:w="720" w:type="dxa"/>
            <w:vAlign w:val="bottom"/>
            <w:gridSpan w:val="2"/>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gridSpan w:val="1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80" w:type="dxa"/>
            <w:vAlign w:val="bottom"/>
            <w:gridSpan w:val="4"/>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w:t>
              </w:r>
            </w:hyperlink>
          </w:p>
        </w:tc>
        <w:tc>
          <w:tcPr>
            <w:tcW w:w="9160" w:type="dxa"/>
            <w:vAlign w:val="bottom"/>
            <w:gridSpan w:val="1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4300" w:type="dxa"/>
            <w:vAlign w:val="bottom"/>
            <w:gridSpan w:val="10"/>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Quantitative and Qualitative Disclosures about Market Risk</w:t>
              </w:r>
            </w:hyperlink>
          </w:p>
        </w:tc>
        <w:tc>
          <w:tcPr>
            <w:tcW w:w="2140" w:type="dxa"/>
            <w:vAlign w:val="bottom"/>
          </w:tcPr>
          <w:p>
            <w:pPr>
              <w:spacing w:after="0"/>
              <w:rPr>
                <w:sz w:val="18"/>
                <w:szCs w:val="18"/>
                <w:color w:val="auto"/>
              </w:rPr>
            </w:pPr>
          </w:p>
        </w:tc>
        <w:tc>
          <w:tcPr>
            <w:tcW w:w="272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1760" w:type="dxa"/>
            <w:vAlign w:val="bottom"/>
            <w:gridSpan w:val="7"/>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Controls and Procedures</w:t>
              </w:r>
            </w:hyperlink>
          </w:p>
        </w:tc>
        <w:tc>
          <w:tcPr>
            <w:tcW w:w="2540" w:type="dxa"/>
            <w:vAlign w:val="bottom"/>
            <w:gridSpan w:val="3"/>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OTHER INFORMATION:</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1.</w:t>
              </w:r>
            </w:hyperlink>
          </w:p>
        </w:tc>
        <w:tc>
          <w:tcPr>
            <w:tcW w:w="916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1A.</w:t>
              </w:r>
            </w:hyperlink>
          </w:p>
        </w:tc>
        <w:tc>
          <w:tcPr>
            <w:tcW w:w="900" w:type="dxa"/>
            <w:vAlign w:val="bottom"/>
            <w:gridSpan w:val="4"/>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400" w:type="dxa"/>
            <w:vAlign w:val="bottom"/>
          </w:tcPr>
          <w:p>
            <w:pPr>
              <w:spacing w:after="0"/>
              <w:rPr>
                <w:sz w:val="18"/>
                <w:szCs w:val="18"/>
                <w:color w:val="auto"/>
              </w:rPr>
            </w:pPr>
          </w:p>
        </w:tc>
        <w:tc>
          <w:tcPr>
            <w:tcW w:w="7860" w:type="dxa"/>
            <w:vAlign w:val="bottom"/>
            <w:gridSpan w:val="11"/>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4300" w:type="dxa"/>
            <w:vAlign w:val="bottom"/>
            <w:gridSpan w:val="10"/>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Unregistered Sales of Equity Securities and Use of Proceeds</w:t>
              </w:r>
            </w:hyperlink>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2320" w:type="dxa"/>
            <w:vAlign w:val="bottom"/>
            <w:gridSpan w:val="8"/>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Defaults Upon Senior Securities</w:t>
              </w:r>
            </w:hyperlink>
          </w:p>
        </w:tc>
        <w:tc>
          <w:tcPr>
            <w:tcW w:w="1980" w:type="dxa"/>
            <w:vAlign w:val="bottom"/>
            <w:gridSpan w:val="2"/>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4.</w:t>
              </w:r>
            </w:hyperlink>
          </w:p>
        </w:tc>
        <w:tc>
          <w:tcPr>
            <w:tcW w:w="1760" w:type="dxa"/>
            <w:vAlign w:val="bottom"/>
            <w:gridSpan w:val="7"/>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Mine Safety Disclosures</w:t>
              </w:r>
            </w:hyperlink>
          </w:p>
        </w:tc>
        <w:tc>
          <w:tcPr>
            <w:tcW w:w="560" w:type="dxa"/>
            <w:vAlign w:val="bottom"/>
          </w:tcPr>
          <w:p>
            <w:pPr>
              <w:spacing w:after="0"/>
              <w:rPr>
                <w:sz w:val="18"/>
                <w:szCs w:val="18"/>
                <w:color w:val="auto"/>
              </w:rPr>
            </w:pPr>
          </w:p>
        </w:tc>
        <w:tc>
          <w:tcPr>
            <w:tcW w:w="684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5.</w:t>
              </w:r>
            </w:hyperlink>
          </w:p>
        </w:tc>
        <w:tc>
          <w:tcPr>
            <w:tcW w:w="1760" w:type="dxa"/>
            <w:vAlign w:val="bottom"/>
            <w:gridSpan w:val="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740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6.</w:t>
              </w:r>
            </w:hyperlink>
          </w:p>
        </w:tc>
        <w:tc>
          <w:tcPr>
            <w:tcW w:w="600" w:type="dxa"/>
            <w:vAlign w:val="bottom"/>
            <w:gridSpan w:val="3"/>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Exhibits</w:t>
              </w:r>
            </w:hyperlink>
          </w:p>
        </w:tc>
        <w:tc>
          <w:tcPr>
            <w:tcW w:w="700" w:type="dxa"/>
            <w:vAlign w:val="bottom"/>
            <w:gridSpan w:val="2"/>
          </w:tcPr>
          <w:p>
            <w:pPr>
              <w:spacing w:after="0"/>
              <w:rPr>
                <w:sz w:val="18"/>
                <w:szCs w:val="18"/>
                <w:color w:val="auto"/>
              </w:rPr>
            </w:pPr>
          </w:p>
        </w:tc>
        <w:tc>
          <w:tcPr>
            <w:tcW w:w="7860" w:type="dxa"/>
            <w:vAlign w:val="bottom"/>
            <w:gridSpan w:val="11"/>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6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Index to Exhibits</w:t>
              </w:r>
            </w:hyperlink>
          </w:p>
        </w:tc>
        <w:tc>
          <w:tcPr>
            <w:tcW w:w="8860" w:type="dxa"/>
            <w:vAlign w:val="bottom"/>
            <w:gridSpan w:val="1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Signatures</w:t>
              </w:r>
            </w:hyperlink>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1"/>
                <w:szCs w:val="11"/>
                <w:color w:val="auto"/>
              </w:rPr>
            </w:pPr>
          </w:p>
        </w:tc>
        <w:tc>
          <w:tcPr>
            <w:tcW w:w="1240" w:type="dxa"/>
            <w:vAlign w:val="bottom"/>
          </w:tcPr>
          <w:p>
            <w:pPr>
              <w:jc w:val="right"/>
              <w:ind w:right="331"/>
              <w:spacing w:after="0" w:line="135" w:lineRule="exact"/>
              <w:rPr>
                <w:sz w:val="20"/>
                <w:szCs w:val="20"/>
                <w:color w:val="auto"/>
              </w:rPr>
            </w:pPr>
            <w:r>
              <w:rPr>
                <w:rFonts w:ascii="Arial" w:cs="Arial" w:eastAsia="Arial" w:hAnsi="Arial"/>
                <w:sz w:val="14"/>
                <w:szCs w:val="14"/>
                <w:b w:val="1"/>
                <w:bCs w:val="1"/>
                <w:color w:val="auto"/>
              </w:rPr>
              <w:t>January 2,</w:t>
            </w:r>
          </w:p>
        </w:tc>
      </w:tr>
      <w:tr>
        <w:trPr>
          <w:trHeight w:val="188"/>
        </w:trPr>
        <w:tc>
          <w:tcPr>
            <w:tcW w:w="8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156.7</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common share: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per common share: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Weighted-average common shares outstanding during the period plus dilutive potential common shares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24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January 2,</w:t>
            </w:r>
          </w:p>
        </w:tc>
      </w:tr>
      <w:tr>
        <w:trPr>
          <w:trHeight w:val="188"/>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100" w:type="dxa"/>
            <w:vAlign w:val="bottom"/>
          </w:tcPr>
          <w:p>
            <w:pPr>
              <w:ind w:left="480"/>
              <w:spacing w:after="0"/>
              <w:rPr>
                <w:sz w:val="20"/>
                <w:szCs w:val="20"/>
                <w:color w:val="auto"/>
              </w:rPr>
            </w:pPr>
            <w:r>
              <w:rPr>
                <w:rFonts w:ascii="Arial" w:cs="Arial" w:eastAsia="Arial" w:hAnsi="Arial"/>
                <w:sz w:val="18"/>
                <w:szCs w:val="18"/>
                <w:color w:val="auto"/>
              </w:rPr>
              <w:t>Net unrealized gains on derivative instruments, net of tax</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Reclassification of net unrealized (gains) losses on derivative instruments to net income (loss), net of tax</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100" w:type="dxa"/>
            <w:vAlign w:val="bottom"/>
          </w:tcPr>
          <w:p>
            <w:pPr>
              <w:ind w:left="480"/>
              <w:spacing w:after="0"/>
              <w:rPr>
                <w:sz w:val="20"/>
                <w:szCs w:val="20"/>
                <w:color w:val="auto"/>
              </w:rPr>
            </w:pPr>
            <w:r>
              <w:rPr>
                <w:rFonts w:ascii="Arial" w:cs="Arial" w:eastAsia="Arial" w:hAnsi="Arial"/>
                <w:sz w:val="18"/>
                <w:szCs w:val="18"/>
                <w:color w:val="auto"/>
              </w:rPr>
              <w:t>Net unrealized gains on securities, net of tax</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Pension and other post-retirement benefit adjustments,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controlling interest</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1"/>
                <w:szCs w:val="11"/>
                <w:color w:val="auto"/>
              </w:rPr>
            </w:pPr>
          </w:p>
        </w:tc>
        <w:tc>
          <w:tcPr>
            <w:tcW w:w="1240" w:type="dxa"/>
            <w:vAlign w:val="bottom"/>
          </w:tcPr>
          <w:p>
            <w:pPr>
              <w:jc w:val="right"/>
              <w:ind w:right="331"/>
              <w:spacing w:after="0" w:line="135" w:lineRule="exact"/>
              <w:rPr>
                <w:sz w:val="20"/>
                <w:szCs w:val="20"/>
                <w:color w:val="auto"/>
              </w:rPr>
            </w:pPr>
            <w:r>
              <w:rPr>
                <w:rFonts w:ascii="Arial" w:cs="Arial" w:eastAsia="Arial" w:hAnsi="Arial"/>
                <w:sz w:val="14"/>
                <w:szCs w:val="14"/>
                <w:b w:val="1"/>
                <w:bCs w:val="1"/>
                <w:color w:val="auto"/>
              </w:rPr>
              <w:t>January 2,</w:t>
            </w:r>
          </w:p>
        </w:tc>
      </w:tr>
      <w:tr>
        <w:trPr>
          <w:trHeight w:val="188"/>
        </w:trPr>
        <w:tc>
          <w:tcPr>
            <w:tcW w:w="8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140" w:type="dxa"/>
            <w:vAlign w:val="bottom"/>
          </w:tcPr>
          <w:p>
            <w:pPr>
              <w:ind w:left="68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8140" w:type="dxa"/>
            <w:vAlign w:val="bottom"/>
          </w:tcPr>
          <w:p>
            <w:pPr>
              <w:ind w:left="6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loss of unconsolidated affiliates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assets and liabilities, net of acquired businesses: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14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r>
      <w:tr>
        <w:trPr>
          <w:trHeight w:val="229"/>
        </w:trPr>
        <w:tc>
          <w:tcPr>
            <w:tcW w:w="8140" w:type="dxa"/>
            <w:vAlign w:val="bottom"/>
          </w:tcPr>
          <w:p>
            <w:pPr>
              <w:ind w:left="1120"/>
              <w:spacing w:after="0"/>
              <w:rPr>
                <w:sz w:val="20"/>
                <w:szCs w:val="20"/>
                <w:color w:val="auto"/>
              </w:rPr>
            </w:pPr>
            <w:r>
              <w:rPr>
                <w:rFonts w:ascii="Arial" w:cs="Arial" w:eastAsia="Arial" w:hAnsi="Arial"/>
                <w:sz w:val="18"/>
                <w:szCs w:val="18"/>
                <w:color w:val="auto"/>
              </w:rPr>
              <w:t>Prepaid and other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29"/>
        </w:trPr>
        <w:tc>
          <w:tcPr>
            <w:tcW w:w="8140" w:type="dxa"/>
            <w:vAlign w:val="bottom"/>
          </w:tcPr>
          <w:p>
            <w:pPr>
              <w:ind w:left="11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non-current items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1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8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w:t>
            </w:r>
          </w:p>
        </w:tc>
      </w:tr>
      <w:tr>
        <w:trPr>
          <w:trHeight w:val="237"/>
        </w:trPr>
        <w:tc>
          <w:tcPr>
            <w:tcW w:w="8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Payment for acquisitions, net of cash acquired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140" w:type="dxa"/>
            <w:vAlign w:val="bottom"/>
            <w:tcBorders>
              <w:bottom w:val="single" w:sz="8" w:color="CCEEFF"/>
            </w:tcBorders>
          </w:tcPr>
          <w:p>
            <w:pPr>
              <w:ind w:left="14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r>
      <w:tr>
        <w:trPr>
          <w:trHeight w:val="237"/>
        </w:trPr>
        <w:tc>
          <w:tcPr>
            <w:tcW w:w="8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1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1"/>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2,</w:t>
            </w:r>
          </w:p>
        </w:tc>
        <w:tc>
          <w:tcPr>
            <w:tcW w:w="220" w:type="dxa"/>
            <w:vAlign w:val="bottom"/>
          </w:tcPr>
          <w:p>
            <w:pPr>
              <w:spacing w:after="0"/>
              <w:rPr>
                <w:sz w:val="14"/>
                <w:szCs w:val="14"/>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less allowances of $9.8, $6.8 and $16.8, respectively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Accounts receivable pledged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of $753.0, $698.8 and</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$737.4, respectively</w:t>
            </w: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3,786.7</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line="176" w:lineRule="exact"/>
              <w:rPr>
                <w:sz w:val="20"/>
                <w:szCs w:val="20"/>
                <w:color w:val="auto"/>
              </w:rPr>
            </w:pPr>
            <w:r>
              <w:rPr>
                <w:rFonts w:ascii="Arial" w:cs="Arial" w:eastAsia="Arial" w:hAnsi="Arial"/>
                <w:sz w:val="18"/>
                <w:szCs w:val="18"/>
                <w:color w:val="auto"/>
                <w:w w:val="98"/>
              </w:rPr>
              <w:t>Common shares and capital in excess of $0.01 stated value per share; shares</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of 55.0, 55.6 and 55.6, respectively</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Treasury shares, at cost; 13.2, 12.6 and 12.6 shares, respectively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equity—controlling interest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North America consumer lawn and garden business is highly seasonal, with more than 75% of its annual net sales occurring in the second and third fiscal quarters.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Company’s unaudited condensed consolidated financial statements for the three months ended January 1, 2022 and January 2, 2021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On February 26, 2021, the Company acquired the remaining outstanding shares of AeroGrow International, Inc. (“AeroGrow”). Prior to this date, the equity owned by other shareholders was shown as noncontrolling interest in the Condensed Consolidated Balance Sheets, and the other shareholders’ portion of net earnings and other comprehensive income was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9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2021 (the “2021 Annual Report”), which includes a complete set of footnote disclosures, including the Company’s significant accounting policies.</w:t>
      </w:r>
    </w:p>
    <w:p>
      <w:pPr>
        <w:spacing w:after="0" w:line="10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2021 has been derived from the Company’s audited Consolidated Balance Sheet at that date, but does not include all of the information and footnotes required by GAAP for complete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$5.5 and $6.3 during the three months ended January 1, 2022 and January 2, 2021, respectively, representing unpaid liabilities to acquire property, plant and equipment.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r>
      <w:tr>
        <w:trPr>
          <w:trHeight w:val="134"/>
        </w:trPr>
        <w:tc>
          <w:tcPr>
            <w:tcW w:w="8100" w:type="dxa"/>
            <w:vAlign w:val="bottom"/>
          </w:tcPr>
          <w:p>
            <w:pPr>
              <w:spacing w:after="0"/>
              <w:rPr>
                <w:sz w:val="11"/>
                <w:szCs w:val="11"/>
                <w:color w:val="auto"/>
              </w:rPr>
            </w:pPr>
          </w:p>
        </w:tc>
        <w:tc>
          <w:tcPr>
            <w:tcW w:w="1100" w:type="dxa"/>
            <w:vAlign w:val="bottom"/>
          </w:tcPr>
          <w:p>
            <w:pPr>
              <w:jc w:val="center"/>
              <w:ind w:left="324"/>
              <w:spacing w:after="0" w:line="135" w:lineRule="exact"/>
              <w:rPr>
                <w:sz w:val="20"/>
                <w:szCs w:val="20"/>
                <w:color w:val="auto"/>
              </w:rPr>
            </w:pPr>
            <w:r>
              <w:rPr>
                <w:rFonts w:ascii="Arial" w:cs="Arial" w:eastAsia="Arial" w:hAnsi="Arial"/>
                <w:sz w:val="14"/>
                <w:szCs w:val="14"/>
                <w:b w:val="1"/>
                <w:bCs w:val="1"/>
                <w:color w:val="auto"/>
                <w:w w:val="95"/>
              </w:rPr>
              <w:t>January 1,</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left="342"/>
              <w:spacing w:after="0" w:line="135" w:lineRule="exact"/>
              <w:rPr>
                <w:sz w:val="20"/>
                <w:szCs w:val="20"/>
                <w:color w:val="auto"/>
              </w:rPr>
            </w:pPr>
            <w:r>
              <w:rPr>
                <w:rFonts w:ascii="Arial" w:cs="Arial" w:eastAsia="Arial" w:hAnsi="Arial"/>
                <w:sz w:val="14"/>
                <w:szCs w:val="14"/>
                <w:b w:val="1"/>
                <w:bCs w:val="1"/>
                <w:color w:val="auto"/>
                <w:w w:val="95"/>
              </w:rPr>
              <w:t>January 2,</w:t>
            </w:r>
          </w:p>
        </w:tc>
        <w:tc>
          <w:tcPr>
            <w:tcW w:w="420" w:type="dxa"/>
            <w:vAlign w:val="bottom"/>
          </w:tcPr>
          <w:p>
            <w:pPr>
              <w:spacing w:after="0"/>
              <w:rPr>
                <w:sz w:val="11"/>
                <w:szCs w:val="1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100" w:type="dxa"/>
            <w:vAlign w:val="bottom"/>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23.0</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Income tax payments</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Adopted Accounting Pronouncements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2019, the Financial Accounting Standards Board issued Accounting Standards Update No. 2019-12, “Income taxes (Topic 740): Simplifying the Accounting for Income Taxes,” which simplifies the accounting for income taxes by removing certain exceptions to the general principles in Accounting Standards Codification 740 and also clarifies and amends existing guidance to improve consistent application. The Company adopted this guidance on October 1, 2021. The adoption of this guidance did not have a material impact on the Company’s consolidated financial position,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Luxx Lighting</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December 30, 2021, the Company’s Hawthorne segment completed the acquisition of substantially all of the assets of Luxx Lighting, Inc., a leading provider of lighting products for indoor growing. The purchase price was $213.5, a portion of which was paid by the issuance of 0.1 million of the common shares of Scotts Miracle-Gro (“Common Shares”), a non-cash investing and financing activity, with a fair value of $21.0 based on the share price at the time of payment. The valuation of the acquired assets included (i) $31.5 of inventory and accounts receivable, (ii) $3.8 of current assets, (iii) $0.6 of noncurrent assets, (iv) $4.3 of current liabilities, (v) $106.9 of finite-lived identifiable intangible assets and (vi) $75.0 of tax-deductible goodwill. Identifiable intangible assets included tradenames,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True Liberty Bags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23, 2021, the Company’s Hawthorne segment completed the acquisition of substantially all of the assets of True Liberty Bags, a leading provider of liners and storage solutions to dry and cure plant products, for $10.0. The valuation of the acquired assets included (i) $1.2 of inventory and accounts receivable, (ii) $0.1 of noncurrent assets, (iii) $1.7 of current liabilities, (iv) $5.8 of finite-lived identifiable intangible assets and (v) $4.6 of tax-deductible goodwill. Identifiable intangible assets included tradenames and customer relationships with useful lives ranging between 15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Hydro-Logic</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August 27, 2021, the Company’s Hawthorne segment completed the acquisition of substantially all of the assets of Hydro-Logic Purification Systems, Inc., a leading provider of products, accessories and systems for water filtration and purification, for $65.3. The purchase price is subject to a post-closing net working capital adjustment for which the Company has accrued its expected obligation of $0.4 as of January 1, 2022 in the “Other current liabilities” line in the Condensed Consolidated Balance Sheets. The valuation of the acquired assets included (i) $5.3 of inventory and accounts receivable,</w:t>
      </w:r>
    </w:p>
    <w:p>
      <w:pPr>
        <w:spacing w:after="0" w:line="1" w:lineRule="exact"/>
        <w:rPr>
          <w:sz w:val="20"/>
          <w:szCs w:val="20"/>
          <w:color w:val="auto"/>
        </w:rPr>
      </w:pPr>
    </w:p>
    <w:p>
      <w:pPr>
        <w:jc w:val="both"/>
        <w:ind w:firstLine="8"/>
        <w:spacing w:after="0" w:line="295" w:lineRule="auto"/>
        <w:tabs>
          <w:tab w:leader="none" w:pos="273" w:val="left"/>
        </w:tabs>
        <w:numPr>
          <w:ilvl w:val="0"/>
          <w:numId w:val="3"/>
        </w:numPr>
        <w:rPr>
          <w:rFonts w:ascii="Arial" w:cs="Arial" w:eastAsia="Arial" w:hAnsi="Arial"/>
          <w:sz w:val="16"/>
          <w:szCs w:val="16"/>
          <w:color w:val="auto"/>
        </w:rPr>
      </w:pPr>
      <w:r>
        <w:rPr>
          <w:rFonts w:ascii="Arial" w:cs="Arial" w:eastAsia="Arial" w:hAnsi="Arial"/>
          <w:sz w:val="16"/>
          <w:szCs w:val="16"/>
          <w:color w:val="auto"/>
        </w:rPr>
        <w:t>$1.7 of noncurrent assets, (iii) $2.1 of other liabilities, (iv) $23.1 of finite-lived identifiable intangible assets and (v) $37.3 of tax-deductible goodwill. Identifiable intangible assets included tradenames, customer relationships and non-complete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Hawthorne Collective</w:t>
      </w:r>
    </w:p>
    <w:p>
      <w:pPr>
        <w:spacing w:after="0" w:line="15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August 24, 2021, the Company’s newly formed subsidiary, The Hawthorne Collective, Inc. (“THC”), made its initial investment under the Company’s strategic minority non-equity investment initiative in the form of a $150.0 six-year convertible note issued to the Company by Toronto-based RIV Capital Inc. (“RIV Capital”) (CSE: RIV) (OTC: CNPOF), a cannabis investment and acquisition firm listed on the Canadian Securities Exchange. The note accrues interest at 2 percent annually for the first two years and provides additional follow-on investment rights. Accrued interest will be payable to THC at maturity or will be included in the conversion value of the note at the time of conversion. The conversion feature, which is based upon the RIV Capital closing stock price on August 9, 2021, would provide the Company with approximately 42 percent ownership of RIV Capital if it exercises the conversion feature. In connection with the Company’s investment, RIV Capital increased the size of its board of directors from four to seven members, and added three nominees of the Company to the board of directors. The Company will not have control of or an active day-to-day role in RIV Capital nor any of the companies in which RIV Capital invests. RIV Capital has agreed to use the funds for general corporate and other lawful purposes, which could include acquisitions, and has agreed that the funds will not be used in connection with or for any cannabis or cannabis-related operations in the U.S. unless and until such operations comply with all applicable U.S. federal laws.</w:t>
      </w:r>
    </w:p>
    <w:p>
      <w:pPr>
        <w:spacing w:after="0" w:line="1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fourth quarter of fiscal 2021, THC made additional minority non-equity investments of $43.1 in other entities focused on branded cannabis and high quality genetics. These additional investments also include conversion features that would provide the Company with minority ownership interests if it exercises the conversion features, as well as restrictions that the funds will not be used in connection with or for any cannabis or cannabis-related operations in the U.S. unless and until such operations comply with all applicable U.S. federal laws.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Rhizoflora</w:t>
      </w:r>
    </w:p>
    <w:p>
      <w:pPr>
        <w:spacing w:after="0" w:line="171"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7"/>
          <w:szCs w:val="17"/>
          <w:color w:val="auto"/>
        </w:rPr>
        <w:t>On August 13, 2021, the Company’s Hawthorne segment completed the acquisition of substantially all of the assets of Rhizoflora, Inc., the manufacturer of terpene enhancing nutrient products Terpinator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Purpinator</w:t>
      </w:r>
      <w:r>
        <w:rPr>
          <w:rFonts w:ascii="Arial" w:cs="Arial" w:eastAsia="Arial" w:hAnsi="Arial"/>
          <w:sz w:val="22"/>
          <w:szCs w:val="22"/>
          <w:color w:val="auto"/>
          <w:vertAlign w:val="superscript"/>
        </w:rPr>
        <w:t>®</w:t>
      </w:r>
      <w:r>
        <w:rPr>
          <w:rFonts w:ascii="Arial" w:cs="Arial" w:eastAsia="Arial" w:hAnsi="Arial"/>
          <w:sz w:val="17"/>
          <w:szCs w:val="17"/>
          <w:color w:val="auto"/>
        </w:rPr>
        <w:t>, for $33.7. The valuation of the acquired assets included (i) $0.5 of inventory, (ii) $10.9 of finite-lived identifiable intangible assets and (iii) $22.2 of tax-deductible goodwill. Identifiable intangible assets included tradenames,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AeroGrow</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November 11, 2020, the Company entered into an agreement and plan of merger to acquire the remaining outstanding shares of AeroGrow for cash consideration of $3.00 per share, or approximately $20.1. The merger closed on February 26, 2021. Prior to closing, SMG Growing Media, Inc., a wholly-owned subsidiary of Scotts Miracle-Gro, was the holder of 80.5% of the outstanding shares of AeroGrow and now holds 100% of the outstanding shares of AeroGrow. The closing date carrying value of the noncontrolling interest was $6.7 and the $13.4 difference between the purchase price and carrying value was recognized in the “Common shares and capital in excess of $0.01 stated value per share” line within “Total equity—controlling interest” in the Condensed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IN UNCONSOLIDATED AFFILIATES</w:t>
      </w:r>
    </w:p>
    <w:p>
      <w:pPr>
        <w:spacing w:after="0" w:line="162"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December 31, 2020, pursuant to the terms of the Contribution and Unit Purchase Agreement between the Company and Alabama Farmers Cooperative, Inc. (“AFC”), the Company acquired a 50% equity interest in the Bonnie Plants business of planting, growing, developing, distributing, marketing and selling live plants through a newly formed joint venture with AFC (“Bonnie Plants, LLC”) in exchange for a cash payment of $100.7, as well as non-cash investing activities that included forgiveness of the Company’s outstanding loan receivable with AFC and surrender of the Company’s options to increase its economic interest in the Bonnie Plants business. The Company’s loan receivable with AFC, which was previously recognized in the “Other assets” line in the Condensed Consolidated Balance Sheets, had a carrying value of $66.4 on December 31, 2020 and the Company recognized a gain of $12.5 during the three months ended January 2, 2021 to write-up the value of the loan to its closing date fair value of $78.9 in the “Other non-operating income, net” line in the Condensed Consolidated Statements of Operations. The Company’s options to increase its economic interest in the Bonnie Plants business were previously recognized in the “Other assets” line in the Condensed Consolidated Balance Sheets and had an estimated fair value of $23.3 on December 31, 2020. The Company’s interest in Bonnie Plants, LLC had an initial fair value of $202.9 and is recorded in the “Investment in unconsolidated affiliates” line in the Condensed Consolidated Balance Sheets. The Company’s interest is accounted for using the equity method of accounting, with the Company’s proportionate share of Bonnie Plants, LLC earnings subsequent to December 31, 2020 reflected in the Condensed Consolidated Statements of Operations. During the three months ended January 1, 2022, the Company recorded equity in loss of unconsolidated affiliates of $7.3 associated with Bonnie Plants, LLC. The estimated fair value of the loan receivable with AFC was determined using an income-based approach, which includes market participant expectations of cash flows over the remaining useful life discounted to present value using an appropriate discount rate. The fair value estimate utilized significant unobservable inputs and thus represents a Level 3 nonrecurring fair value measurement.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6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r>
      <w:tr>
        <w:trPr>
          <w:trHeight w:val="135"/>
        </w:trPr>
        <w:tc>
          <w:tcPr>
            <w:tcW w:w="8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2,</w:t>
            </w:r>
          </w:p>
        </w:tc>
        <w:tc>
          <w:tcPr>
            <w:tcW w:w="360" w:type="dxa"/>
            <w:vAlign w:val="bottom"/>
          </w:tcPr>
          <w:p>
            <w:pPr>
              <w:spacing w:after="0"/>
              <w:rPr>
                <w:sz w:val="11"/>
                <w:szCs w:val="11"/>
                <w:color w:val="auto"/>
              </w:rPr>
            </w:pPr>
          </w:p>
        </w:tc>
      </w:tr>
      <w:tr>
        <w:trPr>
          <w:trHeight w:val="188"/>
        </w:trPr>
        <w:tc>
          <w:tcPr>
            <w:tcW w:w="8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1140" w:type="dxa"/>
            <w:vAlign w:val="bottom"/>
          </w:tcPr>
          <w:p>
            <w:pPr>
              <w:jc w:val="right"/>
              <w:ind w:right="961"/>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1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related costs</w:t>
            </w:r>
          </w:p>
        </w:tc>
        <w:tc>
          <w:tcPr>
            <w:tcW w:w="1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and other charges, net</w:t>
            </w: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14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during the three months ended January 1,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September 30, 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1.9</w:t>
            </w:r>
          </w:p>
        </w:tc>
      </w:tr>
      <w:tr>
        <w:trPr>
          <w:trHeight w:val="23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and other</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7"/>
              </w:rPr>
              <w:t>(0.2)</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January 1, 2022</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1.7</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Included in restructuring accruals, as of January 1, 2022, is $0.6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COVID-19 pandemic has had, and continues to have, an impact on financial markets, economic conditions, and portions of the Company’s business and industry. The Company has actively addressed the pandemic’s ongoing impact on its employees, operations, customers, consumers, and communities, by, among other things, implementing contingency plans, making operational adjustments where necessary, and providing assistance to organizations that support front-line workers. Many of the Company’s employees continue to work from home. In those instances where the Company’s employees cannot perform their work at home, the Company has implemented additional health and safety measures and social distancing protocols, consistent with government recommendations and/or requirements, to help to ensure their safety. In addition, the Company implemented an interim premium pay allowance for certain associates in its field sales force and its manufacturing or distribution centers during fiscal 2020 and 2021. Costs incurred during the three months ended January 1, 2022 related to COVID-19 were immaterial. During the three months ended January 2, 2021, the Company incurred costs of $9.3 associated with the COVID-19 pandemic primarily related to premium pay. The Company incurred costs of $8.3 in its U.S. Consumer segment and $0.4 in its Hawthorne segment in the “Cost of sales—impairment, restructuring and other” line in the Condensed Consolidated Statements of Operations during the three months ended January 2, 2021. The Company incurred costs of $0.6 in its U.S. Consumer segment in the “Impairment, restructuring and other” line in the Condensed Consolidated Statements of Operations during the three months ended January 2, 2021.</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2,</w:t>
            </w:r>
          </w:p>
        </w:tc>
        <w:tc>
          <w:tcPr>
            <w:tcW w:w="200" w:type="dxa"/>
            <w:vAlign w:val="bottom"/>
          </w:tcPr>
          <w:p>
            <w:pPr>
              <w:spacing w:after="0"/>
              <w:rPr>
                <w:sz w:val="14"/>
                <w:szCs w:val="14"/>
                <w:color w:val="auto"/>
              </w:rPr>
            </w:pPr>
          </w:p>
        </w:tc>
        <w:tc>
          <w:tcPr>
            <w:tcW w:w="13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405"/>
        <w:spacing w:after="0" w:line="438" w:lineRule="auto"/>
        <w:rPr>
          <w:sz w:val="20"/>
          <w:szCs w:val="20"/>
          <w:color w:val="auto"/>
        </w:rPr>
      </w:pPr>
      <w:r>
        <w:rPr>
          <w:rFonts w:ascii="Arial" w:cs="Arial" w:eastAsia="Arial" w:hAnsi="Arial"/>
          <w:sz w:val="18"/>
          <w:szCs w:val="18"/>
          <w:color w:val="auto"/>
        </w:rPr>
        <w:t xml:space="preserve">Adjustments to reflect inventories at net realizable values were $19.4 at January 1, 2022, $23.9 at January 2, 2021 and $22.5 at September 30, 2021. </w:t>
      </w:r>
      <w:r>
        <w:rPr>
          <w:rFonts w:ascii="Arial" w:cs="Arial" w:eastAsia="Arial" w:hAnsi="Arial"/>
          <w:sz w:val="18"/>
          <w:szCs w:val="18"/>
          <w:b w:val="1"/>
          <w:bCs w:val="1"/>
          <w:color w:val="auto"/>
        </w:rPr>
        <w:t>NOTE 6. MARKETING AGREEMENT</w:t>
      </w:r>
    </w:p>
    <w:p>
      <w:pPr>
        <w:spacing w:after="0" w:line="1"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6"/>
          <w:szCs w:val="16"/>
          <w:color w:val="auto"/>
        </w:rPr>
        <w:t>The Scotts Company LLC (“Scotts LLC”) is the exclusive agent of Monsanto Company, a subsidiary of Bayer AG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 other things, the provisions of the Second Amended and Restated Agency and Marketing Agreement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subject to reduction pursuant to the Third Restated Agreement for any program year in which the Program EBIT does not equal or exceed $36.0.</w:t>
      </w:r>
    </w:p>
    <w:p>
      <w:pPr>
        <w:spacing w:after="0" w:line="11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terminate the Third Restated Agreement upon the insolvency or bankruptcy of Monsanto;</w:t>
      </w:r>
    </w:p>
    <w:p>
      <w:pPr>
        <w:spacing w:after="0" w:line="157"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elements of the net commission and reimbursements earned under the Third Restated Agreement and included in the “Net sales” line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2,</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40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29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 expenses</w:t>
            </w:r>
          </w:p>
        </w:tc>
        <w:tc>
          <w:tcPr>
            <w:tcW w:w="29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commission</w:t>
            </w:r>
          </w:p>
        </w:tc>
        <w:tc>
          <w:tcPr>
            <w:tcW w:w="2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8"/>
              </w:rPr>
              <w:t>Reimbursements associated with Roundup</w:t>
            </w:r>
            <w:r>
              <w:rPr>
                <w:rFonts w:ascii="Arial" w:cs="Arial" w:eastAsia="Arial" w:hAnsi="Arial"/>
                <w:sz w:val="23"/>
                <w:szCs w:val="23"/>
                <w:color w:val="auto"/>
                <w:w w:val="98"/>
                <w:vertAlign w:val="superscript"/>
              </w:rPr>
              <w:t>®</w:t>
            </w:r>
            <w:r>
              <w:rPr>
                <w:rFonts w:ascii="Arial" w:cs="Arial" w:eastAsia="Arial" w:hAnsi="Arial"/>
                <w:sz w:val="18"/>
                <w:szCs w:val="18"/>
                <w:color w:val="auto"/>
                <w:w w:val="98"/>
              </w:rPr>
              <w:t xml:space="preserve"> marketing agreement</w:t>
            </w:r>
          </w:p>
        </w:tc>
        <w:tc>
          <w:tcPr>
            <w:tcW w:w="29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14.0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18"/>
                <w:szCs w:val="18"/>
                <w:color w:val="auto"/>
                <w:w w:val="94"/>
              </w:rPr>
              <w:t>Total net sales associated with Roundup</w:t>
            </w:r>
            <w:r>
              <w:rPr>
                <w:rFonts w:ascii="Arial" w:cs="Arial" w:eastAsia="Arial" w:hAnsi="Arial"/>
                <w:sz w:val="23"/>
                <w:szCs w:val="23"/>
                <w:color w:val="auto"/>
                <w:w w:val="94"/>
                <w:vertAlign w:val="superscript"/>
              </w:rPr>
              <w:t>®</w:t>
            </w:r>
            <w:r>
              <w:rPr>
                <w:rFonts w:ascii="Arial" w:cs="Arial" w:eastAsia="Arial" w:hAnsi="Arial"/>
                <w:sz w:val="18"/>
                <w:szCs w:val="18"/>
                <w:color w:val="auto"/>
                <w:w w:val="94"/>
              </w:rPr>
              <w:t xml:space="preserve"> marketing agreement</w:t>
            </w:r>
          </w:p>
        </w:tc>
        <w:tc>
          <w:tcPr>
            <w:tcW w:w="29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2339"/>
              <w:spacing w:after="0"/>
              <w:rPr>
                <w:sz w:val="20"/>
                <w:szCs w:val="20"/>
                <w:color w:val="auto"/>
              </w:rPr>
            </w:pPr>
            <w:r>
              <w:rPr>
                <w:rFonts w:ascii="Arial" w:cs="Arial" w:eastAsia="Arial" w:hAnsi="Arial"/>
                <w:sz w:val="18"/>
                <w:szCs w:val="18"/>
                <w:color w:val="auto"/>
              </w:rPr>
              <w:t>11</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2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debt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2,</w:t>
            </w:r>
          </w:p>
        </w:tc>
        <w:tc>
          <w:tcPr>
            <w:tcW w:w="200" w:type="dxa"/>
            <w:vAlign w:val="bottom"/>
          </w:tcPr>
          <w:p>
            <w:pPr>
              <w:spacing w:after="0"/>
              <w:rPr>
                <w:sz w:val="14"/>
                <w:szCs w:val="14"/>
                <w:color w:val="auto"/>
              </w:rPr>
            </w:pP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11"/>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2031 – 4.000%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2032 – 4.375%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2029 – 4.500%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 – 5.250%</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2,315.3</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Less current portions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2,236.7</w:t>
            </w:r>
          </w:p>
        </w:tc>
      </w:tr>
      <w:tr>
        <w:trPr>
          <w:trHeight w:val="21"/>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$2,300.0, comprised of a revolving credit facility of $1,500.0 and a term loan in the original principal amount of $800.0 (the “Fifth A&amp;R Credit Facilities”).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January 1, 2022, the Company had letters of credit outstanding in the aggregate principal amount of $19.9 and had $623.5 of borrowing availability under the Fifth A&amp;R Credit Agreement. The weighted average interest rates on average borrowings under the Fifth A&amp;R Credit Agreement were 1.8% and 2.1% for the three months ended January 1, 2022 and January 2, 2021, respectively.</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4.50. The Company’s leverage ratio was 3.32 at January 1, 2022.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January 1, 2022. The Company’s interest coverage ratio was 8.73 for the twelve months ended January 1, 2022.</w:t>
      </w:r>
    </w:p>
    <w:p>
      <w:pPr>
        <w:spacing w:after="0" w:line="9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Fifth A&amp;R Credit Agreement allows the Company to make unlimited restricted payments (as defined in the Fifth A&amp;R Credit Agreement), including dividend payments on, and repurchases of, Common Shares, as long as the leverage ratio resulting from the making of such restricted payments is 4.00 or less. Otherwise, the Company may make further restricted payments in an aggregate amount for each fiscal year not to exceed $225.0.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5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On October 22, 2019, Scotts Miracle-Gro issued $450.0 aggregate principal amount of 4.500% Senior Notes due 2029 (the “4.500% Senior Notes”). The 4.500% Senior Notes represent general unsecured senior obligations and rank equal in right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payment with the Company’s existing and future unsecured senior debt. The 4.500% Senior Notes have interest payment dates of April 15 and October 15 of each year. All of Scotts Miracle-Gro’s domestic subsidiaries that serve as guarantors of the 5.250% Senior Notes also serve as guarantors of the 4.500% Senior Notes.</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All of Scotts Miracle-Gro’s domestic subsidiaries that serve as guarantors of the 5.250% Senior Notes also serve as guarantors of the 4.000% Senior Notes.</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All of Scotts Miracle-Gro’s domestic subsidiaries that serve as guarantors of the 5.250% Senior Notes also serve as guarantors of the 4.375% Senior Notes.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On April 7, 2017, the Company entered into a Master Repurchase Agreement (including the annexes thereto, the “Repurchase Agreement”) and a Master Framework Agreement, as amended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25, 2022 and ending on June 17, 2022 is $160.0. The Receivables Facility expires on August 19, 2022.</w:t>
      </w:r>
    </w:p>
    <w:p>
      <w:pPr>
        <w:spacing w:after="0" w:line="12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January 1, 2022 and January 2, 2021, there were $94.0 and $136.0, respectively, in borrowings on receivables pledged as collateral under the Receivables Facility, and the carrying value of the receivables pledged as collateral was $104.4 and $151.1,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January 1, 2022, January 2, 2021 and September 30, 2021 had a maximum total U.S. dollar equivalent notional amount of $600.0. The notional amount, effective date, expiration date and rate of each of the swap agreements outstanding at January 1, 2022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jc w:val="right"/>
              <w:ind w:right="855"/>
              <w:spacing w:after="0"/>
              <w:rPr>
                <w:sz w:val="20"/>
                <w:szCs w:val="20"/>
                <w:color w:val="auto"/>
              </w:rPr>
            </w:pPr>
            <w:r>
              <w:rPr>
                <w:rFonts w:ascii="Arial" w:cs="Arial" w:eastAsia="Arial" w:hAnsi="Arial"/>
                <w:sz w:val="14"/>
                <w:szCs w:val="14"/>
                <w:b w:val="1"/>
                <w:bCs w:val="1"/>
                <w:color w:val="auto"/>
              </w:rPr>
              <w:t>Notional</w:t>
            </w:r>
          </w:p>
        </w:tc>
        <w:tc>
          <w:tcPr>
            <w:tcW w:w="34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5"/>
              <w:spacing w:after="0"/>
              <w:rPr>
                <w:sz w:val="20"/>
                <w:szCs w:val="20"/>
                <w:color w:val="auto"/>
              </w:rPr>
            </w:pPr>
            <w:r>
              <w:rPr>
                <w:rFonts w:ascii="Arial" w:cs="Arial" w:eastAsia="Arial" w:hAnsi="Arial"/>
                <w:sz w:val="14"/>
                <w:szCs w:val="14"/>
                <w:b w:val="1"/>
                <w:bCs w:val="1"/>
                <w:color w:val="auto"/>
              </w:rPr>
              <w:t>Fixed</w:t>
            </w:r>
          </w:p>
        </w:tc>
      </w:tr>
      <w:tr>
        <w:trPr>
          <w:trHeight w:val="188"/>
        </w:trPr>
        <w:tc>
          <w:tcPr>
            <w:tcW w:w="2400" w:type="dxa"/>
            <w:vAlign w:val="bottom"/>
          </w:tcPr>
          <w:p>
            <w:pPr>
              <w:jc w:val="right"/>
              <w:ind w:right="855"/>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5"/>
              <w:spacing w:after="0"/>
              <w:rPr>
                <w:sz w:val="20"/>
                <w:szCs w:val="20"/>
                <w:color w:val="auto"/>
              </w:rPr>
            </w:pPr>
            <w:r>
              <w:rPr>
                <w:rFonts w:ascii="Arial" w:cs="Arial" w:eastAsia="Arial" w:hAnsi="Arial"/>
                <w:sz w:val="14"/>
                <w:szCs w:val="14"/>
                <w:b w:val="1"/>
                <w:bCs w:val="1"/>
                <w:color w:val="auto"/>
              </w:rPr>
              <w:t>Rate</w:t>
            </w:r>
          </w:p>
        </w:tc>
      </w:tr>
      <w:tr>
        <w:trPr>
          <w:trHeight w:val="224"/>
        </w:trPr>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240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240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29"/>
        </w:trPr>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8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3.6% and 3.8% for the three months ended January 1, 2022 and January 2, 2021,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62"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following tables provide a summary of the changes in total equity, equity attributable to controlling interest, and equity attributable to noncontrolling interests for each of the periods indicated:</w:t>
      </w:r>
    </w:p>
    <w:tbl>
      <w:tblPr>
        <w:tblLayout w:type="fixed"/>
        <w:tblInd w:w="0" w:type="dxa"/>
        <w:tblCellMar>
          <w:top w:w="0" w:type="dxa"/>
          <w:left w:w="0" w:type="dxa"/>
          <w:bottom w:w="0" w:type="dxa"/>
          <w:right w:w="0" w:type="dxa"/>
        </w:tblCellMar>
      </w:tblPr>
      <w:tr>
        <w:trPr>
          <w:trHeight w:val="127"/>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40"/>
              <w:spacing w:after="0" w:line="128" w:lineRule="exact"/>
              <w:rPr>
                <w:sz w:val="20"/>
                <w:szCs w:val="20"/>
                <w:color w:val="auto"/>
              </w:rPr>
            </w:pPr>
            <w:r>
              <w:rPr>
                <w:rFonts w:ascii="Arial" w:cs="Arial" w:eastAsia="Arial" w:hAnsi="Arial"/>
                <w:sz w:val="13"/>
                <w:szCs w:val="13"/>
                <w:b w:val="1"/>
                <w:bCs w:val="1"/>
                <w:color w:val="auto"/>
                <w:w w:val="87"/>
              </w:rPr>
              <w:t>Common Shares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2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Accumulated Other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 Equity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center"/>
              <w:ind w:right="17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10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b w:val="1"/>
                <w:bCs w:val="1"/>
                <w:color w:val="auto"/>
                <w:w w:val="92"/>
              </w:rPr>
              <w:t>Comprehensive Loss</w:t>
            </w:r>
          </w:p>
        </w:tc>
        <w:tc>
          <w:tcPr>
            <w:tcW w:w="20" w:type="dxa"/>
            <w:vAlign w:val="bottom"/>
          </w:tcPr>
          <w:p>
            <w:pPr>
              <w:spacing w:after="0"/>
              <w:rPr>
                <w:sz w:val="14"/>
                <w:szCs w:val="1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Controlling 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8"/>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1,013.3</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($0.66 per share)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color w:val="auto"/>
              </w:rPr>
              <w:t>Balance at January 1, 2022</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740" w:type="dxa"/>
            <w:vAlign w:val="bottom"/>
            <w:gridSpan w:val="6"/>
          </w:tcPr>
          <w:p>
            <w:pPr>
              <w:spacing w:after="0"/>
              <w:rPr>
                <w:sz w:val="20"/>
                <w:szCs w:val="20"/>
                <w:color w:val="auto"/>
              </w:rPr>
            </w:pPr>
            <w:r>
              <w:rPr>
                <w:rFonts w:ascii="Arial" w:cs="Arial" w:eastAsia="Arial" w:hAnsi="Arial"/>
                <w:sz w:val="14"/>
                <w:szCs w:val="14"/>
                <w:color w:val="auto"/>
              </w:rPr>
              <w:t>The sum of the components may not equal due to rounding.</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00"/>
              <w:spacing w:after="0" w:line="147" w:lineRule="exact"/>
              <w:rPr>
                <w:sz w:val="20"/>
                <w:szCs w:val="20"/>
                <w:color w:val="auto"/>
              </w:rPr>
            </w:pPr>
            <w:r>
              <w:rPr>
                <w:rFonts w:ascii="Arial" w:cs="Arial" w:eastAsia="Arial" w:hAnsi="Arial"/>
                <w:sz w:val="13"/>
                <w:szCs w:val="13"/>
                <w:b w:val="1"/>
                <w:bCs w:val="1"/>
                <w:color w:val="auto"/>
                <w:w w:val="87"/>
              </w:rPr>
              <w:t>Common Shares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87"/>
              </w:rPr>
              <w:t>Treasury</w:t>
            </w:r>
          </w:p>
        </w:tc>
        <w:tc>
          <w:tcPr>
            <w:tcW w:w="20" w:type="dxa"/>
            <w:vAlign w:val="bottom"/>
          </w:tcPr>
          <w:p>
            <w:pPr>
              <w:spacing w:after="0"/>
              <w:rPr>
                <w:sz w:val="10"/>
                <w:szCs w:val="10"/>
                <w:color w:val="auto"/>
              </w:rPr>
            </w:pPr>
          </w:p>
        </w:tc>
        <w:tc>
          <w:tcPr>
            <w:tcW w:w="12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8"/>
              </w:rPr>
              <w:t>Accumulated Other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2"/>
              </w:rPr>
              <w:t>Total Equity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center"/>
              <w:ind w:right="17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12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b w:val="1"/>
                <w:bCs w:val="1"/>
                <w:color w:val="auto"/>
                <w:w w:val="92"/>
              </w:rPr>
              <w:t>Comprehensive Loss</w:t>
            </w:r>
          </w:p>
        </w:tc>
        <w:tc>
          <w:tcPr>
            <w:tcW w:w="2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8"/>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1,235.6</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($0.62 per share)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color w:val="auto"/>
              </w:rPr>
              <w:t>Balance at January 2, 2021</w:t>
            </w: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490.5</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(958.8)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4720" w:type="dxa"/>
            <w:vAlign w:val="bottom"/>
            <w:gridSpan w:val="10"/>
          </w:tcPr>
          <w:p>
            <w:pPr>
              <w:jc w:val="center"/>
              <w:ind w:right="880"/>
              <w:spacing w:after="0"/>
              <w:rPr>
                <w:sz w:val="20"/>
                <w:szCs w:val="20"/>
                <w:color w:val="auto"/>
              </w:rPr>
            </w:pPr>
            <w:r>
              <w:rPr>
                <w:rFonts w:ascii="Arial" w:cs="Arial" w:eastAsia="Arial" w:hAnsi="Arial"/>
                <w:sz w:val="18"/>
                <w:szCs w:val="18"/>
                <w:b w:val="1"/>
                <w:bCs w:val="1"/>
                <w:color w:val="auto"/>
              </w:rPr>
              <w:t>THE SCOTTS MIRACLE-GRO COMPANY</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80" w:type="dxa"/>
            <w:vAlign w:val="bottom"/>
            <w:gridSpan w:val="15"/>
          </w:tcPr>
          <w:p>
            <w:pPr>
              <w:jc w:val="center"/>
              <w:ind w:left="127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7"/>
          </w:tcPr>
          <w:p>
            <w:pPr>
              <w:jc w:val="right"/>
              <w:spacing w:after="0"/>
              <w:rPr>
                <w:sz w:val="20"/>
                <w:szCs w:val="20"/>
                <w:color w:val="auto"/>
              </w:rPr>
            </w:pPr>
            <w:r>
              <w:rPr>
                <w:rFonts w:ascii="Arial" w:cs="Arial" w:eastAsia="Arial" w:hAnsi="Arial"/>
                <w:sz w:val="16"/>
                <w:szCs w:val="16"/>
                <w:b w:val="1"/>
                <w:bCs w:val="1"/>
                <w:color w:val="auto"/>
                <w:w w:val="93"/>
              </w:rPr>
              <w:t>(Dollars in millions, except per share data)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4"/>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Accumulated Other Comprehensive Loss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80" w:type="dxa"/>
            <w:vAlign w:val="bottom"/>
            <w:gridSpan w:val="15"/>
          </w:tcPr>
          <w:p>
            <w:pPr>
              <w:ind w:left="420"/>
              <w:spacing w:after="0"/>
              <w:rPr>
                <w:sz w:val="20"/>
                <w:szCs w:val="20"/>
                <w:color w:val="auto"/>
              </w:rPr>
            </w:pPr>
            <w:r>
              <w:rPr>
                <w:rFonts w:ascii="Arial" w:cs="Arial" w:eastAsia="Arial" w:hAnsi="Arial"/>
                <w:sz w:val="18"/>
                <w:szCs w:val="18"/>
                <w:color w:val="auto"/>
                <w:w w:val="94"/>
              </w:rPr>
              <w:t>Changes in accumulated other comprehensive loss (“AOCL”) by component were as follows for each of the periods indicated: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Net Unrealized</w:t>
            </w:r>
          </w:p>
        </w:tc>
        <w:tc>
          <w:tcPr>
            <w:tcW w:w="16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Unrealized</w:t>
            </w: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Pension and Other</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Gains (Losses)</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Post-Retirement</w:t>
            </w:r>
          </w:p>
        </w:tc>
        <w:tc>
          <w:tcPr>
            <w:tcW w:w="160" w:type="dxa"/>
            <w:vAlign w:val="bottom"/>
          </w:tcPr>
          <w:p>
            <w:pPr>
              <w:spacing w:after="0"/>
              <w:rPr>
                <w:sz w:val="11"/>
                <w:szCs w:val="11"/>
                <w:color w:val="auto"/>
              </w:rPr>
            </w:pPr>
          </w:p>
        </w:tc>
        <w:tc>
          <w:tcPr>
            <w:tcW w:w="120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On Securities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Benefit Adjustments</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reclassifications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net income (loss)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January 1, 2022</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2020</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gridSpan w:val="2"/>
          </w:tcPr>
          <w:p>
            <w:pPr>
              <w:ind w:left="240"/>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comprehensive net income (loss)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3"/>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2, 2021</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sum of the components may not equal due to rounding.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On July 27, 2020, the Scotts Miracle-Gro Board of Directors approved an increase in the Company’s quarterly cash dividend from $0.58 to $0.62 per Common Share, which was first paid in the fourth quarter of fiscal 2020. On July 30, 2021, the Scotts Miracle-Gro Board of Directors approved an increase in the Company’s quarterly cash dividend from $0.62 to $0.66 per Common Share, which was first paid in the fourth quarter of fiscal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6, 2020, Scotts Miracle-Gro announced that its Board of Directors authorized the repurchase of up to $750.0 of Common Shares from April 30, 2020 through March 25, 2023.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During the three months ended January 1, 2022 and January 2, 2021, Scotts Miracle-Gro repurchased approximately 0.8 million and 0.2 million Common Shares under this share repurchase authorization for $125.0 and $38.0, respectively. The “Treasury share purchases” lines in the tables above include cash paid to tax authorities to satisfy statutory income tax withholding obligations related to share-based compensation of $4.5 and $0.3 for the three months ended January 1, 2022 and January 2, 2021, respectively.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360" w:type="dxa"/>
            <w:vAlign w:val="bottom"/>
            <w:gridSpan w:val="2"/>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504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rPr>
              <w:t>THE SCOTTS MIRACLE-GRO COMPANY</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820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40" w:type="dxa"/>
            <w:vAlign w:val="bottom"/>
            <w:gridSpan w:val="2"/>
          </w:tcPr>
          <w:p>
            <w:pPr>
              <w:jc w:val="center"/>
              <w:ind w:right="450"/>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654"/>
        </w:trPr>
        <w:tc>
          <w:tcPr>
            <w:tcW w:w="3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Share-Based Awards</w:t>
            </w: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8400" w:type="dxa"/>
            <w:vAlign w:val="bottom"/>
            <w:gridSpan w:val="4"/>
          </w:tcPr>
          <w:p>
            <w:pPr>
              <w:ind w:left="420"/>
              <w:spacing w:after="0"/>
              <w:rPr>
                <w:sz w:val="20"/>
                <w:szCs w:val="20"/>
                <w:color w:val="auto"/>
              </w:rPr>
            </w:pPr>
            <w:r>
              <w:rPr>
                <w:rFonts w:ascii="Arial" w:cs="Arial" w:eastAsia="Arial" w:hAnsi="Arial"/>
                <w:sz w:val="18"/>
                <w:szCs w:val="18"/>
                <w:color w:val="auto"/>
                <w:w w:val="99"/>
              </w:rPr>
              <w:t>The following is a summary of the share-based awards granted during each of the periods indicated: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1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5"/>
              </w:rPr>
              <w:t>January 2,</w:t>
            </w:r>
          </w:p>
        </w:tc>
      </w:tr>
      <w:tr>
        <w:trPr>
          <w:trHeight w:val="188"/>
        </w:trPr>
        <w:tc>
          <w:tcPr>
            <w:tcW w:w="15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2021</w:t>
            </w:r>
          </w:p>
        </w:tc>
      </w:tr>
      <w:tr>
        <w:trPr>
          <w:trHeight w:val="211"/>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Restricted stock units</w:t>
            </w:r>
          </w:p>
        </w:tc>
        <w:tc>
          <w:tcPr>
            <w:tcW w:w="4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2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4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Restricted and deferred stock units</w:t>
            </w:r>
          </w:p>
        </w:tc>
        <w:tc>
          <w:tcPr>
            <w:tcW w:w="4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4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share-based awards</w:t>
            </w:r>
          </w:p>
        </w:tc>
        <w:tc>
          <w:tcPr>
            <w:tcW w:w="4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0"/>
        </w:trPr>
        <w:tc>
          <w:tcPr>
            <w:tcW w:w="3360" w:type="dxa"/>
            <w:vAlign w:val="bottom"/>
            <w:tcBorders>
              <w:top w:val="single" w:sz="8" w:color="CCEEFF"/>
            </w:tcBorders>
            <w:gridSpan w:val="2"/>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Aggregate fair value at grant dates</w:t>
            </w:r>
          </w:p>
        </w:tc>
        <w:tc>
          <w:tcPr>
            <w:tcW w:w="5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459"/>
        </w:trPr>
        <w:tc>
          <w:tcPr>
            <w:tcW w:w="8400" w:type="dxa"/>
            <w:vAlign w:val="bottom"/>
            <w:gridSpan w:val="4"/>
          </w:tcPr>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1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5"/>
              </w:rPr>
              <w:t>January 2,</w:t>
            </w:r>
          </w:p>
        </w:tc>
      </w:tr>
      <w:tr>
        <w:trPr>
          <w:trHeight w:val="188"/>
        </w:trPr>
        <w:tc>
          <w:tcPr>
            <w:tcW w:w="15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7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Related tax benefit recognized</w:t>
            </w:r>
          </w:p>
        </w:tc>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Performance-based awards</w:t>
      </w:r>
    </w:p>
    <w:p>
      <w:pPr>
        <w:spacing w:after="0" w:line="1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January 30, 2017, the Company issued 0.5 million upfront performance-based award units, covering a five-year performance period, with an estimated fair value of $43.3 on the date of grant to certain senior executives as part of its Project Focus initiative. These awards provided for a five-year vesting period based on achievement of specific performance goals aligned with the strategic objectives of the Company’s Project Focus initiatives. Based on the extent to which the targets were achieved, vested shares may range from 50 to 250 percent of the target award amount. The Company’s actual performance far exceeded the pre-defined performance goals of this award. As a result, the participants earned the maximum payout equal to 250% of the target shares granted (for a total payout of 1.1 million shares). As of December 1, 2021, the award payout was both fully earned and fully vested and the vested shares were delivered to the recipients on January 30, 2022. As such, these units are included in the computation of weighted-average common shares used for the Company’s basic income per Common Share calculation for the three months ended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COMMON SHARE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information necessary to calculate basic and diluted income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8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1"/>
                <w:szCs w:val="11"/>
                <w:color w:val="auto"/>
              </w:rPr>
            </w:pPr>
          </w:p>
        </w:tc>
        <w:tc>
          <w:tcPr>
            <w:tcW w:w="1240" w:type="dxa"/>
            <w:vAlign w:val="bottom"/>
          </w:tcPr>
          <w:p>
            <w:pPr>
              <w:jc w:val="right"/>
              <w:ind w:right="332"/>
              <w:spacing w:after="0" w:line="135"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attributable to controlling interest from continuing operations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(0.90)</w:t>
            </w:r>
          </w:p>
        </w:tc>
        <w:tc>
          <w:tcPr>
            <w:tcW w:w="10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income (loss) per common share: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potential common shares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w w:val="94"/>
              </w:rPr>
              <w:t>Weighted-average common shares outstanding during the period plus dilutive potential common shares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Diluted average common shares used in the diluted loss per common share calculation for the three months ended January 1, 2022 were 55.4 million, which excluded 1.3 million dilutive potential Common Shares because the effect of their inclusion would be anti-dilutive as the Company incurred a net loss for the three months ended January 1, 2022. Diluted average common shares used in the diluted income per common share calculation for the three months ended January 2, 2021 were 57.1 million, which included 1.4 million dilutive potential Common Shares.</w:t>
      </w:r>
    </w:p>
    <w:p>
      <w:pPr>
        <w:spacing w:after="0" w:line="15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For the three months ended January 1, 2022, the average number of out-of-the-money options was 0.2 million. There were no out-of-the-money options for the three months ended January 2,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rates related to continuing operations for the three months ended January 1, 2022 and January 2, 2021 were 22.7% and 23.9%,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3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2018. There are currently no ongoing audits with respect to the U.S. federal jurisdiction. With respect to the foreign jurisdictions, a German audit covering fiscal years 2014 through 2017 is in process with no known material impact to the financial statements. The Company is currently under examination by certain U.S. state and local tax authorities covering various periods from fiscal years 2012 through 2020. In addition to the aforementioned audits, certain other tax deficiency notices and refund claims for previous years remain unresolved.</w:t>
      </w:r>
    </w:p>
    <w:p>
      <w:pPr>
        <w:spacing w:after="0" w:line="1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6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January 1, 2022, $3.0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$164.2, $161.5 and $180.3 at January 1, 2022, January 2, 2021 and September 30, 2021, respectively. Contracts outstanding at January 1, 2022 will mature over the next fiscal quarter.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The swap agreements had a maximum total U.S. dollar equivalent notional amount of $600.0 at January 1, 2022, January 2, 2021 and September 30, 2021. Refer to “NOTE 7. DEBT” for the terms of the swap agreements outstanding at January 1, 2022. Included in the AOCL balance at January 1, 2022 was a loss of $3.0 related to interest rate swap agreements that is expected to be reclassified to earnings during the next twelve months, consistent with the timing of the underlying hedged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diesel and resin requirements. Commodity contracts are valued using observable commodity exchange prices in active markets. Included in the AOCL balance at January 1, 2022 was a gain of $13.3 related to commodity hedges that is expected to be reclassified to earnings during the next twelve months, consistent with the timing of the underlying hedged transactions.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2080" w:type="dxa"/>
            <w:vAlign w:val="bottom"/>
            <w:gridSpan w:val="2"/>
          </w:tcPr>
          <w:p>
            <w:pPr>
              <w:ind w:left="660"/>
              <w:spacing w:after="0"/>
              <w:rPr>
                <w:sz w:val="20"/>
                <w:szCs w:val="20"/>
                <w:color w:val="auto"/>
              </w:rPr>
            </w:pPr>
            <w:r>
              <w:rPr>
                <w:rFonts w:ascii="Arial" w:cs="Arial" w:eastAsia="Arial" w:hAnsi="Arial"/>
                <w:sz w:val="14"/>
                <w:szCs w:val="14"/>
                <w:b w:val="1"/>
                <w:bCs w:val="1"/>
                <w:color w:val="auto"/>
              </w:rPr>
              <w:t>January 1,</w:t>
            </w:r>
          </w:p>
        </w:tc>
        <w:tc>
          <w:tcPr>
            <w:tcW w:w="2100" w:type="dxa"/>
            <w:vAlign w:val="bottom"/>
            <w:gridSpan w:val="2"/>
          </w:tcPr>
          <w:p>
            <w:pPr>
              <w:ind w:left="660"/>
              <w:spacing w:after="0"/>
              <w:rPr>
                <w:sz w:val="20"/>
                <w:szCs w:val="20"/>
                <w:color w:val="auto"/>
              </w:rPr>
            </w:pPr>
            <w:r>
              <w:rPr>
                <w:rFonts w:ascii="Arial" w:cs="Arial" w:eastAsia="Arial" w:hAnsi="Arial"/>
                <w:sz w:val="14"/>
                <w:szCs w:val="14"/>
                <w:b w:val="1"/>
                <w:bCs w:val="1"/>
                <w:color w:val="auto"/>
              </w:rPr>
              <w:t>January 2,</w:t>
            </w:r>
          </w:p>
        </w:tc>
        <w:tc>
          <w:tcPr>
            <w:tcW w:w="1980" w:type="dxa"/>
            <w:vAlign w:val="bottom"/>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980" w:type="dxa"/>
            <w:vAlign w:val="bottom"/>
          </w:tcPr>
          <w:p>
            <w:pPr>
              <w:jc w:val="right"/>
              <w:ind w:right="7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58,500 tons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 tons</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Resin</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 pounds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4,000,000 pounds</w:t>
            </w:r>
          </w:p>
        </w:tc>
        <w:tc>
          <w:tcPr>
            <w:tcW w:w="1980" w:type="dxa"/>
            <w:vAlign w:val="bottom"/>
          </w:tcPr>
          <w:p>
            <w:pPr>
              <w:jc w:val="right"/>
              <w:spacing w:after="0"/>
              <w:rPr>
                <w:sz w:val="20"/>
                <w:szCs w:val="20"/>
                <w:color w:val="auto"/>
              </w:rPr>
            </w:pPr>
            <w:r>
              <w:rPr>
                <w:rFonts w:ascii="Arial" w:cs="Arial" w:eastAsia="Arial" w:hAnsi="Arial"/>
                <w:sz w:val="18"/>
                <w:szCs w:val="18"/>
                <w:color w:val="auto"/>
              </w:rPr>
              <w:t>— pounds</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Diesel</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4,662,000 gallons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4,704,000 gallons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5,880,000 gallons</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Heating Oil</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2,184,000 gallons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2,100,000 gallons</w:t>
            </w:r>
          </w:p>
        </w:tc>
        <w:tc>
          <w:tcPr>
            <w:tcW w:w="1980" w:type="dxa"/>
            <w:vAlign w:val="bottom"/>
          </w:tcPr>
          <w:p>
            <w:pPr>
              <w:jc w:val="right"/>
              <w:spacing w:after="0"/>
              <w:rPr>
                <w:sz w:val="20"/>
                <w:szCs w:val="20"/>
                <w:color w:val="auto"/>
              </w:rPr>
            </w:pPr>
            <w:r>
              <w:rPr>
                <w:rFonts w:ascii="Arial" w:cs="Arial" w:eastAsia="Arial" w:hAnsi="Arial"/>
                <w:sz w:val="18"/>
                <w:szCs w:val="18"/>
                <w:color w:val="auto"/>
              </w:rPr>
              <w:t>2,268,000 gallons</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Assets / (Liabilities)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1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January 2,</w:t>
            </w:r>
          </w:p>
        </w:tc>
        <w:tc>
          <w:tcPr>
            <w:tcW w:w="200" w:type="dxa"/>
            <w:vAlign w:val="bottom"/>
          </w:tcPr>
          <w:p>
            <w:pPr>
              <w:spacing w:after="0"/>
              <w:rPr>
                <w:sz w:val="11"/>
                <w:szCs w:val="11"/>
                <w:color w:val="auto"/>
              </w:rPr>
            </w:pPr>
          </w:p>
        </w:tc>
        <w:tc>
          <w:tcPr>
            <w:tcW w:w="128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3500" w:type="dxa"/>
            <w:vAlign w:val="bottom"/>
            <w:gridSpan w:val="2"/>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Prepaid and other current assets</w:t>
            </w: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derivatives designated as hedging instruments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500" w:type="dxa"/>
            <w:vAlign w:val="bottom"/>
            <w:gridSpan w:val="2"/>
            <w:vMerge w:val="continue"/>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derivatives not designated as hedging instruments</w:t>
            </w: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34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effect of derivative instruments on AOCL, net of tax, and the Condensed Consolidated Statements of Operations for each of the periods presented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Amount of Gain / (Loss) Recognized in AOCL</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auto"/>
            </w:tcBorders>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322"/>
              <w:spacing w:after="0"/>
              <w:rPr>
                <w:sz w:val="20"/>
                <w:szCs w:val="20"/>
                <w:color w:val="auto"/>
              </w:rPr>
            </w:pPr>
            <w:r>
              <w:rPr>
                <w:rFonts w:ascii="Arial" w:cs="Arial" w:eastAsia="Arial" w:hAnsi="Arial"/>
                <w:sz w:val="14"/>
                <w:szCs w:val="14"/>
                <w:b w:val="1"/>
                <w:bCs w:val="1"/>
                <w:color w:val="auto"/>
                <w:w w:val="95"/>
              </w:rPr>
              <w:t>January 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319"/>
              <w:spacing w:after="0"/>
              <w:rPr>
                <w:sz w:val="20"/>
                <w:szCs w:val="20"/>
                <w:color w:val="auto"/>
              </w:rPr>
            </w:pPr>
            <w:r>
              <w:rPr>
                <w:rFonts w:ascii="Arial" w:cs="Arial" w:eastAsia="Arial" w:hAnsi="Arial"/>
                <w:sz w:val="14"/>
                <w:szCs w:val="14"/>
                <w:b w:val="1"/>
                <w:bCs w:val="1"/>
                <w:color w:val="auto"/>
                <w:w w:val="95"/>
              </w:rPr>
              <w:t>January 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gridSpan w:val="2"/>
            <w:vMerge w:val="continue"/>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89"/>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6.8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gridSpan w:val="4"/>
          </w:tcPr>
          <w:p>
            <w:pPr>
              <w:jc w:val="center"/>
              <w:ind w:left="322"/>
              <w:spacing w:after="0"/>
              <w:rPr>
                <w:sz w:val="20"/>
                <w:szCs w:val="20"/>
                <w:color w:val="auto"/>
              </w:rPr>
            </w:pPr>
            <w:r>
              <w:rPr>
                <w:rFonts w:ascii="Arial" w:cs="Arial" w:eastAsia="Arial" w:hAnsi="Arial"/>
                <w:sz w:val="14"/>
                <w:szCs w:val="14"/>
                <w:b w:val="1"/>
                <w:bCs w:val="1"/>
                <w:color w:val="auto"/>
                <w:w w:val="94"/>
              </w:rPr>
              <w:t>Amount of Gain / (Loss)</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Reclassified from</w:t>
            </w:r>
          </w:p>
        </w:tc>
        <w:tc>
          <w:tcPr>
            <w:tcW w:w="2700" w:type="dxa"/>
            <w:vAlign w:val="bottom"/>
            <w:tcBorders>
              <w:bottom w:val="single" w:sz="8" w:color="auto"/>
            </w:tcBorders>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60" w:type="dxa"/>
            <w:vAlign w:val="bottom"/>
            <w:gridSpan w:val="2"/>
            <w:vMerge w:val="continue"/>
          </w:tcPr>
          <w:p>
            <w:pPr>
              <w:spacing w:after="0"/>
              <w:rPr>
                <w:sz w:val="3"/>
                <w:szCs w:val="3"/>
                <w:color w:val="auto"/>
              </w:rPr>
            </w:pPr>
          </w:p>
        </w:tc>
        <w:tc>
          <w:tcPr>
            <w:tcW w:w="1100" w:type="dxa"/>
            <w:vAlign w:val="bottom"/>
            <w:vMerge w:val="restart"/>
          </w:tcPr>
          <w:p>
            <w:pPr>
              <w:jc w:val="center"/>
              <w:ind w:left="322"/>
              <w:spacing w:after="0"/>
              <w:rPr>
                <w:sz w:val="20"/>
                <w:szCs w:val="20"/>
                <w:color w:val="auto"/>
              </w:rPr>
            </w:pPr>
            <w:r>
              <w:rPr>
                <w:rFonts w:ascii="Arial" w:cs="Arial" w:eastAsia="Arial" w:hAnsi="Arial"/>
                <w:sz w:val="14"/>
                <w:szCs w:val="14"/>
                <w:b w:val="1"/>
                <w:bCs w:val="1"/>
                <w:color w:val="auto"/>
                <w:w w:val="95"/>
              </w:rPr>
              <w:t>January 1,</w:t>
            </w: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center"/>
              <w:ind w:left="319"/>
              <w:spacing w:after="0"/>
              <w:rPr>
                <w:sz w:val="20"/>
                <w:szCs w:val="20"/>
                <w:color w:val="auto"/>
              </w:rPr>
            </w:pPr>
            <w:r>
              <w:rPr>
                <w:rFonts w:ascii="Arial" w:cs="Arial" w:eastAsia="Arial" w:hAnsi="Arial"/>
                <w:sz w:val="14"/>
                <w:szCs w:val="14"/>
                <w:b w:val="1"/>
                <w:bCs w:val="1"/>
                <w:color w:val="auto"/>
                <w:w w:val="95"/>
              </w:rPr>
              <w:t>January 2,</w:t>
            </w: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AOCL into</w:t>
            </w:r>
          </w:p>
        </w:tc>
        <w:tc>
          <w:tcPr>
            <w:tcW w:w="11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780" w:type="dxa"/>
            <w:vAlign w:val="bottom"/>
            <w:gridSpan w:val="2"/>
            <w:vMerge w:val="continue"/>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Statement of Operations</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89"/>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19"/>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gridSpan w:val="4"/>
          </w:tcPr>
          <w:p>
            <w:pPr>
              <w:jc w:val="center"/>
              <w:ind w:left="322"/>
              <w:spacing w:after="0"/>
              <w:rPr>
                <w:sz w:val="20"/>
                <w:szCs w:val="20"/>
                <w:color w:val="auto"/>
              </w:rPr>
            </w:pPr>
            <w:r>
              <w:rPr>
                <w:rFonts w:ascii="Arial" w:cs="Arial" w:eastAsia="Arial" w:hAnsi="Arial"/>
                <w:sz w:val="14"/>
                <w:szCs w:val="14"/>
                <w:b w:val="1"/>
                <w:bCs w:val="1"/>
                <w:color w:val="auto"/>
                <w:w w:val="94"/>
              </w:rPr>
              <w:t>Amount of Gain / (Loss)</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auto"/>
            </w:tcBorders>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Recognized in</w:t>
            </w:r>
          </w:p>
        </w:tc>
        <w:tc>
          <w:tcPr>
            <w:tcW w:w="1100" w:type="dxa"/>
            <w:vAlign w:val="bottom"/>
          </w:tcPr>
          <w:p>
            <w:pPr>
              <w:jc w:val="center"/>
              <w:ind w:left="322"/>
              <w:spacing w:after="0"/>
              <w:rPr>
                <w:sz w:val="20"/>
                <w:szCs w:val="20"/>
                <w:color w:val="auto"/>
              </w:rPr>
            </w:pPr>
            <w:r>
              <w:rPr>
                <w:rFonts w:ascii="Arial" w:cs="Arial" w:eastAsia="Arial" w:hAnsi="Arial"/>
                <w:sz w:val="14"/>
                <w:szCs w:val="14"/>
                <w:b w:val="1"/>
                <w:bCs w:val="1"/>
                <w:color w:val="auto"/>
                <w:w w:val="95"/>
              </w:rPr>
              <w:t>January 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319"/>
              <w:spacing w:after="0"/>
              <w:rPr>
                <w:sz w:val="20"/>
                <w:szCs w:val="20"/>
                <w:color w:val="auto"/>
              </w:rPr>
            </w:pPr>
            <w:r>
              <w:rPr>
                <w:rFonts w:ascii="Arial" w:cs="Arial" w:eastAsia="Arial" w:hAnsi="Arial"/>
                <w:sz w:val="14"/>
                <w:szCs w:val="14"/>
                <w:b w:val="1"/>
                <w:bCs w:val="1"/>
                <w:color w:val="auto"/>
                <w:w w:val="95"/>
              </w:rPr>
              <w:t>January 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780" w:type="dxa"/>
            <w:vAlign w:val="bottom"/>
            <w:gridSpan w:val="2"/>
            <w:vMerge w:val="continue"/>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Statement of Operations</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89"/>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19"/>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Other income / expense, net</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(8.0)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(7.3)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of the Company’s assets and liabilities for which disclosure of fair value is required: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tcPr>
          <w:p>
            <w:pPr>
              <w:ind w:left="660"/>
              <w:spacing w:after="0"/>
              <w:rPr>
                <w:sz w:val="20"/>
                <w:szCs w:val="20"/>
                <w:color w:val="auto"/>
              </w:rPr>
            </w:pPr>
            <w:r>
              <w:rPr>
                <w:rFonts w:ascii="Arial" w:cs="Arial" w:eastAsia="Arial" w:hAnsi="Arial"/>
                <w:sz w:val="14"/>
                <w:szCs w:val="14"/>
                <w:b w:val="1"/>
                <w:bCs w:val="1"/>
                <w:color w:val="auto"/>
                <w:w w:val="98"/>
              </w:rPr>
              <w:t>January 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4"/>
          </w:tcPr>
          <w:p>
            <w:pPr>
              <w:ind w:left="660"/>
              <w:spacing w:after="0"/>
              <w:rPr>
                <w:sz w:val="20"/>
                <w:szCs w:val="20"/>
                <w:color w:val="auto"/>
              </w:rPr>
            </w:pPr>
            <w:r>
              <w:rPr>
                <w:rFonts w:ascii="Arial" w:cs="Arial" w:eastAsia="Arial" w:hAnsi="Arial"/>
                <w:sz w:val="14"/>
                <w:szCs w:val="14"/>
                <w:b w:val="1"/>
                <w:bCs w:val="1"/>
                <w:color w:val="auto"/>
                <w:w w:val="98"/>
              </w:rPr>
              <w:t>January 2,</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400"/>
              <w:spacing w:after="0" w:line="118" w:lineRule="exact"/>
              <w:rPr>
                <w:sz w:val="20"/>
                <w:szCs w:val="20"/>
                <w:color w:val="auto"/>
              </w:rPr>
            </w:pPr>
            <w:r>
              <w:rPr>
                <w:rFonts w:ascii="Arial" w:cs="Arial" w:eastAsia="Arial" w:hAnsi="Arial"/>
                <w:sz w:val="13"/>
                <w:szCs w:val="13"/>
                <w:b w:val="1"/>
                <w:bCs w:val="1"/>
                <w:color w:val="auto"/>
              </w:rPr>
              <w:t>Fair</w:t>
            </w: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Value</w:t>
            </w:r>
          </w:p>
        </w:tc>
        <w:tc>
          <w:tcPr>
            <w:tcW w:w="54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w:t>
            </w:r>
          </w:p>
        </w:tc>
        <w:tc>
          <w:tcPr>
            <w:tcW w:w="5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w:t>
            </w:r>
          </w:p>
        </w:tc>
        <w:tc>
          <w:tcPr>
            <w:tcW w:w="580" w:type="dxa"/>
            <w:vAlign w:val="bottom"/>
          </w:tcPr>
          <w:p>
            <w:pPr>
              <w:spacing w:after="0"/>
              <w:rPr>
                <w:sz w:val="11"/>
                <w:szCs w:val="11"/>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1"/>
                <w:szCs w:val="11"/>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Hierarchy</w:t>
            </w:r>
          </w:p>
        </w:tc>
        <w:tc>
          <w:tcPr>
            <w:tcW w:w="5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w:t>
            </w:r>
          </w:p>
        </w:tc>
        <w:tc>
          <w:tcPr>
            <w:tcW w:w="1580" w:type="dxa"/>
            <w:vAlign w:val="bottom"/>
            <w:gridSpan w:val="4"/>
          </w:tcPr>
          <w:p>
            <w:pPr>
              <w:ind w:left="40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4"/>
          </w:tcPr>
          <w:p>
            <w:pPr>
              <w:ind w:left="38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w:t>
            </w:r>
          </w:p>
        </w:tc>
        <w:tc>
          <w:tcPr>
            <w:tcW w:w="17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18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40"/>
              <w:spacing w:after="0"/>
              <w:rPr>
                <w:sz w:val="20"/>
                <w:szCs w:val="20"/>
                <w:color w:val="auto"/>
              </w:rPr>
            </w:pPr>
            <w:r>
              <w:rPr>
                <w:rFonts w:ascii="Arial" w:cs="Arial" w:eastAsia="Arial" w:hAnsi="Arial"/>
                <w:sz w:val="18"/>
                <w:szCs w:val="18"/>
                <w:color w:val="auto"/>
                <w:w w:val="99"/>
              </w:rPr>
              <w:t>Cash equivalents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1</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640"/>
              <w:spacing w:after="0" w:line="176" w:lineRule="exact"/>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20"/>
              <w:spacing w:after="0" w:line="176" w:lineRule="exact"/>
              <w:rPr>
                <w:sz w:val="20"/>
                <w:szCs w:val="20"/>
                <w:color w:val="auto"/>
              </w:rPr>
            </w:pPr>
            <w:r>
              <w:rPr>
                <w:rFonts w:ascii="Arial" w:cs="Arial" w:eastAsia="Arial" w:hAnsi="Arial"/>
                <w:sz w:val="18"/>
                <w:szCs w:val="18"/>
                <w:color w:val="auto"/>
              </w:rPr>
              <w:t>securities in non-</w:t>
            </w:r>
          </w:p>
        </w:tc>
        <w:tc>
          <w:tcPr>
            <w:tcW w:w="120" w:type="dxa"/>
            <w:vAlign w:val="bottom"/>
          </w:tcPr>
          <w:p>
            <w:pPr>
              <w:spacing w:after="0"/>
              <w:rPr>
                <w:sz w:val="15"/>
                <w:szCs w:val="15"/>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20"/>
              <w:spacing w:after="0" w:line="176" w:lineRule="exact"/>
              <w:rPr>
                <w:sz w:val="20"/>
                <w:szCs w:val="20"/>
                <w:color w:val="auto"/>
              </w:rPr>
            </w:pPr>
            <w:r>
              <w:rPr>
                <w:rFonts w:ascii="Arial" w:cs="Arial" w:eastAsia="Arial" w:hAnsi="Arial"/>
                <w:sz w:val="18"/>
                <w:szCs w:val="18"/>
                <w:color w:val="auto"/>
              </w:rPr>
              <w:t>qualified retirement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1</w:t>
            </w:r>
          </w:p>
        </w:tc>
        <w:tc>
          <w:tcPr>
            <w:tcW w:w="8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1840" w:type="dxa"/>
            <w:vAlign w:val="bottom"/>
          </w:tcPr>
          <w:p>
            <w:pPr>
              <w:ind w:left="220"/>
              <w:spacing w:after="0"/>
              <w:rPr>
                <w:sz w:val="20"/>
                <w:szCs w:val="20"/>
                <w:color w:val="auto"/>
              </w:rPr>
            </w:pPr>
            <w:r>
              <w:rPr>
                <w:rFonts w:ascii="Arial" w:cs="Arial" w:eastAsia="Arial" w:hAnsi="Arial"/>
                <w:sz w:val="18"/>
                <w:szCs w:val="18"/>
                <w:color w:val="auto"/>
              </w:rPr>
              <w:t>plan assets</w:t>
            </w:r>
          </w:p>
        </w:tc>
        <w:tc>
          <w:tcPr>
            <w:tcW w:w="1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Convertible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8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investments</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40"/>
              <w:spacing w:after="0"/>
              <w:rPr>
                <w:sz w:val="20"/>
                <w:szCs w:val="20"/>
                <w:color w:val="auto"/>
              </w:rPr>
            </w:pPr>
            <w:r>
              <w:rPr>
                <w:rFonts w:ascii="Arial" w:cs="Arial" w:eastAsia="Arial" w:hAnsi="Arial"/>
                <w:sz w:val="18"/>
                <w:szCs w:val="18"/>
                <w:color w:val="auto"/>
              </w:rPr>
              <w:t>Debt instruments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Credit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facilities – revolving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vMerge w:val="continue"/>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640"/>
              <w:spacing w:after="0" w:line="176" w:lineRule="exact"/>
              <w:rPr>
                <w:sz w:val="20"/>
                <w:szCs w:val="20"/>
                <w:color w:val="auto"/>
              </w:rPr>
            </w:pPr>
            <w:r>
              <w:rPr>
                <w:rFonts w:ascii="Arial" w:cs="Arial" w:eastAsia="Arial" w:hAnsi="Arial"/>
                <w:sz w:val="18"/>
                <w:szCs w:val="18"/>
                <w:color w:val="auto"/>
              </w:rPr>
              <w:t>Credit</w:t>
            </w:r>
          </w:p>
        </w:tc>
        <w:tc>
          <w:tcPr>
            <w:tcW w:w="120" w:type="dxa"/>
            <w:vAlign w:val="bottom"/>
          </w:tcPr>
          <w:p>
            <w:pPr>
              <w:spacing w:after="0"/>
              <w:rPr>
                <w:sz w:val="15"/>
                <w:szCs w:val="15"/>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20"/>
              <w:spacing w:after="0" w:line="176" w:lineRule="exact"/>
              <w:rPr>
                <w:sz w:val="20"/>
                <w:szCs w:val="20"/>
                <w:color w:val="auto"/>
              </w:rPr>
            </w:pPr>
            <w:r>
              <w:rPr>
                <w:rFonts w:ascii="Arial" w:cs="Arial" w:eastAsia="Arial" w:hAnsi="Arial"/>
                <w:sz w:val="18"/>
                <w:szCs w:val="18"/>
                <w:color w:val="auto"/>
              </w:rPr>
              <w:t>facilities – term</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29"/>
        </w:trPr>
        <w:tc>
          <w:tcPr>
            <w:tcW w:w="1840" w:type="dxa"/>
            <w:vAlign w:val="bottom"/>
          </w:tcPr>
          <w:p>
            <w:pPr>
              <w:ind w:left="220"/>
              <w:spacing w:after="0"/>
              <w:rPr>
                <w:sz w:val="20"/>
                <w:szCs w:val="20"/>
                <w:color w:val="auto"/>
              </w:rPr>
            </w:pPr>
            <w:r>
              <w:rPr>
                <w:rFonts w:ascii="Arial" w:cs="Arial" w:eastAsia="Arial" w:hAnsi="Arial"/>
                <w:sz w:val="18"/>
                <w:szCs w:val="18"/>
                <w:color w:val="auto"/>
              </w:rPr>
              <w:t>loans</w:t>
            </w:r>
          </w:p>
        </w:tc>
        <w:tc>
          <w:tcPr>
            <w:tcW w:w="1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Senior Notes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2031 – 4.000%</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640"/>
              <w:spacing w:after="0" w:line="176" w:lineRule="exact"/>
              <w:rPr>
                <w:sz w:val="20"/>
                <w:szCs w:val="20"/>
                <w:color w:val="auto"/>
              </w:rPr>
            </w:pPr>
            <w:r>
              <w:rPr>
                <w:rFonts w:ascii="Arial" w:cs="Arial" w:eastAsia="Arial" w:hAnsi="Arial"/>
                <w:sz w:val="18"/>
                <w:szCs w:val="18"/>
                <w:color w:val="auto"/>
              </w:rPr>
              <w:t>Senior Notes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30"/>
        </w:trPr>
        <w:tc>
          <w:tcPr>
            <w:tcW w:w="1840" w:type="dxa"/>
            <w:vAlign w:val="bottom"/>
          </w:tcPr>
          <w:p>
            <w:pPr>
              <w:ind w:left="220"/>
              <w:spacing w:after="0"/>
              <w:rPr>
                <w:sz w:val="20"/>
                <w:szCs w:val="20"/>
                <w:color w:val="auto"/>
              </w:rPr>
            </w:pPr>
            <w:r>
              <w:rPr>
                <w:rFonts w:ascii="Arial" w:cs="Arial" w:eastAsia="Arial" w:hAnsi="Arial"/>
                <w:sz w:val="18"/>
                <w:szCs w:val="18"/>
                <w:color w:val="auto"/>
              </w:rPr>
              <w:t>due 2032 – 4.375%</w:t>
            </w:r>
          </w:p>
        </w:tc>
        <w:tc>
          <w:tcPr>
            <w:tcW w:w="1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Senior Notes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2029 – 4.500%</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640"/>
              <w:spacing w:after="0" w:line="176" w:lineRule="exact"/>
              <w:rPr>
                <w:sz w:val="20"/>
                <w:szCs w:val="20"/>
                <w:color w:val="auto"/>
              </w:rPr>
            </w:pPr>
            <w:r>
              <w:rPr>
                <w:rFonts w:ascii="Arial" w:cs="Arial" w:eastAsia="Arial" w:hAnsi="Arial"/>
                <w:sz w:val="18"/>
                <w:szCs w:val="18"/>
                <w:color w:val="auto"/>
              </w:rPr>
              <w:t>Senior Notes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30"/>
        </w:trPr>
        <w:tc>
          <w:tcPr>
            <w:tcW w:w="1840" w:type="dxa"/>
            <w:vAlign w:val="bottom"/>
          </w:tcPr>
          <w:p>
            <w:pPr>
              <w:ind w:left="220"/>
              <w:spacing w:after="0"/>
              <w:rPr>
                <w:sz w:val="20"/>
                <w:szCs w:val="20"/>
                <w:color w:val="auto"/>
              </w:rPr>
            </w:pPr>
            <w:r>
              <w:rPr>
                <w:rFonts w:ascii="Arial" w:cs="Arial" w:eastAsia="Arial" w:hAnsi="Arial"/>
                <w:sz w:val="18"/>
                <w:szCs w:val="18"/>
                <w:color w:val="auto"/>
              </w:rPr>
              <w:t>due 2026 – 5.250%</w:t>
            </w:r>
          </w:p>
        </w:tc>
        <w:tc>
          <w:tcPr>
            <w:tcW w:w="1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Receivables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640"/>
              <w:spacing w:after="0"/>
              <w:rPr>
                <w:sz w:val="20"/>
                <w:szCs w:val="20"/>
                <w:color w:val="auto"/>
              </w:rPr>
            </w:pPr>
            <w:r>
              <w:rPr>
                <w:rFonts w:ascii="Arial" w:cs="Arial" w:eastAsia="Arial" w:hAnsi="Arial"/>
                <w:sz w:val="18"/>
                <w:szCs w:val="18"/>
                <w:color w:val="auto"/>
              </w:rPr>
              <w:t>Other debt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cost basis of convertible debt investments was $193.1 at January 1, 2022 and September 30, 2021. There were no purchases of convertible debt investments during the three months ended January 1, 2022. During the three months ended January 1, 2022, the Company recorded an unrealized gain of $0.2 in AOCL and recorded investment income of $0.8 associated with its Level 3 convertible debt investments. The amortized cost basis of convertible debt investments was $194.2 and $193.4 at January 1, 2022 and September 30,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January 1, 2022, there were no material operating leases that the Company had entered into that were yet to commence. From time to time, the Company will sublease portions of its facilities, resulting in sublease income. Sublease income and the related cash flows were not material to the condensed consolidated financial statements for the three months ended January 1, 2022 and January 2, 2021.</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January 1, 2022, the Company’s residual value guarantee would have approximated $5.0.</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1" w:name="page22"/>
    <w:bookmarkEnd w:id="2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4"/>
                <w:szCs w:val="14"/>
                <w:color w:val="auto"/>
              </w:rPr>
            </w:pPr>
          </w:p>
        </w:tc>
        <w:tc>
          <w:tcPr>
            <w:tcW w:w="118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January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ind w:left="34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gridSpan w:val="3"/>
            <w:vMerge w:val="restart"/>
          </w:tcPr>
          <w:p>
            <w:pPr>
              <w:ind w:left="420"/>
              <w:spacing w:after="0"/>
              <w:rPr>
                <w:sz w:val="20"/>
                <w:szCs w:val="20"/>
                <w:color w:val="auto"/>
              </w:rPr>
            </w:pPr>
            <w:r>
              <w:rPr>
                <w:rFonts w:ascii="Arial" w:cs="Arial" w:eastAsia="Arial" w:hAnsi="Arial"/>
                <w:sz w:val="18"/>
                <w:szCs w:val="18"/>
                <w:color w:val="auto"/>
              </w:rPr>
              <w:t>Components of lease cost were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5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5"/>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1"/>
                <w:szCs w:val="11"/>
                <w:color w:val="auto"/>
              </w:rPr>
            </w:pPr>
          </w:p>
        </w:tc>
        <w:tc>
          <w:tcPr>
            <w:tcW w:w="1020" w:type="dxa"/>
            <w:vAlign w:val="bottom"/>
          </w:tcPr>
          <w:p>
            <w:pPr>
              <w:jc w:val="right"/>
              <w:ind w:right="193"/>
              <w:spacing w:after="0" w:line="135"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324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5"/>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3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hanging="652"/>
        <w:spacing w:after="0" w:line="277"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cost includes amortization of ROU assets of $17.6 and $13.3 for the three months ended January 1, 2022 and January 2, 2021, respectively. Short-term lease expense is excluded from operating lease cost and is not material.</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5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1"/>
                <w:szCs w:val="11"/>
                <w:color w:val="auto"/>
              </w:rPr>
            </w:pPr>
          </w:p>
        </w:tc>
        <w:tc>
          <w:tcPr>
            <w:tcW w:w="102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January 2,</w:t>
            </w:r>
          </w:p>
        </w:tc>
      </w:tr>
      <w:tr>
        <w:trPr>
          <w:trHeight w:val="188"/>
        </w:trPr>
        <w:tc>
          <w:tcPr>
            <w:tcW w:w="550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1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3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3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50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864"/>
        </w:trPr>
        <w:tc>
          <w:tcPr>
            <w:tcW w:w="5500" w:type="dxa"/>
            <w:vAlign w:val="bottom"/>
          </w:tcPr>
          <w:p>
            <w:pPr>
              <w:spacing w:after="0"/>
              <w:rPr>
                <w:sz w:val="24"/>
                <w:szCs w:val="24"/>
                <w:color w:val="auto"/>
              </w:rPr>
            </w:pPr>
          </w:p>
        </w:tc>
        <w:tc>
          <w:tcPr>
            <w:tcW w:w="3220" w:type="dxa"/>
            <w:vAlign w:val="bottom"/>
          </w:tcPr>
          <w:p>
            <w:pPr>
              <w:jc w:val="right"/>
              <w:ind w:right="2910"/>
              <w:spacing w:after="0"/>
              <w:rPr>
                <w:sz w:val="20"/>
                <w:szCs w:val="20"/>
                <w:color w:val="auto"/>
              </w:rPr>
            </w:pPr>
            <w:r>
              <w:rPr>
                <w:rFonts w:ascii="Arial" w:cs="Arial" w:eastAsia="Arial" w:hAnsi="Arial"/>
                <w:sz w:val="18"/>
                <w:szCs w:val="18"/>
                <w:color w:val="auto"/>
                <w:w w:val="99"/>
              </w:rPr>
              <w:t>22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auto"/>
              </w:rPr>
              <w:t>January 1,</w:t>
            </w:r>
          </w:p>
        </w:tc>
      </w:tr>
      <w:tr>
        <w:trPr>
          <w:trHeight w:val="188"/>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w w:val="89"/>
              </w:rPr>
              <w:t>2022</w:t>
            </w:r>
          </w:p>
        </w:tc>
      </w:tr>
      <w:tr>
        <w:trPr>
          <w:trHeight w:val="21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6"/>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473"/>
        </w:trPr>
        <w:tc>
          <w:tcPr>
            <w:tcW w:w="8140" w:type="dxa"/>
            <w:vAlign w:val="bottom"/>
            <w:gridSpan w:val="2"/>
          </w:tcPr>
          <w:p>
            <w:pPr>
              <w:ind w:left="420"/>
              <w:spacing w:after="0"/>
              <w:rPr>
                <w:sz w:val="20"/>
                <w:szCs w:val="20"/>
                <w:color w:val="auto"/>
              </w:rPr>
            </w:pPr>
            <w:r>
              <w:rPr>
                <w:rFonts w:ascii="Arial" w:cs="Arial" w:eastAsia="Arial" w:hAnsi="Arial"/>
                <w:sz w:val="18"/>
                <w:szCs w:val="18"/>
                <w:color w:val="auto"/>
                <w:w w:val="90"/>
              </w:rPr>
              <w:t>Maturities of lease liabilities by fiscal year for the Company’s leases as of January 1, 2022 were as follows:</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0"/>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Operating Leases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outside the United States.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10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8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40" w:type="dxa"/>
            <w:vAlign w:val="bottom"/>
          </w:tcPr>
          <w:p>
            <w:pPr>
              <w:jc w:val="center"/>
              <w:ind w:right="172"/>
              <w:spacing w:after="0" w:line="135" w:lineRule="exact"/>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342.4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 (Loss):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Profit (Loss)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8060" w:type="dxa"/>
            <w:vAlign w:val="bottom"/>
          </w:tcPr>
          <w:p>
            <w:pPr>
              <w:ind w:left="480"/>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
        </w:trPr>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The following table presents net sales by product category for the periods indicated:</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40" w:type="dxa"/>
            <w:vAlign w:val="bottom"/>
          </w:tcPr>
          <w:p>
            <w:pPr>
              <w:jc w:val="center"/>
              <w:ind w:right="172"/>
              <w:spacing w:after="0" w:line="135" w:lineRule="exact"/>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Lawn care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 and mulch</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Controls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Hawthorne: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Lighting</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environments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Nutrients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Other, primarily hardware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Growing media</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primarily gardening and controls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2" w:right="399" w:bottom="1440" w:gutter="0" w:footer="0" w:header="0"/>
        </w:sectPr>
      </w:pPr>
    </w:p>
    <w:bookmarkStart w:id="24" w:name="page25"/>
    <w:bookmarkEnd w:id="2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1"/>
                <w:szCs w:val="11"/>
                <w:color w:val="auto"/>
              </w:rPr>
            </w:pPr>
          </w:p>
        </w:tc>
        <w:tc>
          <w:tcPr>
            <w:tcW w:w="1240" w:type="dxa"/>
            <w:vAlign w:val="bottom"/>
          </w:tcPr>
          <w:p>
            <w:pPr>
              <w:jc w:val="right"/>
              <w:ind w:right="337"/>
              <w:spacing w:after="0" w:line="135" w:lineRule="exact"/>
              <w:rPr>
                <w:sz w:val="20"/>
                <w:szCs w:val="20"/>
                <w:color w:val="auto"/>
              </w:rPr>
            </w:pPr>
            <w:r>
              <w:rPr>
                <w:rFonts w:ascii="Arial" w:cs="Arial" w:eastAsia="Arial" w:hAnsi="Arial"/>
                <w:sz w:val="14"/>
                <w:szCs w:val="14"/>
                <w:b w:val="1"/>
                <w:bCs w:val="1"/>
                <w:color w:val="auto"/>
              </w:rPr>
              <w:t>January 2,</w:t>
            </w:r>
          </w:p>
        </w:tc>
      </w:tr>
      <w:tr>
        <w:trPr>
          <w:trHeight w:val="188"/>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680.5</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3"/>
        </w:trPr>
        <w:tc>
          <w:tcPr>
            <w:tcW w:w="80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2" w:right="379" w:bottom="1440" w:gutter="0" w:footer="0" w:header="0"/>
        </w:sectPr>
      </w:pPr>
    </w:p>
    <w:bookmarkStart w:id="25" w:name="page26"/>
    <w:bookmarkEnd w:id="2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purpose of this Management’s Discussion and Analysis (“MD&amp;A”) is to provide an understanding of our financial condition and results of operations by focusing on changes in certain key measures from year-to-year. This MD&amp;A is divided into the following sections:</w:t>
      </w:r>
    </w:p>
    <w:p>
      <w:pPr>
        <w:spacing w:after="0" w:line="6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2021 (the “2021 Annual Report”) and our condensed consolidated financial statements included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6"/>
          <w:szCs w:val="16"/>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lawn and grass seed products;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soil, plant food and insecticide, LiquaFeed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plant food and Osmocote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gardening and landscape products; and Ortho</w:t>
      </w:r>
      <w:r>
        <w:rPr>
          <w:rFonts w:ascii="Arial" w:cs="Arial" w:eastAsia="Arial" w:hAnsi="Arial"/>
          <w:sz w:val="20"/>
          <w:szCs w:val="20"/>
          <w:color w:val="auto"/>
          <w:vertAlign w:val="superscript"/>
        </w:rPr>
        <w:t>®</w:t>
      </w:r>
      <w:r>
        <w:rPr>
          <w:rFonts w:ascii="Arial" w:cs="Arial" w:eastAsia="Arial" w:hAnsi="Arial"/>
          <w:sz w:val="16"/>
          <w:szCs w:val="16"/>
          <w:color w:val="auto"/>
        </w:rPr>
        <w:t>, Home Defense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Tomcat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insect control, weed control and rodent control products. We are the exclusive agent of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within the United States and certain other specified countries. We also have a presence in similar branded consumer products in China. In addition, we own a 50% equity interest in Bonnie Plants, LLC, a joint venture with AFC, focused on planting, growing, developing, distributing, marketing and selling live plants.</w:t>
      </w:r>
    </w:p>
    <w:p>
      <w:pPr>
        <w:spacing w:after="0" w:line="5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Through our Hawthorne segment, we are the leading manufacturer, marketer and distributor of lighting, nutrients, growing media, growing environments and hardware products for indoor and hydroponic gardening in North America. Our key brands include General Hydroponics</w:t>
      </w:r>
      <w:r>
        <w:rPr>
          <w:rFonts w:ascii="Arial" w:cs="Arial" w:eastAsia="Arial" w:hAnsi="Arial"/>
          <w:sz w:val="22"/>
          <w:szCs w:val="22"/>
          <w:color w:val="auto"/>
          <w:vertAlign w:val="superscript"/>
        </w:rPr>
        <w:t>®</w:t>
      </w:r>
      <w:r>
        <w:rPr>
          <w:rFonts w:ascii="Arial" w:cs="Arial" w:eastAsia="Arial" w:hAnsi="Arial"/>
          <w:sz w:val="17"/>
          <w:szCs w:val="17"/>
          <w:color w:val="auto"/>
        </w:rPr>
        <w:t>, Gavita</w:t>
      </w:r>
      <w:r>
        <w:rPr>
          <w:rFonts w:ascii="Arial" w:cs="Arial" w:eastAsia="Arial" w:hAnsi="Arial"/>
          <w:sz w:val="22"/>
          <w:szCs w:val="22"/>
          <w:color w:val="auto"/>
          <w:vertAlign w:val="superscript"/>
        </w:rPr>
        <w:t>®</w:t>
      </w:r>
      <w:r>
        <w:rPr>
          <w:rFonts w:ascii="Arial" w:cs="Arial" w:eastAsia="Arial" w:hAnsi="Arial"/>
          <w:sz w:val="17"/>
          <w:szCs w:val="17"/>
          <w:color w:val="auto"/>
        </w:rPr>
        <w:t>, Botanicare</w:t>
      </w:r>
      <w:r>
        <w:rPr>
          <w:rFonts w:ascii="Arial" w:cs="Arial" w:eastAsia="Arial" w:hAnsi="Arial"/>
          <w:sz w:val="22"/>
          <w:szCs w:val="22"/>
          <w:color w:val="auto"/>
          <w:vertAlign w:val="superscript"/>
        </w:rPr>
        <w:t>®</w:t>
      </w:r>
      <w:r>
        <w:rPr>
          <w:rFonts w:ascii="Arial" w:cs="Arial" w:eastAsia="Arial" w:hAnsi="Arial"/>
          <w:sz w:val="17"/>
          <w:szCs w:val="17"/>
          <w:color w:val="auto"/>
        </w:rPr>
        <w:t>, Agrolux</w:t>
      </w:r>
      <w:r>
        <w:rPr>
          <w:rFonts w:ascii="Arial" w:cs="Arial" w:eastAsia="Arial" w:hAnsi="Arial"/>
          <w:sz w:val="22"/>
          <w:szCs w:val="22"/>
          <w:color w:val="auto"/>
          <w:vertAlign w:val="superscript"/>
        </w:rPr>
        <w:t>®</w:t>
      </w:r>
      <w:r>
        <w:rPr>
          <w:rFonts w:ascii="Arial" w:cs="Arial" w:eastAsia="Arial" w:hAnsi="Arial"/>
          <w:sz w:val="17"/>
          <w:szCs w:val="17"/>
          <w:color w:val="auto"/>
        </w:rPr>
        <w:t>, Can-Filters</w:t>
      </w:r>
      <w:r>
        <w:rPr>
          <w:rFonts w:ascii="Arial" w:cs="Arial" w:eastAsia="Arial" w:hAnsi="Arial"/>
          <w:sz w:val="22"/>
          <w:szCs w:val="22"/>
          <w:color w:val="auto"/>
          <w:vertAlign w:val="superscript"/>
        </w:rPr>
        <w:t>®</w:t>
      </w:r>
      <w:r>
        <w:rPr>
          <w:rFonts w:ascii="Arial" w:cs="Arial" w:eastAsia="Arial" w:hAnsi="Arial"/>
          <w:sz w:val="17"/>
          <w:szCs w:val="17"/>
          <w:color w:val="auto"/>
        </w:rPr>
        <w:t>, Sun System</w:t>
      </w:r>
      <w:r>
        <w:rPr>
          <w:rFonts w:ascii="Arial" w:cs="Arial" w:eastAsia="Arial" w:hAnsi="Arial"/>
          <w:sz w:val="22"/>
          <w:szCs w:val="22"/>
          <w:color w:val="auto"/>
          <w:vertAlign w:val="superscript"/>
        </w:rPr>
        <w:t>®</w:t>
      </w:r>
      <w:r>
        <w:rPr>
          <w:rFonts w:ascii="Arial" w:cs="Arial" w:eastAsia="Arial" w:hAnsi="Arial"/>
          <w:sz w:val="17"/>
          <w:szCs w:val="17"/>
          <w:color w:val="auto"/>
        </w:rPr>
        <w:t>, Gro Pro</w:t>
      </w:r>
      <w:r>
        <w:rPr>
          <w:rFonts w:ascii="Arial" w:cs="Arial" w:eastAsia="Arial" w:hAnsi="Arial"/>
          <w:sz w:val="22"/>
          <w:szCs w:val="22"/>
          <w:color w:val="auto"/>
          <w:vertAlign w:val="superscript"/>
        </w:rPr>
        <w:t>®</w:t>
      </w:r>
      <w:r>
        <w:rPr>
          <w:rFonts w:ascii="Arial" w:cs="Arial" w:eastAsia="Arial" w:hAnsi="Arial"/>
          <w:sz w:val="17"/>
          <w:szCs w:val="17"/>
          <w:color w:val="auto"/>
        </w:rPr>
        <w:t>, Mother Earth</w:t>
      </w:r>
      <w:r>
        <w:rPr>
          <w:rFonts w:ascii="Arial" w:cs="Arial" w:eastAsia="Arial" w:hAnsi="Arial"/>
          <w:sz w:val="22"/>
          <w:szCs w:val="22"/>
          <w:color w:val="auto"/>
          <w:vertAlign w:val="superscript"/>
        </w:rPr>
        <w:t>®</w:t>
      </w:r>
      <w:r>
        <w:rPr>
          <w:rFonts w:ascii="Arial" w:cs="Arial" w:eastAsia="Arial" w:hAnsi="Arial"/>
          <w:sz w:val="17"/>
          <w:szCs w:val="17"/>
          <w:color w:val="auto"/>
        </w:rPr>
        <w:t>, Hurricane</w:t>
      </w:r>
      <w:r>
        <w:rPr>
          <w:rFonts w:ascii="Arial" w:cs="Arial" w:eastAsia="Arial" w:hAnsi="Arial"/>
          <w:sz w:val="22"/>
          <w:szCs w:val="22"/>
          <w:color w:val="auto"/>
          <w:vertAlign w:val="superscript"/>
        </w:rPr>
        <w:t>®</w:t>
      </w:r>
      <w:r>
        <w:rPr>
          <w:rFonts w:ascii="Arial" w:cs="Arial" w:eastAsia="Arial" w:hAnsi="Arial"/>
          <w:sz w:val="17"/>
          <w:szCs w:val="17"/>
          <w:color w:val="auto"/>
        </w:rPr>
        <w:t>, Grower’s Edge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Hydro-Logic</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2" w:lineRule="exact"/>
        <w:rPr>
          <w:sz w:val="20"/>
          <w:szCs w:val="20"/>
          <w:color w:val="auto"/>
        </w:rPr>
      </w:pPr>
    </w:p>
    <w:p>
      <w:pPr>
        <w:jc w:val="both"/>
        <w:ind w:firstLine="445"/>
        <w:spacing w:after="0" w:line="305" w:lineRule="auto"/>
        <w:rPr>
          <w:sz w:val="20"/>
          <w:szCs w:val="20"/>
          <w:color w:val="auto"/>
        </w:rPr>
      </w:pPr>
      <w:r>
        <w:rPr>
          <w:rFonts w:ascii="Arial" w:cs="Arial" w:eastAsia="Arial" w:hAnsi="Arial"/>
          <w:sz w:val="17"/>
          <w:szCs w:val="17"/>
          <w:color w:val="auto"/>
        </w:rPr>
        <w:t>On December 30, 2021, our Hawthorne segment completed the acquisition of substantially all of the assets of Luxx Lighting, Inc., a leading provider of lighting products for indoor growing that significantly strengthens our industry-leading lighting portfolio, for a purchase price of $213.5.</w:t>
      </w:r>
    </w:p>
    <w:p>
      <w:pPr>
        <w:spacing w:after="0" w:line="2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During fiscal 2021, we announced the creation of a newly formed subsidiary, THC, which will focus on strategic minority non-equity investments in areas of the cannabis industry not currently pursued by our Hawthorne segment. This initiative is designed to allow us, in the future, to participate directly in a larger marketplace as the legal environment changes over time. On August 24, 2021, we made our initial investment under this initiative in the form of a $150.0 six-year convertible note issued to us by Toronto-based RIV Capital (CSE: RIV) (OTC: CNPOF), a cannabis investment and acquisition firm listed on the Canadian Securities Exchange. During the fourth quarter of fiscal 2021, we made additional minority non-equity investments of $43.1 in other entities focused on branded cannabis and high quality genetics. These investments include conversion features that would provide us with minority ownership interests in these entities if we exercise the conversion features. Refer to “NOTE 2. ACQUISITIONS AND INVESTMENTS” for more information regarding these investments.</w:t>
      </w:r>
    </w:p>
    <w:p>
      <w:pPr>
        <w:spacing w:after="0" w:line="5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9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Due to the seasonal nature of the consumer lawn and garden business, for our U.S. Consumer and Other segments, significant portions of our products ship to our retail customers during our second and third fiscal quarters, as noted in the table below. Our annual net sales are further concentrated in the second and third fiscal quarters by retailers who rely on our ability to deliver products closer to when consumers buy our products, thereby reducing retailers’ pre-season inventories. For our Hawthorne segment, sales are also impacted by seasonal patterns for certain product categories due to the timing of outdoor growing in North America during our second and third fiscal quarters, and the timing of certain controlled agricultural lighting project sales during our third and fourth fiscal quarters.</w:t>
      </w:r>
    </w:p>
    <w:p>
      <w:pPr>
        <w:jc w:val="center"/>
        <w:ind w:left="6180"/>
        <w:spacing w:after="0" w:line="237" w:lineRule="auto"/>
        <w:rPr>
          <w:sz w:val="20"/>
          <w:szCs w:val="20"/>
          <w:color w:val="auto"/>
        </w:rPr>
      </w:pPr>
      <w:r>
        <w:rPr>
          <w:rFonts w:ascii="Arial" w:cs="Arial" w:eastAsia="Arial" w:hAnsi="Arial"/>
          <w:sz w:val="14"/>
          <w:szCs w:val="14"/>
          <w:b w:val="1"/>
          <w:bCs w:val="1"/>
          <w:color w:val="auto"/>
        </w:rPr>
        <w:t>Percent of Net Sales from Continuing</w:t>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Operations by Quarter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24"/>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37.1 %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33.5 %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37.7 %</w:t>
            </w:r>
          </w:p>
        </w:tc>
      </w:tr>
      <w:tr>
        <w:trPr>
          <w:trHeight w:val="23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15.0 %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15.8 %</w:t>
            </w:r>
          </w:p>
        </w:tc>
      </w:tr>
    </w:tbl>
    <w:p>
      <w:pPr>
        <w:spacing w:after="0" w:line="21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February 6, 2020, Scotts Miracle-Gro announced that its Board of Directors authorized the repurchase of up to $750.0 of Common Shares from April 30, 2020 through March 25, 2023. During the three months ended January 1, 2022 and January 2, 2021, Scotts Miracle-Gro repurchased approximately 0.8 million and 0.2 million Common Shares under this share repurchase authorization for $125.0 and $38.0, respectively.</w:t>
      </w:r>
    </w:p>
    <w:p>
      <w:pPr>
        <w:spacing w:after="0" w:line="9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27, 2020, the Scotts Miracle-Gro Board of Directors approved an increase in our quarterly cash dividend from $0.58 to $0.62 per Common Share, which was first paid in the fourth quarter of fiscal 2020. On July 30, 2021, the Scotts Miracle-Gro Board of Directors approved an increase in our quarterly cash dividend from $0.62 to $0.66 per Common Share, which was first paid in the fourth quarter of fiscal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 and Impacts</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COVID-19 pandemic has had, and continues to have, an impact on financial markets, economic conditions, and portions of our business and industry. 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Many of our employees continue to work from home. In those instances where our employees cannot perform their work at home, we have implemented additional health and safety measures and social distancing protocols, consistent with government recommendations and/or requirements, to help to ensure their safety. In addition, we implemented an interim premium pay allowance for certain associates in our field sales force and our manufacturing or distribution centers, which paid out nearly $50.0 in aggregate during fiscal 2020 and 2021.</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extent to which the COVID-19 pandemic will impact our business, results of operations, financial condition and cash flows in the future will depend on future developments, including the duration, spread and intensity of the pandemic, our continued ability to manufacture and distribute our products, as well as any future government actions affecting consumers and the economy generally, all of which are uncertain and difficult to predict considering the rapidly evolving landscape. We are not able to predict the impact, if any, that the COVID-19 pandemic may have on the seasonality of our business.</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Although we currently expect to be able to continue operating our business as described above and we intend to continue to work with government authorities and to follow the necessary protocols to maintain the health and safety of our employees, the COVID-19 pandemic could result in additional disruptions to our business, including our global supply chain and retailer network, and/or require us to incur additional operational costs. For additional information on the impacts of, and our response to, the COVID-19 pandemic, refer to “Management’s Discussion and Analysis of Financial Condition and Results of Operations” in Part II, Item 7 of the 2021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components of earnings as a percentage of net sales for the three months ended January 1, 2022 and January 2,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w:t>
            </w: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 Of</w:t>
            </w:r>
          </w:p>
        </w:tc>
      </w:tr>
      <w:tr>
        <w:trPr>
          <w:trHeight w:val="188"/>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 Sales</w:t>
            </w:r>
          </w:p>
        </w:tc>
        <w:tc>
          <w:tcPr>
            <w:tcW w:w="200" w:type="dxa"/>
            <w:vAlign w:val="bottom"/>
          </w:tcPr>
          <w:p>
            <w:pPr>
              <w:spacing w:after="0"/>
              <w:rPr>
                <w:sz w:val="16"/>
                <w:szCs w:val="16"/>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24"/>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73.3</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25.5</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20.9</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29"/>
        </w:trPr>
        <w:tc>
          <w:tcPr>
            <w:tcW w:w="5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48"/>
        </w:trPr>
        <w:tc>
          <w:tcPr>
            <w:tcW w:w="5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sales for the three months ended January 1, 2022 were $566.0, a decrease of 24.4% from net sales of $748.6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 2021. These changes in net sales were attributable to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880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January 1, 2022</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440" w:type="dxa"/>
            <w:vAlign w:val="bottom"/>
            <w:shd w:val="clear" w:color="auto" w:fill="CCEEFF"/>
          </w:tcPr>
          <w:p>
            <w:pPr>
              <w:jc w:val="center"/>
              <w:ind w:left="1736"/>
              <w:spacing w:after="0"/>
              <w:rPr>
                <w:sz w:val="20"/>
                <w:szCs w:val="20"/>
                <w:color w:val="auto"/>
              </w:rPr>
            </w:pPr>
            <w:r>
              <w:rPr>
                <w:rFonts w:ascii="Arial" w:cs="Arial" w:eastAsia="Arial" w:hAnsi="Arial"/>
                <w:sz w:val="18"/>
                <w:szCs w:val="18"/>
                <w:color w:val="auto"/>
                <w:w w:val="91"/>
              </w:rPr>
              <w:t>(28.6)%</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Pricing</w:t>
            </w:r>
          </w:p>
        </w:tc>
        <w:tc>
          <w:tcPr>
            <w:tcW w:w="2440" w:type="dxa"/>
            <w:vAlign w:val="bottom"/>
          </w:tcPr>
          <w:p>
            <w:pPr>
              <w:jc w:val="center"/>
              <w:ind w:left="1696"/>
              <w:spacing w:after="0"/>
              <w:rPr>
                <w:sz w:val="20"/>
                <w:szCs w:val="20"/>
                <w:color w:val="auto"/>
              </w:rPr>
            </w:pPr>
            <w:r>
              <w:rPr>
                <w:rFonts w:ascii="Arial" w:cs="Arial" w:eastAsia="Arial" w:hAnsi="Arial"/>
                <w:sz w:val="18"/>
                <w:szCs w:val="18"/>
                <w:color w:val="auto"/>
                <w:w w:val="87"/>
              </w:rPr>
              <w:t>3.9</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440" w:type="dxa"/>
            <w:vAlign w:val="bottom"/>
            <w:tcBorders>
              <w:bottom w:val="single" w:sz="8" w:color="auto"/>
            </w:tcBorders>
            <w:shd w:val="clear" w:color="auto" w:fill="CCEEFF"/>
          </w:tcPr>
          <w:p>
            <w:pPr>
              <w:jc w:val="center"/>
              <w:ind w:left="1696"/>
              <w:spacing w:after="0"/>
              <w:rPr>
                <w:sz w:val="20"/>
                <w:szCs w:val="20"/>
                <w:color w:val="auto"/>
              </w:rPr>
            </w:pPr>
            <w:r>
              <w:rPr>
                <w:rFonts w:ascii="Arial" w:cs="Arial" w:eastAsia="Arial" w:hAnsi="Arial"/>
                <w:sz w:val="18"/>
                <w:szCs w:val="18"/>
                <w:color w:val="auto"/>
                <w:w w:val="87"/>
              </w:rPr>
              <w:t>0.3</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Change in net sales</w:t>
            </w:r>
          </w:p>
        </w:tc>
        <w:tc>
          <w:tcPr>
            <w:tcW w:w="2440" w:type="dxa"/>
            <w:vAlign w:val="bottom"/>
            <w:tcBorders>
              <w:bottom w:val="single" w:sz="8" w:color="auto"/>
            </w:tcBorders>
          </w:tcPr>
          <w:p>
            <w:pPr>
              <w:jc w:val="center"/>
              <w:ind w:left="1736"/>
              <w:spacing w:after="0"/>
              <w:rPr>
                <w:sz w:val="20"/>
                <w:szCs w:val="20"/>
                <w:color w:val="auto"/>
              </w:rPr>
            </w:pPr>
            <w:r>
              <w:rPr>
                <w:rFonts w:ascii="Arial" w:cs="Arial" w:eastAsia="Arial" w:hAnsi="Arial"/>
                <w:sz w:val="18"/>
                <w:szCs w:val="18"/>
                <w:color w:val="auto"/>
                <w:w w:val="91"/>
              </w:rPr>
              <w:t>(24.4)%</w:t>
            </w:r>
          </w:p>
        </w:tc>
      </w:tr>
      <w:tr>
        <w:trPr>
          <w:trHeight w:val="20"/>
        </w:trPr>
        <w:tc>
          <w:tcPr>
            <w:tcW w:w="88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net sales for the three months ended January 1, 2022 as compared to the three months ended January 2, 2021 was primarily driven by:</w:t>
      </w:r>
    </w:p>
    <w:p>
      <w:pPr>
        <w:spacing w:after="0" w:line="140" w:lineRule="exact"/>
        <w:rPr>
          <w:sz w:val="20"/>
          <w:szCs w:val="20"/>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333333"/>
        </w:rPr>
      </w:pPr>
      <w:r>
        <w:rPr>
          <w:rFonts w:ascii="Arial" w:cs="Arial" w:eastAsia="Arial" w:hAnsi="Arial"/>
          <w:sz w:val="18"/>
          <w:szCs w:val="18"/>
          <w:color w:val="auto"/>
        </w:rPr>
        <w:t>decreased sales volume driven by lighting, nutrients, growing media, hardware and growing environments products in our Hawthorne segment; and fertilizer, soils and controls products in our U.S. Consumer segment;</w:t>
      </w:r>
    </w:p>
    <w:p>
      <w:pPr>
        <w:spacing w:after="0" w:line="62" w:lineRule="exact"/>
        <w:rPr>
          <w:rFonts w:ascii="Arial" w:cs="Arial" w:eastAsia="Arial" w:hAnsi="Arial"/>
          <w:sz w:val="18"/>
          <w:szCs w:val="18"/>
          <w:color w:val="333333"/>
        </w:rPr>
      </w:pPr>
    </w:p>
    <w:p>
      <w:pPr>
        <w:ind w:left="980" w:hanging="324"/>
        <w:spacing w:after="0"/>
        <w:tabs>
          <w:tab w:leader="none" w:pos="980" w:val="left"/>
        </w:tabs>
        <w:numPr>
          <w:ilvl w:val="0"/>
          <w:numId w:val="8"/>
        </w:numPr>
        <w:rPr>
          <w:rFonts w:ascii="Arial" w:cs="Arial" w:eastAsia="Arial" w:hAnsi="Arial"/>
          <w:sz w:val="18"/>
          <w:szCs w:val="18"/>
          <w:color w:val="333333"/>
        </w:rPr>
      </w:pPr>
      <w:r>
        <w:rPr>
          <w:rFonts w:ascii="Arial" w:cs="Arial" w:eastAsia="Arial" w:hAnsi="Arial"/>
          <w:sz w:val="18"/>
          <w:szCs w:val="18"/>
          <w:color w:val="auto"/>
        </w:rPr>
        <w:t>partially offset by increased pricing in our U.S. Consumer, Hawthorne and Other segments; and</w:t>
      </w:r>
    </w:p>
    <w:p>
      <w:pPr>
        <w:spacing w:after="0" w:line="117" w:lineRule="exact"/>
        <w:rPr>
          <w:rFonts w:ascii="Arial" w:cs="Arial" w:eastAsia="Arial" w:hAnsi="Arial"/>
          <w:sz w:val="18"/>
          <w:szCs w:val="18"/>
          <w:color w:val="333333"/>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 of net sales from acquisitions.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5"/>
        </w:trPr>
        <w:tc>
          <w:tcPr>
            <w:tcW w:w="3780" w:type="dxa"/>
            <w:vAlign w:val="bottom"/>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492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THE SCOTTS MIRACLE-GRO COMPANY</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6"/>
        </w:trPr>
        <w:tc>
          <w:tcPr>
            <w:tcW w:w="3780" w:type="dxa"/>
            <w:vAlign w:val="bottom"/>
          </w:tcPr>
          <w:p>
            <w:pPr>
              <w:spacing w:after="0"/>
              <w:rPr>
                <w:sz w:val="16"/>
                <w:szCs w:val="16"/>
                <w:color w:val="auto"/>
              </w:rPr>
            </w:pPr>
          </w:p>
        </w:tc>
        <w:tc>
          <w:tcPr>
            <w:tcW w:w="4920" w:type="dxa"/>
            <w:vAlign w:val="bottom"/>
            <w:gridSpan w:val="2"/>
          </w:tcPr>
          <w:p>
            <w:pPr>
              <w:jc w:val="right"/>
              <w:ind w:right="1690"/>
              <w:spacing w:after="0"/>
              <w:rPr>
                <w:sz w:val="20"/>
                <w:szCs w:val="20"/>
                <w:color w:val="auto"/>
              </w:rPr>
            </w:pPr>
            <w:r>
              <w:rPr>
                <w:rFonts w:ascii="Arial" w:cs="Arial" w:eastAsia="Arial" w:hAnsi="Arial"/>
                <w:sz w:val="14"/>
                <w:szCs w:val="14"/>
                <w:b w:val="1"/>
                <w:bCs w:val="1"/>
                <w:color w:val="auto"/>
              </w:rPr>
              <w:t>(Dollars in millions, except per share data)</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822"/>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Cost of Sales</w:t>
            </w: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5"/>
        </w:trPr>
        <w:tc>
          <w:tcPr>
            <w:tcW w:w="37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37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1"/>
                <w:szCs w:val="11"/>
                <w:color w:val="auto"/>
              </w:rPr>
            </w:pPr>
          </w:p>
        </w:tc>
        <w:tc>
          <w:tcPr>
            <w:tcW w:w="1100" w:type="dxa"/>
            <w:vAlign w:val="bottom"/>
          </w:tcPr>
          <w:p>
            <w:pPr>
              <w:jc w:val="right"/>
              <w:ind w:right="252"/>
              <w:spacing w:after="0" w:line="135" w:lineRule="exact"/>
              <w:rPr>
                <w:sz w:val="20"/>
                <w:szCs w:val="20"/>
                <w:color w:val="auto"/>
              </w:rPr>
            </w:pPr>
            <w:r>
              <w:rPr>
                <w:rFonts w:ascii="Arial" w:cs="Arial" w:eastAsia="Arial" w:hAnsi="Arial"/>
                <w:sz w:val="14"/>
                <w:szCs w:val="14"/>
                <w:b w:val="1"/>
                <w:bCs w:val="1"/>
                <w:color w:val="auto"/>
              </w:rPr>
              <w:t>January 2,</w:t>
            </w:r>
          </w:p>
        </w:tc>
      </w:tr>
      <w:tr>
        <w:trPr>
          <w:trHeight w:val="188"/>
        </w:trPr>
        <w:tc>
          <w:tcPr>
            <w:tcW w:w="378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24"/>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Distribution and warehousing</w:t>
            </w: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108.1</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labor and overhead</w:t>
            </w:r>
          </w:p>
        </w:tc>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87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7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w w:val="92"/>
              </w:rPr>
              <w:t>Cost of sales—impairment, restructuring and other</w:t>
            </w: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378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r>
      <w:tr>
        <w:trPr>
          <w:trHeight w:val="20"/>
        </w:trPr>
        <w:tc>
          <w:tcPr>
            <w:tcW w:w="84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8700" w:type="dxa"/>
            <w:vAlign w:val="bottom"/>
            <w:gridSpan w:val="3"/>
          </w:tcPr>
          <w:p>
            <w:pPr>
              <w:ind w:left="42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37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378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January 1, 2022</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Material cost changes</w:t>
            </w: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7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37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Change in cost of sales</w:t>
            </w: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20"/>
        </w:trPr>
        <w:tc>
          <w:tcPr>
            <w:tcW w:w="37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cost of sales for the three months ended January 1, 2022 as compared to the three months ended January 2, 2021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sales volume in our U.S. Consumer and Hawthorne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 as a result of lower costs associated with the COVID-19 pandemic;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higher material costs in our U.S. Consumer segment;</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transportation, warehousing and labor costs included within “volume, product mix and other” in our U.S. Consumer and Hawthorne segments; and</w:t>
      </w:r>
    </w:p>
    <w:p>
      <w:pPr>
        <w:spacing w:after="0" w:line="5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a percentage of net sales, our gross profit rate was 21.0% and 25.5% for the three months ended January 1, 2022 and January 2,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contributing to the change in gross profit rate are outlined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440" w:type="dxa"/>
            <w:vAlign w:val="bottom"/>
          </w:tcPr>
          <w:p>
            <w:pPr>
              <w:ind w:left="580"/>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80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January 1, 2022</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440" w:type="dxa"/>
            <w:vAlign w:val="bottom"/>
            <w:shd w:val="clear" w:color="auto" w:fill="CCEEFF"/>
          </w:tcPr>
          <w:p>
            <w:pPr>
              <w:ind w:left="1920"/>
              <w:spacing w:after="0"/>
              <w:rPr>
                <w:sz w:val="20"/>
                <w:szCs w:val="20"/>
                <w:color w:val="auto"/>
              </w:rPr>
            </w:pPr>
            <w:r>
              <w:rPr>
                <w:rFonts w:ascii="Arial" w:cs="Arial" w:eastAsia="Arial" w:hAnsi="Arial"/>
                <w:sz w:val="18"/>
                <w:szCs w:val="18"/>
                <w:color w:val="auto"/>
                <w:w w:val="94"/>
              </w:rPr>
              <w:t>(8.2)%</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440" w:type="dxa"/>
            <w:vAlign w:val="bottom"/>
          </w:tcPr>
          <w:p>
            <w:pPr>
              <w:ind w:left="1920"/>
              <w:spacing w:after="0"/>
              <w:rPr>
                <w:sz w:val="20"/>
                <w:szCs w:val="20"/>
                <w:color w:val="auto"/>
              </w:rPr>
            </w:pPr>
            <w:r>
              <w:rPr>
                <w:rFonts w:ascii="Arial" w:cs="Arial" w:eastAsia="Arial" w:hAnsi="Arial"/>
                <w:sz w:val="18"/>
                <w:szCs w:val="18"/>
                <w:color w:val="auto"/>
              </w:rPr>
              <w:t>(1.0)</w:t>
            </w:r>
          </w:p>
        </w:tc>
      </w:tr>
      <w:tr>
        <w:trPr>
          <w:trHeight w:val="229"/>
        </w:trPr>
        <w:tc>
          <w:tcPr>
            <w:tcW w:w="8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24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(0.5)</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440" w:type="dxa"/>
            <w:vAlign w:val="bottom"/>
          </w:tcPr>
          <w:p>
            <w:pPr>
              <w:ind w:left="1920"/>
              <w:spacing w:after="0"/>
              <w:rPr>
                <w:sz w:val="20"/>
                <w:szCs w:val="20"/>
                <w:color w:val="auto"/>
              </w:rPr>
            </w:pPr>
            <w:r>
              <w:rPr>
                <w:rFonts w:ascii="Arial" w:cs="Arial" w:eastAsia="Arial" w:hAnsi="Arial"/>
                <w:sz w:val="18"/>
                <w:szCs w:val="18"/>
                <w:color w:val="auto"/>
              </w:rPr>
              <w:t>(0.1)</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2440" w:type="dxa"/>
            <w:vAlign w:val="bottom"/>
            <w:tcBorders>
              <w:bottom w:val="single" w:sz="8" w:color="auto"/>
            </w:tcBorders>
            <w:shd w:val="clear" w:color="auto" w:fill="CCEEFF"/>
          </w:tcPr>
          <w:p>
            <w:pPr>
              <w:ind w:left="2000"/>
              <w:spacing w:after="0"/>
              <w:rPr>
                <w:sz w:val="20"/>
                <w:szCs w:val="20"/>
                <w:color w:val="auto"/>
              </w:rPr>
            </w:pPr>
            <w:r>
              <w:rPr>
                <w:rFonts w:ascii="Arial" w:cs="Arial" w:eastAsia="Arial" w:hAnsi="Arial"/>
                <w:sz w:val="18"/>
                <w:szCs w:val="18"/>
                <w:color w:val="auto"/>
              </w:rPr>
              <w:t>4.1</w:t>
            </w:r>
          </w:p>
        </w:tc>
      </w:tr>
      <w:tr>
        <w:trPr>
          <w:trHeight w:val="223"/>
        </w:trPr>
        <w:tc>
          <w:tcPr>
            <w:tcW w:w="8800" w:type="dxa"/>
            <w:vAlign w:val="bottom"/>
          </w:tcPr>
          <w:p>
            <w:pPr>
              <w:spacing w:after="0"/>
              <w:rPr>
                <w:sz w:val="19"/>
                <w:szCs w:val="19"/>
                <w:color w:val="auto"/>
              </w:rPr>
            </w:pPr>
          </w:p>
        </w:tc>
        <w:tc>
          <w:tcPr>
            <w:tcW w:w="2440" w:type="dxa"/>
            <w:vAlign w:val="bottom"/>
          </w:tcPr>
          <w:p>
            <w:pPr>
              <w:ind w:left="1920"/>
              <w:spacing w:after="0"/>
              <w:rPr>
                <w:sz w:val="20"/>
                <w:szCs w:val="20"/>
                <w:color w:val="auto"/>
              </w:rPr>
            </w:pPr>
            <w:r>
              <w:rPr>
                <w:rFonts w:ascii="Arial" w:cs="Arial" w:eastAsia="Arial" w:hAnsi="Arial"/>
                <w:sz w:val="18"/>
                <w:szCs w:val="18"/>
                <w:color w:val="auto"/>
                <w:w w:val="94"/>
              </w:rPr>
              <w:t>(5.7)%</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440" w:type="dxa"/>
            <w:vAlign w:val="bottom"/>
            <w:tcBorders>
              <w:bottom w:val="single" w:sz="8" w:color="auto"/>
            </w:tcBorders>
            <w:shd w:val="clear" w:color="auto" w:fill="CCEEFF"/>
          </w:tcPr>
          <w:p>
            <w:pPr>
              <w:ind w:left="2000"/>
              <w:spacing w:after="0"/>
              <w:rPr>
                <w:sz w:val="20"/>
                <w:szCs w:val="20"/>
                <w:color w:val="auto"/>
              </w:rPr>
            </w:pPr>
            <w:r>
              <w:rPr>
                <w:rFonts w:ascii="Arial" w:cs="Arial" w:eastAsia="Arial" w:hAnsi="Arial"/>
                <w:sz w:val="18"/>
                <w:szCs w:val="18"/>
                <w:color w:val="auto"/>
              </w:rPr>
              <w:t>1.2</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Change in gross profit rate</w:t>
            </w:r>
          </w:p>
        </w:tc>
        <w:tc>
          <w:tcPr>
            <w:tcW w:w="244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w w:val="94"/>
              </w:rPr>
              <w:t>(4.5)%</w:t>
            </w:r>
          </w:p>
        </w:tc>
      </w:tr>
      <w:tr>
        <w:trPr>
          <w:trHeight w:val="20"/>
        </w:trPr>
        <w:tc>
          <w:tcPr>
            <w:tcW w:w="88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decrease in gross profit rate for the three months ended January 1, 2022 as compared to the three months ended January 2, 2021 was primarily driven by:</w:t>
      </w:r>
    </w:p>
    <w:p>
      <w:pPr>
        <w:spacing w:after="0" w:line="6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leverage of fixed costs driven by lower sales volume in our U.S. Consumer and Hawthorne segments;</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64"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transportation, warehousing and labor costs included within “volume, product mix and other” in our U.S. Consumer and Hawthorne segments;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material costs in our U.S. Consumer segment;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333333"/>
        </w:rPr>
      </w:pPr>
      <w:r>
        <w:rPr>
          <w:rFonts w:ascii="Arial" w:cs="Arial" w:eastAsia="Arial" w:hAnsi="Arial"/>
          <w:sz w:val="18"/>
          <w:szCs w:val="18"/>
          <w:color w:val="auto"/>
        </w:rPr>
        <w:t>partially offset by increased pricing in our U.S. Consumer, Hawthorne and Other segments; and</w:t>
      </w:r>
    </w:p>
    <w:p>
      <w:pPr>
        <w:spacing w:after="0" w:line="117" w:lineRule="exact"/>
        <w:rPr>
          <w:rFonts w:ascii="Arial" w:cs="Arial" w:eastAsia="Arial" w:hAnsi="Arial"/>
          <w:sz w:val="18"/>
          <w:szCs w:val="18"/>
          <w:color w:val="333333"/>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1"/>
                <w:szCs w:val="11"/>
                <w:color w:val="auto"/>
              </w:rPr>
            </w:pPr>
          </w:p>
        </w:tc>
        <w:tc>
          <w:tcPr>
            <w:tcW w:w="1100" w:type="dxa"/>
            <w:vAlign w:val="bottom"/>
          </w:tcPr>
          <w:p>
            <w:pPr>
              <w:jc w:val="right"/>
              <w:ind w:right="255"/>
              <w:spacing w:after="0" w:line="135" w:lineRule="exact"/>
              <w:rPr>
                <w:sz w:val="20"/>
                <w:szCs w:val="20"/>
                <w:color w:val="auto"/>
              </w:rPr>
            </w:pPr>
            <w:r>
              <w:rPr>
                <w:rFonts w:ascii="Arial" w:cs="Arial" w:eastAsia="Arial" w:hAnsi="Arial"/>
                <w:sz w:val="14"/>
                <w:szCs w:val="14"/>
                <w:b w:val="1"/>
                <w:bCs w:val="1"/>
                <w:color w:val="auto"/>
              </w:rPr>
              <w:t>January 2,</w:t>
            </w:r>
          </w:p>
        </w:tc>
      </w:tr>
      <w:tr>
        <w:trPr>
          <w:trHeight w:val="188"/>
        </w:trPr>
        <w:tc>
          <w:tcPr>
            <w:tcW w:w="8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SG&amp;A decreased $2.6, or 1.7%, during the three months ended January 1, 2022 compared to the three months ended January 2, 2021. Advertising expense decreased $8.4, or 31.5%, during the three months ended January 1, 2022 driven by the timing of media spending in our U.S. Consumer segment. Other SG&amp;A increased $4.4, or 4.2%, during the three months ended January 1, 2022 driven by increases in various categories supporting the continued growth of the business as well as higher people costs, partially offset by a decrease in short-term variable cash incentive compensation expense.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r>
      <w:tr>
        <w:trPr>
          <w:trHeight w:val="135"/>
        </w:trPr>
        <w:tc>
          <w:tcPr>
            <w:tcW w:w="84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2,</w:t>
            </w:r>
          </w:p>
        </w:tc>
        <w:tc>
          <w:tcPr>
            <w:tcW w:w="320" w:type="dxa"/>
            <w:vAlign w:val="bottom"/>
          </w:tcPr>
          <w:p>
            <w:pPr>
              <w:spacing w:after="0"/>
              <w:rPr>
                <w:sz w:val="11"/>
                <w:szCs w:val="11"/>
                <w:color w:val="auto"/>
              </w:rPr>
            </w:pPr>
          </w:p>
        </w:tc>
      </w:tr>
      <w:tr>
        <w:trPr>
          <w:trHeight w:val="188"/>
        </w:trPr>
        <w:tc>
          <w:tcPr>
            <w:tcW w:w="8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1020" w:type="dxa"/>
            <w:vAlign w:val="bottom"/>
          </w:tcPr>
          <w:p>
            <w:pPr>
              <w:jc w:val="right"/>
              <w:ind w:right="821"/>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8.7</w:t>
            </w: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related costs</w:t>
            </w: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and other charges, net</w:t>
            </w: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02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response to the COVID-19 pandemic, we implemented measures intended to protect the health and safety of our employees and maintain our ability to provide products to our customers as described in additional detail above under “COVID-19 Response and Impacts.” Costs incurred during the three months ended January 1, 2022 were immaterial. During the three months ended January 2, 2021, we incurred costs of $9.3 associated with the COVID-19 pandemic primarily related to premium pay. We incurred costs of $8.3 in our U.S. Consumer segment and $0.4 in our Hawthorne segment in the “Cost of sales—impairment, restructuring and other” line in the Condensed Consolidated Statements of Operations during the three months ended January 2, 2021. We incurred costs of $0.6 in our U.S. Consumer segment in the “Impairment, restructuring and other” line in the Condensed Consolidated Statements of Operations during the three months ended January 2,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income is comprised of activities such as royalty income from the licensing of certain of our brand names, foreign exchange transaction gains and losses and gains and losses from the disposition of non-inventory assets. Other income was $1.8 and $0.6 for the three months ended January 1, 2022 and January 2, 2021,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Loss from operations was $35.4 for the three months ended January 1, 2022, a decrease of 204.1% compared to income from operations of $34.0 for the three months ended January 2, 2021. For the three months ended January 1, 2022, the decrease was driven by lower net sales and a decrease in gross profit rate, partially offset by lower impairment, restructuring and other charges, lower SG&amp;A and higher other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Loss of Unconsolidated Affiliates</w:t>
      </w:r>
    </w:p>
    <w:p>
      <w:pPr>
        <w:spacing w:after="0" w:line="15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acquired a 50% equity interest in Bonnie Plants, LLC on December 31, 2020. Our interest is accounted for using the equity method of accounting, with our proportionate share of Bonnie Plants, LLC earnings subsequent to December 31, 2020 reflected in the Condensed Consolidated Statements of Operations. During the three months ended January 1, 2022, we recorded equity in loss of unconsolidated affiliates of $7.3 associated with Bonnie Plants, LLC. We anticipated a net loss for Bonnie Plants, LLC in the first quarter of fiscal 2022 due to the seasonal nature of its business, in which sales are heavily weighted to the spring and summer selling periods during our second and third fiscal quarters.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expense was $23.8 for the three months ended January 1, 2022, an increase of 47.8% compared to $16.1 for the three months ended January 2, 2021. The increase was driven by an increase in average borrowings of $927.7, partially offset by a decrease in our weighted average interest rate of 16 basis points. The increase in average borrowings was primarily driven by higher inventory production, capital expenditures and acquisition activity. The decrease in our weighted average interest rate was primarily driven by lower borrowing rates on the Fifth A&amp;R Credit Agreement, partially offset by the issuance of the 4.000% and 4.375% Senior Notes.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4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Other non-operating income was $1.8 and $15.2 for the three months ended January 1, 2022 and January 2, 2021, respectively. On December 31, 2020, we acquired a 50% equity interest in Bonnie Plants, LLC in exchange for a cash payment of $100.7, forgiveness of our outstanding loan receivable with AFC and surrender of our options to increase our economic interest in the Bonnie Plants business. Our loan receivable with AFC, which was previously recognized in the “Other assets” line in the Condensed Consolidated Balance Sheets, had a carrying value of $66.4 on December 31, 2020 and we recognized a gain of $12.5 during the three months ended January 2, 2021 to write-up the value of the loan to its closing date fair value of $78.9.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 from Continuing Operations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effective tax rates related to continuing operations for the three months ended January 1, 2022 and January 2, 2021 were 22.7% and 23.9%,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Loss from continuing operations was $50.0, or $0.90 per diluted share, for the three months ended January 1, 2022 compared to income from continuing operations of $25.2, or $0.43 per diluted share, for the three months ended January 2, 2021. The decrease was driven by lower net sales, a decrease in gross profit rate, higher interest expense, higher equity in loss of unconsolidated affiliates and lower other non-operating income, partially offset by lower impairment, restructuring and other charges, lower SG&amp;A and higher other income.</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Diluted average common shares used in the diluted loss per common share calculation for the three months ended January 1, 2022 were 55.4 million, which excluded 1.3 million dilutive potential Common Shares because the effect of their inclusion would be anti-dilutive as the Company incurred a net loss for the three months ended January 1, 2022. Diluted average common shares used in the diluted income per common share calculation for the three months ended January 2, 2021 were 57.1 million, which included 1.4 million dilutive potential Common Shares.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1"/>
                <w:szCs w:val="11"/>
                <w:color w:val="auto"/>
              </w:rPr>
            </w:pPr>
          </w:p>
        </w:tc>
        <w:tc>
          <w:tcPr>
            <w:tcW w:w="1100" w:type="dxa"/>
            <w:vAlign w:val="bottom"/>
          </w:tcPr>
          <w:p>
            <w:pPr>
              <w:jc w:val="right"/>
              <w:ind w:right="256"/>
              <w:spacing w:after="0" w:line="135"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3480" w:type="dxa"/>
            <w:vAlign w:val="bottom"/>
            <w:tcBorders>
              <w:bottom w:val="single" w:sz="8" w:color="CCEEFF"/>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50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0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348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50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000" w:type="dxa"/>
            <w:vAlign w:val="bottom"/>
            <w:vMerge w:val="restart"/>
          </w:tcPr>
          <w:p>
            <w:pPr>
              <w:jc w:val="right"/>
              <w:ind w:right="2670"/>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48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1"/>
                <w:szCs w:val="11"/>
                <w:color w:val="auto"/>
              </w:rPr>
            </w:pPr>
          </w:p>
        </w:tc>
        <w:tc>
          <w:tcPr>
            <w:tcW w:w="1100" w:type="dxa"/>
            <w:vAlign w:val="bottom"/>
          </w:tcPr>
          <w:p>
            <w:pPr>
              <w:jc w:val="right"/>
              <w:ind w:right="253"/>
              <w:spacing w:after="0" w:line="135" w:lineRule="exact"/>
              <w:rPr>
                <w:sz w:val="20"/>
                <w:szCs w:val="20"/>
                <w:color w:val="auto"/>
              </w:rPr>
            </w:pPr>
            <w:r>
              <w:rPr>
                <w:rFonts w:ascii="Arial" w:cs="Arial" w:eastAsia="Arial" w:hAnsi="Arial"/>
                <w:sz w:val="14"/>
                <w:szCs w:val="14"/>
                <w:b w:val="1"/>
                <w:bCs w:val="1"/>
                <w:color w:val="auto"/>
              </w:rPr>
              <w:t>January 2,</w:t>
            </w:r>
          </w:p>
        </w:tc>
      </w:tr>
      <w:tr>
        <w:trPr>
          <w:trHeight w:val="188"/>
        </w:trPr>
        <w:tc>
          <w:tcPr>
            <w:tcW w:w="8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Total Segment Profit (Loss) (Non-GAAP)</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(loss) from continuing operations before income taxes (GAAP)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U.S. Consumer segment net sales were $342.4 in the first quarter of fiscal 2022, a decrease of 16.1% from first quarter of fiscal 2021 net sales of $408.2. The decrease was driven by the unfavorable impact of volume of 20.1%, partially offset by the favorable impact of increased pricing of 4.0%. The decrease in sales volume was driven by fertilizer, soils and controls products.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U.S. Consumer Segment Profit was $10.7 in the first quarter of fiscal 2022, a decrease of 76.4% from the first quarter of fiscal 2021 Segment Profit of $45.3. The decrease was due to lower net sales and a lower gross profit rate, partially offset by lower SG&amp;A.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Hawthorne segment net sales were $190.6 in the first quarter of fiscal 2022, a decrease of 38.4% from first quarter of fiscal 2021 net sales of $309.4. The decrease was driven by the unfavorable impacts of volume and foreign exchange rates of 42.5% and 0.2%, respectively, partially offset by the favorable impacts of increased pricing and acquisitions of 3.5% and 0.8%, respectively. The decrease in sales volume was driven by lighting, nutrients, growing media, hardware and growing environments products.</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Hawthorne Segment Loss was $5.3 in the first quarter of fiscal 2022, a decrease of 113.1% from the first quarter of fiscal 2021 Segment Profit of $40.4. The decrease was driven by lower net sales, a lower gross profit rate and higher SG&amp;A.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segment net sales were $33.0 in the first quarter of fiscal 2022, an increase of 6.5% from the first quarter of fiscal 2021 net sales of $31.0. The increase was driven by the favorable impacts of pricing and foreign exchange rates of 6.7% and 2.8%, respectively, partially offset by the unfavorable impact of volume of 3.4%.</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Segment Profit was $1.3 in the first quarter of fiscal 2022, an increase of 100.0% from the first quarter of fiscal 2021 Segment Profit of $0.0.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driven by higher net sales and a higher gross profit rate, partially offset by higher SG&amp;A.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Corporate expenses were $31.4 in the first quarter of fiscal 2022, a decrease of 9.2% from first quarter of fiscal 2021 expenses of $34.6. The decrease was driven by lower short-term variable cash incentive compensation expense.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5"/>
        </w:trPr>
        <w:tc>
          <w:tcPr>
            <w:tcW w:w="3860" w:type="dxa"/>
            <w:vAlign w:val="bottom"/>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4540" w:type="dxa"/>
            <w:vAlign w:val="bottom"/>
            <w:gridSpan w:val="2"/>
          </w:tcPr>
          <w:p>
            <w:pPr>
              <w:jc w:val="center"/>
              <w:ind w:right="930"/>
              <w:spacing w:after="0"/>
              <w:rPr>
                <w:sz w:val="20"/>
                <w:szCs w:val="20"/>
                <w:color w:val="auto"/>
              </w:rPr>
            </w:pPr>
            <w:r>
              <w:rPr>
                <w:rFonts w:ascii="Arial" w:cs="Arial" w:eastAsia="Arial" w:hAnsi="Arial"/>
                <w:sz w:val="18"/>
                <w:szCs w:val="18"/>
                <w:b w:val="1"/>
                <w:bCs w:val="1"/>
                <w:color w:val="auto"/>
              </w:rPr>
              <w:t>THE SCOTTS MIRACLE-GRO COMPANY</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6"/>
        </w:trPr>
        <w:tc>
          <w:tcPr>
            <w:tcW w:w="3860" w:type="dxa"/>
            <w:vAlign w:val="bottom"/>
          </w:tcPr>
          <w:p>
            <w:pPr>
              <w:spacing w:after="0"/>
              <w:rPr>
                <w:sz w:val="16"/>
                <w:szCs w:val="16"/>
                <w:color w:val="auto"/>
              </w:rPr>
            </w:pPr>
          </w:p>
        </w:tc>
        <w:tc>
          <w:tcPr>
            <w:tcW w:w="4540" w:type="dxa"/>
            <w:vAlign w:val="bottom"/>
            <w:gridSpan w:val="2"/>
          </w:tcPr>
          <w:p>
            <w:pPr>
              <w:jc w:val="center"/>
              <w:ind w:right="930"/>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863"/>
        </w:trPr>
        <w:tc>
          <w:tcPr>
            <w:tcW w:w="38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3860" w:type="dxa"/>
            <w:vAlign w:val="bottom"/>
          </w:tcPr>
          <w:p>
            <w:pPr>
              <w:ind w:left="420"/>
              <w:spacing w:after="0"/>
              <w:rPr>
                <w:sz w:val="20"/>
                <w:szCs w:val="20"/>
                <w:color w:val="auto"/>
              </w:rPr>
            </w:pPr>
            <w:r>
              <w:rPr>
                <w:rFonts w:ascii="Arial" w:cs="Arial" w:eastAsia="Arial" w:hAnsi="Arial"/>
                <w:sz w:val="18"/>
                <w:szCs w:val="18"/>
                <w:color w:val="auto"/>
                <w:w w:val="91"/>
              </w:rPr>
              <w:t>The following table summarizes cash activities:</w:t>
            </w: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5"/>
        </w:trPr>
        <w:tc>
          <w:tcPr>
            <w:tcW w:w="3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38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5"/>
              </w:rPr>
              <w:t>January 2,</w:t>
            </w:r>
          </w:p>
        </w:tc>
      </w:tr>
      <w:tr>
        <w:trPr>
          <w:trHeight w:val="188"/>
        </w:trPr>
        <w:tc>
          <w:tcPr>
            <w:tcW w:w="386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559"/>
              <w:spacing w:after="0"/>
              <w:rPr>
                <w:sz w:val="20"/>
                <w:szCs w:val="20"/>
                <w:color w:val="auto"/>
              </w:rPr>
            </w:pPr>
            <w:r>
              <w:rPr>
                <w:rFonts w:ascii="Arial" w:cs="Arial" w:eastAsia="Arial" w:hAnsi="Arial"/>
                <w:sz w:val="18"/>
                <w:szCs w:val="18"/>
                <w:color w:val="auto"/>
                <w:w w:val="91"/>
              </w:rPr>
              <w:t>(765.1)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4"/>
              </w:rPr>
              <w:t>(420.7)</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59"/>
              <w:spacing w:after="0"/>
              <w:rPr>
                <w:sz w:val="20"/>
                <w:szCs w:val="20"/>
                <w:color w:val="auto"/>
              </w:rPr>
            </w:pPr>
            <w:r>
              <w:rPr>
                <w:rFonts w:ascii="Arial" w:cs="Arial" w:eastAsia="Arial" w:hAnsi="Arial"/>
                <w:sz w:val="18"/>
                <w:szCs w:val="18"/>
                <w:color w:val="auto"/>
                <w:w w:val="91"/>
              </w:rPr>
              <w:t>(245.2)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77"/>
              <w:spacing w:after="0"/>
              <w:rPr>
                <w:sz w:val="20"/>
                <w:szCs w:val="20"/>
                <w:color w:val="auto"/>
              </w:rPr>
            </w:pPr>
            <w:r>
              <w:rPr>
                <w:rFonts w:ascii="Arial" w:cs="Arial" w:eastAsia="Arial" w:hAnsi="Arial"/>
                <w:sz w:val="18"/>
                <w:szCs w:val="18"/>
                <w:color w:val="auto"/>
                <w:w w:val="94"/>
              </w:rPr>
              <w:t>(148.2)</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9"/>
              <w:spacing w:after="0"/>
              <w:rPr>
                <w:sz w:val="20"/>
                <w:szCs w:val="20"/>
                <w:color w:val="auto"/>
              </w:rPr>
            </w:pPr>
            <w:r>
              <w:rPr>
                <w:rFonts w:ascii="Arial" w:cs="Arial" w:eastAsia="Arial" w:hAnsi="Arial"/>
                <w:sz w:val="18"/>
                <w:szCs w:val="18"/>
                <w:color w:val="auto"/>
                <w:w w:val="88"/>
              </w:rPr>
              <w:t>782.6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88"/>
              </w:rPr>
              <w:t>573.5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operating activities totaled $765.1 for the three months ended January 1, 2022, an increase of $344.4 as compared to $420.7 for the three months ended January 2, 2021. This increase was driven by higher inventory production, lower net income and higher interest payments, partially offset by lower short-term variable cash incentive compensation payouts. Higher inventory production was driven by our effort to build inventory levels to meet expected future demand and higher input costs. The three months ended January 1, 2022 was also impacted by extended payment terms with several of our major vendors across the U.S. Consumer and Hawthorne segments, as well as Monsanto, for payments originally due in the final weeks of fiscal 2021 that were paid in the first quarter of fiscal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Cash used in investing activities totaled $245.2 for the three months ended January 1, 2022, an increase of $97.0 as compared to $148.2 for the three months ended January 2, 2021. Cash used for investments in property, plant and equipment during the first three months of fiscal 2022 and 2021 was $46.1 and $34.6, respectively. We also completed the acquisitions of Luxx Lighting, Inc. and True Liberty Bags during the three months ended January 1, 2022 in exchange for cash payments of $202.5, as well as the issuance of 0.1 million Common Shares, a non-cash investing and financing activity, with a fair value of $21.0 based on the share price at the time of payment. In addition, we received cash of $3.4 associated with currency forward contracts during the three months ended January 1, 2022. During the three months ended January 2, 2021, we acquired a 50% equity interest in Bonnie Plants, LLC in exchange for a cash payment of $100.7, as well as non-cash investing activities that included forgiveness of our outstanding loan receivable with AFC and surrender of our options to increase our economic interest in the Bonnie Plants business. In addition, during the three months ended January 2, 2021, we acquired contract rights within our U.S. Consumer segment for a cash payment of $10.0 and we paid cash of $2.9 associated with currency forward contracts.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provided by financing activities totaled $782.6 for the three months ended January 1, 2022 as compared $573.5 for the three months ended January 2, 2021. This change was driven by an increase in net borrowings under our Fifth A&amp;R Credit Facilities (as defined below) of $302.9 during the three months ended January 1, 2022, partially offset by an increase in repurchases of our Common Shares of $91.1 and an increase in dividends paid of $2.5 during the three months ended January 1,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$16.4, $21.5 and $244.1 as of January 1, 2022, January 2, 2021 and September 30, 2021, respectively, included $8.7, $4.2 and $15.9, respectively, held by controlled foreign corporations. As of January 1, 2022, we maintain our assertion of indefinite reinvestment of the earnings of all material foreign subsidiaries.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We maintain the Fifth A&amp;R Credit Agreement that provides senior secured loan facilities in the aggregate principal amount of $2,300.0, comprised of a revolving credit facility of $1,500.0 and a term loan in the original principal amount of $800.0 (the “Fifth A&amp;R Credit Facilities”). The Fifth A&amp;R Credit Agreement is available for issuance of letters of credit up to $75.0 and will terminate on July 5, 2023.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January 1, 2022, we had letters of credit outstanding in the aggregate principal amount of $19.9 and had $623.5 of borrowing availability under the Fifth A&amp;R Credit Agreement. The weighted average interest rates on average borrowings under the Fifth A&amp;R Credit Agreement were 1.8% and 2.1% for the three months ended January 1, 2022 and January 2, 2021, respectively.</w:t>
      </w:r>
    </w:p>
    <w:p>
      <w:pPr>
        <w:spacing w:after="0" w:line="10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4.50. Our leverage ratio was 3.32 at January 1, 2022.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January 1, 2022. Our interest coverage ratio was 8.73 for the twelve months ended January 1, 2022. As of January 1, 2022, we were in compliance with these financial covenants.</w:t>
      </w:r>
    </w:p>
    <w:p>
      <w:pPr>
        <w:spacing w:after="0" w:line="12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Fifth A&amp;R Credit Agreement allows us to make unlimited restricted payments (as defined in the Fifth A&amp;R Credit Agreement), including dividend payments on, and repurchases of, our Common Shares, as long as the leverage ratio resulting from the making of such restricted payments is 4.00 or less. Otherwise, we may make further restricted payments in an aggregate amount for each fiscal year not to exceed $225.0.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2022.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15, 2016, we issued $250.0 aggregate principal amount of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22, 2019, we issued $450.0 aggregate principal amount of 4.500% Senior Notes. The 4.500% Senior Notes represent general unsecured senior obligations and rank equal in right of payment with our existing and future unsecured senior debt. The 4.500% Senior Notes have interest payment dates of April 15 and October 15 of each year. All of our domestic subsidiaries that serve as guarantors of the 5.250% Senior Notes also serve as guarantors of the 4.500% Senior Notes.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17, 2021, we issued $500.0 aggregate principal amount of 4.000% Senior Notes. The 4.000% Senior Notes represent general unsecured senior obligations and rank equal in right of payment with our existing and future unsecured senior debt. The 4.000% Senior Notes have interest payment dates of April 1 and October 1 of each year. All of our domestic subsidiaries that serve as guarantors of the 5.250% Senior Notes also serve as guarantors of the 4.000% Senior Notes.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13, 2021, we issued $400.0 aggregate principal amount of 4.375% Senior Notes. The 4.375% Senior Notes represent general unsecured senior obligations and rank equal in right of payment with our existing and future unsecured senior debt. The 4.375% Senior Notes have interest payment dates of February 1 and August 1 of each year. All of our domestic subsidiaries that serve as guarantors of the 5.250% Senior Notes also serve as guarantors of the 4.375% Senior Notes.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maintain a Receivables Facility, under which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25, 2022 and ending on June 17, 2022 is $160.0. The Receivables Facility expires on August 19, 2022.</w:t>
      </w:r>
    </w:p>
    <w:p>
      <w:pPr>
        <w:spacing w:after="0" w:line="10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Condensed Consolidated Balance Sheets, primarily as a result of our requirement to repurchase receivables sold. As of January 1, 2022 and January 2, 2021, there were $94.0 and $136.0, respectively, in borrowings on receivables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pledged as collateral under the Receivables Facility, and the carrying value of the receivables pledged as collateral was $104.4 and $151.1, respectively.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January 1, 2022, January 2, 2021 and September 30, 2021 had a maximum total U.S. dollar equivalent notional amount of $600.0. The notional amount, effective date, expiration date and rate of each of the swap agreements outstanding at January 1, 2022 are shown 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jc w:val="right"/>
              <w:ind w:right="835"/>
              <w:spacing w:after="0"/>
              <w:rPr>
                <w:sz w:val="20"/>
                <w:szCs w:val="20"/>
                <w:color w:val="auto"/>
              </w:rPr>
            </w:pPr>
            <w:r>
              <w:rPr>
                <w:rFonts w:ascii="Arial" w:cs="Arial" w:eastAsia="Arial" w:hAnsi="Arial"/>
                <w:sz w:val="14"/>
                <w:szCs w:val="14"/>
                <w:b w:val="1"/>
                <w:bCs w:val="1"/>
                <w:color w:val="auto"/>
              </w:rPr>
              <w:t>Notional</w:t>
            </w:r>
          </w:p>
        </w:tc>
        <w:tc>
          <w:tcPr>
            <w:tcW w:w="36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5"/>
              <w:spacing w:after="0"/>
              <w:rPr>
                <w:sz w:val="20"/>
                <w:szCs w:val="20"/>
                <w:color w:val="auto"/>
              </w:rPr>
            </w:pPr>
            <w:r>
              <w:rPr>
                <w:rFonts w:ascii="Arial" w:cs="Arial" w:eastAsia="Arial" w:hAnsi="Arial"/>
                <w:sz w:val="14"/>
                <w:szCs w:val="14"/>
                <w:b w:val="1"/>
                <w:bCs w:val="1"/>
                <w:color w:val="auto"/>
              </w:rPr>
              <w:t>Fixed</w:t>
            </w:r>
          </w:p>
        </w:tc>
      </w:tr>
      <w:tr>
        <w:trPr>
          <w:trHeight w:val="188"/>
        </w:trPr>
        <w:tc>
          <w:tcPr>
            <w:tcW w:w="2380" w:type="dxa"/>
            <w:vAlign w:val="bottom"/>
          </w:tcPr>
          <w:p>
            <w:pPr>
              <w:jc w:val="right"/>
              <w:ind w:right="855"/>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5"/>
              <w:spacing w:after="0"/>
              <w:rPr>
                <w:sz w:val="20"/>
                <w:szCs w:val="20"/>
                <w:color w:val="auto"/>
              </w:rPr>
            </w:pPr>
            <w:r>
              <w:rPr>
                <w:rFonts w:ascii="Arial" w:cs="Arial" w:eastAsia="Arial" w:hAnsi="Arial"/>
                <w:sz w:val="14"/>
                <w:szCs w:val="14"/>
                <w:b w:val="1"/>
                <w:bCs w:val="1"/>
                <w:color w:val="auto"/>
              </w:rPr>
              <w:t>Rate</w:t>
            </w:r>
          </w:p>
        </w:tc>
      </w:tr>
      <w:tr>
        <w:trPr>
          <w:trHeight w:val="224"/>
        </w:trPr>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2380" w:type="dxa"/>
            <w:vAlign w:val="bottom"/>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29"/>
        </w:trPr>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29"/>
        </w:trPr>
        <w:tc>
          <w:tcPr>
            <w:tcW w:w="238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30"/>
        </w:trPr>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6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Availability and Use of Cash</w:t>
      </w:r>
    </w:p>
    <w:p>
      <w:pPr>
        <w:spacing w:after="0" w:line="15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uncertain and difficult to predict. Actual results of operations will depend on numerous factors, many of which are beyond our control as further discussed in the 2021 Annual Report, under “ITEM 1A. RISK FACTORS — Risks Related to Our M&amp;A, Lending and Financing Activities — Our indebtedness could limit our flexibility and adversely affect our financial condition” and “ITEM 1A. RISK FACTORS — Risks Related to Our Business —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90"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Fifth A&amp;R Credit Agreement, except a release by or as a result of the repayment of the Fifth A&amp;R Credit Agreement; or (vi) if the Guarantor ceases to be a “restricted subsidiary” and the Guarantor is not otherwise required to provide a guarantee of the Senior Notes pursuant to the applicable indenture.</w:t>
      </w:r>
    </w:p>
    <w:p>
      <w:pPr>
        <w:spacing w:after="0" w:line="10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Our foreign subsidiaries and certain of our domestic subsidiaries are not guarantors (collectively, the “Non-Guarantors”) on the Senior Notes. Payments on the Senior Notes are only required to be made by Scotts Miracle-Gro and the Guarantors.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0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2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46"/>
        </w:trPr>
        <w:tc>
          <w:tcPr>
            <w:tcW w:w="7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2"/>
                <w:szCs w:val="12"/>
                <w:color w:val="auto"/>
              </w:rPr>
            </w:pPr>
          </w:p>
        </w:tc>
        <w:tc>
          <w:tcPr>
            <w:tcW w:w="1520" w:type="dxa"/>
            <w:vAlign w:val="bottom"/>
          </w:tcPr>
          <w:p>
            <w:pPr>
              <w:jc w:val="right"/>
              <w:ind w:right="376"/>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88"/>
        </w:trPr>
        <w:tc>
          <w:tcPr>
            <w:tcW w:w="7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w:t>
            </w:r>
          </w:p>
        </w:tc>
      </w:tr>
      <w:tr>
        <w:trPr>
          <w:trHeight w:val="230"/>
        </w:trPr>
        <w:tc>
          <w:tcPr>
            <w:tcW w:w="7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2,484.5</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2,611.8</w:t>
            </w:r>
          </w:p>
        </w:tc>
      </w:tr>
    </w:tbl>
    <w:p>
      <w:pPr>
        <w:spacing w:after="0" w:line="7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$28.5 and $39.8,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152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Year Ended</w:t>
            </w:r>
          </w:p>
        </w:tc>
      </w:tr>
      <w:tr>
        <w:trPr>
          <w:trHeight w:val="135"/>
        </w:trPr>
        <w:tc>
          <w:tcPr>
            <w:tcW w:w="7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97"/>
              <w:spacing w:after="0" w:line="135" w:lineRule="exact"/>
              <w:rPr>
                <w:sz w:val="20"/>
                <w:szCs w:val="20"/>
                <w:color w:val="auto"/>
              </w:rPr>
            </w:pPr>
            <w:r>
              <w:rPr>
                <w:rFonts w:ascii="Arial" w:cs="Arial" w:eastAsia="Arial" w:hAnsi="Arial"/>
                <w:sz w:val="14"/>
                <w:szCs w:val="14"/>
                <w:b w:val="1"/>
                <w:bCs w:val="1"/>
                <w:color w:val="auto"/>
                <w:w w:val="91"/>
              </w:rPr>
              <w:t>September 30,</w:t>
            </w:r>
          </w:p>
        </w:tc>
      </w:tr>
      <w:tr>
        <w:trPr>
          <w:trHeight w:val="188"/>
        </w:trPr>
        <w:tc>
          <w:tcPr>
            <w:tcW w:w="7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4,507.6</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620" w:type="dxa"/>
            <w:vAlign w:val="bottom"/>
          </w:tcPr>
          <w:p>
            <w:pPr>
              <w:ind w:left="1160"/>
              <w:spacing w:after="0"/>
              <w:rPr>
                <w:sz w:val="20"/>
                <w:szCs w:val="20"/>
                <w:color w:val="auto"/>
              </w:rPr>
            </w:pPr>
            <w:r>
              <w:rPr>
                <w:rFonts w:ascii="Arial" w:cs="Arial" w:eastAsia="Arial" w:hAnsi="Arial"/>
                <w:sz w:val="18"/>
                <w:szCs w:val="18"/>
                <w:color w:val="auto"/>
                <w:w w:val="97"/>
              </w:rPr>
              <w:t>111.1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1,380.6</w:t>
            </w:r>
          </w:p>
        </w:tc>
      </w:tr>
      <w:tr>
        <w:trPr>
          <w:trHeight w:val="229"/>
        </w:trPr>
        <w:tc>
          <w:tcPr>
            <w:tcW w:w="7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3"/>
              </w:rPr>
              <w:t>(48.5)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620" w:type="dxa"/>
            <w:vAlign w:val="bottom"/>
          </w:tcPr>
          <w:p>
            <w:pPr>
              <w:ind w:left="1160"/>
              <w:spacing w:after="0"/>
              <w:rPr>
                <w:sz w:val="20"/>
                <w:szCs w:val="20"/>
                <w:color w:val="auto"/>
              </w:rPr>
            </w:pPr>
            <w:r>
              <w:rPr>
                <w:rFonts w:ascii="Arial" w:cs="Arial" w:eastAsia="Arial" w:hAnsi="Arial"/>
                <w:sz w:val="18"/>
                <w:szCs w:val="18"/>
                <w:color w:val="auto"/>
                <w:w w:val="93"/>
              </w:rPr>
              <w:t>(48.5)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3"/>
              </w:rPr>
              <w:t>(48.5)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r>
    </w:tbl>
    <w:p>
      <w:pPr>
        <w:spacing w:after="0" w:line="8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intercompany income from Non-Guarantor subsidiaries of $0.9 and $26.3,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than as disclosed in this Quarterly Report on Form 10-Q, there have been no material changes outside of the ordinary course of business in our outstanding contractual obligations since the end of fiscal 2021 and through January 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2021 Annual Report, under “ITEM 1. BUSINESS — Regulatory Considerations” and “ITEM 3.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 Our critical accounting policies and estimates have not changed materially from those disclosed in the 2021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2021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January 1,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January 1, 2022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Part I, Item 3 of the 2021 Annual Report. There have been no material developments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risk factors, as of January 1, 2022, have not materially changed from those described in Part I, Item 1A of the 2021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2021 Annual Report. All forward-looking statements attributable to us or persons working on our behalf are expressly qualified in their entirety by such risk factors.</w:t>
      </w:r>
    </w:p>
    <w:p>
      <w:pPr>
        <w:spacing w:after="0" w:line="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on, and repurchases of, the Company’s Common Shares, as long as the leverage ratio resulting from the making of such restricted payments is 4.00 or less. Otherwise, the Company may make further restricted payments in an aggregate amount for each fiscal year not to exceed $225.0 million. The Company’s leverage ratio was 3.32 at January 1, 2022.</w:t>
      </w:r>
    </w:p>
    <w:p>
      <w:pPr>
        <w:spacing w:after="0" w:line="1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December 30, 2021, Scotts Miracle-Gro issued 132,076 Common Shares as part of the purchase price for assets purchased under the Purchase Agreement, dated December 29, 2021, by and among Luxx Lighting, Inc., Brandon Burkhart, Ivan Van Ortwick and Hawthorne Hydroponics LLC. The issuances of the Common Shares were exempt from the registration requirements of the Securities Act of 1933, as amended (the “Securities Act”), pursuant to Section 4(a)(2) of the Securities Act. Scotts Miracle-Gro issued the shares in a privately negotiated transaction, and such shares were acquired for the recipients’ accounts for investment purposes. A legend was placed on Common Shares referencing the restricted nature of the Common Shares.</w:t>
      </w:r>
    </w:p>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January 1,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35"/>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Common 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Paid per</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2021 through October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114,724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619,944,047</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October 31, 2021 through November 27, 2021</w:t>
            </w:r>
          </w:p>
        </w:tc>
        <w:tc>
          <w:tcPr>
            <w:tcW w:w="1520" w:type="dxa"/>
            <w:vAlign w:val="bottom"/>
          </w:tcPr>
          <w:p>
            <w:pPr>
              <w:jc w:val="right"/>
              <w:spacing w:after="0"/>
              <w:rPr>
                <w:sz w:val="20"/>
                <w:szCs w:val="20"/>
                <w:color w:val="auto"/>
              </w:rPr>
            </w:pPr>
            <w:r>
              <w:rPr>
                <w:rFonts w:ascii="Arial" w:cs="Arial" w:eastAsia="Arial" w:hAnsi="Arial"/>
                <w:sz w:val="16"/>
                <w:szCs w:val="16"/>
                <w:color w:val="auto"/>
              </w:rPr>
              <w:t>521,406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168.53</w:t>
            </w:r>
          </w:p>
        </w:tc>
        <w:tc>
          <w:tcPr>
            <w:tcW w:w="100" w:type="dxa"/>
            <w:vAlign w:val="bottom"/>
          </w:tcPr>
          <w:p>
            <w:pPr>
              <w:spacing w:after="0"/>
              <w:rPr>
                <w:sz w:val="18"/>
                <w:szCs w:val="18"/>
                <w:color w:val="auto"/>
              </w:rPr>
            </w:pP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520,962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532,144,622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28, 2021 through January 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152.64</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132,556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511,923,145</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771,580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162.72</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768,242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hanging="328"/>
        <w:spacing w:after="0" w:line="263"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the Common Shares purchased during the first quarter of fiscal 2022 were purchased in open market transactions. The total number of Common Shares purchased during the quarter includes 3,338 Common Shares purchased by the trustee of the rabbi trust established by the Company as permitted pursuant to the terms of The Scotts Company LLC Executive Retirement Plan (the “ERP”).</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4"/>
        </w:numPr>
        <w:rPr>
          <w:rFonts w:ascii="Arial" w:cs="Arial" w:eastAsia="Arial" w:hAnsi="Arial"/>
          <w:sz w:val="18"/>
          <w:szCs w:val="18"/>
          <w:color w:val="333333"/>
        </w:rPr>
      </w:pPr>
      <w:r>
        <w:rPr>
          <w:rFonts w:ascii="Arial" w:cs="Arial" w:eastAsia="Arial" w:hAnsi="Arial"/>
          <w:sz w:val="18"/>
          <w:szCs w:val="18"/>
          <w:color w:val="auto"/>
        </w:rPr>
        <w:t>On February 6, 2020, the Company announced a new repurchase program allowing for repurchases of up to $750.0 million of Common Shares from April 30, 2020 through March 25,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41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60" w:type="dxa"/>
            <w:vAlign w:val="bottom"/>
            <w:gridSpan w:val="10"/>
          </w:tcPr>
          <w:p>
            <w:pPr>
              <w:jc w:val="center"/>
              <w:ind w:left="970"/>
              <w:spacing w:after="0"/>
              <w:rPr>
                <w:sz w:val="20"/>
                <w:szCs w:val="20"/>
                <w:color w:val="auto"/>
              </w:rPr>
            </w:pPr>
            <w:r>
              <w:rPr>
                <w:rFonts w:ascii="Arial" w:cs="Arial" w:eastAsia="Arial" w:hAnsi="Arial"/>
                <w:sz w:val="18"/>
                <w:szCs w:val="18"/>
                <w:color w:val="auto"/>
                <w:w w:val="95"/>
              </w:rPr>
              <w:t>THE SCOTTS MIRACLE-GRO COMPANY</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60" w:type="dxa"/>
            <w:vAlign w:val="bottom"/>
            <w:gridSpan w:val="10"/>
          </w:tcPr>
          <w:p>
            <w:pPr>
              <w:jc w:val="center"/>
              <w:ind w:left="990"/>
              <w:spacing w:after="0"/>
              <w:rPr>
                <w:sz w:val="20"/>
                <w:szCs w:val="20"/>
                <w:color w:val="auto"/>
              </w:rPr>
            </w:pPr>
            <w:r>
              <w:rPr>
                <w:rFonts w:ascii="Arial" w:cs="Arial" w:eastAsia="Arial" w:hAnsi="Arial"/>
                <w:sz w:val="18"/>
                <w:szCs w:val="18"/>
                <w:color w:val="auto"/>
                <w:w w:val="94"/>
              </w:rPr>
              <w:t>QUARTERLY REPORT ON FORM 10-Q</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60" w:type="dxa"/>
            <w:vAlign w:val="bottom"/>
            <w:gridSpan w:val="12"/>
          </w:tcPr>
          <w:p>
            <w:pPr>
              <w:jc w:val="center"/>
              <w:ind w:left="190"/>
              <w:spacing w:after="0"/>
              <w:rPr>
                <w:sz w:val="20"/>
                <w:szCs w:val="20"/>
                <w:color w:val="auto"/>
              </w:rPr>
            </w:pPr>
            <w:r>
              <w:rPr>
                <w:rFonts w:ascii="Arial" w:cs="Arial" w:eastAsia="Arial" w:hAnsi="Arial"/>
                <w:sz w:val="18"/>
                <w:szCs w:val="18"/>
                <w:color w:val="auto"/>
                <w:w w:val="95"/>
              </w:rPr>
              <w:t>FOR THE QUARTERLY PERIOD ENDED JANUARY 1, 2022</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60" w:type="dxa"/>
            <w:vAlign w:val="bottom"/>
            <w:gridSpan w:val="10"/>
          </w:tcPr>
          <w:p>
            <w:pPr>
              <w:jc w:val="center"/>
              <w:ind w:left="990"/>
              <w:spacing w:after="0"/>
              <w:rPr>
                <w:sz w:val="20"/>
                <w:szCs w:val="20"/>
                <w:color w:val="auto"/>
              </w:rPr>
            </w:pPr>
            <w:r>
              <w:rPr>
                <w:rFonts w:ascii="Arial" w:cs="Arial" w:eastAsia="Arial" w:hAnsi="Arial"/>
                <w:sz w:val="18"/>
                <w:szCs w:val="18"/>
                <w:color w:val="auto"/>
                <w:w w:val="98"/>
              </w:rPr>
              <w:t>INDEX TO EXHIBITS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rPr>
              <w:t>Incorporated by Reference</w:t>
            </w:r>
          </w:p>
        </w:tc>
        <w:tc>
          <w:tcPr>
            <w:tcW w:w="120" w:type="dxa"/>
            <w:vAlign w:val="bottom"/>
          </w:tcPr>
          <w:p>
            <w:pPr>
              <w:spacing w:after="0"/>
              <w:rPr>
                <w:sz w:val="22"/>
                <w:szCs w:val="22"/>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60" w:type="dxa"/>
            <w:vAlign w:val="bottom"/>
            <w:gridSpan w:val="10"/>
            <w:vMerge w:val="restart"/>
          </w:tcPr>
          <w:p>
            <w:pPr>
              <w:ind w:left="920"/>
              <w:spacing w:after="0"/>
              <w:rPr>
                <w:sz w:val="20"/>
                <w:szCs w:val="20"/>
                <w:color w:val="auto"/>
              </w:rPr>
            </w:pPr>
            <w:r>
              <w:rPr>
                <w:rFonts w:ascii="Arial" w:cs="Arial" w:eastAsia="Arial" w:hAnsi="Arial"/>
                <w:sz w:val="18"/>
                <w:szCs w:val="18"/>
                <w:color w:val="auto"/>
              </w:rPr>
              <w:t>Description</w:t>
            </w:r>
          </w:p>
        </w:tc>
        <w:tc>
          <w:tcPr>
            <w:tcW w:w="800" w:type="dxa"/>
            <w:vAlign w:val="bottom"/>
            <w:gridSpan w:val="2"/>
            <w:vMerge w:val="restart"/>
          </w:tcPr>
          <w:p>
            <w:pPr>
              <w:ind w:left="140"/>
              <w:spacing w:after="0"/>
              <w:rPr>
                <w:sz w:val="20"/>
                <w:szCs w:val="20"/>
                <w:color w:val="auto"/>
              </w:rPr>
            </w:pPr>
            <w:r>
              <w:rPr>
                <w:rFonts w:ascii="Arial" w:cs="Arial" w:eastAsia="Arial" w:hAnsi="Arial"/>
                <w:sz w:val="18"/>
                <w:szCs w:val="18"/>
                <w:color w:val="auto"/>
              </w:rPr>
              <w:t>Form</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auto"/>
              </w:rPr>
              <w:t>Exhibit</w:t>
            </w: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color w:val="auto"/>
              </w:rPr>
              <w:t>Filing Date</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60" w:type="dxa"/>
            <w:vAlign w:val="bottom"/>
            <w:gridSpan w:val="10"/>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80" w:type="dxa"/>
            <w:vAlign w:val="bottom"/>
            <w:tcBorders>
              <w:top w:val="single" w:sz="8" w:color="auto"/>
            </w:tcBorders>
            <w:gridSpan w:val="11"/>
          </w:tcPr>
          <w:p>
            <w:pPr>
              <w:spacing w:after="0" w:line="182"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Form of Standard Performance Unit Award Agreement which may be made under</w:t>
              </w:r>
            </w:hyperlink>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The Scotts Miracle-Gro Company Long-Term Incentive Plan</w:t>
              </w:r>
            </w:hyperlink>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12"/>
          </w:tcPr>
          <w:p>
            <w:pPr>
              <w:spacing w:after="0"/>
              <w:rPr>
                <w:rFonts w:ascii="Arial" w:cs="Arial" w:eastAsia="Arial" w:hAnsi="Arial"/>
                <w:sz w:val="18"/>
                <w:szCs w:val="18"/>
                <w:color w:val="0000FF"/>
                <w:w w:val="96"/>
              </w:rPr>
            </w:pPr>
            <w:hyperlink w:anchor="page51">
              <w:r>
                <w:rPr>
                  <w:rFonts w:ascii="Arial" w:cs="Arial" w:eastAsia="Arial" w:hAnsi="Arial"/>
                  <w:sz w:val="18"/>
                  <w:szCs w:val="18"/>
                  <w:color w:val="0000FF"/>
                  <w:w w:val="96"/>
                </w:rPr>
                <w:t>Form of Standard Restricted Stock Unit Award Agreement which may be made</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under The Scotts Miracle-Gro Company Long-Term Incentive Plan</w:t>
              </w:r>
            </w:hyperlink>
          </w:p>
        </w:tc>
        <w:tc>
          <w:tcPr>
            <w:tcW w:w="6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Borders>
              <w:top w:val="single" w:sz="8" w:color="0000FF"/>
            </w:tcBorders>
            <w:gridSpan w:val="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Subsidiaries of The Scotts Miracle-Gro Company</w:t>
              </w:r>
            </w:hyperlink>
          </w:p>
        </w:tc>
        <w:tc>
          <w:tcPr>
            <w:tcW w:w="1260" w:type="dxa"/>
            <w:vAlign w:val="bottom"/>
            <w:gridSpan w:val="7"/>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Borders>
              <w:top w:val="single" w:sz="8" w:color="0000FF"/>
            </w:tcBorders>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Guarantor Subsidiaries</w:t>
              </w:r>
            </w:hyperlink>
          </w:p>
        </w:tc>
        <w:tc>
          <w:tcPr>
            <w:tcW w:w="2540" w:type="dxa"/>
            <w:vAlign w:val="bottom"/>
            <w:gridSpan w:val="9"/>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1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Rule 13a-14(a)/15d-14(a) Certifications (Principal Executive Officer)</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Rule 13a-14(a)/15d-14(a) Certifications (Principal Financial Officer)</w:t>
              </w:r>
            </w:hyperlink>
          </w:p>
        </w:tc>
        <w:tc>
          <w:tcPr>
            <w:tcW w:w="40" w:type="dxa"/>
            <w:vAlign w:val="bottom"/>
            <w:tcBorders>
              <w:top w:val="single" w:sz="8" w:color="0000FF"/>
            </w:tcBorders>
          </w:tcPr>
          <w:p>
            <w:pPr>
              <w:spacing w:after="0"/>
              <w:rPr>
                <w:sz w:val="18"/>
                <w:szCs w:val="18"/>
                <w:color w:val="auto"/>
              </w:rPr>
            </w:pPr>
          </w:p>
        </w:tc>
        <w:tc>
          <w:tcPr>
            <w:tcW w:w="110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12"/>
          </w:tcPr>
          <w:p>
            <w:pPr>
              <w:spacing w:after="0"/>
              <w:rPr>
                <w:rFonts w:ascii="Arial" w:cs="Arial" w:eastAsia="Arial" w:hAnsi="Arial"/>
                <w:sz w:val="18"/>
                <w:szCs w:val="18"/>
                <w:color w:val="0000FF"/>
                <w:w w:val="97"/>
              </w:rPr>
            </w:pPr>
            <w:hyperlink w:anchor="page62">
              <w:r>
                <w:rPr>
                  <w:rFonts w:ascii="Arial" w:cs="Arial" w:eastAsia="Arial" w:hAnsi="Arial"/>
                  <w:sz w:val="18"/>
                  <w:szCs w:val="18"/>
                  <w:color w:val="0000FF"/>
                  <w:w w:val="97"/>
                </w:rPr>
                <w:t>Section 1350 Certifications (Principal Executive Officer and Principal Financial</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62">
              <w:r>
                <w:rPr>
                  <w:rFonts w:ascii="Arial" w:cs="Arial" w:eastAsia="Arial" w:hAnsi="Arial"/>
                  <w:sz w:val="18"/>
                  <w:szCs w:val="18"/>
                  <w:color w:val="0000FF"/>
                  <w:w w:val="94"/>
                </w:rPr>
                <w:t>Officer)</w:t>
              </w:r>
            </w:hyperlink>
          </w:p>
        </w:tc>
        <w:tc>
          <w:tcPr>
            <w:tcW w:w="5180" w:type="dxa"/>
            <w:vAlign w:val="bottom"/>
            <w:tcBorders>
              <w:top w:val="single" w:sz="8" w:color="0000FF"/>
            </w:tcBorders>
            <w:gridSpan w:val="8"/>
          </w:tcPr>
          <w:p>
            <w:pPr>
              <w:spacing w:after="0"/>
              <w:rPr>
                <w:sz w:val="13"/>
                <w:szCs w:val="13"/>
                <w:color w:val="auto"/>
              </w:rPr>
            </w:pPr>
          </w:p>
        </w:tc>
        <w:tc>
          <w:tcPr>
            <w:tcW w:w="34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XBRL Taxonomy Extension Schema</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08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gridSpan w:val="12"/>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 contained in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Arial" w:cs="Arial" w:eastAsia="Arial" w:hAnsi="Arial"/>
                <w:sz w:val="18"/>
                <w:szCs w:val="18"/>
                <w:color w:val="auto"/>
              </w:rPr>
              <w:t>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SCOTTS MIRACLE-GRO COMPANY</w:t>
            </w:r>
          </w:p>
        </w:tc>
      </w:tr>
      <w:tr>
        <w:trPr>
          <w:trHeight w:val="500"/>
        </w:trPr>
        <w:tc>
          <w:tcPr>
            <w:tcW w:w="5720" w:type="dxa"/>
            <w:vAlign w:val="bottom"/>
          </w:tcPr>
          <w:p>
            <w:pPr>
              <w:spacing w:after="0"/>
              <w:rPr>
                <w:sz w:val="20"/>
                <w:szCs w:val="20"/>
                <w:color w:val="auto"/>
              </w:rPr>
            </w:pPr>
            <w:r>
              <w:rPr>
                <w:rFonts w:ascii="Arial" w:cs="Arial" w:eastAsia="Arial" w:hAnsi="Arial"/>
                <w:sz w:val="18"/>
                <w:szCs w:val="18"/>
                <w:color w:val="auto"/>
              </w:rPr>
              <w:t>Date: February 9, 2022</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CORY J. MILLER</w:t>
            </w:r>
          </w:p>
        </w:tc>
      </w:tr>
      <w:tr>
        <w:trPr>
          <w:trHeight w:val="222"/>
        </w:trPr>
        <w:tc>
          <w:tcPr>
            <w:tcW w:w="5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Printed Name: Cory J. Miller</w:t>
            </w:r>
          </w:p>
        </w:tc>
      </w:t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Granted 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Associate 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 Type: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 UNIT AWARD AGREEMENT FOR EMPLOYEES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75" w:lineRule="exact"/>
        <w:rPr>
          <w:sz w:val="20"/>
          <w:szCs w:val="20"/>
          <w:color w:val="auto"/>
        </w:rPr>
      </w:pPr>
    </w:p>
    <w:p>
      <w:pPr>
        <w:jc w:val="both"/>
        <w:ind w:firstLine="8"/>
        <w:spacing w:after="0" w:line="290" w:lineRule="auto"/>
        <w:tabs>
          <w:tab w:leader="none" w:pos="648"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DESCRIPTION OF YOUR PERFORMANCE UNITS. </w:t>
      </w:r>
      <w:r>
        <w:rPr>
          <w:rFonts w:ascii="Arial" w:cs="Arial" w:eastAsia="Arial" w:hAnsi="Arial"/>
          <w:sz w:val="19"/>
          <w:szCs w:val="19"/>
          <w:color w:val="auto"/>
        </w:rPr>
        <w:t>You have received a grant of [</w:t>
      </w:r>
      <w:r>
        <w:rPr>
          <w:rFonts w:ascii="Arial" w:cs="Arial" w:eastAsia="Arial" w:hAnsi="Arial"/>
          <w:sz w:val="19"/>
          <w:szCs w:val="19"/>
          <w:b w:val="1"/>
          <w:bCs w:val="1"/>
          <w:color w:val="auto"/>
        </w:rPr>
        <w:t>Number</w:t>
      </w:r>
      <w:r>
        <w:rPr>
          <w:rFonts w:ascii="Arial" w:cs="Arial" w:eastAsia="Arial" w:hAnsi="Arial"/>
          <w:sz w:val="19"/>
          <w:szCs w:val="19"/>
          <w:color w:val="auto"/>
        </w:rPr>
        <w:t>] Performance Units</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Units”), based on a target level of performance, and an equal number of related Dividend Equivalents. The “Grant Date” of your Award is [</w:t>
      </w:r>
      <w:r>
        <w:rPr>
          <w:rFonts w:ascii="Arial" w:cs="Arial" w:eastAsia="Arial" w:hAnsi="Arial"/>
          <w:sz w:val="19"/>
          <w:szCs w:val="19"/>
          <w:b w:val="1"/>
          <w:bCs w:val="1"/>
          <w:color w:val="auto"/>
        </w:rPr>
        <w:t>Grant Date</w:t>
      </w:r>
      <w:r>
        <w:rPr>
          <w:rFonts w:ascii="Arial" w:cs="Arial" w:eastAsia="Arial" w:hAnsi="Arial"/>
          <w:sz w:val="19"/>
          <w:szCs w:val="19"/>
          <w:color w:val="auto"/>
        </w:rPr>
        <w:t xml:space="preserve">]. Each Performance Unit represents the right to receive one full Share at the time and in the manner described in this Award Agreement based upon the performance criteria described in the attached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Subject to Section 6 of this Award Agreement, each Dividend Equivalent represents the right to receive an amount equal to the dividends that are declared and paid during the period beginning on the Grant Date and ending on the Settlement Date (as described in Section 5(a) of this Award Agreement) with respect to the Share represented by the related Performance Unit. As described herein, the Performance Units and related Dividend Equivalents that will actually be awarded to you may be more or less than the number of Performance Units granted. See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for more details.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To accept this Award Agreement, you must provide your acknowledgement and acceptance of the terms contained herein by completing the on-line grant agreement process facilitated by </w:t>
      </w:r>
      <w:r>
        <w:rPr>
          <w:rFonts w:ascii="Arial" w:cs="Arial" w:eastAsia="Arial" w:hAnsi="Arial"/>
          <w:sz w:val="22"/>
          <w:szCs w:val="22"/>
          <w:b w:val="1"/>
          <w:bCs w:val="1"/>
          <w:color w:val="auto"/>
        </w:rPr>
        <w:t>Merrill Lynch</w:t>
      </w:r>
      <w:r>
        <w:rPr>
          <w:rFonts w:ascii="Arial" w:cs="Arial" w:eastAsia="Arial" w:hAnsi="Arial"/>
          <w:sz w:val="22"/>
          <w:szCs w:val="22"/>
          <w:color w:val="auto"/>
        </w:rPr>
        <w:t xml:space="preserve"> (the “Third Party Administrator”) no later than [</w:t>
      </w:r>
      <w:r>
        <w:rPr>
          <w:rFonts w:ascii="Arial" w:cs="Arial" w:eastAsia="Arial" w:hAnsi="Arial"/>
          <w:sz w:val="22"/>
          <w:szCs w:val="22"/>
          <w:b w:val="1"/>
          <w:bCs w:val="1"/>
          <w:color w:val="auto"/>
        </w:rPr>
        <w:t>Acceptance Date</w:t>
      </w:r>
      <w:r>
        <w:rPr>
          <w:rFonts w:ascii="Arial" w:cs="Arial" w:eastAsia="Arial" w:hAnsi="Arial"/>
          <w:sz w:val="22"/>
          <w:szCs w:val="22"/>
          <w:color w:val="auto"/>
        </w:rPr>
        <w:t>].</w:t>
      </w:r>
    </w:p>
    <w:p>
      <w:pPr>
        <w:spacing w:after="0" w:line="17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52" w:lineRule="exact"/>
        <w:rPr>
          <w:rFonts w:ascii="Arial" w:cs="Arial" w:eastAsia="Arial" w:hAnsi="Arial"/>
          <w:sz w:val="22"/>
          <w:szCs w:val="22"/>
          <w:b w:val="1"/>
          <w:bCs w:val="1"/>
          <w:color w:val="auto"/>
        </w:rPr>
      </w:pPr>
    </w:p>
    <w:p>
      <w:pPr>
        <w:jc w:val="both"/>
        <w:ind w:left="1320" w:hanging="664"/>
        <w:spacing w:after="0" w:line="248" w:lineRule="auto"/>
        <w:tabs>
          <w:tab w:leader="none" w:pos="1317"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This Award Agreement and your Performance Units are granted pursuant to the terms and conditions of The Scotts Miracle-Gro Company Long-Term Incentive Plan effective January 24, 2022 (the “Plan”) and this Award Agreement. All provisions of the Plan are incorporated herein by reference, and your Performance Units and related Dividend Equivalents are subject to the terms of the Plan. To the extent there is a conflict between this Award Agreement and the Plan, the Plan will govern.</w:t>
      </w:r>
    </w:p>
    <w:p>
      <w:pPr>
        <w:spacing w:after="0" w:line="218" w:lineRule="exact"/>
        <w:rPr>
          <w:rFonts w:ascii="Arial" w:cs="Arial" w:eastAsia="Arial" w:hAnsi="Arial"/>
          <w:sz w:val="22"/>
          <w:szCs w:val="22"/>
          <w:color w:val="auto"/>
        </w:rPr>
      </w:pPr>
    </w:p>
    <w:p>
      <w:pPr>
        <w:ind w:left="1120" w:hanging="464"/>
        <w:spacing w:after="0"/>
        <w:tabs>
          <w:tab w:leader="none" w:pos="1120" w:val="left"/>
        </w:tabs>
        <w:numPr>
          <w:ilvl w:val="1"/>
          <w:numId w:val="16"/>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ectPr>
          <w:pgSz w:w="11900" w:h="16838" w:orient="portrait"/>
          <w:cols w:equalWidth="0" w:num="1">
            <w:col w:w="11240"/>
          </w:cols>
          <w:pgMar w:left="320" w:top="104" w:right="339" w:bottom="1440" w:gutter="0" w:footer="0" w:header="0"/>
        </w:sectPr>
      </w:pPr>
    </w:p>
    <w:bookmarkStart w:id="43" w:name="page44"/>
    <w:bookmarkEnd w:id="43"/>
    <w:p>
      <w:pPr>
        <w:jc w:val="both"/>
        <w:ind w:firstLine="8"/>
        <w:spacing w:after="0" w:line="248" w:lineRule="auto"/>
        <w:tabs>
          <w:tab w:leader="none" w:pos="449"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PERFORMANCE UNIT ACHIEVEMENT. </w:t>
      </w:r>
      <w:r>
        <w:rPr>
          <w:rFonts w:ascii="Arial" w:cs="Arial" w:eastAsia="Arial" w:hAnsi="Arial"/>
          <w:sz w:val="22"/>
          <w:szCs w:val="22"/>
          <w:color w:val="auto"/>
        </w:rPr>
        <w:t>The number of “Performance Units Achieved” will be calculated as follows:</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Performance Units Achieved = Performance Units * Payout Percentage. </w:t>
      </w:r>
      <w:r>
        <w:rPr>
          <w:rFonts w:ascii="Arial" w:cs="Arial" w:eastAsia="Arial" w:hAnsi="Arial"/>
          <w:sz w:val="22"/>
          <w:szCs w:val="22"/>
          <w:color w:val="auto"/>
        </w:rPr>
        <w:t>The number of Performance Units Achieved, if any, 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subject to satisfaction of the performance criteria set forth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over the period beginning on </w:t>
      </w:r>
      <w:r>
        <w:rPr>
          <w:rFonts w:ascii="Arial" w:cs="Arial" w:eastAsia="Arial" w:hAnsi="Arial"/>
          <w:sz w:val="22"/>
          <w:szCs w:val="22"/>
          <w:b w:val="1"/>
          <w:bCs w:val="1"/>
          <w:color w:val="auto"/>
        </w:rPr>
        <w:t>October 1, 2021</w:t>
      </w:r>
      <w:r>
        <w:rPr>
          <w:rFonts w:ascii="Arial" w:cs="Arial" w:eastAsia="Arial" w:hAnsi="Arial"/>
          <w:sz w:val="22"/>
          <w:szCs w:val="22"/>
          <w:color w:val="auto"/>
        </w:rPr>
        <w:t xml:space="preserve"> and ending on </w:t>
      </w:r>
      <w:r>
        <w:rPr>
          <w:rFonts w:ascii="Arial" w:cs="Arial" w:eastAsia="Arial" w:hAnsi="Arial"/>
          <w:sz w:val="22"/>
          <w:szCs w:val="22"/>
          <w:b w:val="1"/>
          <w:bCs w:val="1"/>
          <w:color w:val="auto"/>
        </w:rPr>
        <w:t>September 30, 2024</w:t>
      </w:r>
      <w:r>
        <w:rPr>
          <w:rFonts w:ascii="Arial" w:cs="Arial" w:eastAsia="Arial" w:hAnsi="Arial"/>
          <w:sz w:val="22"/>
          <w:szCs w:val="22"/>
          <w:color w:val="auto"/>
        </w:rPr>
        <w:t xml:space="preserve"> (the “Performance Period”), and will be determined at the end of the Performance Period. Each whole Performance Unit Achieved represents the right to receive one full Share at the time and in the manner described in this Award Agreement.</w:t>
      </w:r>
    </w:p>
    <w:p>
      <w:pPr>
        <w:spacing w:after="0" w:line="186" w:lineRule="exact"/>
        <w:rPr>
          <w:rFonts w:ascii="Arial" w:cs="Arial" w:eastAsia="Arial" w:hAnsi="Arial"/>
          <w:sz w:val="22"/>
          <w:szCs w:val="22"/>
          <w:b w:val="1"/>
          <w:bCs w:val="1"/>
          <w:color w:val="auto"/>
        </w:rPr>
      </w:pPr>
    </w:p>
    <w:p>
      <w:pPr>
        <w:ind w:firstLine="8"/>
        <w:spacing w:after="0" w:line="269" w:lineRule="auto"/>
        <w:tabs>
          <w:tab w:leader="none" w:pos="484"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7 of this Award Agreement, the Performance Units Achieved are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vesting criteria:</w:t>
      </w:r>
    </w:p>
    <w:p>
      <w:pPr>
        <w:spacing w:after="0" w:line="188" w:lineRule="exact"/>
        <w:rPr>
          <w:rFonts w:ascii="Arial" w:cs="Arial" w:eastAsia="Arial" w:hAnsi="Arial"/>
          <w:sz w:val="22"/>
          <w:szCs w:val="22"/>
          <w:b w:val="1"/>
          <w:bCs w:val="1"/>
          <w:color w:val="auto"/>
        </w:rPr>
      </w:pPr>
    </w:p>
    <w:p>
      <w:pPr>
        <w:ind w:left="1300" w:hanging="644"/>
        <w:spacing w:after="0" w:line="256" w:lineRule="auto"/>
        <w:tabs>
          <w:tab w:leader="none" w:pos="1135" w:val="left"/>
        </w:tabs>
        <w:numPr>
          <w:ilvl w:val="1"/>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employment continues from the Grant Date until [the third anniversary of the Grant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that is </w:t>
      </w:r>
      <w:r>
        <w:rPr>
          <w:rFonts w:ascii="Arial" w:cs="Arial" w:eastAsia="Arial" w:hAnsi="Arial"/>
          <w:sz w:val="22"/>
          <w:szCs w:val="22"/>
          <w:b w:val="1"/>
          <w:bCs w:val="1"/>
          <w:color w:val="auto"/>
        </w:rPr>
        <w:t>[Vesting Date]</w:t>
      </w:r>
      <w:r>
        <w:rPr>
          <w:rFonts w:ascii="Arial" w:cs="Arial" w:eastAsia="Arial" w:hAnsi="Arial"/>
          <w:sz w:val="22"/>
          <w:szCs w:val="22"/>
          <w:color w:val="auto"/>
        </w:rPr>
        <w:t xml:space="preserve"> the number of Performance Units Achieved shall become 100% vested on such date (subject to the performance criteria as described in Section 3 and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or</w:t>
      </w:r>
    </w:p>
    <w:p>
      <w:pPr>
        <w:spacing w:after="0" w:line="203" w:lineRule="exact"/>
        <w:rPr>
          <w:rFonts w:ascii="Arial" w:cs="Arial" w:eastAsia="Arial" w:hAnsi="Arial"/>
          <w:sz w:val="22"/>
          <w:szCs w:val="22"/>
          <w:color w:val="auto"/>
        </w:rPr>
      </w:pPr>
    </w:p>
    <w:p>
      <w:pPr>
        <w:jc w:val="both"/>
        <w:ind w:left="1320" w:hanging="664"/>
        <w:spacing w:after="0" w:line="256" w:lineRule="auto"/>
        <w:tabs>
          <w:tab w:leader="none" w:pos="1315" w:val="left"/>
        </w:tabs>
        <w:numPr>
          <w:ilvl w:val="1"/>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the Performance Units Achieved will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become 100% vested, even if you Terminate prior to the date listed in Section 3(a) above (subject to the performance criteria as described in Section 3 and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w:t>
      </w:r>
    </w:p>
    <w:p>
      <w:pPr>
        <w:spacing w:after="0" w:line="209" w:lineRule="exact"/>
        <w:rPr>
          <w:rFonts w:ascii="Arial" w:cs="Arial" w:eastAsia="Arial" w:hAnsi="Arial"/>
          <w:sz w:val="22"/>
          <w:szCs w:val="22"/>
          <w:color w:val="auto"/>
        </w:rPr>
      </w:pPr>
    </w:p>
    <w:p>
      <w:pPr>
        <w:jc w:val="both"/>
        <w:ind w:left="1960" w:hanging="656"/>
        <w:spacing w:after="0" w:line="248" w:lineRule="auto"/>
        <w:tabs>
          <w:tab w:leader="none" w:pos="1948" w:val="left"/>
        </w:tabs>
        <w:numPr>
          <w:ilvl w:val="2"/>
          <w:numId w:val="17"/>
        </w:numPr>
        <w:rPr>
          <w:rFonts w:ascii="Arial" w:cs="Arial" w:eastAsia="Arial" w:hAnsi="Arial"/>
          <w:sz w:val="22"/>
          <w:szCs w:val="22"/>
          <w:color w:val="auto"/>
        </w:rPr>
      </w:pPr>
      <w:r>
        <w:rPr>
          <w:rFonts w:ascii="Arial" w:cs="Arial" w:eastAsia="Arial" w:hAnsi="Arial"/>
          <w:sz w:val="22"/>
          <w:szCs w:val="22"/>
          <w:color w:val="auto"/>
        </w:rPr>
        <w:t>If you Terminate because of your death or due to a disability for which you qualify for benefits under the Scotts Miracle-Gro Company’s Long-term Disability Plan or another long-term disability plan sponsored by the Company (“Disabled”), the number of Performance Units Achieved will deemed to become 100% vested as of the date of such event and will be settled in accordance with Section 5 of this Award Agreement;</w:t>
      </w:r>
    </w:p>
    <w:p>
      <w:pPr>
        <w:spacing w:after="0" w:line="218" w:lineRule="exact"/>
        <w:rPr>
          <w:rFonts w:ascii="Arial" w:cs="Arial" w:eastAsia="Arial" w:hAnsi="Arial"/>
          <w:sz w:val="22"/>
          <w:szCs w:val="22"/>
          <w:color w:val="auto"/>
        </w:rPr>
      </w:pPr>
    </w:p>
    <w:p>
      <w:pPr>
        <w:ind w:left="1960" w:hanging="656"/>
        <w:spacing w:after="0" w:line="250" w:lineRule="auto"/>
        <w:tabs>
          <w:tab w:leader="none" w:pos="1876" w:val="left"/>
        </w:tabs>
        <w:numPr>
          <w:ilvl w:val="2"/>
          <w:numId w:val="17"/>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55 and completing at least 10 years of employment with the Company, its Affiliates and/or its Subsidiaries, the number of Performance Units Achieved will deemed to become 100% vested as of the date of such event and will be settled in accordance with Section 5 of this Award Agreement; or</w:t>
      </w:r>
    </w:p>
    <w:p>
      <w:pPr>
        <w:spacing w:after="0" w:line="187" w:lineRule="exact"/>
        <w:rPr>
          <w:rFonts w:ascii="Arial" w:cs="Arial" w:eastAsia="Arial" w:hAnsi="Arial"/>
          <w:sz w:val="22"/>
          <w:szCs w:val="22"/>
          <w:color w:val="auto"/>
        </w:rPr>
      </w:pPr>
    </w:p>
    <w:p>
      <w:pPr>
        <w:ind w:left="1960" w:hanging="656"/>
        <w:spacing w:after="0" w:line="250" w:lineRule="auto"/>
        <w:tabs>
          <w:tab w:leader="none" w:pos="1857" w:val="left"/>
        </w:tabs>
        <w:numPr>
          <w:ilvl w:val="2"/>
          <w:numId w:val="17"/>
        </w:numPr>
        <w:rPr>
          <w:rFonts w:ascii="Arial" w:cs="Arial" w:eastAsia="Arial" w:hAnsi="Arial"/>
          <w:sz w:val="22"/>
          <w:szCs w:val="22"/>
          <w:color w:val="auto"/>
        </w:rPr>
      </w:pPr>
      <w:r>
        <w:rPr>
          <w:rFonts w:ascii="Arial" w:cs="Arial" w:eastAsia="Arial" w:hAnsi="Arial"/>
          <w:sz w:val="22"/>
          <w:szCs w:val="22"/>
          <w:color w:val="auto"/>
        </w:rPr>
        <w:t>If you Terminate due to an involuntary Termination by the Company without Cause no earlier than 180 days before the date listed in Section 3(a) of this Agreement, the number of Performance Units Achieved will be deemed become 100% vested as of the date of such event and will be settled in accordance with Section 5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44" w:name="page45"/>
    <w:bookmarkEnd w:id="44"/>
    <w:p>
      <w:pPr>
        <w:ind w:left="380" w:hanging="372"/>
        <w:spacing w:after="0"/>
        <w:tabs>
          <w:tab w:leader="none" w:pos="3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ind w:left="1300" w:hanging="644"/>
        <w:spacing w:after="0" w:line="292" w:lineRule="auto"/>
        <w:tabs>
          <w:tab w:leader="none" w:pos="1204" w:val="left"/>
        </w:tabs>
        <w:numPr>
          <w:ilvl w:val="1"/>
          <w:numId w:val="18"/>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the number of vested Performance Units Achieved, minus any Shares that are withheld for taxes as provided under Section 5(c), shall be settled in a lump sum as soon as administratively practicable following the date listed in Section 3(a) of this Agreement (the “Settlement Date”). Your whole Performance Units Achieved shall be settled in full Shares, and any fractional Performance Unit Achieved shall be settled in cash, determined based upon the Fair Market Value of a Share on the Settlement Date, which shall be equal to the closing price of a Share on the Settlement date if it is a trading day or, if such date is not a trading day, on the next preceding trading day.</w:t>
      </w:r>
    </w:p>
    <w:p>
      <w:pPr>
        <w:spacing w:after="0" w:line="150" w:lineRule="exact"/>
        <w:rPr>
          <w:rFonts w:ascii="Arial" w:cs="Arial" w:eastAsia="Arial" w:hAnsi="Arial"/>
          <w:sz w:val="19"/>
          <w:szCs w:val="19"/>
          <w:color w:val="auto"/>
        </w:rPr>
      </w:pPr>
    </w:p>
    <w:p>
      <w:pPr>
        <w:jc w:val="right"/>
        <w:ind w:left="1300" w:hanging="644"/>
        <w:spacing w:after="0" w:line="343" w:lineRule="auto"/>
        <w:tabs>
          <w:tab w:leader="none" w:pos="1185" w:val="left"/>
        </w:tabs>
        <w:numPr>
          <w:ilvl w:val="1"/>
          <w:numId w:val="18"/>
        </w:numPr>
        <w:rPr>
          <w:rFonts w:ascii="Arial" w:cs="Arial" w:eastAsia="Arial" w:hAnsi="Arial"/>
          <w:sz w:val="19"/>
          <w:szCs w:val="19"/>
          <w:color w:val="auto"/>
        </w:rPr>
      </w:pPr>
      <w:r>
        <w:rPr>
          <w:rFonts w:ascii="Arial" w:cs="Arial" w:eastAsia="Arial" w:hAnsi="Arial"/>
          <w:sz w:val="19"/>
          <w:szCs w:val="19"/>
          <w:color w:val="auto"/>
        </w:rPr>
        <w:t>Except as provided in Section 6 of this Award Agreement, you will have none of the rights of a shareholder with respect to Shares underlying the Performance Units unless and until you become the record holder of such Shares.</w:t>
      </w:r>
    </w:p>
    <w:p>
      <w:pPr>
        <w:spacing w:after="0" w:line="131" w:lineRule="exact"/>
        <w:rPr>
          <w:rFonts w:ascii="Arial" w:cs="Arial" w:eastAsia="Arial" w:hAnsi="Arial"/>
          <w:sz w:val="19"/>
          <w:szCs w:val="19"/>
          <w:color w:val="auto"/>
        </w:rPr>
      </w:pPr>
    </w:p>
    <w:p>
      <w:pPr>
        <w:ind w:left="1300" w:hanging="644"/>
        <w:spacing w:after="0" w:line="312" w:lineRule="auto"/>
        <w:tabs>
          <w:tab w:leader="none" w:pos="1158" w:val="left"/>
        </w:tabs>
        <w:numPr>
          <w:ilvl w:val="1"/>
          <w:numId w:val="18"/>
        </w:numPr>
        <w:rPr>
          <w:rFonts w:ascii="Arial" w:cs="Arial" w:eastAsia="Arial" w:hAnsi="Arial"/>
          <w:sz w:val="19"/>
          <w:szCs w:val="19"/>
          <w:color w:val="auto"/>
        </w:rPr>
      </w:pPr>
      <w:r>
        <w:rPr>
          <w:rFonts w:ascii="Arial" w:cs="Arial" w:eastAsia="Arial" w:hAnsi="Arial"/>
          <w:sz w:val="19"/>
          <w:szCs w:val="19"/>
          <w:color w:val="auto"/>
        </w:rPr>
        <w:t>You may use one of the following methods to pay the required withholding taxes related to the settlement of your Performance Units Achieved. You will decide on the method at the time prescribed by the Company. If you do not elect one of these methods, the Company will apply the Net Settlement method described below:</w:t>
      </w:r>
    </w:p>
    <w:p>
      <w:pPr>
        <w:spacing w:after="0" w:line="133" w:lineRule="exact"/>
        <w:rPr>
          <w:rFonts w:ascii="Arial" w:cs="Arial" w:eastAsia="Arial" w:hAnsi="Arial"/>
          <w:sz w:val="19"/>
          <w:szCs w:val="19"/>
          <w:color w:val="auto"/>
        </w:rPr>
      </w:pPr>
    </w:p>
    <w:p>
      <w:pPr>
        <w:ind w:left="1960" w:hanging="656"/>
        <w:spacing w:after="0" w:line="253" w:lineRule="auto"/>
        <w:tabs>
          <w:tab w:leader="none" w:pos="1751" w:val="left"/>
        </w:tabs>
        <w:numPr>
          <w:ilvl w:val="2"/>
          <w:numId w:val="18"/>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required withholding Taxes applicable on your Performance Units.</w:t>
      </w:r>
    </w:p>
    <w:p>
      <w:pPr>
        <w:spacing w:after="0" w:line="212" w:lineRule="exact"/>
        <w:rPr>
          <w:rFonts w:ascii="Arial" w:cs="Arial" w:eastAsia="Arial" w:hAnsi="Arial"/>
          <w:sz w:val="22"/>
          <w:szCs w:val="22"/>
          <w:color w:val="auto"/>
        </w:rPr>
      </w:pPr>
    </w:p>
    <w:p>
      <w:pPr>
        <w:ind w:left="1960" w:hanging="656"/>
        <w:spacing w:after="0" w:line="250" w:lineRule="auto"/>
        <w:tabs>
          <w:tab w:leader="none" w:pos="1807" w:val="left"/>
        </w:tabs>
        <w:numPr>
          <w:ilvl w:val="2"/>
          <w:numId w:val="18"/>
        </w:numPr>
        <w:rPr>
          <w:rFonts w:ascii="Arial" w:cs="Arial" w:eastAsia="Arial" w:hAnsi="Arial"/>
          <w:sz w:val="22"/>
          <w:szCs w:val="22"/>
          <w:color w:val="auto"/>
        </w:rPr>
      </w:pPr>
      <w:r>
        <w:rPr>
          <w:rFonts w:ascii="Arial" w:cs="Arial" w:eastAsia="Arial" w:hAnsi="Arial"/>
          <w:sz w:val="22"/>
          <w:szCs w:val="22"/>
          <w:color w:val="auto"/>
        </w:rPr>
        <w:t>NET SETTLEMENT: If you elect this alternative, the Company will retain the number of Shares with a Fair Market Value equal to the required withholding Taxes applicable on your Performance Units, provided that such withholding can be no more than the maximum withholding rate applicable to each jurisdiction for which the Company is required to withhold.</w:t>
      </w:r>
    </w:p>
    <w:p>
      <w:pPr>
        <w:spacing w:after="0" w:line="214" w:lineRule="exact"/>
        <w:rPr>
          <w:rFonts w:ascii="Arial" w:cs="Arial" w:eastAsia="Arial" w:hAnsi="Arial"/>
          <w:sz w:val="22"/>
          <w:szCs w:val="22"/>
          <w:color w:val="auto"/>
        </w:rPr>
      </w:pPr>
    </w:p>
    <w:p>
      <w:pPr>
        <w:ind w:left="1300" w:hanging="644"/>
        <w:spacing w:after="0" w:line="290" w:lineRule="auto"/>
        <w:tabs>
          <w:tab w:leader="none" w:pos="1146"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number of Performance Units Achieved will vest and be settled only under the circumstances described above, unless there is a Change in Control, in which case your Performance Units may vest earlier at Target in accordance with the Plan and pursuant to the discretion of the Committee. See the Plan for further details. Notwithstanding any other provisions of this Agreement to the contrary, in the event that it shall be determined that any payment or distribution in the nature of compensation (within the meaning of section 280G(b)(2) of the Code) to or for the benefit of the Executive, whether paid or payable or distributed or distributable pursuant to the terms of this Agreement or otherwise (the “Payments”), would constitute an “excess parachute payment” within the meaning of section 280G of the Code, the Company shall reduce (but not below zero)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45" w:name="page46"/>
    <w:bookmarkEnd w:id="45"/>
    <w:p>
      <w:pPr>
        <w:jc w:val="both"/>
        <w:ind w:left="1300"/>
        <w:spacing w:after="0" w:line="286" w:lineRule="auto"/>
        <w:rPr>
          <w:sz w:val="20"/>
          <w:szCs w:val="20"/>
          <w:color w:val="auto"/>
        </w:rPr>
      </w:pPr>
      <w:r>
        <w:rPr>
          <w:rFonts w:ascii="Arial" w:cs="Arial" w:eastAsia="Arial" w:hAnsi="Arial"/>
          <w:sz w:val="19"/>
          <w:szCs w:val="19"/>
          <w:color w:val="auto"/>
        </w:rPr>
        <w:t>aggregate present value of the Payments under the Agreement to the Reduced Amount (as defined below), if reducing the Payments under this Agreement will provide the Executive with a greater net after-tax amount than would be the case if no reduction was made. The Payments shall be reduced as described in the preceding sentence only if (i) the net amount of the Payments, as so reduced (and after subtracting the net amount of federal, state and local income and payroll taxes on the reduced Payments), is greater than or equal to (ii) the net amount of the Payments without such reduction (but after subtracting the net amount of federal, state and local income and payroll taxes on the Payments and the amount of Excise Tax (as defined below) to which the Executive would be subject with respect to the unreduced Payments). Only amounts payable under this Agreement shall be reduced pursuant to this subsection (a). The “Reduced Amount” shall be an amount expressed in present value that maximizes the aggregate present value of Payments under this Agreement without causing any Payment under this Agreement to be subject to the Excise Tax, determined in accordance with section 280G(d)(4) of the Code. The term “Excise Tax” means the excise tax imposed under section 4999 of the Code, together with any interest or penalties imposed with respect to such excise tax.</w:t>
      </w:r>
    </w:p>
    <w:p>
      <w:pPr>
        <w:spacing w:after="0" w:line="193" w:lineRule="exact"/>
        <w:rPr>
          <w:sz w:val="20"/>
          <w:szCs w:val="20"/>
          <w:color w:val="auto"/>
        </w:rPr>
      </w:pPr>
    </w:p>
    <w:p>
      <w:pPr>
        <w:ind w:left="1960" w:hanging="656"/>
        <w:spacing w:after="0" w:line="294" w:lineRule="auto"/>
        <w:tabs>
          <w:tab w:leader="none" w:pos="1820" w:val="left"/>
        </w:tabs>
        <w:numPr>
          <w:ilvl w:val="2"/>
          <w:numId w:val="19"/>
        </w:numPr>
        <w:rPr>
          <w:rFonts w:ascii="Arial" w:cs="Arial" w:eastAsia="Arial" w:hAnsi="Arial"/>
          <w:sz w:val="19"/>
          <w:szCs w:val="19"/>
          <w:color w:val="auto"/>
        </w:rPr>
      </w:pPr>
      <w:r>
        <w:rPr>
          <w:rFonts w:ascii="Arial" w:cs="Arial" w:eastAsia="Arial" w:hAnsi="Arial"/>
          <w:sz w:val="19"/>
          <w:szCs w:val="19"/>
          <w:color w:val="auto"/>
        </w:rPr>
        <w:t>All determinations to be made under this Section 5(d) shall be made by an independent registered public accounting firm or consulting firm selected by the Company immediately prior to a change in control, which shall provide its determinations and any supporting calculations both to the Company and the Executive within ten (10) days of the change in control. Any such determination by such firm shall be binding upon the Company and the Executive. All of the fees and expenses of the accounting or consulting firm in performing the determinations referred to in this Section shall be borne solely by the Company.</w:t>
      </w:r>
    </w:p>
    <w:p>
      <w:pPr>
        <w:spacing w:after="0" w:line="170" w:lineRule="exact"/>
        <w:rPr>
          <w:rFonts w:ascii="Arial" w:cs="Arial" w:eastAsia="Arial" w:hAnsi="Arial"/>
          <w:sz w:val="19"/>
          <w:szCs w:val="19"/>
          <w:color w:val="auto"/>
        </w:rPr>
      </w:pPr>
    </w:p>
    <w:p>
      <w:pPr>
        <w:jc w:val="both"/>
        <w:ind w:firstLine="8"/>
        <w:spacing w:after="0" w:line="291" w:lineRule="auto"/>
        <w:tabs>
          <w:tab w:leader="none" w:pos="421"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Each Dividend Equivalent represents the right to receive an amount equal to the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that are declared and paid during the period beginning on the Grant Date and ending on the Settlement Date with respect to the Shares represented by the related Performance Units Achieved, subject to the same terms and conditions. The Dividend Equivalents on Performance Units Achieved shall be payable only when and to the extent that the underlying Performance Unit vests and becomes payable. Any Dividend Equivalents will be distributed to you in accordance with Section 5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148" w:lineRule="exact"/>
        <w:rPr>
          <w:rFonts w:ascii="Arial" w:cs="Arial" w:eastAsia="Arial" w:hAnsi="Arial"/>
          <w:sz w:val="19"/>
          <w:szCs w:val="19"/>
          <w:b w:val="1"/>
          <w:bCs w:val="1"/>
          <w:color w:val="auto"/>
        </w:rPr>
      </w:pPr>
    </w:p>
    <w:p>
      <w:pPr>
        <w:ind w:left="380" w:hanging="372"/>
        <w:spacing w:after="0"/>
        <w:tabs>
          <w:tab w:leader="none" w:pos="38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52" w:lineRule="exact"/>
        <w:rPr>
          <w:rFonts w:ascii="Arial" w:cs="Arial" w:eastAsia="Arial" w:hAnsi="Arial"/>
          <w:sz w:val="22"/>
          <w:szCs w:val="22"/>
          <w:b w:val="1"/>
          <w:bCs w:val="1"/>
          <w:color w:val="auto"/>
        </w:rPr>
      </w:pPr>
    </w:p>
    <w:p>
      <w:pPr>
        <w:jc w:val="both"/>
        <w:ind w:left="1300" w:hanging="644"/>
        <w:spacing w:after="0" w:line="253" w:lineRule="auto"/>
        <w:tabs>
          <w:tab w:leader="none" w:pos="1297" w:val="left"/>
        </w:tabs>
        <w:numPr>
          <w:ilvl w:val="1"/>
          <w:numId w:val="20"/>
        </w:numPr>
        <w:rPr>
          <w:rFonts w:ascii="Arial" w:cs="Arial" w:eastAsia="Arial" w:hAnsi="Arial"/>
          <w:sz w:val="22"/>
          <w:szCs w:val="22"/>
          <w:color w:val="auto"/>
        </w:rPr>
      </w:pPr>
      <w:r>
        <w:rPr>
          <w:rFonts w:ascii="Arial" w:cs="Arial" w:eastAsia="Arial" w:hAnsi="Arial"/>
          <w:sz w:val="22"/>
          <w:szCs w:val="22"/>
          <w:color w:val="auto"/>
        </w:rPr>
        <w:t>Except as otherwise provided in Section 4 or Section 5(d) of this Award Agreement, you will forfeit your unvested Performance Units if you Terminate prior to the Settlement Date, whether the performance criteria are achieved or not.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6" w:name="page47"/>
    <w:bookmarkEnd w:id="46"/>
    <w:p>
      <w:pPr>
        <w:spacing w:after="0" w:line="231" w:lineRule="exact"/>
        <w:rPr>
          <w:sz w:val="20"/>
          <w:szCs w:val="20"/>
          <w:color w:val="auto"/>
        </w:rPr>
      </w:pPr>
    </w:p>
    <w:p>
      <w:pPr>
        <w:jc w:val="both"/>
        <w:ind w:left="1300" w:hanging="644"/>
        <w:spacing w:after="0" w:line="265" w:lineRule="auto"/>
        <w:tabs>
          <w:tab w:leader="none" w:pos="1295" w:val="left"/>
        </w:tabs>
        <w:numPr>
          <w:ilvl w:val="1"/>
          <w:numId w:val="21"/>
        </w:numPr>
        <w:rPr>
          <w:rFonts w:ascii="Arial" w:cs="Arial" w:eastAsia="Arial" w:hAnsi="Arial"/>
          <w:sz w:val="21"/>
          <w:szCs w:val="21"/>
          <w:color w:val="auto"/>
        </w:rPr>
      </w:pPr>
      <w:r>
        <w:rPr>
          <w:rFonts w:ascii="Arial" w:cs="Arial" w:eastAsia="Arial" w:hAnsi="Arial"/>
          <w:sz w:val="21"/>
          <w:szCs w:val="21"/>
          <w:color w:val="auto"/>
        </w:rPr>
        <w:t>If you engage in “Conduct That Is Harmful To The Company” (as described below), you will forfeit your Performance Units and related Dividend Equivalents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02" w:lineRule="exact"/>
        <w:rPr>
          <w:rFonts w:ascii="Arial" w:cs="Arial" w:eastAsia="Arial" w:hAnsi="Arial"/>
          <w:sz w:val="21"/>
          <w:szCs w:val="21"/>
          <w:color w:val="auto"/>
        </w:rPr>
      </w:pPr>
    </w:p>
    <w:p>
      <w:pPr>
        <w:ind w:left="1960" w:hanging="656"/>
        <w:spacing w:after="0" w:line="263" w:lineRule="auto"/>
        <w:tabs>
          <w:tab w:leader="none" w:pos="1948" w:val="left"/>
        </w:tabs>
        <w:numPr>
          <w:ilvl w:val="2"/>
          <w:numId w:val="21"/>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01" w:lineRule="exact"/>
        <w:rPr>
          <w:rFonts w:ascii="Arial" w:cs="Arial" w:eastAsia="Arial" w:hAnsi="Arial"/>
          <w:sz w:val="22"/>
          <w:szCs w:val="22"/>
          <w:color w:val="auto"/>
        </w:rPr>
      </w:pPr>
    </w:p>
    <w:p>
      <w:pPr>
        <w:jc w:val="both"/>
        <w:ind w:left="1960" w:hanging="656"/>
        <w:spacing w:after="0" w:line="253" w:lineRule="auto"/>
        <w:tabs>
          <w:tab w:leader="none" w:pos="1954" w:val="left"/>
        </w:tabs>
        <w:numPr>
          <w:ilvl w:val="2"/>
          <w:numId w:val="21"/>
        </w:numPr>
        <w:rPr>
          <w:rFonts w:ascii="Arial" w:cs="Arial" w:eastAsia="Arial" w:hAnsi="Arial"/>
          <w:sz w:val="22"/>
          <w:szCs w:val="22"/>
          <w:color w:val="auto"/>
        </w:rPr>
      </w:pPr>
      <w:r>
        <w:rPr>
          <w:rFonts w:ascii="Arial" w:cs="Arial" w:eastAsia="Arial" w:hAnsi="Arial"/>
          <w:sz w:val="22"/>
          <w:szCs w:val="22"/>
          <w:color w:val="auto"/>
        </w:rPr>
        <w:t>You engage in conduct that the Committee reasonably concludes requires the forfeiture and recoupment of the Award under the terms of any Company recoupment or clawback policy, any other applicable policy of the Company, and any applicable laws and regulations;</w:t>
      </w:r>
    </w:p>
    <w:p>
      <w:pPr>
        <w:spacing w:after="0" w:line="212" w:lineRule="exact"/>
        <w:rPr>
          <w:rFonts w:ascii="Arial" w:cs="Arial" w:eastAsia="Arial" w:hAnsi="Arial"/>
          <w:sz w:val="22"/>
          <w:szCs w:val="22"/>
          <w:color w:val="auto"/>
        </w:rPr>
      </w:pPr>
    </w:p>
    <w:p>
      <w:pPr>
        <w:ind w:left="1960" w:hanging="656"/>
        <w:spacing w:after="0" w:line="263" w:lineRule="auto"/>
        <w:tabs>
          <w:tab w:leader="none" w:pos="1960" w:val="left"/>
        </w:tabs>
        <w:numPr>
          <w:ilvl w:val="2"/>
          <w:numId w:val="21"/>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01" w:lineRule="exact"/>
        <w:rPr>
          <w:rFonts w:ascii="Arial" w:cs="Arial" w:eastAsia="Arial" w:hAnsi="Arial"/>
          <w:sz w:val="22"/>
          <w:szCs w:val="22"/>
          <w:color w:val="auto"/>
        </w:rPr>
      </w:pPr>
    </w:p>
    <w:p>
      <w:pPr>
        <w:ind w:left="1960" w:hanging="656"/>
        <w:spacing w:after="0" w:line="263" w:lineRule="auto"/>
        <w:tabs>
          <w:tab w:leader="none" w:pos="1948" w:val="left"/>
        </w:tabs>
        <w:numPr>
          <w:ilvl w:val="2"/>
          <w:numId w:val="21"/>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01" w:lineRule="exact"/>
        <w:rPr>
          <w:rFonts w:ascii="Arial" w:cs="Arial" w:eastAsia="Arial" w:hAnsi="Arial"/>
          <w:sz w:val="22"/>
          <w:szCs w:val="22"/>
          <w:color w:val="auto"/>
        </w:rPr>
      </w:pPr>
    </w:p>
    <w:p>
      <w:pPr>
        <w:jc w:val="both"/>
        <w:ind w:left="1960" w:hanging="656"/>
        <w:spacing w:after="0" w:line="247" w:lineRule="auto"/>
        <w:tabs>
          <w:tab w:leader="none" w:pos="1955" w:val="left"/>
        </w:tabs>
        <w:numPr>
          <w:ilvl w:val="2"/>
          <w:numId w:val="21"/>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19" w:lineRule="exact"/>
        <w:rPr>
          <w:rFonts w:ascii="Arial" w:cs="Arial" w:eastAsia="Arial" w:hAnsi="Arial"/>
          <w:sz w:val="22"/>
          <w:szCs w:val="22"/>
          <w:color w:val="auto"/>
        </w:rPr>
      </w:pPr>
    </w:p>
    <w:p>
      <w:pPr>
        <w:ind w:left="1960" w:hanging="656"/>
        <w:spacing w:after="0" w:line="263" w:lineRule="auto"/>
        <w:tabs>
          <w:tab w:leader="none" w:pos="1948" w:val="left"/>
        </w:tabs>
        <w:numPr>
          <w:ilvl w:val="2"/>
          <w:numId w:val="21"/>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195" w:lineRule="exact"/>
        <w:rPr>
          <w:rFonts w:ascii="Arial" w:cs="Arial" w:eastAsia="Arial" w:hAnsi="Arial"/>
          <w:sz w:val="22"/>
          <w:szCs w:val="22"/>
          <w:color w:val="auto"/>
        </w:rPr>
      </w:pPr>
    </w:p>
    <w:p>
      <w:pPr>
        <w:ind w:firstLine="8"/>
        <w:spacing w:after="0" w:line="269" w:lineRule="auto"/>
        <w:tabs>
          <w:tab w:leader="none" w:pos="366"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88" w:lineRule="exact"/>
        <w:rPr>
          <w:rFonts w:ascii="Arial" w:cs="Arial" w:eastAsia="Arial" w:hAnsi="Arial"/>
          <w:sz w:val="22"/>
          <w:szCs w:val="22"/>
          <w:b w:val="1"/>
          <w:bCs w:val="1"/>
          <w:color w:val="auto"/>
        </w:rPr>
      </w:pPr>
    </w:p>
    <w:p>
      <w:pPr>
        <w:jc w:val="both"/>
        <w:ind w:right="180" w:firstLine="8"/>
        <w:spacing w:after="0" w:line="267" w:lineRule="auto"/>
        <w:tabs>
          <w:tab w:leader="none" w:pos="378"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BENEFICIARY DESIGNATION. </w:t>
      </w:r>
      <w:r>
        <w:rPr>
          <w:rFonts w:ascii="Arial" w:cs="Arial" w:eastAsia="Arial" w:hAnsi="Arial"/>
          <w:sz w:val="21"/>
          <w:szCs w:val="21"/>
          <w:color w:val="auto"/>
        </w:rPr>
        <w:t>You may name a beneficiary or beneficiaries to receive any vested Performance Units</w:t>
      </w:r>
      <w:r>
        <w:rPr>
          <w:rFonts w:ascii="Arial" w:cs="Arial" w:eastAsia="Arial" w:hAnsi="Arial"/>
          <w:sz w:val="21"/>
          <w:szCs w:val="21"/>
          <w:b w:val="1"/>
          <w:bCs w:val="1"/>
          <w:color w:val="auto"/>
        </w:rPr>
        <w:t xml:space="preserve"> </w:t>
      </w:r>
      <w:r>
        <w:rPr>
          <w:rFonts w:ascii="Arial" w:cs="Arial" w:eastAsia="Arial" w:hAnsi="Arial"/>
          <w:sz w:val="21"/>
          <w:szCs w:val="21"/>
          <w:color w:val="auto"/>
        </w:rPr>
        <w:t>and related Dividend Equivalents that may be achieved under this Award Agreement but are settled after you die. This may be done only on the Beneficiary Designation Form and by following the rules described in that Form. The Beneficiary Designation Form does not need to be completed now and is not required as 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7" w:name="page48"/>
    <w:bookmarkEnd w:id="47"/>
    <w:p>
      <w:pPr>
        <w:jc w:val="both"/>
        <w:ind w:right="460"/>
        <w:spacing w:after="0" w:line="253" w:lineRule="auto"/>
        <w:rPr>
          <w:sz w:val="20"/>
          <w:szCs w:val="20"/>
          <w:color w:val="auto"/>
        </w:rPr>
      </w:pPr>
      <w:r>
        <w:rPr>
          <w:rFonts w:ascii="Arial" w:cs="Arial" w:eastAsia="Arial" w:hAnsi="Arial"/>
          <w:sz w:val="22"/>
          <w:szCs w:val="22"/>
          <w:color w:val="auto"/>
        </w:rPr>
        <w:t>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206"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PERFORMANCE UNITS AND RELATED DIVIDEND EQUIVALENTS. </w:t>
      </w:r>
      <w:r>
        <w:rPr>
          <w:rFonts w:ascii="Arial" w:cs="Arial" w:eastAsia="Arial" w:hAnsi="Arial"/>
          <w:sz w:val="22"/>
          <w:szCs w:val="22"/>
          <w:color w:val="auto"/>
        </w:rPr>
        <w:t>Except as</w:t>
      </w:r>
    </w:p>
    <w:p>
      <w:pPr>
        <w:spacing w:after="0" w:line="27" w:lineRule="exact"/>
        <w:rPr>
          <w:rFonts w:ascii="Arial" w:cs="Arial" w:eastAsia="Arial" w:hAnsi="Arial"/>
          <w:sz w:val="22"/>
          <w:szCs w:val="22"/>
          <w:b w:val="1"/>
          <w:bCs w:val="1"/>
          <w:color w:val="auto"/>
        </w:rPr>
      </w:pPr>
    </w:p>
    <w:p>
      <w:pPr>
        <w:jc w:val="both"/>
        <w:ind w:right="60"/>
        <w:spacing w:after="0" w:line="262" w:lineRule="auto"/>
        <w:rPr>
          <w:rFonts w:ascii="Arial" w:cs="Arial" w:eastAsia="Arial" w:hAnsi="Arial"/>
          <w:sz w:val="22"/>
          <w:szCs w:val="22"/>
          <w:b w:val="1"/>
          <w:bCs w:val="1"/>
          <w:color w:val="auto"/>
        </w:rPr>
      </w:pPr>
      <w:r>
        <w:rPr>
          <w:rFonts w:ascii="Arial" w:cs="Arial" w:eastAsia="Arial" w:hAnsi="Arial"/>
          <w:sz w:val="21"/>
          <w:szCs w:val="21"/>
          <w:color w:val="auto"/>
        </w:rPr>
        <w:t>described in Section 9, your Performance Units and related Dividend Equivalents may not be transferred to another person. Also, the Committee may allow you to place your Performance Units and related Dividend Equivalents into a trust established for your benefit or the benefit of your family. Contact the Third Party Administrator for further details.</w:t>
      </w:r>
    </w:p>
    <w:p>
      <w:pPr>
        <w:spacing w:after="0" w:line="197" w:lineRule="exact"/>
        <w:rPr>
          <w:rFonts w:ascii="Arial" w:cs="Arial" w:eastAsia="Arial" w:hAnsi="Arial"/>
          <w:sz w:val="22"/>
          <w:szCs w:val="22"/>
          <w:b w:val="1"/>
          <w:bCs w:val="1"/>
          <w:color w:val="auto"/>
        </w:rPr>
      </w:pPr>
    </w:p>
    <w:p>
      <w:pPr>
        <w:jc w:val="both"/>
        <w:ind w:firstLine="8"/>
        <w:spacing w:after="0" w:line="252" w:lineRule="auto"/>
        <w:tabs>
          <w:tab w:leader="none" w:pos="474"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206" w:lineRule="exact"/>
        <w:rPr>
          <w:rFonts w:ascii="Arial" w:cs="Arial" w:eastAsia="Arial" w:hAnsi="Arial"/>
          <w:sz w:val="22"/>
          <w:szCs w:val="22"/>
          <w:b w:val="1"/>
          <w:bCs w:val="1"/>
          <w:color w:val="auto"/>
        </w:rPr>
      </w:pPr>
    </w:p>
    <w:p>
      <w:pPr>
        <w:jc w:val="both"/>
        <w:ind w:firstLine="8"/>
        <w:spacing w:after="0" w:line="248" w:lineRule="auto"/>
        <w:tabs>
          <w:tab w:leader="none" w:pos="702"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AGREEMENTS AND POLICIES. </w:t>
      </w:r>
      <w:r>
        <w:rPr>
          <w:rFonts w:ascii="Arial" w:cs="Arial" w:eastAsia="Arial" w:hAnsi="Arial"/>
          <w:sz w:val="22"/>
          <w:szCs w:val="22"/>
          <w:color w:val="auto"/>
        </w:rPr>
        <w:t>Your Performance Units and related Dividend Equivalents, whether</w:t>
      </w:r>
      <w:r>
        <w:rPr>
          <w:rFonts w:ascii="Arial" w:cs="Arial" w:eastAsia="Arial" w:hAnsi="Arial"/>
          <w:sz w:val="22"/>
          <w:szCs w:val="22"/>
          <w:b w:val="1"/>
          <w:bCs w:val="1"/>
          <w:color w:val="auto"/>
        </w:rPr>
        <w:t xml:space="preserve"> </w:t>
      </w:r>
      <w:r>
        <w:rPr>
          <w:rFonts w:ascii="Arial" w:cs="Arial" w:eastAsia="Arial" w:hAnsi="Arial"/>
          <w:sz w:val="22"/>
          <w:szCs w:val="22"/>
          <w:color w:val="auto"/>
        </w:rPr>
        <w:t>achieved or not, will be subject to the terms of any other written agreements between you and the Company or any Affiliate or Subsidiary to the extent that those other agreements do not directly conflict with the terms of the Plan or this Award Agreement. Your Performance Units and related Dividend Equivalents granted under the Plan shall be subject to any applicable Company clawback or recoupment policies, share trading policies and other policies that may be implemented by the Company from time to time.</w:t>
      </w:r>
    </w:p>
    <w:p>
      <w:pPr>
        <w:spacing w:after="0" w:line="213" w:lineRule="exact"/>
        <w:rPr>
          <w:rFonts w:ascii="Arial" w:cs="Arial" w:eastAsia="Arial" w:hAnsi="Arial"/>
          <w:sz w:val="22"/>
          <w:szCs w:val="22"/>
          <w:b w:val="1"/>
          <w:bCs w:val="1"/>
          <w:color w:val="auto"/>
        </w:rPr>
      </w:pPr>
    </w:p>
    <w:p>
      <w:pPr>
        <w:jc w:val="both"/>
        <w:ind w:firstLine="8"/>
        <w:spacing w:after="0" w:line="274" w:lineRule="auto"/>
        <w:tabs>
          <w:tab w:leader="none" w:pos="528"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ADJUSTMENTS TO YOUR PERFORMANCE UNITS. </w:t>
      </w:r>
      <w:r>
        <w:rPr>
          <w:rFonts w:ascii="Arial" w:cs="Arial" w:eastAsia="Arial" w:hAnsi="Arial"/>
          <w:sz w:val="21"/>
          <w:szCs w:val="21"/>
          <w:color w:val="auto"/>
        </w:rPr>
        <w:t>Subject to the terms of the Plan, your Performance Units and</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Dividend Equivalents will be adjusted, if appropriate, to reflect any change to the Company’s capital structure (e.g., the number of Shares underlying your Performance Units will be adjusted to reflect a stock split).</w:t>
      </w:r>
    </w:p>
    <w:p>
      <w:pPr>
        <w:spacing w:after="0" w:line="185" w:lineRule="exact"/>
        <w:rPr>
          <w:rFonts w:ascii="Arial" w:cs="Arial" w:eastAsia="Arial" w:hAnsi="Arial"/>
          <w:sz w:val="21"/>
          <w:szCs w:val="21"/>
          <w:b w:val="1"/>
          <w:bCs w:val="1"/>
          <w:color w:val="auto"/>
        </w:rPr>
      </w:pPr>
    </w:p>
    <w:p>
      <w:pPr>
        <w:ind w:left="480" w:hanging="472"/>
        <w:spacing w:after="0"/>
        <w:tabs>
          <w:tab w:leader="none" w:pos="4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ind w:left="1300" w:hanging="644"/>
        <w:spacing w:after="0" w:line="263" w:lineRule="auto"/>
        <w:tabs>
          <w:tab w:leader="none" w:pos="1122" w:val="left"/>
        </w:tabs>
        <w:numPr>
          <w:ilvl w:val="0"/>
          <w:numId w:val="24"/>
        </w:numPr>
        <w:rPr>
          <w:rFonts w:ascii="Arial" w:cs="Arial" w:eastAsia="Arial" w:hAnsi="Arial"/>
          <w:sz w:val="22"/>
          <w:szCs w:val="22"/>
          <w:color w:val="auto"/>
        </w:rPr>
      </w:pPr>
      <w:r>
        <w:rPr>
          <w:rFonts w:ascii="Arial" w:cs="Arial" w:eastAsia="Arial" w:hAnsi="Arial"/>
          <w:sz w:val="22"/>
          <w:szCs w:val="22"/>
          <w:color w:val="auto"/>
        </w:rPr>
        <w:t>By accepting this Award under the Plan, you agree to all Committee determinations as described in the Plan and this Award Agreement;</w:t>
      </w:r>
    </w:p>
    <w:p>
      <w:pPr>
        <w:spacing w:after="0" w:line="201" w:lineRule="exact"/>
        <w:rPr>
          <w:rFonts w:ascii="Arial" w:cs="Arial" w:eastAsia="Arial" w:hAnsi="Arial"/>
          <w:sz w:val="22"/>
          <w:szCs w:val="22"/>
          <w:color w:val="auto"/>
        </w:rPr>
      </w:pPr>
    </w:p>
    <w:p>
      <w:pPr>
        <w:ind w:left="1300" w:hanging="644"/>
        <w:spacing w:after="0" w:line="253" w:lineRule="auto"/>
        <w:tabs>
          <w:tab w:leader="none" w:pos="1173" w:val="left"/>
        </w:tabs>
        <w:numPr>
          <w:ilvl w:val="0"/>
          <w:numId w:val="24"/>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48" w:name="page49"/>
    <w:bookmarkEnd w:id="48"/>
    <w:p>
      <w:pPr>
        <w:ind w:left="1220"/>
        <w:spacing w:after="0" w:line="263" w:lineRule="auto"/>
        <w:rPr>
          <w:sz w:val="20"/>
          <w:szCs w:val="20"/>
          <w:color w:val="auto"/>
        </w:rPr>
      </w:pPr>
      <w:r>
        <w:rPr>
          <w:rFonts w:ascii="Arial" w:cs="Arial" w:eastAsia="Arial" w:hAnsi="Arial"/>
          <w:sz w:val="22"/>
          <w:szCs w:val="22"/>
          <w:color w:val="auto"/>
        </w:rPr>
        <w:t>penalties under Section 409A of the Code, even if those changes affect the terms of your Award and reduce its value or potential value; and</w:t>
      </w:r>
    </w:p>
    <w:p>
      <w:pPr>
        <w:spacing w:after="0" w:line="175" w:lineRule="exact"/>
        <w:rPr>
          <w:sz w:val="20"/>
          <w:szCs w:val="20"/>
          <w:color w:val="auto"/>
        </w:rPr>
      </w:pPr>
    </w:p>
    <w:p>
      <w:pPr>
        <w:ind w:left="1220" w:hanging="644"/>
        <w:spacing w:after="0" w:line="263" w:lineRule="auto"/>
        <w:tabs>
          <w:tab w:leader="none" w:pos="1035" w:val="left"/>
        </w:tabs>
        <w:numPr>
          <w:ilvl w:val="0"/>
          <w:numId w:val="25"/>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utilizing the on-line grant agreement process defined above before [</w:t>
      </w:r>
      <w:r>
        <w:rPr>
          <w:rFonts w:ascii="Arial" w:cs="Arial" w:eastAsia="Arial" w:hAnsi="Arial"/>
          <w:sz w:val="22"/>
          <w:szCs w:val="22"/>
          <w:b w:val="1"/>
          <w:bCs w:val="1"/>
          <w:color w:val="auto"/>
        </w:rPr>
        <w:t>Date 30 Days After Grant Date</w:t>
      </w:r>
      <w:r>
        <w:rPr>
          <w:rFonts w:ascii="Arial" w:cs="Arial" w:eastAsia="Arial" w:hAnsi="Arial"/>
          <w:sz w:val="22"/>
          <w:szCs w:val="22"/>
          <w:color w:val="auto"/>
        </w:rPr>
        <w:t>].</w:t>
      </w:r>
    </w:p>
    <w:p>
      <w:pPr>
        <w:sectPr>
          <w:pgSz w:w="11900" w:h="16838" w:orient="portrait"/>
          <w:cols w:equalWidth="0" w:num="1">
            <w:col w:w="11160"/>
          </w:cols>
          <w:pgMar w:left="400" w:top="1428"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Grantee’s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640" w:space="720"/>
            <w:col w:w="5800"/>
          </w:cols>
          <w:pgMar w:left="400" w:top="1428"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720" w:space="720"/>
            <w:col w:w="5720"/>
          </w:cols>
          <w:pgMar w:left="400" w:top="1428"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04" w:lineRule="auto"/>
        <w:rPr>
          <w:sz w:val="20"/>
          <w:szCs w:val="20"/>
          <w:color w:val="auto"/>
        </w:rPr>
      </w:pPr>
      <w:r>
        <w:rPr>
          <w:rFonts w:ascii="Arial" w:cs="Arial" w:eastAsia="Arial" w:hAnsi="Arial"/>
          <w:sz w:val="22"/>
          <w:szCs w:val="22"/>
          <w:color w:val="auto"/>
        </w:rPr>
        <w:t>[Title of Company Representative]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720" w:space="720"/>
            <w:col w:w="5720"/>
          </w:cols>
          <w:pgMar w:left="400" w:top="14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60"/>
          </w:cols>
          <w:pgMar w:left="400" w:top="1428" w:right="339" w:bottom="1440" w:gutter="0" w:footer="0" w:header="0"/>
          <w:type w:val="continuous"/>
        </w:sectPr>
      </w:pPr>
    </w:p>
    <w:bookmarkStart w:id="49" w:name="page50"/>
    <w:bookmarkEnd w:id="49"/>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 CRITERIA</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(2022 STANDARD PERFORMANCE UNIT AWARD)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980"/>
        <w:spacing w:after="0" w:line="287" w:lineRule="auto"/>
        <w:rPr>
          <w:sz w:val="20"/>
          <w:szCs w:val="20"/>
          <w:color w:val="auto"/>
        </w:rPr>
      </w:pPr>
      <w:r>
        <w:rPr>
          <w:rFonts w:ascii="Arial" w:cs="Arial" w:eastAsia="Arial" w:hAnsi="Arial"/>
          <w:sz w:val="21"/>
          <w:szCs w:val="21"/>
          <w:color w:val="auto"/>
        </w:rPr>
        <w:t>The number of Performance Units Achieved under this Award Agreement is subject to the satisfaction of the following performance criteria and will be determined as of the end of the Performance Period, as follows:</w:t>
      </w:r>
    </w:p>
    <w:p>
      <w:pPr>
        <w:spacing w:after="0" w:line="145" w:lineRule="exact"/>
        <w:rPr>
          <w:sz w:val="20"/>
          <w:szCs w:val="20"/>
          <w:color w:val="auto"/>
        </w:rPr>
      </w:pPr>
    </w:p>
    <w:p>
      <w:pPr>
        <w:ind w:right="5000"/>
        <w:spacing w:after="0" w:line="537" w:lineRule="auto"/>
        <w:rPr>
          <w:sz w:val="20"/>
          <w:szCs w:val="20"/>
          <w:color w:val="auto"/>
        </w:rPr>
      </w:pPr>
      <w:r>
        <w:rPr>
          <w:rFonts w:ascii="Arial" w:cs="Arial" w:eastAsia="Arial" w:hAnsi="Arial"/>
          <w:sz w:val="19"/>
          <w:szCs w:val="19"/>
          <w:b w:val="1"/>
          <w:bCs w:val="1"/>
          <w:color w:val="auto"/>
        </w:rPr>
        <w:t xml:space="preserve">Performance Period: </w:t>
      </w:r>
      <w:r>
        <w:rPr>
          <w:rFonts w:ascii="Arial" w:cs="Arial" w:eastAsia="Arial" w:hAnsi="Arial"/>
          <w:sz w:val="19"/>
          <w:szCs w:val="19"/>
          <w:color w:val="auto"/>
        </w:rPr>
        <w:t>October 1, 2021 to September 30, 2024</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Performance Units Achieved = Performance Units * Payout Percentage</w:t>
      </w:r>
    </w:p>
    <w:p>
      <w:pPr>
        <w:spacing w:after="0"/>
        <w:rPr>
          <w:sz w:val="20"/>
          <w:szCs w:val="20"/>
          <w:color w:val="auto"/>
        </w:rPr>
      </w:pPr>
      <w:r>
        <w:rPr>
          <w:rFonts w:ascii="Arial" w:cs="Arial" w:eastAsia="Arial" w:hAnsi="Arial"/>
          <w:sz w:val="19"/>
          <w:szCs w:val="19"/>
          <w:i w:val="1"/>
          <w:iCs w:val="1"/>
          <w:color w:val="auto"/>
        </w:rPr>
        <w:t>Payout Percentage = Portion of Performance Units achieved based on actual results against the following performance goals:</w:t>
      </w:r>
    </w:p>
    <w:p>
      <w:pPr>
        <w:spacing w:after="0" w:line="200" w:lineRule="exact"/>
        <w:rPr>
          <w:sz w:val="20"/>
          <w:szCs w:val="20"/>
          <w:color w:val="auto"/>
        </w:rPr>
      </w:pP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80" w:type="dxa"/>
            <w:vAlign w:val="bottom"/>
            <w:tcBorders>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95"/>
              </w:rPr>
              <w:t>Metric</w:t>
            </w:r>
          </w:p>
        </w:tc>
        <w:tc>
          <w:tcPr>
            <w:tcW w:w="154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95"/>
              </w:rPr>
              <w:t>Minimum</w:t>
            </w:r>
          </w:p>
        </w:tc>
        <w:tc>
          <w:tcPr>
            <w:tcW w:w="154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89"/>
              </w:rPr>
              <w:t>Target</w:t>
            </w:r>
          </w:p>
        </w:tc>
        <w:tc>
          <w:tcPr>
            <w:tcW w:w="154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90"/>
              </w:rPr>
              <w:t>Plan</w:t>
            </w:r>
          </w:p>
        </w:tc>
        <w:tc>
          <w:tcPr>
            <w:tcW w:w="154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89"/>
              </w:rPr>
              <w:t>Stretch</w:t>
            </w:r>
          </w:p>
        </w:tc>
        <w:tc>
          <w:tcPr>
            <w:tcW w:w="154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94"/>
              </w:rPr>
              <w:t>Maximum</w:t>
            </w:r>
          </w:p>
        </w:tc>
        <w:tc>
          <w:tcPr>
            <w:tcW w:w="0" w:type="dxa"/>
            <w:vAlign w:val="bottom"/>
          </w:tcPr>
          <w:p>
            <w:pPr>
              <w:spacing w:after="0"/>
              <w:rPr>
                <w:sz w:val="1"/>
                <w:szCs w:val="1"/>
                <w:color w:val="auto"/>
              </w:rPr>
            </w:pPr>
          </w:p>
        </w:tc>
      </w:tr>
      <w:tr>
        <w:trPr>
          <w:trHeight w:val="282"/>
        </w:trPr>
        <w:tc>
          <w:tcPr>
            <w:tcW w:w="20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Weighting</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i w:val="1"/>
                <w:iCs w:val="1"/>
                <w:color w:val="auto"/>
                <w:w w:val="92"/>
              </w:rPr>
              <w:t>( 50%)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i w:val="1"/>
                <w:iCs w:val="1"/>
                <w:color w:val="auto"/>
                <w:w w:val="93"/>
              </w:rPr>
              <w:t>( 100%)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i w:val="1"/>
                <w:iCs w:val="1"/>
                <w:color w:val="auto"/>
                <w:w w:val="93"/>
              </w:rPr>
              <w:t>(150%)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i w:val="1"/>
                <w:iCs w:val="1"/>
                <w:color w:val="auto"/>
                <w:w w:val="90"/>
              </w:rPr>
              <w:t>( 200%)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i w:val="1"/>
                <w:iCs w:val="1"/>
                <w:color w:val="auto"/>
                <w:w w:val="90"/>
              </w:rPr>
              <w:t>( 250%)</w:t>
            </w:r>
          </w:p>
        </w:tc>
        <w:tc>
          <w:tcPr>
            <w:tcW w:w="0" w:type="dxa"/>
            <w:vAlign w:val="bottom"/>
          </w:tcPr>
          <w:p>
            <w:pPr>
              <w:spacing w:after="0"/>
              <w:rPr>
                <w:sz w:val="1"/>
                <w:szCs w:val="1"/>
                <w:color w:val="auto"/>
              </w:rPr>
            </w:pPr>
          </w:p>
        </w:tc>
      </w:tr>
      <w:tr>
        <w:trPr>
          <w:trHeight w:val="198"/>
        </w:trPr>
        <w:tc>
          <w:tcPr>
            <w:tcW w:w="208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22"/>
                <w:szCs w:val="22"/>
                <w:b w:val="1"/>
                <w:bCs w:val="1"/>
                <w:color w:val="auto"/>
              </w:rPr>
              <w:t>Cumulative</w:t>
            </w:r>
          </w:p>
        </w:tc>
        <w:tc>
          <w:tcPr>
            <w:tcW w:w="14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b w:val="1"/>
                <w:bCs w:val="1"/>
                <w:color w:val="auto"/>
              </w:rPr>
              <w:t>Operating Cash</w:t>
            </w:r>
          </w:p>
        </w:tc>
        <w:tc>
          <w:tcPr>
            <w:tcW w:w="14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[TBD%]</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$TBDM</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$TBDM</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$TBDM</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$TBDM</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$TBDM</w:t>
            </w: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Flow</w:t>
            </w:r>
          </w:p>
        </w:tc>
        <w:tc>
          <w:tcPr>
            <w:tcW w:w="148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22"/>
                <w:szCs w:val="22"/>
                <w:b w:val="1"/>
                <w:bCs w:val="1"/>
                <w:color w:val="auto"/>
              </w:rPr>
              <w:t>Cumulative Net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rPr>
              <w:t>[TBD%]</w:t>
            </w:r>
          </w:p>
        </w:tc>
        <w:tc>
          <w:tcPr>
            <w:tcW w:w="15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rPr>
              <w:t>$TBDM</w:t>
            </w:r>
          </w:p>
        </w:tc>
        <w:tc>
          <w:tcPr>
            <w:tcW w:w="15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rPr>
              <w:t>$TBDM</w:t>
            </w:r>
          </w:p>
        </w:tc>
        <w:tc>
          <w:tcPr>
            <w:tcW w:w="15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rPr>
              <w:t>$TBDM</w:t>
            </w:r>
          </w:p>
        </w:tc>
        <w:tc>
          <w:tcPr>
            <w:tcW w:w="15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rPr>
              <w:t>$TBDM</w:t>
            </w:r>
          </w:p>
        </w:tc>
        <w:tc>
          <w:tcPr>
            <w:tcW w:w="15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rPr>
              <w:t>$TBDM</w:t>
            </w:r>
          </w:p>
        </w:tc>
        <w:tc>
          <w:tcPr>
            <w:tcW w:w="0" w:type="dxa"/>
            <w:vAlign w:val="bottom"/>
          </w:tcPr>
          <w:p>
            <w:pPr>
              <w:spacing w:after="0"/>
              <w:rPr>
                <w:sz w:val="1"/>
                <w:szCs w:val="1"/>
                <w:color w:val="auto"/>
              </w:rPr>
            </w:pPr>
          </w:p>
        </w:tc>
      </w:tr>
      <w:tr>
        <w:trPr>
          <w:trHeight w:val="172"/>
        </w:trPr>
        <w:tc>
          <w:tcPr>
            <w:tcW w:w="20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Sales</w:t>
            </w:r>
          </w:p>
        </w:tc>
        <w:tc>
          <w:tcPr>
            <w:tcW w:w="1480" w:type="dxa"/>
            <w:vAlign w:val="bottom"/>
            <w:tcBorders>
              <w:right w:val="single" w:sz="8" w:color="auto"/>
            </w:tcBorders>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color w:val="auto"/>
        </w:rPr>
        <w:t>Performance goals may be adjusted as applicable over the performance period (subject to the Compensation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 Committee approval) to account for material acquisitions, new or expanded JVs, divestitures and certain other pre-defined events.</w:t>
      </w:r>
    </w:p>
    <w:p>
      <w:pPr>
        <w:spacing w:after="0" w:line="68"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color w:val="auto"/>
        </w:rPr>
        <w:t>If actual performance is below the Minimum performance level indicated for both metrics, no Performance Units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achieved.</w:t>
      </w:r>
    </w:p>
    <w:p>
      <w:pPr>
        <w:spacing w:after="0" w:line="195"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b w:val="1"/>
          <w:bCs w:val="1"/>
          <w:i w:val="1"/>
          <w:iCs w:val="1"/>
          <w:color w:val="auto"/>
        </w:rPr>
        <w:t xml:space="preserve">Cumulative Operating Cash Flow: </w:t>
      </w:r>
      <w:r>
        <w:rPr>
          <w:rFonts w:ascii="Arial" w:cs="Arial" w:eastAsia="Arial" w:hAnsi="Arial"/>
          <w:sz w:val="21"/>
          <w:szCs w:val="21"/>
          <w:color w:val="auto"/>
        </w:rPr>
        <w:t>Calculated as cumulative cash provided by operating activities during the FY22-FY24</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performance period, adjusted to exclude discontinued operations, impairment, restructuring and other one-time charges, subject to further adjustments by the Compensation Committee based on individual facts and circumstances.</w:t>
      </w:r>
    </w:p>
    <w:p>
      <w:pPr>
        <w:spacing w:after="0" w:line="194"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b w:val="1"/>
          <w:bCs w:val="1"/>
          <w:i w:val="1"/>
          <w:iCs w:val="1"/>
          <w:color w:val="auto"/>
        </w:rPr>
        <w:t xml:space="preserve">Cumulative Net Sales: </w:t>
      </w:r>
      <w:r>
        <w:rPr>
          <w:rFonts w:ascii="Arial" w:cs="Arial" w:eastAsia="Arial" w:hAnsi="Arial"/>
          <w:sz w:val="19"/>
          <w:szCs w:val="19"/>
          <w:color w:val="auto"/>
        </w:rPr>
        <w:t>Calculated as the cumulative Total Company Reported Net Sales for the FY22-FY24 performance period,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aligned with external reporting (defined by GAAP as gross sales minus returns, allowances, and discounts).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60"/>
          </w:cols>
          <w:pgMar w:left="320" w:top="1422"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Granted 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Associate 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 Type: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 FOR EMPLOYEES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75" w:lineRule="exact"/>
        <w:rPr>
          <w:sz w:val="20"/>
          <w:szCs w:val="20"/>
          <w:color w:val="auto"/>
        </w:rPr>
      </w:pPr>
    </w:p>
    <w:p>
      <w:pPr>
        <w:jc w:val="both"/>
        <w:ind w:firstLine="8"/>
        <w:spacing w:after="0" w:line="295" w:lineRule="auto"/>
        <w:tabs>
          <w:tab w:leader="none" w:pos="443"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DESCRIPTION OF YOUR RESTRICTED STOCK UNITS. </w:t>
      </w:r>
      <w:r>
        <w:rPr>
          <w:rFonts w:ascii="Arial" w:cs="Arial" w:eastAsia="Arial" w:hAnsi="Arial"/>
          <w:sz w:val="19"/>
          <w:szCs w:val="19"/>
          <w:color w:val="auto"/>
        </w:rPr>
        <w:t>You have been granted [</w:t>
      </w:r>
      <w:r>
        <w:rPr>
          <w:rFonts w:ascii="Arial" w:cs="Arial" w:eastAsia="Arial" w:hAnsi="Arial"/>
          <w:sz w:val="19"/>
          <w:szCs w:val="19"/>
          <w:b w:val="1"/>
          <w:bCs w:val="1"/>
          <w:color w:val="auto"/>
        </w:rPr>
        <w:t>Number</w:t>
      </w:r>
      <w:r>
        <w:rPr>
          <w:rFonts w:ascii="Arial" w:cs="Arial" w:eastAsia="Arial" w:hAnsi="Arial"/>
          <w:sz w:val="19"/>
          <w:szCs w:val="19"/>
          <w:color w:val="auto"/>
        </w:rPr>
        <w:t>]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(“RSUs”) and an equal number of related Dividend Equivalents. The “Grant Date” of your Award is [</w:t>
      </w:r>
      <w:r>
        <w:rPr>
          <w:rFonts w:ascii="Arial" w:cs="Arial" w:eastAsia="Arial" w:hAnsi="Arial"/>
          <w:sz w:val="19"/>
          <w:szCs w:val="19"/>
          <w:b w:val="1"/>
          <w:bCs w:val="1"/>
          <w:color w:val="auto"/>
        </w:rPr>
        <w:t>Grant Date</w:t>
      </w:r>
      <w:r>
        <w:rPr>
          <w:rFonts w:ascii="Arial" w:cs="Arial" w:eastAsia="Arial" w:hAnsi="Arial"/>
          <w:sz w:val="19"/>
          <w:szCs w:val="19"/>
          <w:color w:val="auto"/>
        </w:rPr>
        <w:t>].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To accept this Award Agreement, you must provide your acknowledgement and acceptance of the terms contained herein by completing the on-line grant agreement process facilitated by </w:t>
      </w:r>
      <w:r>
        <w:rPr>
          <w:rFonts w:ascii="Arial" w:cs="Arial" w:eastAsia="Arial" w:hAnsi="Arial"/>
          <w:sz w:val="22"/>
          <w:szCs w:val="22"/>
          <w:b w:val="1"/>
          <w:bCs w:val="1"/>
          <w:color w:val="auto"/>
        </w:rPr>
        <w:t>Merrill Lynch</w:t>
      </w:r>
      <w:r>
        <w:rPr>
          <w:rFonts w:ascii="Arial" w:cs="Arial" w:eastAsia="Arial" w:hAnsi="Arial"/>
          <w:sz w:val="22"/>
          <w:szCs w:val="22"/>
          <w:color w:val="auto"/>
        </w:rPr>
        <w:t xml:space="preserve"> (the “Third Party Administrator”) no later than [</w:t>
      </w:r>
      <w:r>
        <w:rPr>
          <w:rFonts w:ascii="Arial" w:cs="Arial" w:eastAsia="Arial" w:hAnsi="Arial"/>
          <w:sz w:val="22"/>
          <w:szCs w:val="22"/>
          <w:b w:val="1"/>
          <w:bCs w:val="1"/>
          <w:color w:val="auto"/>
        </w:rPr>
        <w:t>Acceptance Date</w:t>
      </w:r>
      <w:r>
        <w:rPr>
          <w:rFonts w:ascii="Arial" w:cs="Arial" w:eastAsia="Arial" w:hAnsi="Arial"/>
          <w:sz w:val="22"/>
          <w:szCs w:val="22"/>
          <w:color w:val="auto"/>
        </w:rPr>
        <w:t>].</w:t>
      </w:r>
    </w:p>
    <w:p>
      <w:pPr>
        <w:spacing w:after="0" w:line="17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52" w:lineRule="exact"/>
        <w:rPr>
          <w:rFonts w:ascii="Arial" w:cs="Arial" w:eastAsia="Arial" w:hAnsi="Arial"/>
          <w:sz w:val="22"/>
          <w:szCs w:val="22"/>
          <w:b w:val="1"/>
          <w:bCs w:val="1"/>
          <w:color w:val="auto"/>
        </w:rPr>
      </w:pPr>
    </w:p>
    <w:p>
      <w:pPr>
        <w:jc w:val="both"/>
        <w:ind w:left="1320" w:hanging="664"/>
        <w:spacing w:after="0" w:line="248" w:lineRule="auto"/>
        <w:tabs>
          <w:tab w:leader="none" w:pos="1317"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This Award Agreement and your RSUs are granted pursuant to and in accordance with The Scotts Miracle-Gro Company Long-Term Incentive Plan effective January 24, 2022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18" w:lineRule="exact"/>
        <w:rPr>
          <w:rFonts w:ascii="Arial" w:cs="Arial" w:eastAsia="Arial" w:hAnsi="Arial"/>
          <w:sz w:val="22"/>
          <w:szCs w:val="22"/>
          <w:color w:val="auto"/>
        </w:rPr>
      </w:pPr>
    </w:p>
    <w:p>
      <w:pPr>
        <w:ind w:left="1320" w:hanging="664"/>
        <w:spacing w:after="0"/>
        <w:tabs>
          <w:tab w:leader="none" w:pos="1320" w:val="left"/>
        </w:tabs>
        <w:numPr>
          <w:ilvl w:val="1"/>
          <w:numId w:val="27"/>
        </w:numPr>
        <w:rPr>
          <w:rFonts w:ascii="Arial" w:cs="Arial" w:eastAsia="Arial" w:hAnsi="Arial"/>
          <w:sz w:val="21"/>
          <w:szCs w:val="21"/>
          <w:color w:val="auto"/>
        </w:rPr>
      </w:pPr>
      <w:r>
        <w:rPr>
          <w:rFonts w:ascii="Arial" w:cs="Arial" w:eastAsia="Arial" w:hAnsi="Arial"/>
          <w:sz w:val="21"/>
          <w:szCs w:val="21"/>
          <w:color w:val="auto"/>
        </w:rPr>
        <w:t>Capitalized terms that are not defined in this Award Agreement have the same meanings as in the Plan.</w:t>
      </w:r>
    </w:p>
    <w:p>
      <w:pPr>
        <w:spacing w:after="0" w:line="252" w:lineRule="exact"/>
        <w:rPr>
          <w:rFonts w:ascii="Arial" w:cs="Arial" w:eastAsia="Arial" w:hAnsi="Arial"/>
          <w:sz w:val="21"/>
          <w:szCs w:val="21"/>
          <w:color w:val="auto"/>
        </w:rPr>
      </w:pPr>
    </w:p>
    <w:p>
      <w:pPr>
        <w:ind w:firstLine="8"/>
        <w:spacing w:after="0" w:line="269" w:lineRule="auto"/>
        <w:tabs>
          <w:tab w:leader="none" w:pos="648"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RSUs described in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vest as follows:</w:t>
      </w:r>
    </w:p>
    <w:p>
      <w:pPr>
        <w:spacing w:after="0" w:line="188" w:lineRule="exact"/>
        <w:rPr>
          <w:rFonts w:ascii="Arial" w:cs="Arial" w:eastAsia="Arial" w:hAnsi="Arial"/>
          <w:sz w:val="22"/>
          <w:szCs w:val="22"/>
          <w:b w:val="1"/>
          <w:bCs w:val="1"/>
          <w:color w:val="auto"/>
        </w:rPr>
      </w:pPr>
    </w:p>
    <w:p>
      <w:pPr>
        <w:jc w:val="both"/>
        <w:ind w:left="1320" w:hanging="664"/>
        <w:spacing w:after="0" w:line="256" w:lineRule="auto"/>
        <w:tabs>
          <w:tab w:leader="none" w:pos="1317" w:val="left"/>
        </w:tabs>
        <w:numPr>
          <w:ilvl w:val="1"/>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Your RSUs described in this Award Agreement will become 100% vested if your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continues from the Grant Date until the third anniversary of the Grant Date, in this case </w:t>
      </w:r>
      <w:r>
        <w:rPr>
          <w:rFonts w:ascii="Arial" w:cs="Arial" w:eastAsia="Arial" w:hAnsi="Arial"/>
          <w:sz w:val="22"/>
          <w:szCs w:val="22"/>
          <w:b w:val="1"/>
          <w:bCs w:val="1"/>
          <w:color w:val="auto"/>
        </w:rPr>
        <w:t>[Vesting Date]</w:t>
      </w:r>
      <w:r>
        <w:rPr>
          <w:rFonts w:ascii="Arial" w:cs="Arial" w:eastAsia="Arial" w:hAnsi="Arial"/>
          <w:sz w:val="22"/>
          <w:szCs w:val="22"/>
          <w:color w:val="auto"/>
        </w:rPr>
        <w:t xml:space="preserve"> (the “Vesting Date”), and will be settled in accordance with Section 4; or</w:t>
      </w:r>
    </w:p>
    <w:p>
      <w:pPr>
        <w:sectPr>
          <w:pgSz w:w="11900" w:h="16838" w:orient="portrait"/>
          <w:cols w:equalWidth="0" w:num="1">
            <w:col w:w="11240"/>
          </w:cols>
          <w:pgMar w:left="320" w:top="348" w:right="339" w:bottom="1440" w:gutter="0" w:footer="0" w:header="0"/>
        </w:sectPr>
      </w:pPr>
    </w:p>
    <w:bookmarkStart w:id="51" w:name="page52"/>
    <w:bookmarkEnd w:id="51"/>
    <w:p>
      <w:pPr>
        <w:spacing w:after="0" w:line="225" w:lineRule="exact"/>
        <w:rPr>
          <w:sz w:val="20"/>
          <w:szCs w:val="20"/>
          <w:color w:val="auto"/>
        </w:rPr>
      </w:pPr>
    </w:p>
    <w:p>
      <w:pPr>
        <w:ind w:left="1320" w:hanging="664"/>
        <w:spacing w:after="0" w:line="269" w:lineRule="auto"/>
        <w:tabs>
          <w:tab w:leader="none" w:pos="1315" w:val="left"/>
        </w:tabs>
        <w:numPr>
          <w:ilvl w:val="1"/>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your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earlier than the third anniversary of the Grant Date:</w:t>
      </w:r>
    </w:p>
    <w:p>
      <w:pPr>
        <w:spacing w:after="0" w:line="194" w:lineRule="exact"/>
        <w:rPr>
          <w:rFonts w:ascii="Arial" w:cs="Arial" w:eastAsia="Arial" w:hAnsi="Arial"/>
          <w:sz w:val="22"/>
          <w:szCs w:val="22"/>
          <w:color w:val="auto"/>
        </w:rPr>
      </w:pPr>
    </w:p>
    <w:p>
      <w:pPr>
        <w:jc w:val="both"/>
        <w:ind w:left="1960" w:hanging="656"/>
        <w:spacing w:after="0" w:line="302" w:lineRule="auto"/>
        <w:tabs>
          <w:tab w:leader="none" w:pos="1948" w:val="left"/>
        </w:tabs>
        <w:numPr>
          <w:ilvl w:val="2"/>
          <w:numId w:val="28"/>
        </w:numPr>
        <w:rPr>
          <w:rFonts w:ascii="Arial" w:cs="Arial" w:eastAsia="Arial" w:hAnsi="Arial"/>
          <w:sz w:val="19"/>
          <w:szCs w:val="19"/>
          <w:color w:val="auto"/>
        </w:rPr>
      </w:pPr>
      <w:r>
        <w:rPr>
          <w:rFonts w:ascii="Arial" w:cs="Arial" w:eastAsia="Arial" w:hAnsi="Arial"/>
          <w:sz w:val="19"/>
          <w:szCs w:val="19"/>
          <w:color w:val="auto"/>
        </w:rPr>
        <w:t>If you Terminate because of your death or due to a disability for which you qualify for benefits under Scotts Miracle-Gro Company’s Long-term Disability Plan or another long-term disability plan sponsored by the Company (“Disabled”), your RSUs described in this Award Agreement will become 100% vested as of the date of such event and will be settled in accordance with Section 4 of this Award Agreement;</w:t>
      </w:r>
    </w:p>
    <w:p>
      <w:pPr>
        <w:spacing w:after="0" w:line="169" w:lineRule="exact"/>
        <w:rPr>
          <w:rFonts w:ascii="Arial" w:cs="Arial" w:eastAsia="Arial" w:hAnsi="Arial"/>
          <w:sz w:val="19"/>
          <w:szCs w:val="19"/>
          <w:color w:val="auto"/>
        </w:rPr>
      </w:pPr>
    </w:p>
    <w:p>
      <w:pPr>
        <w:ind w:left="1960" w:hanging="656"/>
        <w:spacing w:after="0" w:line="250" w:lineRule="auto"/>
        <w:tabs>
          <w:tab w:leader="none" w:pos="1876" w:val="left"/>
        </w:tabs>
        <w:numPr>
          <w:ilvl w:val="2"/>
          <w:numId w:val="28"/>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55 and completing at least 10 years of employment with the Company, its Affiliates and/or its Subsidiaries, your RSUs described in this Award Agreement will be deemed to become 100% vested as of the date of such event and will be settled in accordance with Section 4 of this Award Agreement; or</w:t>
      </w:r>
    </w:p>
    <w:p>
      <w:pPr>
        <w:spacing w:after="0" w:line="214" w:lineRule="exact"/>
        <w:rPr>
          <w:rFonts w:ascii="Arial" w:cs="Arial" w:eastAsia="Arial" w:hAnsi="Arial"/>
          <w:sz w:val="22"/>
          <w:szCs w:val="22"/>
          <w:color w:val="auto"/>
        </w:rPr>
      </w:pPr>
    </w:p>
    <w:p>
      <w:pPr>
        <w:ind w:left="1960" w:hanging="656"/>
        <w:spacing w:after="0" w:line="250" w:lineRule="auto"/>
        <w:tabs>
          <w:tab w:leader="none" w:pos="1857" w:val="left"/>
        </w:tabs>
        <w:numPr>
          <w:ilvl w:val="2"/>
          <w:numId w:val="28"/>
        </w:numPr>
        <w:rPr>
          <w:rFonts w:ascii="Arial" w:cs="Arial" w:eastAsia="Arial" w:hAnsi="Arial"/>
          <w:sz w:val="22"/>
          <w:szCs w:val="22"/>
          <w:color w:val="auto"/>
        </w:rPr>
      </w:pPr>
      <w:r>
        <w:rPr>
          <w:rFonts w:ascii="Arial" w:cs="Arial" w:eastAsia="Arial" w:hAnsi="Arial"/>
          <w:sz w:val="22"/>
          <w:szCs w:val="22"/>
          <w:color w:val="auto"/>
        </w:rPr>
        <w:t>If you Terminate due to an involuntary Termination by the Company without Cause no earlier than 180 days before the Vesting Date, your RSUs described in this Award Agreement will be deemed to become 100% vested as of the date of such event and will be settled in accordance with Section 4 of this Award Agreement.</w:t>
      </w:r>
    </w:p>
    <w:p>
      <w:pPr>
        <w:spacing w:after="0" w:line="208" w:lineRule="exact"/>
        <w:rPr>
          <w:rFonts w:ascii="Arial" w:cs="Arial" w:eastAsia="Arial" w:hAnsi="Arial"/>
          <w:sz w:val="22"/>
          <w:szCs w:val="22"/>
          <w:color w:val="auto"/>
        </w:rPr>
      </w:pPr>
    </w:p>
    <w:p>
      <w:pPr>
        <w:ind w:left="380" w:hanging="372"/>
        <w:spacing w:after="0"/>
        <w:tabs>
          <w:tab w:leader="none" w:pos="38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ind w:left="1300" w:hanging="644"/>
        <w:spacing w:after="0" w:line="260" w:lineRule="auto"/>
        <w:tabs>
          <w:tab w:leader="none" w:pos="1150" w:val="left"/>
        </w:tabs>
        <w:numPr>
          <w:ilvl w:val="1"/>
          <w:numId w:val="29"/>
        </w:numPr>
        <w:rPr>
          <w:rFonts w:ascii="Arial" w:cs="Arial" w:eastAsia="Arial" w:hAnsi="Arial"/>
          <w:sz w:val="21"/>
          <w:szCs w:val="21"/>
          <w:color w:val="auto"/>
        </w:rPr>
      </w:pPr>
      <w:r>
        <w:rPr>
          <w:rFonts w:ascii="Arial" w:cs="Arial" w:eastAsia="Arial" w:hAnsi="Arial"/>
          <w:sz w:val="21"/>
          <w:szCs w:val="21"/>
          <w:color w:val="auto"/>
        </w:rPr>
        <w:t>Subject to the terms of the Plan and this Award Agreement, your vested RSUs, minus any Shares that are withheld for taxes as provided under Section 4(c), shall be settled in a lump sum as soon as administratively practicable following the earliest date to occur of: (i) your Termination due to your death or Disability; or (ii) the third anniversary of the Grant Date (the “Settlement Date”). Your whole RSUs shall be settled in full Shares, and any fractional RSU shall be settled in cash, determined based upon the Fair Market Value of a Share on the Settlement Date, which shall be equal to the closing price of a Share on the Settlement date if it is a trading day or, if such date is not a trading day, on the next trading day.</w:t>
      </w:r>
    </w:p>
    <w:p>
      <w:pPr>
        <w:spacing w:after="0" w:line="180" w:lineRule="exact"/>
        <w:rPr>
          <w:rFonts w:ascii="Arial" w:cs="Arial" w:eastAsia="Arial" w:hAnsi="Arial"/>
          <w:sz w:val="21"/>
          <w:szCs w:val="21"/>
          <w:color w:val="auto"/>
        </w:rPr>
      </w:pPr>
    </w:p>
    <w:p>
      <w:pPr>
        <w:ind w:left="1300" w:hanging="644"/>
        <w:spacing w:after="0" w:line="343" w:lineRule="auto"/>
        <w:tabs>
          <w:tab w:leader="none" w:pos="1185" w:val="left"/>
        </w:tabs>
        <w:numPr>
          <w:ilvl w:val="1"/>
          <w:numId w:val="29"/>
        </w:numPr>
        <w:rPr>
          <w:rFonts w:ascii="Arial" w:cs="Arial" w:eastAsia="Arial" w:hAnsi="Arial"/>
          <w:sz w:val="19"/>
          <w:szCs w:val="19"/>
          <w:color w:val="auto"/>
        </w:rPr>
      </w:pPr>
      <w:r>
        <w:rPr>
          <w:rFonts w:ascii="Arial" w:cs="Arial" w:eastAsia="Arial" w:hAnsi="Arial"/>
          <w:sz w:val="19"/>
          <w:szCs w:val="19"/>
          <w:color w:val="auto"/>
        </w:rPr>
        <w:t>Except as provided in Section 5 of this Award Agreement, you will have none of the rights of a shareholder with respect to Shares underlying the RSUs unless and until you become the record holder of such Shares.</w:t>
      </w:r>
    </w:p>
    <w:p>
      <w:pPr>
        <w:spacing w:after="0" w:line="104" w:lineRule="exact"/>
        <w:rPr>
          <w:rFonts w:ascii="Arial" w:cs="Arial" w:eastAsia="Arial" w:hAnsi="Arial"/>
          <w:sz w:val="19"/>
          <w:szCs w:val="19"/>
          <w:color w:val="auto"/>
        </w:rPr>
      </w:pPr>
    </w:p>
    <w:p>
      <w:pPr>
        <w:jc w:val="both"/>
        <w:ind w:left="1300" w:hanging="644"/>
        <w:spacing w:after="0" w:line="271" w:lineRule="auto"/>
        <w:tabs>
          <w:tab w:leader="none" w:pos="1267" w:val="left"/>
        </w:tabs>
        <w:numPr>
          <w:ilvl w:val="1"/>
          <w:numId w:val="29"/>
        </w:numPr>
        <w:rPr>
          <w:rFonts w:ascii="Arial" w:cs="Arial" w:eastAsia="Arial" w:hAnsi="Arial"/>
          <w:sz w:val="21"/>
          <w:szCs w:val="21"/>
          <w:color w:val="auto"/>
        </w:rPr>
      </w:pPr>
      <w:r>
        <w:rPr>
          <w:rFonts w:ascii="Arial" w:cs="Arial" w:eastAsia="Arial" w:hAnsi="Arial"/>
          <w:sz w:val="21"/>
          <w:szCs w:val="21"/>
          <w:color w:val="auto"/>
        </w:rPr>
        <w:t>You may use one of the following methods to pay the required withholding taxes related to the vesting and settlement of your RSUs. You will decide on the method at the time prescribed by the Company. If you do not elect one of these methods, the Company will apply the Net Settlement method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2" w:name="page53"/>
    <w:bookmarkEnd w:id="52"/>
    <w:p>
      <w:pPr>
        <w:ind w:left="1304" w:hanging="656"/>
        <w:spacing w:after="0" w:line="343" w:lineRule="auto"/>
        <w:tabs>
          <w:tab w:leader="none" w:pos="1095" w:val="left"/>
        </w:tabs>
        <w:numPr>
          <w:ilvl w:val="1"/>
          <w:numId w:val="30"/>
        </w:numPr>
        <w:rPr>
          <w:rFonts w:ascii="Arial" w:cs="Arial" w:eastAsia="Arial" w:hAnsi="Arial"/>
          <w:sz w:val="19"/>
          <w:szCs w:val="19"/>
          <w:color w:val="auto"/>
        </w:rPr>
      </w:pPr>
      <w:r>
        <w:rPr>
          <w:rFonts w:ascii="Arial" w:cs="Arial" w:eastAsia="Arial" w:hAnsi="Arial"/>
          <w:sz w:val="19"/>
          <w:szCs w:val="19"/>
          <w:color w:val="auto"/>
        </w:rPr>
        <w:t>CASH PAYMENT: If you elect this alternative, you will be responsible for paying the Company, through the Third Party Administrator, cash equal to the required withholding Taxes applicable on your RSUs.</w:t>
      </w:r>
    </w:p>
    <w:p>
      <w:pPr>
        <w:spacing w:after="0" w:line="131" w:lineRule="exact"/>
        <w:rPr>
          <w:rFonts w:ascii="Arial" w:cs="Arial" w:eastAsia="Arial" w:hAnsi="Arial"/>
          <w:sz w:val="19"/>
          <w:szCs w:val="19"/>
          <w:color w:val="auto"/>
        </w:rPr>
      </w:pPr>
    </w:p>
    <w:p>
      <w:pPr>
        <w:ind w:left="1304" w:hanging="656"/>
        <w:spacing w:after="0" w:line="250" w:lineRule="auto"/>
        <w:tabs>
          <w:tab w:leader="none" w:pos="1151" w:val="left"/>
        </w:tabs>
        <w:numPr>
          <w:ilvl w:val="1"/>
          <w:numId w:val="30"/>
        </w:numPr>
        <w:rPr>
          <w:rFonts w:ascii="Arial" w:cs="Arial" w:eastAsia="Arial" w:hAnsi="Arial"/>
          <w:sz w:val="22"/>
          <w:szCs w:val="22"/>
          <w:color w:val="auto"/>
        </w:rPr>
      </w:pPr>
      <w:r>
        <w:rPr>
          <w:rFonts w:ascii="Arial" w:cs="Arial" w:eastAsia="Arial" w:hAnsi="Arial"/>
          <w:sz w:val="22"/>
          <w:szCs w:val="22"/>
          <w:color w:val="auto"/>
        </w:rPr>
        <w:t>NET SETTLEMENT: If you elect this alternative, the Company will retain the number of Shares with a Fair Market Value equal to the required withholding Taxes applicable on your RSUs, provided that such withholding can be no more than the maximum withholding rate applicable to each jurisdiction for which the Company is required to withhold.</w:t>
      </w:r>
    </w:p>
    <w:p>
      <w:pPr>
        <w:spacing w:after="0" w:line="187" w:lineRule="exact"/>
        <w:rPr>
          <w:rFonts w:ascii="Arial" w:cs="Arial" w:eastAsia="Arial" w:hAnsi="Arial"/>
          <w:sz w:val="22"/>
          <w:szCs w:val="22"/>
          <w:color w:val="auto"/>
        </w:rPr>
      </w:pPr>
    </w:p>
    <w:p>
      <w:pPr>
        <w:jc w:val="both"/>
        <w:ind w:left="644" w:hanging="644"/>
        <w:spacing w:after="0" w:line="285" w:lineRule="auto"/>
        <w:tabs>
          <w:tab w:leader="none" w:pos="603"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there is a Change in Control, your RSUs may vest earlier in accordance with the Plan and pursuant to the discretion of the Committee. See the Plan for further details. Notwithstanding any other provisions of this Agreement to the contrary, in the event that it shall be determined that any payment or distribution in the nature of compensation (within the meaning of section 280G(b)(2) of the Code) to or for the benefit of the Executive, whether paid or payable or distributed or distributable pursuant to the terms of this Agreement or otherwise (the “Payments”), would constitute an “excess parachute payment” within the meaning of section 280G of the Code, the Company shall reduce (but not below zero) the aggregate present value of the Payments under the Agreement to the Reduced Amount (as defined below), if reducing the Payments under this Agreement will provide the Executive with a greater net after-tax amount than would be the case if no reduction was made. The Payments shall be reduced as described in the preceding sentence only if (i) the net amount of the Payments, as so reduced (and after subtracting the net amount of federal, state and local income and payroll taxes on the reduced Payments), is greater than or equal to (ii) the net amount of the Payments without such reduction (but after subtracting the net amount of federal, state and local income and payroll taxes on the Payments and the amount of Excise Tax (as defined below) to which the Executive would be subject with respect to the unreduced Payments). Only amounts payable under this Agreement shall be reduced pursuant to this subsection (a). The “Reduced Amount” shall be an amount expressed in present value that maximizes the aggregate present value of Payments under this Agreement without causing any Payment under this Agreement to be subject to the Excise Tax, determined in accordance with section 280G(d)(4) of the Code. The term “Excise Tax” means the excise tax imposed under section 4999 of the Code, together with any interest or penalties imposed with respect to such excise tax.</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ind w:left="1304" w:hanging="656"/>
        <w:spacing w:after="0" w:line="297" w:lineRule="auto"/>
        <w:tabs>
          <w:tab w:leader="none" w:pos="1164" w:val="left"/>
        </w:tabs>
        <w:numPr>
          <w:ilvl w:val="1"/>
          <w:numId w:val="31"/>
        </w:numPr>
        <w:rPr>
          <w:rFonts w:ascii="Arial" w:cs="Arial" w:eastAsia="Arial" w:hAnsi="Arial"/>
          <w:sz w:val="19"/>
          <w:szCs w:val="19"/>
          <w:color w:val="auto"/>
        </w:rPr>
      </w:pPr>
      <w:r>
        <w:rPr>
          <w:rFonts w:ascii="Arial" w:cs="Arial" w:eastAsia="Arial" w:hAnsi="Arial"/>
          <w:sz w:val="19"/>
          <w:szCs w:val="19"/>
          <w:color w:val="auto"/>
        </w:rPr>
        <w:t>All determinations to be made under this Section 4(d) shall be made by an independent registered public accounting firm or consulting firm selected by the Company immediately prior to a change in control, which shall provide its determinations and any supporting calculations both to the Company and the Executive within ten (10) days of the change in control. Any such determination by such firm shall be binding upon the Company and the Executive. All of the fees and expenses of the accounting 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53" w:name="page54"/>
    <w:bookmarkEnd w:id="53"/>
    <w:p>
      <w:pPr>
        <w:ind w:left="1960"/>
        <w:spacing w:after="0" w:line="263" w:lineRule="auto"/>
        <w:rPr>
          <w:sz w:val="20"/>
          <w:szCs w:val="20"/>
          <w:color w:val="auto"/>
        </w:rPr>
      </w:pPr>
      <w:r>
        <w:rPr>
          <w:rFonts w:ascii="Arial" w:cs="Arial" w:eastAsia="Arial" w:hAnsi="Arial"/>
          <w:sz w:val="22"/>
          <w:szCs w:val="22"/>
          <w:color w:val="auto"/>
        </w:rPr>
        <w:t>consulting firm in performing the determinations referred to in this Section shall be borne solely by the Company.</w:t>
      </w:r>
    </w:p>
    <w:p>
      <w:pPr>
        <w:spacing w:after="0" w:line="196" w:lineRule="exact"/>
        <w:rPr>
          <w:sz w:val="20"/>
          <w:szCs w:val="20"/>
          <w:color w:val="auto"/>
        </w:rPr>
      </w:pPr>
    </w:p>
    <w:p>
      <w:pPr>
        <w:jc w:val="both"/>
        <w:ind w:firstLine="8"/>
        <w:spacing w:after="0" w:line="288" w:lineRule="auto"/>
        <w:tabs>
          <w:tab w:leader="none" w:pos="432"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You will be entitled to receive a Dividend Equivalent equal to any dividends declared and</w:t>
      </w:r>
      <w:r>
        <w:rPr>
          <w:rFonts w:ascii="Arial" w:cs="Arial" w:eastAsia="Arial" w:hAnsi="Arial"/>
          <w:sz w:val="19"/>
          <w:szCs w:val="19"/>
          <w:b w:val="1"/>
          <w:bCs w:val="1"/>
          <w:color w:val="auto"/>
        </w:rPr>
        <w:t xml:space="preserve"> </w:t>
      </w:r>
      <w:r>
        <w:rPr>
          <w:rFonts w:ascii="Arial" w:cs="Arial" w:eastAsia="Arial" w:hAnsi="Arial"/>
          <w:sz w:val="19"/>
          <w:szCs w:val="19"/>
          <w:color w:val="auto"/>
        </w:rPr>
        <w:t>paid on each Share represented by a related RSU, subject to the same terms and conditions as the related RSU. Any Dividend Equivalents will be distributed to you in accordance with Section 4 of this Award Agreement or forfeited, depending on whether or not you have met the conditions described in this Award Agreement and the Plan. Any such distributions will be made in</w:t>
      </w:r>
    </w:p>
    <w:p>
      <w:pPr>
        <w:spacing w:after="0" w:line="1" w:lineRule="exact"/>
        <w:rPr>
          <w:rFonts w:ascii="Arial" w:cs="Arial" w:eastAsia="Arial" w:hAnsi="Arial"/>
          <w:sz w:val="19"/>
          <w:szCs w:val="19"/>
          <w:b w:val="1"/>
          <w:bCs w:val="1"/>
          <w:color w:val="auto"/>
        </w:rPr>
      </w:pPr>
    </w:p>
    <w:p>
      <w:pPr>
        <w:spacing w:after="0" w:line="246" w:lineRule="auto"/>
        <w:rPr>
          <w:rFonts w:ascii="Arial" w:cs="Arial" w:eastAsia="Arial" w:hAnsi="Arial"/>
          <w:sz w:val="19"/>
          <w:szCs w:val="19"/>
          <w:b w:val="1"/>
          <w:bCs w:val="1"/>
          <w:color w:val="auto"/>
        </w:rPr>
      </w:pPr>
      <w:r>
        <w:rPr>
          <w:rFonts w:ascii="Arial" w:cs="Arial" w:eastAsia="Arial" w:hAnsi="Arial"/>
          <w:sz w:val="22"/>
          <w:szCs w:val="22"/>
          <w:color w:val="auto"/>
        </w:rPr>
        <w:t>(i) cash, for any Dividend Equivalents relating to cash dividends and/or (ii) Shares, for any Dividend Equivalents relating to Share dividends.</w:t>
      </w:r>
    </w:p>
    <w:p>
      <w:pPr>
        <w:spacing w:after="0" w:line="213" w:lineRule="exact"/>
        <w:rPr>
          <w:rFonts w:ascii="Arial" w:cs="Arial" w:eastAsia="Arial" w:hAnsi="Arial"/>
          <w:sz w:val="19"/>
          <w:szCs w:val="19"/>
          <w:b w:val="1"/>
          <w:bCs w:val="1"/>
          <w:color w:val="auto"/>
        </w:rPr>
      </w:pPr>
    </w:p>
    <w:p>
      <w:pPr>
        <w:ind w:left="380" w:hanging="372"/>
        <w:spacing w:after="0"/>
        <w:tabs>
          <w:tab w:leader="none" w:pos="38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52" w:lineRule="exact"/>
        <w:rPr>
          <w:rFonts w:ascii="Arial" w:cs="Arial" w:eastAsia="Arial" w:hAnsi="Arial"/>
          <w:sz w:val="22"/>
          <w:szCs w:val="22"/>
          <w:b w:val="1"/>
          <w:bCs w:val="1"/>
          <w:color w:val="auto"/>
        </w:rPr>
      </w:pPr>
    </w:p>
    <w:p>
      <w:pPr>
        <w:ind w:left="1300" w:hanging="644"/>
        <w:spacing w:after="0" w:line="263" w:lineRule="auto"/>
        <w:tabs>
          <w:tab w:leader="none" w:pos="1297" w:val="left"/>
        </w:tabs>
        <w:numPr>
          <w:ilvl w:val="1"/>
          <w:numId w:val="32"/>
        </w:numPr>
        <w:rPr>
          <w:rFonts w:ascii="Arial" w:cs="Arial" w:eastAsia="Arial" w:hAnsi="Arial"/>
          <w:sz w:val="22"/>
          <w:szCs w:val="22"/>
          <w:color w:val="auto"/>
        </w:rPr>
      </w:pPr>
      <w:r>
        <w:rPr>
          <w:rFonts w:ascii="Arial" w:cs="Arial" w:eastAsia="Arial" w:hAnsi="Arial"/>
          <w:sz w:val="22"/>
          <w:szCs w:val="22"/>
          <w:color w:val="auto"/>
        </w:rPr>
        <w:t>Except as otherwise provided in Section 3 or Section 4(d) of this Award Agreement, you will forfeit your unvested RSUs if you Terminate prior to the Vesting Date.</w:t>
      </w:r>
    </w:p>
    <w:p>
      <w:pPr>
        <w:spacing w:after="0" w:line="201" w:lineRule="exact"/>
        <w:rPr>
          <w:rFonts w:ascii="Arial" w:cs="Arial" w:eastAsia="Arial" w:hAnsi="Arial"/>
          <w:sz w:val="22"/>
          <w:szCs w:val="22"/>
          <w:color w:val="auto"/>
        </w:rPr>
      </w:pPr>
    </w:p>
    <w:p>
      <w:pPr>
        <w:jc w:val="both"/>
        <w:ind w:left="1300" w:hanging="644"/>
        <w:spacing w:after="0" w:line="250" w:lineRule="auto"/>
        <w:tabs>
          <w:tab w:leader="none" w:pos="1295"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14" w:lineRule="exact"/>
        <w:rPr>
          <w:rFonts w:ascii="Arial" w:cs="Arial" w:eastAsia="Arial" w:hAnsi="Arial"/>
          <w:sz w:val="22"/>
          <w:szCs w:val="22"/>
          <w:color w:val="auto"/>
        </w:rPr>
      </w:pPr>
    </w:p>
    <w:p>
      <w:pPr>
        <w:ind w:left="1960" w:hanging="656"/>
        <w:spacing w:after="0" w:line="263" w:lineRule="auto"/>
        <w:tabs>
          <w:tab w:leader="none" w:pos="1948"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01" w:lineRule="exact"/>
        <w:rPr>
          <w:rFonts w:ascii="Arial" w:cs="Arial" w:eastAsia="Arial" w:hAnsi="Arial"/>
          <w:sz w:val="22"/>
          <w:szCs w:val="22"/>
          <w:color w:val="auto"/>
        </w:rPr>
      </w:pPr>
    </w:p>
    <w:p>
      <w:pPr>
        <w:jc w:val="both"/>
        <w:ind w:left="1960" w:hanging="656"/>
        <w:spacing w:after="0" w:line="253" w:lineRule="auto"/>
        <w:tabs>
          <w:tab w:leader="none" w:pos="1954"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engage in conduct that the Committee reasonably concludes requires the forfeiture and recoupment of the Award under the terms of any Company recoupment or clawback policy, any other applicable policy of the Company, and any applicable laws and regulations;</w:t>
      </w:r>
    </w:p>
    <w:p>
      <w:pPr>
        <w:spacing w:after="0" w:line="212" w:lineRule="exact"/>
        <w:rPr>
          <w:rFonts w:ascii="Arial" w:cs="Arial" w:eastAsia="Arial" w:hAnsi="Arial"/>
          <w:sz w:val="22"/>
          <w:szCs w:val="22"/>
          <w:color w:val="auto"/>
        </w:rPr>
      </w:pPr>
    </w:p>
    <w:p>
      <w:pPr>
        <w:ind w:left="1960" w:hanging="656"/>
        <w:spacing w:after="0" w:line="263" w:lineRule="auto"/>
        <w:tabs>
          <w:tab w:leader="none" w:pos="1960"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01" w:lineRule="exact"/>
        <w:rPr>
          <w:rFonts w:ascii="Arial" w:cs="Arial" w:eastAsia="Arial" w:hAnsi="Arial"/>
          <w:sz w:val="22"/>
          <w:szCs w:val="22"/>
          <w:color w:val="auto"/>
        </w:rPr>
      </w:pPr>
    </w:p>
    <w:p>
      <w:pPr>
        <w:ind w:left="1960" w:hanging="656"/>
        <w:spacing w:after="0" w:line="263" w:lineRule="auto"/>
        <w:tabs>
          <w:tab w:leader="none" w:pos="1948"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01" w:lineRule="exact"/>
        <w:rPr>
          <w:rFonts w:ascii="Arial" w:cs="Arial" w:eastAsia="Arial" w:hAnsi="Arial"/>
          <w:sz w:val="22"/>
          <w:szCs w:val="22"/>
          <w:color w:val="auto"/>
        </w:rPr>
      </w:pPr>
    </w:p>
    <w:p>
      <w:pPr>
        <w:jc w:val="both"/>
        <w:ind w:left="1960" w:hanging="656"/>
        <w:spacing w:after="0" w:line="248" w:lineRule="auto"/>
        <w:tabs>
          <w:tab w:leader="none" w:pos="1955" w:val="left"/>
        </w:tabs>
        <w:numPr>
          <w:ilvl w:val="2"/>
          <w:numId w:val="32"/>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54" w:name="page55"/>
    <w:bookmarkEnd w:id="54"/>
    <w:p>
      <w:pPr>
        <w:ind w:left="1960"/>
        <w:spacing w:after="0" w:line="263" w:lineRule="auto"/>
        <w:rPr>
          <w:sz w:val="20"/>
          <w:szCs w:val="20"/>
          <w:color w:val="auto"/>
        </w:rPr>
      </w:pPr>
      <w:r>
        <w:rPr>
          <w:rFonts w:ascii="Arial" w:cs="Arial" w:eastAsia="Arial" w:hAnsi="Arial"/>
          <w:sz w:val="22"/>
          <w:szCs w:val="22"/>
          <w:color w:val="auto"/>
        </w:rPr>
        <w:t>otherwise been provided to you in the course of your employment with the Company or any Affiliate or Subsidiary; or</w:t>
      </w:r>
    </w:p>
    <w:p>
      <w:pPr>
        <w:spacing w:after="0" w:line="202" w:lineRule="exact"/>
        <w:rPr>
          <w:sz w:val="20"/>
          <w:szCs w:val="20"/>
          <w:color w:val="auto"/>
        </w:rPr>
      </w:pPr>
    </w:p>
    <w:p>
      <w:pPr>
        <w:ind w:left="1960" w:hanging="656"/>
        <w:spacing w:after="0" w:line="263" w:lineRule="auto"/>
        <w:tabs>
          <w:tab w:leader="none" w:pos="1948" w:val="left"/>
        </w:tabs>
        <w:numPr>
          <w:ilvl w:val="1"/>
          <w:numId w:val="33"/>
        </w:numPr>
        <w:rPr>
          <w:rFonts w:ascii="Arial" w:cs="Arial" w:eastAsia="Arial" w:hAnsi="Arial"/>
          <w:sz w:val="22"/>
          <w:szCs w:val="22"/>
          <w:color w:val="auto"/>
        </w:rPr>
      </w:pPr>
      <w:r>
        <w:rPr>
          <w:rFonts w:ascii="Arial" w:cs="Arial" w:eastAsia="Arial" w:hAnsi="Arial"/>
          <w:sz w:val="22"/>
          <w:szCs w:val="22"/>
          <w:color w:val="auto"/>
        </w:rPr>
        <w:t>You engage in conduct that the Committee reasonably concludes would have given rise to a Termination for Cause had it been discovered before you Terminated.</w:t>
      </w:r>
    </w:p>
    <w:p>
      <w:pPr>
        <w:spacing w:after="0" w:line="195" w:lineRule="exact"/>
        <w:rPr>
          <w:rFonts w:ascii="Arial" w:cs="Arial" w:eastAsia="Arial" w:hAnsi="Arial"/>
          <w:sz w:val="22"/>
          <w:szCs w:val="22"/>
          <w:color w:val="auto"/>
        </w:rPr>
      </w:pPr>
    </w:p>
    <w:p>
      <w:pPr>
        <w:ind w:firstLine="8"/>
        <w:spacing w:after="0" w:line="269" w:lineRule="auto"/>
        <w:tabs>
          <w:tab w:leader="none" w:pos="366"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1" w:lineRule="exact"/>
        <w:rPr>
          <w:rFonts w:ascii="Arial" w:cs="Arial" w:eastAsia="Arial" w:hAnsi="Arial"/>
          <w:sz w:val="22"/>
          <w:szCs w:val="22"/>
          <w:b w:val="1"/>
          <w:bCs w:val="1"/>
          <w:color w:val="auto"/>
        </w:rPr>
      </w:pPr>
    </w:p>
    <w:p>
      <w:pPr>
        <w:jc w:val="both"/>
        <w:ind w:firstLine="8"/>
        <w:spacing w:after="0" w:line="248" w:lineRule="auto"/>
        <w:tabs>
          <w:tab w:leader="none" w:pos="508"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the any RSUs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that may vest per the terms of this Award Agreement but are settled after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86" w:lineRule="exact"/>
        <w:rPr>
          <w:rFonts w:ascii="Arial" w:cs="Arial" w:eastAsia="Arial" w:hAnsi="Arial"/>
          <w:sz w:val="22"/>
          <w:szCs w:val="22"/>
          <w:b w:val="1"/>
          <w:bCs w:val="1"/>
          <w:color w:val="auto"/>
        </w:rPr>
      </w:pPr>
    </w:p>
    <w:p>
      <w:pPr>
        <w:jc w:val="both"/>
        <w:ind w:firstLine="8"/>
        <w:spacing w:after="0" w:line="252" w:lineRule="auto"/>
        <w:tabs>
          <w:tab w:leader="none" w:pos="396"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06" w:lineRule="exact"/>
        <w:rPr>
          <w:rFonts w:ascii="Arial" w:cs="Arial" w:eastAsia="Arial" w:hAnsi="Arial"/>
          <w:sz w:val="22"/>
          <w:szCs w:val="22"/>
          <w:b w:val="1"/>
          <w:bCs w:val="1"/>
          <w:color w:val="auto"/>
        </w:rPr>
      </w:pPr>
    </w:p>
    <w:p>
      <w:pPr>
        <w:jc w:val="both"/>
        <w:ind w:firstLine="8"/>
        <w:spacing w:after="0" w:line="252" w:lineRule="auto"/>
        <w:tabs>
          <w:tab w:leader="none" w:pos="486"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206" w:lineRule="exact"/>
        <w:rPr>
          <w:rFonts w:ascii="Arial" w:cs="Arial" w:eastAsia="Arial" w:hAnsi="Arial"/>
          <w:sz w:val="22"/>
          <w:szCs w:val="22"/>
          <w:b w:val="1"/>
          <w:bCs w:val="1"/>
          <w:color w:val="auto"/>
        </w:rPr>
      </w:pPr>
    </w:p>
    <w:p>
      <w:pPr>
        <w:jc w:val="both"/>
        <w:ind w:firstLine="8"/>
        <w:spacing w:after="0" w:line="264" w:lineRule="auto"/>
        <w:tabs>
          <w:tab w:leader="none" w:pos="497"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related Dividend Equivalents will be subject to the terms of</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firstLine="8"/>
        <w:spacing w:after="0" w:line="256" w:lineRule="auto"/>
        <w:tabs>
          <w:tab w:leader="none" w:pos="482"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(e.g., the number of Shares underlying your RSUs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ind w:left="1300" w:hanging="644"/>
        <w:spacing w:after="0" w:line="263" w:lineRule="auto"/>
        <w:tabs>
          <w:tab w:leader="none" w:pos="1122" w:val="left"/>
        </w:tabs>
        <w:numPr>
          <w:ilvl w:val="0"/>
          <w:numId w:val="35"/>
        </w:numPr>
        <w:rPr>
          <w:rFonts w:ascii="Arial" w:cs="Arial" w:eastAsia="Arial" w:hAnsi="Arial"/>
          <w:sz w:val="22"/>
          <w:szCs w:val="22"/>
          <w:color w:val="auto"/>
        </w:rPr>
      </w:pPr>
      <w:r>
        <w:rPr>
          <w:rFonts w:ascii="Arial" w:cs="Arial" w:eastAsia="Arial" w:hAnsi="Arial"/>
          <w:sz w:val="22"/>
          <w:szCs w:val="22"/>
          <w:color w:val="auto"/>
        </w:rPr>
        <w:t>By accepting this Award under the Plan, you agree to all Committee determinations as described in the Plan and this Award Agreement;</w:t>
      </w:r>
    </w:p>
    <w:p>
      <w:pPr>
        <w:spacing w:after="0" w:line="174" w:lineRule="exact"/>
        <w:rPr>
          <w:rFonts w:ascii="Arial" w:cs="Arial" w:eastAsia="Arial" w:hAnsi="Arial"/>
          <w:sz w:val="22"/>
          <w:szCs w:val="22"/>
          <w:color w:val="auto"/>
        </w:rPr>
      </w:pPr>
    </w:p>
    <w:p>
      <w:pPr>
        <w:ind w:left="1300" w:hanging="644"/>
        <w:spacing w:after="0" w:line="250" w:lineRule="auto"/>
        <w:tabs>
          <w:tab w:leader="none" w:pos="1173" w:val="left"/>
        </w:tabs>
        <w:numPr>
          <w:ilvl w:val="0"/>
          <w:numId w:val="35"/>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7" w:lineRule="exact"/>
        <w:rPr>
          <w:rFonts w:ascii="Arial" w:cs="Arial" w:eastAsia="Arial" w:hAnsi="Arial"/>
          <w:sz w:val="22"/>
          <w:szCs w:val="22"/>
          <w:color w:val="auto"/>
        </w:rPr>
      </w:pPr>
    </w:p>
    <w:p>
      <w:pPr>
        <w:ind w:left="1300" w:hanging="644"/>
        <w:spacing w:after="0" w:line="263" w:lineRule="auto"/>
        <w:tabs>
          <w:tab w:leader="none" w:pos="1115" w:val="left"/>
        </w:tabs>
        <w:numPr>
          <w:ilvl w:val="0"/>
          <w:numId w:val="35"/>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utilizing the on-line grant agreement process defined above before [</w:t>
      </w:r>
      <w:r>
        <w:rPr>
          <w:rFonts w:ascii="Arial" w:cs="Arial" w:eastAsia="Arial" w:hAnsi="Arial"/>
          <w:sz w:val="22"/>
          <w:szCs w:val="22"/>
          <w:b w:val="1"/>
          <w:bCs w:val="1"/>
          <w:color w:val="auto"/>
        </w:rPr>
        <w:t>Date 30 Days After Grant Date</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p>
      <w:pPr>
        <w:spacing w:after="0" w:line="196"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Grantee’s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720" w:space="720"/>
            <w:col w:w="5800"/>
          </w:cols>
          <w:pgMar w:left="320" w:top="1428" w:right="339" w:bottom="1440" w:gutter="0" w:footer="0" w:header="0"/>
          <w:type w:val="continuous"/>
        </w:sectPr>
      </w:pPr>
    </w:p>
    <w:p>
      <w:pPr>
        <w:spacing w:after="0" w:line="41" w:lineRule="exact"/>
        <w:rPr>
          <w:sz w:val="20"/>
          <w:szCs w:val="20"/>
          <w:color w:val="auto"/>
        </w:rPr>
      </w:pPr>
    </w:p>
    <w:p>
      <w:pPr>
        <w:ind w:left="80"/>
        <w:spacing w:after="0"/>
        <w:rPr>
          <w:sz w:val="20"/>
          <w:szCs w:val="20"/>
          <w:color w:val="auto"/>
        </w:rPr>
      </w:pPr>
      <w:r>
        <w:rPr>
          <w:rFonts w:ascii="Arial" w:cs="Arial" w:eastAsia="Arial" w:hAnsi="Arial"/>
          <w:sz w:val="19"/>
          <w:szCs w:val="19"/>
          <w:color w:val="auto"/>
        </w:rPr>
        <w:t>By: ______________________________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800" w:space="720"/>
            <w:col w:w="5720"/>
          </w:cols>
          <w:pgMar w:left="320" w:top="1428" w:right="339" w:bottom="1440" w:gutter="0" w:footer="0" w:header="0"/>
          <w:type w:val="continuous"/>
        </w:sectPr>
      </w:pPr>
    </w:p>
    <w:p>
      <w:pPr>
        <w:spacing w:after="0" w:line="41"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04" w:lineRule="auto"/>
        <w:rPr>
          <w:sz w:val="20"/>
          <w:szCs w:val="20"/>
          <w:color w:val="auto"/>
        </w:rPr>
      </w:pPr>
      <w:r>
        <w:rPr>
          <w:rFonts w:ascii="Arial" w:cs="Arial" w:eastAsia="Arial" w:hAnsi="Arial"/>
          <w:sz w:val="22"/>
          <w:szCs w:val="22"/>
          <w:color w:val="auto"/>
        </w:rPr>
        <w:t>[Title of Company Representative]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800" w:space="720"/>
            <w:col w:w="5720"/>
          </w:cols>
          <w:pgMar w:left="320" w:top="14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428" w:right="3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Directly owned subsidiaries, as of January 1, 2022, are located at the left margin, each subsidiary tier thereunder is indented. Subsidiaries are listed under the names of their respective parent entities. Unless otherwise noted, the subsidiaries are wholly-owned.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7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Bonnie Plants, LLC</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232" w:lineRule="auto"/>
        <w:tabs>
          <w:tab w:leader="none" w:pos="1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Scotts Live Goods Holdings, Inc.’s ownership is 50.0%.</w:t>
      </w:r>
    </w:p>
    <w:p>
      <w:pPr>
        <w:ind w:left="120" w:hanging="94"/>
        <w:spacing w:after="0" w:line="205" w:lineRule="auto"/>
        <w:tabs>
          <w:tab w:leader="none" w:pos="12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64" w:right="339" w:bottom="1440" w:gutter="0" w:footer="0" w:header="0"/>
        </w:sectPr>
      </w:pPr>
    </w:p>
    <w:bookmarkStart w:id="57" w:name="page58"/>
    <w:bookmarkEnd w:id="57"/>
    <w:tbl>
      <w:tblPr>
        <w:tblLayout w:type="fixed"/>
        <w:tblInd w:w="20" w:type="dxa"/>
        <w:tblCellMar>
          <w:top w:w="0" w:type="dxa"/>
          <w:left w:w="0" w:type="dxa"/>
          <w:bottom w:w="0" w:type="dxa"/>
          <w:right w:w="0" w:type="dxa"/>
        </w:tblCellMar>
      </w:tblPr>
      <w:tr>
        <w:trPr>
          <w:trHeight w:val="244"/>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04"/>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275"/>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39"/>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232" w:lineRule="auto"/>
        <w:tabs>
          <w:tab w:leader="none" w:pos="10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205" w:lineRule="auto"/>
        <w:tabs>
          <w:tab w:leader="none" w:pos="10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The Scotts Company LLC owns 0.5% and Scotts-Sierra Investments LLC owns the remaining 99.5%.</w:t>
      </w:r>
    </w:p>
    <w:p>
      <w:pPr>
        <w:spacing w:after="0" w:line="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935"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333333"/>
        </w:rPr>
        <w:t>The following subsidiaries of The Scotts Miracle-Gro Company (the "Company") were, as of January 1, 2022, guarantors of the Company's 5.250% Senior Notes due 2026, 4.500% Senior Notes due 2029, 4.000% Senior Notes due 2031 and 4.375% Senior Notes due 2032: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AeroGrow International,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Collective,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1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January 1, 2022;</w:t>
      </w:r>
    </w:p>
    <w:p>
      <w:pPr>
        <w:spacing w:after="0" w:line="263"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February 9, 2022</w:t>
            </w:r>
          </w:p>
        </w:tc>
        <w:tc>
          <w:tcPr>
            <w:tcW w:w="5620" w:type="dxa"/>
            <w:vAlign w:val="bottom"/>
            <w:gridSpan w:val="2"/>
          </w:tcPr>
          <w:p>
            <w:pPr>
              <w:ind w:left="1560"/>
              <w:spacing w:after="0"/>
              <w:rPr>
                <w:sz w:val="20"/>
                <w:szCs w:val="20"/>
                <w:color w:val="auto"/>
              </w:rPr>
            </w:pPr>
            <w:r>
              <w:rPr>
                <w:rFonts w:ascii="Arial" w:cs="Arial" w:eastAsia="Arial" w:hAnsi="Arial"/>
                <w:sz w:val="18"/>
                <w:szCs w:val="18"/>
                <w:color w:val="auto"/>
              </w:rPr>
              <w:t>By:    /s/ JAMES HAGEDORN</w:t>
            </w:r>
          </w:p>
        </w:tc>
      </w:tr>
      <w:tr>
        <w:trPr>
          <w:trHeight w:val="222"/>
        </w:trPr>
        <w:tc>
          <w:tcPr>
            <w:tcW w:w="3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6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Printed Name: James Hagedorn</w:t>
            </w:r>
          </w:p>
        </w:tc>
      </w:tr>
      <w:tr>
        <w:trPr>
          <w:trHeight w:val="176"/>
        </w:trPr>
        <w:tc>
          <w:tcPr>
            <w:tcW w:w="3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60" w:type="dxa"/>
            <w:vAlign w:val="bottom"/>
          </w:tcPr>
          <w:p>
            <w:pPr>
              <w:ind w:left="160"/>
              <w:spacing w:after="0" w:line="176" w:lineRule="exact"/>
              <w:rPr>
                <w:sz w:val="20"/>
                <w:szCs w:val="20"/>
                <w:color w:val="auto"/>
              </w:rPr>
            </w:pPr>
            <w:r>
              <w:rPr>
                <w:rFonts w:ascii="Arial" w:cs="Arial" w:eastAsia="Arial" w:hAnsi="Arial"/>
                <w:sz w:val="18"/>
                <w:szCs w:val="18"/>
                <w:color w:val="auto"/>
                <w:w w:val="95"/>
              </w:rPr>
              <w:t>Title: Chief Executive Officer and Chairman of</w:t>
            </w:r>
          </w:p>
        </w:tc>
      </w:tr>
      <w:tr>
        <w:trPr>
          <w:trHeight w:val="230"/>
        </w:trPr>
        <w:tc>
          <w:tcPr>
            <w:tcW w:w="3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the Board</w:t>
            </w:r>
          </w:p>
        </w:tc>
      </w:tr>
    </w:tbl>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Cory J. Miller, certify that:</w:t>
      </w:r>
    </w:p>
    <w:p>
      <w:pPr>
        <w:spacing w:after="0" w:line="15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January 1, 2022;</w:t>
      </w:r>
    </w:p>
    <w:p>
      <w:pPr>
        <w:spacing w:after="0" w:line="263"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February 9, 2022</w:t>
            </w:r>
          </w:p>
        </w:tc>
        <w:tc>
          <w:tcPr>
            <w:tcW w:w="2060" w:type="dxa"/>
            <w:vAlign w:val="bottom"/>
          </w:tcPr>
          <w:p>
            <w:pPr>
              <w:ind w:left="16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CORY J. MILLER</w:t>
            </w:r>
          </w:p>
        </w:tc>
      </w:tr>
      <w:tr>
        <w:trPr>
          <w:trHeight w:val="222"/>
        </w:trPr>
        <w:tc>
          <w:tcPr>
            <w:tcW w:w="3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Printed Name: Cory J. Miller</w:t>
            </w:r>
          </w:p>
        </w:tc>
      </w:tr>
      <w:tr>
        <w:trPr>
          <w:trHeight w:val="230"/>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Title: Executive Vice President and Chief Financial Officer</w:t>
            </w:r>
          </w:p>
        </w:tc>
      </w:tr>
    </w:tbl>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left="100"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January 1, 2022 as filed with the Securities and Exchange Commission on the date hereof (the “Report”), the undersigned James Hagedorn, Chief Executive Officer and Chairman of the Board of the Company, and Cory J. Miller,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440" w:hanging="3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760" w:right="280" w:hanging="652"/>
        <w:spacing w:after="0" w:line="273" w:lineRule="auto"/>
        <w:tabs>
          <w:tab w:leader="none" w:pos="4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JAMES HAGEDORN</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/s/ CORY J. MILLER</w:t>
            </w:r>
          </w:p>
        </w:tc>
      </w:tr>
      <w:tr>
        <w:trPr>
          <w:trHeight w:val="20"/>
        </w:trPr>
        <w:tc>
          <w:tcPr>
            <w:tcW w:w="10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nted Name: James Hagedorn</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Printed Name: Cory J. Miller</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le: Chief Executive Officer and Chairman of the Board</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418"/>
        </w:trPr>
        <w:tc>
          <w:tcPr>
            <w:tcW w:w="5200" w:type="dxa"/>
            <w:vAlign w:val="bottom"/>
            <w:gridSpan w:val="2"/>
          </w:tcPr>
          <w:p>
            <w:pPr>
              <w:spacing w:after="0"/>
              <w:rPr>
                <w:sz w:val="20"/>
                <w:szCs w:val="20"/>
                <w:color w:val="auto"/>
              </w:rPr>
            </w:pPr>
            <w:r>
              <w:rPr>
                <w:rFonts w:ascii="Arial" w:cs="Arial" w:eastAsia="Arial" w:hAnsi="Arial"/>
                <w:sz w:val="18"/>
                <w:szCs w:val="18"/>
                <w:color w:val="auto"/>
              </w:rPr>
              <w:t>bruary 9, 2022</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February 9, 2022</w:t>
            </w:r>
          </w:p>
        </w:tc>
      </w:tr>
    </w:tbl>
    <w:p>
      <w:pPr>
        <w:spacing w:after="0" w:line="296" w:lineRule="exact"/>
        <w:rPr>
          <w:sz w:val="20"/>
          <w:szCs w:val="20"/>
          <w:color w:val="auto"/>
        </w:rPr>
      </w:pPr>
    </w:p>
    <w:p>
      <w:pPr>
        <w:ind w:left="780" w:right="40" w:hanging="654"/>
        <w:spacing w:after="0" w:line="273" w:lineRule="auto"/>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340"/>
      </w:cols>
      <w:pgMar w:left="2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Roman"/>
      <w:start w:val="2"/>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2"/>
    </w:lvl>
    <w:lvl w:ilvl="1">
      <w:lvlJc w:val="left"/>
      <w:lvlText w:val="(%2)"/>
      <w:numFmt w:val="lowerLetter"/>
      <w:start w:val="1"/>
    </w:lvl>
  </w:abstractNum>
  <w:abstractNum w:abstractNumId="16">
    <w:nsid w:val="81386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
    <w:nsid w:val="1E7FF52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
    <w:nsid w:val="737B8DD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0">
    <w:nsid w:val="6CEAF08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22221A7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2">
    <w:nsid w:val="4516DDE9"/>
    <w:multiLevelType w:val="hybridMultilevel"/>
    <w:lvl w:ilvl="0">
      <w:lvlJc w:val="left"/>
      <w:lvlText w:val="%1."/>
      <w:numFmt w:val="decimal"/>
      <w:start w:val="10"/>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5"/>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2"/>
    </w:lvl>
    <w:lvl w:ilvl="1">
      <w:lvlJc w:val="left"/>
      <w:lvlText w:val="(%2)"/>
      <w:numFmt w:val="lowerLetter"/>
      <w:start w:val="1"/>
    </w:lvl>
  </w:abstractNum>
  <w:abstractNum w:abstractNumId="27">
    <w:nsid w:val="440BADF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
    <w:nsid w:val="507236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
    <w:nsid w:val="3804823E"/>
    <w:multiLevelType w:val="hybridMultilevel"/>
    <w:lvl w:ilvl="0">
      <w:lvlJc w:val="left"/>
      <w:lvlText w:val="%1"/>
      <w:numFmt w:val="lowerLetter"/>
      <w:start w:val="1"/>
    </w:lvl>
    <w:lvl w:ilvl="1">
      <w:lvlJc w:val="left"/>
      <w:lvlText w:val="(%2)"/>
      <w:numFmt w:val="lowerRoman"/>
      <w:start w:val="1"/>
    </w:lvl>
  </w:abstractNum>
  <w:abstractNum w:abstractNumId="30">
    <w:nsid w:val="77465F01"/>
    <w:multiLevelType w:val="hybridMultilevel"/>
    <w:lvl w:ilvl="0">
      <w:lvlJc w:val="left"/>
      <w:lvlText w:val="(%1)"/>
      <w:numFmt w:val="lowerLetter"/>
      <w:start w:val="4"/>
    </w:lvl>
    <w:lvl w:ilvl="1">
      <w:lvlJc w:val="left"/>
      <w:lvlText w:val="(%2)"/>
      <w:numFmt w:val="lowerRoman"/>
      <w:start w:val="1"/>
    </w:lvl>
  </w:abstractNum>
  <w:abstractNum w:abstractNumId="31">
    <w:nsid w:val="7724C6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
    <w:nsid w:val="5C482A97"/>
    <w:multiLevelType w:val="hybridMultilevel"/>
    <w:lvl w:ilvl="0">
      <w:lvlJc w:val="left"/>
      <w:lvlText w:val="%1"/>
      <w:numFmt w:val="decimal"/>
      <w:start w:val="1"/>
    </w:lvl>
    <w:lvl w:ilvl="1">
      <w:lvlJc w:val="left"/>
      <w:lvlText w:val="(%2)"/>
      <w:numFmt w:val="lowerRoman"/>
      <w:start w:val="6"/>
    </w:lvl>
  </w:abstractNum>
  <w:abstractNum w:abstractNumId="33">
    <w:nsid w:val="2463B9EA"/>
    <w:multiLevelType w:val="hybridMultilevel"/>
    <w:lvl w:ilvl="0">
      <w:lvlJc w:val="left"/>
      <w:lvlText w:val="%1."/>
      <w:numFmt w:val="decimal"/>
      <w:start w:val="7"/>
    </w:lvl>
    <w:lvl w:ilvl="1">
      <w:lvlJc w:val="left"/>
      <w:lvlText w:val="%2"/>
      <w:numFmt w:val="lowerRoman"/>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bullet"/>
      <w:start w:val="1"/>
    </w:lvl>
  </w:abstractNum>
  <w:abstractNum w:abstractNumId="36">
    <w:nsid w:val="2D517796"/>
    <w:multiLevelType w:val="hybridMultilevel"/>
    <w:lvl w:ilvl="0">
      <w:lvlJc w:val="left"/>
      <w:lvlText w:val="2"/>
      <w:numFmt w:val="bullet"/>
      <w:start w:val="1"/>
    </w:lvl>
  </w:abstractNum>
  <w:abstractNum w:abstractNumId="37">
    <w:nsid w:val="580BD78F"/>
    <w:multiLevelType w:val="hybridMultilevel"/>
    <w:lvl w:ilvl="0">
      <w:lvlJc w:val="left"/>
      <w:lvlText w:val="3"/>
      <w:numFmt w:val="bullet"/>
      <w:start w:val="1"/>
    </w:lvl>
  </w:abstractNum>
  <w:abstractNum w:abstractNumId="38">
    <w:nsid w:val="153EA438"/>
    <w:multiLevelType w:val="hybridMultilevel"/>
    <w:lvl w:ilvl="0">
      <w:lvlJc w:val="left"/>
      <w:lvlText w:val="4"/>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2022-02-09T15:39:30Z</dcterms:created>
  <dcterms:modified xsi:type="dcterms:W3CDTF">2022-02-09T15:39:30Z</dcterms:modified>
</cp:coreProperties>
</file>