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ind w:left="7060"/>
        <w:spacing w:after="0"/>
        <w:rPr>
          <w:sz w:val="20"/>
          <w:szCs w:val="20"/>
          <w:color w:val="auto"/>
        </w:rPr>
      </w:pPr>
      <w:r>
        <w:rPr>
          <w:rFonts w:ascii="Courier New" w:cs="Courier New" w:eastAsia="Courier New" w:hAnsi="Courier New"/>
          <w:sz w:val="18"/>
          <w:szCs w:val="18"/>
          <w:color w:val="auto"/>
        </w:rPr>
        <w:t>OMB APPROVAL</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rPr>
          <w:sz w:val="20"/>
          <w:szCs w:val="20"/>
          <w:color w:val="auto"/>
        </w:rPr>
      </w:pPr>
      <w:r>
        <w:rPr>
          <w:rFonts w:ascii="Courier New" w:cs="Courier New" w:eastAsia="Courier New" w:hAnsi="Courier New"/>
          <w:sz w:val="18"/>
          <w:szCs w:val="18"/>
          <w:color w:val="auto"/>
        </w:rPr>
        <w:t>(Rule 13d-101)</w:t>
      </w:r>
    </w:p>
    <w:p>
      <w:pPr>
        <w:spacing w:after="0" w:line="16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TO RULE 13d-1(a) AND AMENDMENTS THERETO FILED PURSUANT TO</w:t>
      </w:r>
    </w:p>
    <w:p>
      <w:pPr>
        <w:ind w:left="3580"/>
        <w:spacing w:after="0" w:line="238" w:lineRule="auto"/>
        <w:rPr>
          <w:sz w:val="20"/>
          <w:szCs w:val="20"/>
          <w:color w:val="auto"/>
        </w:rPr>
      </w:pPr>
      <w:r>
        <w:rPr>
          <w:rFonts w:ascii="Courier New" w:cs="Courier New" w:eastAsia="Courier New" w:hAnsi="Courier New"/>
          <w:sz w:val="18"/>
          <w:szCs w:val="18"/>
          <w:color w:val="auto"/>
        </w:rPr>
        <w:t>RULE 13d-2(a)</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Shares, without par value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810 186 106</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James Hagedorn</w:t>
      </w:r>
    </w:p>
    <w:p>
      <w:pPr>
        <w:spacing w:after="0" w:line="2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800 Port Washington Boulevard</w:t>
      </w:r>
    </w:p>
    <w:p>
      <w:pPr>
        <w:ind w:left="2960"/>
        <w:spacing w:after="0" w:line="238" w:lineRule="auto"/>
        <w:rPr>
          <w:sz w:val="20"/>
          <w:szCs w:val="20"/>
          <w:color w:val="auto"/>
        </w:rPr>
      </w:pPr>
      <w:r>
        <w:rPr>
          <w:rFonts w:ascii="Courier New" w:cs="Courier New" w:eastAsia="Courier New" w:hAnsi="Courier New"/>
          <w:sz w:val="18"/>
          <w:szCs w:val="18"/>
          <w:color w:val="auto"/>
        </w:rPr>
        <w:t>Port Washington, NY 11050</w:t>
      </w:r>
    </w:p>
    <w:p>
      <w:pPr>
        <w:ind w:left="4120" w:hanging="636"/>
        <w:spacing w:after="0"/>
        <w:tabs>
          <w:tab w:leader="none" w:pos="4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883-6550</w:t>
      </w:r>
    </w:p>
    <w:p>
      <w:pPr>
        <w:spacing w:after="0" w:line="169"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Richard L. Goldberg</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Proskauer Rose LLP</w:t>
      </w:r>
    </w:p>
    <w:p>
      <w:pPr>
        <w:ind w:left="3580"/>
        <w:spacing w:after="0" w:line="238" w:lineRule="auto"/>
        <w:rPr>
          <w:sz w:val="20"/>
          <w:szCs w:val="20"/>
          <w:color w:val="auto"/>
        </w:rPr>
      </w:pPr>
      <w:r>
        <w:rPr>
          <w:rFonts w:ascii="Courier New" w:cs="Courier New" w:eastAsia="Courier New" w:hAnsi="Courier New"/>
          <w:sz w:val="18"/>
          <w:szCs w:val="18"/>
          <w:color w:val="auto"/>
        </w:rPr>
        <w:t>1585 Broadway</w:t>
      </w:r>
    </w:p>
    <w:p>
      <w:pPr>
        <w:ind w:left="3280"/>
        <w:spacing w:after="0"/>
        <w:rPr>
          <w:sz w:val="20"/>
          <w:szCs w:val="20"/>
          <w:color w:val="auto"/>
        </w:rPr>
      </w:pPr>
      <w:r>
        <w:rPr>
          <w:rFonts w:ascii="Courier New" w:cs="Courier New" w:eastAsia="Courier New" w:hAnsi="Courier New"/>
          <w:sz w:val="18"/>
          <w:szCs w:val="18"/>
          <w:color w:val="auto"/>
        </w:rPr>
        <w:t>New York, NY 10036</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October 4, 1999</w:t>
      </w:r>
    </w:p>
    <w:p>
      <w:pPr>
        <w:spacing w:after="0" w:line="3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82" w:lineRule="exact"/>
        <w:rPr>
          <w:sz w:val="24"/>
          <w:szCs w:val="24"/>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0" w:lineRule="exact"/>
        <w:rPr>
          <w:sz w:val="24"/>
          <w:szCs w:val="24"/>
          <w:color w:val="auto"/>
        </w:rPr>
      </w:pPr>
    </w:p>
    <w:p>
      <w:pPr>
        <w:spacing w:after="0" w:line="271" w:lineRule="exact"/>
        <w:rPr>
          <w:sz w:val="24"/>
          <w:szCs w:val="24"/>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6</w:t>
      </w:r>
    </w:p>
    <w:p>
      <w:pPr>
        <w:spacing w:after="0" w:line="200" w:lineRule="exact"/>
        <w:rPr>
          <w:sz w:val="24"/>
          <w:szCs w:val="24"/>
          <w:color w:val="auto"/>
        </w:rPr>
      </w:pPr>
    </w:p>
    <w:p>
      <w:pPr>
        <w:spacing w:after="0" w:line="379"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 810 186 106</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2 of 6 Pages</w:t>
      </w:r>
    </w:p>
    <w:p>
      <w:pPr>
        <w:sectPr>
          <w:pgSz w:w="11900" w:h="16838"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218" w:right="1440" w:bottom="0" w:gutter="0" w:footer="0" w:header="0"/>
          <w:type w:val="continuous"/>
        </w:sectPr>
      </w:pPr>
    </w:p>
    <w:bookmarkStart w:id="1" w:name="page2"/>
    <w:bookmarkEnd w:id="1"/>
    <w:p>
      <w:pPr>
        <w:ind w:left="540" w:right="6939" w:hanging="532"/>
        <w:spacing w:after="0" w:line="536"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Hagedorn Partnership, L.P.</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EIN 11-3265232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13,067,578</w:t>
            </w:r>
          </w:p>
        </w:tc>
        <w:tc>
          <w:tcPr>
            <w:tcW w:w="0" w:type="dxa"/>
            <w:vAlign w:val="bottom"/>
          </w:tcPr>
          <w:p>
            <w:pPr>
              <w:spacing w:after="0"/>
              <w:rPr>
                <w:sz w:val="1"/>
                <w:szCs w:val="1"/>
                <w:color w:val="auto"/>
              </w:rPr>
            </w:pPr>
          </w:p>
        </w:tc>
      </w:tr>
      <w:tr>
        <w:trPr>
          <w:trHeight w:val="311"/>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7000" w:type="dxa"/>
            <w:vAlign w:val="bottom"/>
            <w:gridSpan w:val="2"/>
            <w:vMerge w:val="restart"/>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rPr>
              <w:t>EACH</w:t>
            </w:r>
          </w:p>
        </w:tc>
        <w:tc>
          <w:tcPr>
            <w:tcW w:w="7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440" w:type="dxa"/>
            <w:vAlign w:val="bottom"/>
            <w:vMerge w:val="continue"/>
          </w:tcPr>
          <w:p>
            <w:pPr>
              <w:spacing w:after="0"/>
              <w:rPr>
                <w:sz w:val="24"/>
                <w:szCs w:val="24"/>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12,802,989</w:t>
            </w:r>
          </w:p>
        </w:tc>
        <w:tc>
          <w:tcPr>
            <w:tcW w:w="0" w:type="dxa"/>
            <w:vAlign w:val="bottom"/>
          </w:tcPr>
          <w:p>
            <w:pPr>
              <w:spacing w:after="0"/>
              <w:rPr>
                <w:sz w:val="1"/>
                <w:szCs w:val="1"/>
                <w:color w:val="auto"/>
              </w:rPr>
            </w:pPr>
          </w:p>
        </w:tc>
      </w:tr>
      <w:tr>
        <w:trPr>
          <w:trHeight w:val="311"/>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264,589</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13,067,578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443" w:lineRule="auto"/>
        <w:tabs>
          <w:tab w:leader="none" w:pos="53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 PN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0" w:right="1440" w:bottom="1440" w:gutter="0" w:footer="0" w:header="0"/>
        </w:sectPr>
      </w:pPr>
    </w:p>
    <w:bookmarkStart w:id="2" w:name="page3"/>
    <w:bookmarkEnd w:id="2"/>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By this Amendment No. 2, Hagedorn Partnership, L.P. (the "Partnership") further amends and supplements its Statement on Schedule 13D, as heretofore amended (the "Schedule 13D"), filed with respect to the common shares, without par value (the "Shares"), of The Scotts Company, an Ohio corporation ("Scotts"). Capitalized terms not otherwise defined have the meanings set forth in the Schedule 13D.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of Issuer</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The current address of the principal executive officers of Scotts is 41 South High Street, Suite 3500, Columbus, Ohio 43215.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(a)-(c) Attached as Schedule I to this Amendment No. 2 is updated information as to the present principal occupation or employment and the name, principal business and address of any corporation or other organization in which such employment is conducted, of each General Partner.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Pursuant to the First Amendment to the Amended and Restated Agreement and Plan of Merger, dated as of October 1, 1999 (the "First Amendment"), by and among Scotts, Scotts' Miracle-Gro Products, Inc., Miracle-Gro Lawn Products Inc., Miracle-Gro Products Limited, the Partnership, Community Funds, Inc., Horace Hagedorn, John Kenlon, and the General Partners ("First Amendment"), the Partnership converted all of the 187,523 shares of Preferred Stock owned by the Partnership into 9,869,631 Shares in accordance with the terms of the Preferred Stock and without any cash payment by the Partnership.</w:t>
      </w:r>
    </w:p>
    <w:p>
      <w:pPr>
        <w:spacing w:after="0" w:line="104"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The Partnership also received from Scotts (in addition to the regular quarterly cash dividend on the Preferred Stock for the quarter ended September 30, 1999) a cash payment of $6,250,766.67, representing the aggregate amount of the dividends that would have accrued and been payable on the Partnership's 187,523 shares of Preferred Stock with respect to the period from October 1999 through May 2000, the first month during which the Preferred Stock would have become redeemable by Scotts. The other holders of the Preferred Stock, John Kenlon and Horace Hagedorn, also converted their shares of Preferred Stock and received cash payments in lieu of dividends pursuant to the First Amendment.</w:t>
      </w:r>
    </w:p>
    <w:p>
      <w:pPr>
        <w:spacing w:after="0" w:line="99" w:lineRule="exact"/>
        <w:rPr>
          <w:sz w:val="20"/>
          <w:szCs w:val="20"/>
          <w:color w:val="auto"/>
        </w:rPr>
      </w:pPr>
    </w:p>
    <w:p>
      <w:pPr>
        <w:jc w:val="both"/>
        <w:ind w:right="1779" w:firstLine="527"/>
        <w:spacing w:after="0" w:line="283" w:lineRule="auto"/>
        <w:rPr>
          <w:sz w:val="20"/>
          <w:szCs w:val="20"/>
          <w:color w:val="auto"/>
        </w:rPr>
      </w:pPr>
      <w:r>
        <w:rPr>
          <w:rFonts w:ascii="Courier New" w:cs="Courier New" w:eastAsia="Courier New" w:hAnsi="Courier New"/>
          <w:sz w:val="16"/>
          <w:szCs w:val="16"/>
          <w:color w:val="auto"/>
        </w:rPr>
        <w:t>Under the First Amendment, all of the provisions of the Merger Agreement described in the Schedule 13D in response to Item 6 relating to the acquisition, voting and disposition of securities of Scotts by the Partnership and the other Miracle-Gro Shareholders, the right of the Miracle-Gro Shareholders to designate three members of the Scotts Board of Directors, and the need for approval by the Miracle-Gro shareholders for certain stock issuances or acquisitions by Scotts, were terminated as of October 1, 1999, except the restriction upon the acquisition by the Miracle-Gro Shareholders of more than 49% of the total voting power of the outstanding Voting Stock. The provisions that terminated as of October 1, 1999 would otherwise have terminated on May 19, 2000, the fifth anniversary of the consummation of the Merger Agreement.</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the Transaction</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Partnership agreed to enter into the First Amendment and consummate the transactions contemplated thereby because it believed that the conversion of the outstanding shares of Preferred Stock into Shares on the terms provided for in the First Amendment was in the best interests of Scotts, the Partnership and the other shareholders of Scotts. Neither the Partnership nor the General Partners have any</w:t>
      </w: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 of 6</w:t>
      </w:r>
    </w:p>
    <w:p>
      <w:pPr>
        <w:sectPr>
          <w:pgSz w:w="11900" w:h="16838" w:orient="portrait"/>
          <w:cols w:equalWidth="0" w:num="1">
            <w:col w:w="10219"/>
          </w:cols>
          <w:pgMar w:left="240" w:top="893" w:right="1440" w:bottom="1440" w:gutter="0" w:footer="0" w:header="0"/>
        </w:sectPr>
      </w:pPr>
    </w:p>
    <w:bookmarkStart w:id="3" w:name="page4"/>
    <w:bookmarkEnd w:id="3"/>
    <w:p>
      <w:pPr>
        <w:jc w:val="both"/>
        <w:ind w:right="1779"/>
        <w:spacing w:after="0" w:line="250" w:lineRule="auto"/>
        <w:rPr>
          <w:sz w:val="20"/>
          <w:szCs w:val="20"/>
          <w:color w:val="auto"/>
        </w:rPr>
      </w:pPr>
      <w:r>
        <w:rPr>
          <w:rFonts w:ascii="Courier New" w:cs="Courier New" w:eastAsia="Courier New" w:hAnsi="Courier New"/>
          <w:sz w:val="18"/>
          <w:szCs w:val="18"/>
          <w:color w:val="auto"/>
        </w:rPr>
        <w:t>plans or proposals that relate to or would result in any of the consequences set forth in Items 4(a)-(j) of Schedule 13D. The Partnership intends to review continuously its position in Scotts, and may, at any time, depending upon its evaluation of Scotts' business and prospects, other developments concerning Scotts (including, without limitation, any future repurchases of Shares by Scotts), general economic conditions, stock market conditions and the financial needs and objectives of the Partnership, increase or decrease its holdings of Scotts securities or dispose of such holdings in their entirety, whether in transactions in the open market or otherwise, or otherwise act with respect to Scotts.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jc w:val="both"/>
        <w:ind w:right="1779" w:firstLine="535"/>
        <w:spacing w:after="0" w:line="244"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conversion of the outstanding shares of Preferred Stock pursuant to the First Amendment, the Partnership owns 9,869,631 Shares and holds Warrants to purchase an additional 2,933,358 Shares. The Partnership also has the right to vote, and a right of first refusal with respect to, the 197,947 Shares and the Warrants to purchase 66,642 Shares owned by Mr. Kenlon and his children. In the aggregate, the outstanding Shares held by the Partnership and Mr. Kenlon and the aggregate number of Warrants held by the Partnership, Mr. Kenlon and his children represent approximately 41.6% of the outstanding Shares, calculated in accordance with Rule 13d-3 based on the 18,357,302 Shares reported as being outstanding in Scotts' Quarterly Report on Form 10-Q in the fiscal quarter ended July 3, 1999. Except to the extent they may be deemed to have beneficial ownership of the Scotts securities owned by the Partnership, none of the General Partners beneficially owns any Scotts securities other than James Hagedorn, who owns 3,370 Shares beneficially and of record, holds options to purchase an additional 150,000 Shares that are either currently exercisable or will become exercisable within 60 days, and has 8,074.073 Shares credited to his account, as of September 30, 1999, under The Scotts Company Retirement Savings Plan (the "401(k) Plan").</w:t>
      </w:r>
    </w:p>
    <w:p>
      <w:pPr>
        <w:spacing w:after="0" w:line="117" w:lineRule="exact"/>
        <w:rPr>
          <w:rFonts w:ascii="Courier New" w:cs="Courier New" w:eastAsia="Courier New" w:hAnsi="Courier New"/>
          <w:sz w:val="18"/>
          <w:szCs w:val="18"/>
          <w:color w:val="auto"/>
        </w:rPr>
      </w:pPr>
    </w:p>
    <w:p>
      <w:pPr>
        <w:jc w:val="both"/>
        <w:ind w:right="1779" w:firstLine="535"/>
        <w:spacing w:after="0" w:line="252"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has the sole power to vote all of the Scotts securities held by it and by Mr. Kenlon and his children. The Partnership has sole dispositive power with respect to the Scotts securities held by it, and, by virtue of its right of first refusal, may be deemed to have shared dispositive power with respect to the Scotts securities held by Mr. Kenlon and his children. James Hagedorn has sole voting and dispositive power with respect to the Scotts securities described in the preceeding paragraph as being owned by him, subject, with respect to the 8,074.073 Shares credited to his account under the 401(k) Plan, to the terms of such Plan.</w:t>
      </w:r>
    </w:p>
    <w:p>
      <w:pPr>
        <w:spacing w:after="0" w:line="98" w:lineRule="exact"/>
        <w:rPr>
          <w:rFonts w:ascii="Courier New" w:cs="Courier New" w:eastAsia="Courier New" w:hAnsi="Courier New"/>
          <w:sz w:val="18"/>
          <w:szCs w:val="18"/>
          <w:color w:val="auto"/>
        </w:rPr>
      </w:pPr>
    </w:p>
    <w:p>
      <w:pPr>
        <w:jc w:val="both"/>
        <w:ind w:right="1779" w:firstLine="535"/>
        <w:spacing w:after="0" w:line="274"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converted 3,135 shares of Preferred Stock into 164,995 Shares on August 30, 1999, and sold such Shares on August 31, 1999 in accordance with Rule 144 promulgated under the Securities Act of 1933. The net proceeds per Share to the Partnership from such sale was $38.</w:t>
      </w:r>
    </w:p>
    <w:p>
      <w:pPr>
        <w:spacing w:after="0" w:line="82"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 to Items 2, 3 and 5 set forth in this Amendment No.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540"/>
        <w:spacing w:after="0"/>
        <w:tabs>
          <w:tab w:leader="none" w:pos="1040" w:val="left"/>
          <w:tab w:leader="none" w:pos="2200" w:val="left"/>
          <w:tab w:leader="none" w:pos="3460" w:val="left"/>
        </w:tabs>
        <w:rPr>
          <w:sz w:val="20"/>
          <w:szCs w:val="20"/>
          <w:color w:val="auto"/>
        </w:rPr>
      </w:pPr>
      <w:r>
        <w:rPr>
          <w:rFonts w:ascii="Courier New" w:cs="Courier New" w:eastAsia="Courier New" w:hAnsi="Courier New"/>
          <w:sz w:val="18"/>
          <w:szCs w:val="18"/>
          <w:color w:val="auto"/>
        </w:rPr>
        <w:t>The</w:t>
        <w:tab/>
        <w:t>following</w:t>
        <w:tab/>
        <w:t>additional</w:t>
      </w:r>
      <w:r>
        <w:rPr>
          <w:sz w:val="20"/>
          <w:szCs w:val="20"/>
          <w:color w:val="auto"/>
        </w:rPr>
        <w:tab/>
      </w:r>
      <w:r>
        <w:rPr>
          <w:rFonts w:ascii="Courier New" w:cs="Courier New" w:eastAsia="Courier New" w:hAnsi="Courier New"/>
          <w:sz w:val="16"/>
          <w:szCs w:val="16"/>
          <w:color w:val="auto"/>
        </w:rPr>
        <w:t>exhibit is added as Exhibit (c) to the Schedule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096" w:right="1440" w:bottom="1440" w:gutter="0" w:footer="0" w:header="0"/>
        </w:sectPr>
      </w:pPr>
    </w:p>
    <w:bookmarkStart w:id="4" w:name="page5"/>
    <w:bookmarkEnd w:id="4"/>
    <w:p>
      <w:pPr>
        <w:jc w:val="both"/>
        <w:ind w:left="2120" w:right="1779" w:hanging="1579"/>
        <w:spacing w:after="0" w:line="285" w:lineRule="auto"/>
        <w:tabs>
          <w:tab w:leader="none" w:pos="2100" w:val="left"/>
        </w:tabs>
        <w:rPr>
          <w:sz w:val="20"/>
          <w:szCs w:val="20"/>
          <w:color w:val="auto"/>
        </w:rPr>
      </w:pPr>
      <w:r>
        <w:rPr>
          <w:rFonts w:ascii="Courier New" w:cs="Courier New" w:eastAsia="Courier New" w:hAnsi="Courier New"/>
          <w:sz w:val="18"/>
          <w:szCs w:val="18"/>
          <w:color w:val="auto"/>
        </w:rPr>
        <w:t>Exhibit (c)</w:t>
      </w:r>
      <w:r>
        <w:rPr>
          <w:sz w:val="20"/>
          <w:szCs w:val="20"/>
          <w:color w:val="auto"/>
        </w:rPr>
        <w:tab/>
      </w:r>
      <w:r>
        <w:rPr>
          <w:rFonts w:ascii="Courier New" w:cs="Courier New" w:eastAsia="Courier New" w:hAnsi="Courier New"/>
          <w:sz w:val="16"/>
          <w:szCs w:val="16"/>
          <w:color w:val="auto"/>
        </w:rPr>
        <w:t>First Amendment to Amended and Restated Agreement and Plan of Merger, made and entered into as of October 1, 1999, by and among The Scotts Company, Scotts' Miracle-Gro Products, Inc., Miracle-Gro Lawn Products Inc., Miracle-Gro Products Limited, Hagedorn Partnership, L.P., Community Funds, Inc., Horace Hagedorn, John Kenlon, and James Hagedorn, Katherine Hagedorn Littlefield, Paul Hagedorn, Peter Hagedorn, Robert Hagedorn and Susan Hagedorn (Incorporated by reference to Exhibit 2 to The Scotts Company's Current Report on Form 8-K dated October 4, 1999).</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93" w:right="1440" w:bottom="1440" w:gutter="0" w:footer="0" w:header="0"/>
        </w:sect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29, 1999</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HAGEDORN PARTNERSHIP, L.P.</w:t>
      </w:r>
    </w:p>
    <w:p>
      <w:pPr>
        <w:spacing w:after="0" w:line="200" w:lineRule="exact"/>
        <w:rPr>
          <w:sz w:val="20"/>
          <w:szCs w:val="20"/>
          <w:color w:val="auto"/>
        </w:rPr>
      </w:pPr>
    </w:p>
    <w:p>
      <w:pPr>
        <w:sectPr>
          <w:pgSz w:w="11900" w:h="16838" w:orient="portrait"/>
          <w:cols w:equalWidth="0" w:num="2">
            <w:col w:w="3720" w:space="720"/>
            <w:col w:w="5779"/>
          </w:cols>
          <w:pgMar w:left="240" w:top="893" w:right="1440" w:bottom="1440" w:gutter="0" w:footer="0" w:header="0"/>
          <w:type w:val="continuous"/>
        </w:sect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/s/ Katherine Hagedorn Littlefield</w:t>
      </w:r>
    </w:p>
    <w:p>
      <w:pPr>
        <w:spacing w:after="0" w:line="53"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893" w:right="1440" w:bottom="1440" w:gutter="0" w:footer="0" w:header="0"/>
          <w:type w:val="continuous"/>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Partners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Hagedorn Partnership, L.P.</w:t>
      </w:r>
    </w:p>
    <w:p>
      <w:pPr>
        <w:spacing w:after="0" w:line="169"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name, business address, present principal occupation or employment, and the name, principal business (other than in the case of The Scotts Company) and address of any corporation or other organization in which such employment is conducted, of each general partner of the Partnership is set forth below. If no address is given, the address is 800 Port Washington Boulevard, Port Washington, New York 11050.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Present Principal Occupation</w:t>
            </w:r>
          </w:p>
        </w:tc>
        <w:tc>
          <w:tcPr>
            <w:tcW w:w="0" w:type="dxa"/>
            <w:vAlign w:val="bottom"/>
          </w:tcPr>
          <w:p>
            <w:pPr>
              <w:spacing w:after="0"/>
              <w:rPr>
                <w:sz w:val="1"/>
                <w:szCs w:val="1"/>
                <w:color w:val="auto"/>
              </w:rPr>
            </w:pPr>
          </w:p>
        </w:tc>
      </w:tr>
      <w:tr>
        <w:trPr>
          <w:trHeight w:val="203"/>
        </w:trPr>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or Employment and</w:t>
            </w:r>
          </w:p>
        </w:tc>
        <w:tc>
          <w:tcPr>
            <w:tcW w:w="0" w:type="dxa"/>
            <w:vAlign w:val="bottom"/>
          </w:tcPr>
          <w:p>
            <w:pPr>
              <w:spacing w:after="0"/>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Business Address</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Hagedorn</w:t>
            </w: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President, Scotts North America</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4"/>
                <w:szCs w:val="24"/>
                <w:color w:val="auto"/>
              </w:rPr>
            </w:pP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Katherine Hagedorn Littlefield</w:t>
            </w: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Private Investor</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Paul Hagedorn</w:t>
            </w: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Creative Consultant,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14111 Scottslawn Road</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4"/>
                <w:szCs w:val="24"/>
                <w:color w:val="auto"/>
              </w:rPr>
            </w:pP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Marysville, OH 43041</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Peter Hagedorn</w:t>
            </w: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Private Investor</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Robert Hagedorn</w:t>
            </w: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Private Investor</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Susan Hagedorn, Ph.D.</w:t>
            </w: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Professor of Nursing,</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University of Colorado Hospital</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(School of Nursing)</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Box C-288</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4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4200 East 9th Avenue</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4"/>
                <w:szCs w:val="24"/>
                <w:color w:val="auto"/>
              </w:rPr>
            </w:pPr>
          </w:p>
        </w:tc>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Denver, CO 80262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 of 6</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516"/>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5"/>
      <w:numFmt w:val="bullet"/>
      <w:start w:val="1"/>
    </w:lvl>
  </w:abstractNum>
  <w:abstractNum w:abstractNumId="10">
    <w:nsid w:val="140E0F76"/>
    <w:multiLevelType w:val="hybridMultilevel"/>
    <w:lvl w:ilvl="0">
      <w:lvlJc w:val="left"/>
      <w:lvlText w:val="6"/>
      <w:numFmt w:val="bullet"/>
      <w:start w:val="1"/>
    </w:lvl>
  </w:abstractNum>
  <w:abstractNum w:abstractNumId="11">
    <w:nsid w:val="3352255A"/>
    <w:multiLevelType w:val="hybridMultilevel"/>
    <w:lvl w:ilvl="0">
      <w:lvlJc w:val="left"/>
      <w:lvlText w:val="7"/>
      <w:numFmt w:val="bullet"/>
      <w:start w:val="1"/>
    </w:lvl>
  </w:abstractNum>
  <w:abstractNum w:abstractNumId="12">
    <w:nsid w:val="109CF92E"/>
    <w:multiLevelType w:val="hybridMultilevel"/>
    <w:lvl w:ilvl="0">
      <w:lvlJc w:val="left"/>
      <w:lvlText w:val="%1"/>
      <w:numFmt w:val="decimal"/>
      <w:start w:val="1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2020-02-22T16:44:51Z</dcterms:created>
  <dcterms:modified xsi:type="dcterms:W3CDTF">2020-02-22T16:44:51Z</dcterms:modified>
</cp:coreProperties>
</file>