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FORM 10-Q</w:t>
      </w:r>
    </w:p>
    <w:p>
      <w:pPr>
        <w:spacing w:after="0" w:line="182"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WASHINGTON, D. C. 20549</w:t>
      </w:r>
    </w:p>
    <w:p>
      <w:pPr>
        <w:spacing w:after="0" w:line="182" w:lineRule="exact"/>
        <w:rPr>
          <w:sz w:val="24"/>
          <w:szCs w:val="24"/>
          <w:color w:val="auto"/>
        </w:rPr>
      </w:pPr>
    </w:p>
    <w:p>
      <w:pPr>
        <w:ind w:left="1640" w:hanging="363"/>
        <w:spacing w:after="0"/>
        <w:tabs>
          <w:tab w:leader="none" w:pos="16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w:t>
      </w:r>
    </w:p>
    <w:p>
      <w:pPr>
        <w:spacing w:after="0" w:line="6" w:lineRule="exact"/>
        <w:rPr>
          <w:rFonts w:ascii="Courier New" w:cs="Courier New" w:eastAsia="Courier New" w:hAnsi="Courier New"/>
          <w:sz w:val="15"/>
          <w:szCs w:val="15"/>
          <w:color w:val="auto"/>
        </w:rPr>
      </w:pPr>
    </w:p>
    <w:p>
      <w:pPr>
        <w:ind w:left="1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pacing w:after="0" w:line="182"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FOR THE QUARTERLY PERIOD ENDED JULY 3, 1999</w:t>
      </w:r>
    </w:p>
    <w:p>
      <w:pPr>
        <w:spacing w:after="0" w:line="182" w:lineRule="exact"/>
        <w:rPr>
          <w:sz w:val="24"/>
          <w:szCs w:val="24"/>
          <w:color w:val="auto"/>
        </w:rPr>
      </w:pPr>
    </w:p>
    <w:p>
      <w:pPr>
        <w:ind w:left="3560"/>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4"/>
          <w:szCs w:val="24"/>
          <w:color w:val="auto"/>
        </w:rPr>
      </w:pPr>
    </w:p>
    <w:p>
      <w:pPr>
        <w:ind w:left="1460" w:hanging="183"/>
        <w:spacing w:after="0"/>
        <w:tabs>
          <w:tab w:leader="none" w:pos="14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w:t>
      </w:r>
    </w:p>
    <w:p>
      <w:pPr>
        <w:spacing w:after="0" w:line="6" w:lineRule="exact"/>
        <w:rPr>
          <w:rFonts w:ascii="Courier New" w:cs="Courier New" w:eastAsia="Courier New" w:hAnsi="Courier New"/>
          <w:sz w:val="15"/>
          <w:szCs w:val="15"/>
          <w:color w:val="auto"/>
        </w:rPr>
      </w:pPr>
    </w:p>
    <w:p>
      <w:pPr>
        <w:ind w:left="1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pacing w:after="0" w:line="182"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FOR THE TRANSITION PERIOD FROM ____________ TO ____________</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COMMISSION FILE NUMBER 1-11593</w:t>
      </w:r>
    </w:p>
    <w:p>
      <w:pPr>
        <w:spacing w:after="0" w:line="182"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SCOTTS COMPANY</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5" w:right="1440" w:bottom="1440" w:gutter="0" w:footer="0" w:header="0"/>
        </w:sectPr>
      </w:pPr>
    </w:p>
    <w:p>
      <w:pPr>
        <w:spacing w:after="0" w:line="182"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OHIO</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1280"/>
        <w:spacing w:after="0"/>
        <w:rPr>
          <w:sz w:val="20"/>
          <w:szCs w:val="20"/>
          <w:color w:val="auto"/>
        </w:rPr>
      </w:pPr>
      <w:r>
        <w:rPr>
          <w:rFonts w:ascii="Courier New" w:cs="Courier New" w:eastAsia="Courier New" w:hAnsi="Courier New"/>
          <w:sz w:val="15"/>
          <w:szCs w:val="15"/>
          <w:color w:val="auto"/>
        </w:rPr>
        <w:t>31-1414921</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58" w:lineRule="exact"/>
        <w:rPr>
          <w:sz w:val="24"/>
          <w:szCs w:val="24"/>
          <w:color w:val="auto"/>
        </w:rPr>
      </w:pPr>
    </w:p>
    <w:p>
      <w:pPr>
        <w:sectPr>
          <w:pgSz w:w="11900" w:h="16838" w:orient="portrait"/>
          <w:cols w:equalWidth="0" w:num="2">
            <w:col w:w="3300" w:space="720"/>
            <w:col w:w="6199"/>
          </w:cols>
          <w:pgMar w:left="240" w:top="235" w:right="1440" w:bottom="1440" w:gutter="0" w:footer="0" w:header="0"/>
          <w:type w:val="continuous"/>
        </w:sectPr>
      </w:pPr>
    </w:p>
    <w:p>
      <w:pPr>
        <w:jc w:val="center"/>
        <w:ind w:right="2899"/>
        <w:spacing w:after="0"/>
        <w:rPr>
          <w:sz w:val="20"/>
          <w:szCs w:val="20"/>
          <w:color w:val="auto"/>
        </w:rPr>
      </w:pPr>
      <w:r>
        <w:rPr>
          <w:rFonts w:ascii="Courier New" w:cs="Courier New" w:eastAsia="Courier New" w:hAnsi="Courier New"/>
          <w:sz w:val="15"/>
          <w:szCs w:val="15"/>
          <w:color w:val="auto"/>
        </w:rPr>
        <w:t>41 SOUTH HIGH STREET</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SUITE 3500</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COLUMBUS, OHIO 43215</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(ZIP CODE)</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(614) 719-5500</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2"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14111 SCOTTSLAWN ROAD</w:t>
      </w:r>
    </w:p>
    <w:p>
      <w:pPr>
        <w:spacing w:after="0" w:line="6"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MARYSVILLE, OHIO 43041</w:t>
      </w:r>
    </w:p>
    <w:p>
      <w:pPr>
        <w:spacing w:after="0" w:line="6" w:lineRule="exact"/>
        <w:rPr>
          <w:sz w:val="24"/>
          <w:szCs w:val="24"/>
          <w:color w:val="auto"/>
        </w:rPr>
      </w:pPr>
    </w:p>
    <w:p>
      <w:pPr>
        <w:ind w:left="1280"/>
        <w:spacing w:after="0"/>
        <w:rPr>
          <w:sz w:val="20"/>
          <w:szCs w:val="20"/>
          <w:color w:val="auto"/>
        </w:rPr>
      </w:pPr>
      <w:r>
        <w:rPr>
          <w:rFonts w:ascii="Courier New" w:cs="Courier New" w:eastAsia="Courier New" w:hAnsi="Courier New"/>
          <w:sz w:val="15"/>
          <w:szCs w:val="15"/>
          <w:color w:val="auto"/>
        </w:rPr>
        <w:t>(FORMER NAME, FORMER ADDRESS AND FORMER FISCAL YEAR,</w:t>
      </w:r>
    </w:p>
    <w:p>
      <w:pPr>
        <w:spacing w:after="0" w:line="6"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IF CHANGED SINCE LAST REPORT.)</w:t>
      </w:r>
    </w:p>
    <w:p>
      <w:pPr>
        <w:spacing w:after="0" w:line="182" w:lineRule="exact"/>
        <w:rPr>
          <w:sz w:val="24"/>
          <w:szCs w:val="24"/>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3020"/>
        <w:spacing w:after="0"/>
        <w:tabs>
          <w:tab w:leader="none" w:pos="3460" w:val="left"/>
          <w:tab w:leader="none" w:pos="3820"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spacing w:after="0" w:line="6" w:lineRule="exact"/>
        <w:rPr>
          <w:sz w:val="24"/>
          <w:szCs w:val="24"/>
          <w:color w:val="auto"/>
        </w:rPr>
      </w:pPr>
    </w:p>
    <w:p>
      <w:pPr>
        <w:ind w:left="3380"/>
        <w:spacing w:after="0"/>
        <w:tabs>
          <w:tab w:leader="none" w:pos="4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4"/>
          <w:szCs w:val="24"/>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19"/>
          </w:cols>
          <w:pgMar w:left="240" w:top="235" w:right="1440" w:bottom="1440" w:gutter="0" w:footer="0" w:header="0"/>
          <w:type w:val="continuous"/>
        </w:sectPr>
      </w:pPr>
    </w:p>
    <w:p>
      <w:pPr>
        <w:spacing w:after="0" w:line="175" w:lineRule="exact"/>
        <w:rPr>
          <w:sz w:val="24"/>
          <w:szCs w:val="24"/>
          <w:color w:val="auto"/>
        </w:rPr>
      </w:pPr>
    </w:p>
    <w:p>
      <w:pPr>
        <w:jc w:val="center"/>
        <w:ind w:right="840"/>
        <w:spacing w:after="0"/>
        <w:rPr>
          <w:sz w:val="20"/>
          <w:szCs w:val="20"/>
          <w:color w:val="auto"/>
        </w:rPr>
      </w:pPr>
      <w:r>
        <w:rPr>
          <w:rFonts w:ascii="Courier New" w:cs="Courier New" w:eastAsia="Courier New" w:hAnsi="Courier New"/>
          <w:sz w:val="15"/>
          <w:szCs w:val="15"/>
          <w:color w:val="auto"/>
        </w:rPr>
        <w:t>18,357,302</w:t>
      </w:r>
    </w:p>
    <w:p>
      <w:pPr>
        <w:spacing w:after="0" w:line="6" w:lineRule="exact"/>
        <w:rPr>
          <w:sz w:val="24"/>
          <w:szCs w:val="24"/>
          <w:color w:val="auto"/>
        </w:rPr>
      </w:pPr>
    </w:p>
    <w:p>
      <w:pPr>
        <w:jc w:val="center"/>
        <w:ind w:right="740"/>
        <w:spacing w:after="0"/>
        <w:rPr>
          <w:sz w:val="20"/>
          <w:szCs w:val="20"/>
          <w:color w:val="auto"/>
        </w:rPr>
      </w:pPr>
      <w:r>
        <w:rPr>
          <w:rFonts w:ascii="Courier New" w:cs="Courier New" w:eastAsia="Courier New" w:hAnsi="Courier New"/>
          <w:sz w:val="15"/>
          <w:szCs w:val="15"/>
          <w:color w:val="auto"/>
        </w:rPr>
        <w:t>Common Shares, voting, no par value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August 6, 1999</w:t>
      </w:r>
    </w:p>
    <w:p>
      <w:pPr>
        <w:spacing w:after="0" w:line="358" w:lineRule="exact"/>
        <w:rPr>
          <w:sz w:val="24"/>
          <w:szCs w:val="24"/>
          <w:color w:val="auto"/>
        </w:rPr>
      </w:pPr>
    </w:p>
    <w:p>
      <w:pPr>
        <w:sectPr>
          <w:pgSz w:w="11900" w:h="16838" w:orient="portrait"/>
          <w:cols w:equalWidth="0" w:num="2">
            <w:col w:w="3940" w:space="720"/>
            <w:col w:w="5559"/>
          </w:cols>
          <w:pgMar w:left="240" w:top="235"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35"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6140" w:type="dxa"/>
            <w:vAlign w:val="bottom"/>
          </w:tcPr>
          <w:p>
            <w:pPr>
              <w:ind w:left="1420"/>
              <w:spacing w:after="0"/>
              <w:rPr>
                <w:sz w:val="20"/>
                <w:szCs w:val="20"/>
                <w:color w:val="auto"/>
              </w:rPr>
            </w:pPr>
            <w:r>
              <w:rPr>
                <w:rFonts w:ascii="Courier New" w:cs="Courier New" w:eastAsia="Courier New" w:hAnsi="Courier New"/>
                <w:sz w:val="15"/>
                <w:szCs w:val="15"/>
                <w:color w:val="auto"/>
              </w:rPr>
              <w:t>THE SCOTTS COMPANY AND SUBSIDIARIES</w:t>
            </w:r>
          </w:p>
        </w:tc>
        <w:tc>
          <w:tcPr>
            <w:tcW w:w="1220" w:type="dxa"/>
            <w:vAlign w:val="bottom"/>
          </w:tcPr>
          <w:p>
            <w:pPr>
              <w:spacing w:after="0"/>
              <w:rPr>
                <w:sz w:val="14"/>
                <w:szCs w:val="14"/>
                <w:color w:val="auto"/>
              </w:rPr>
            </w:pPr>
          </w:p>
        </w:tc>
      </w:tr>
      <w:tr>
        <w:trPr>
          <w:trHeight w:val="352"/>
        </w:trPr>
        <w:tc>
          <w:tcPr>
            <w:tcW w:w="1420" w:type="dxa"/>
            <w:vAlign w:val="bottom"/>
          </w:tcPr>
          <w:p>
            <w:pPr>
              <w:spacing w:after="0"/>
              <w:rPr>
                <w:sz w:val="24"/>
                <w:szCs w:val="24"/>
                <w:color w:val="auto"/>
              </w:rPr>
            </w:pPr>
          </w:p>
        </w:tc>
        <w:tc>
          <w:tcPr>
            <w:tcW w:w="6140" w:type="dxa"/>
            <w:vAlign w:val="bottom"/>
          </w:tcPr>
          <w:p>
            <w:pPr>
              <w:ind w:left="2780"/>
              <w:spacing w:after="0"/>
              <w:rPr>
                <w:sz w:val="20"/>
                <w:szCs w:val="20"/>
                <w:color w:val="auto"/>
              </w:rPr>
            </w:pPr>
            <w:r>
              <w:rPr>
                <w:rFonts w:ascii="Courier New" w:cs="Courier New" w:eastAsia="Courier New" w:hAnsi="Courier New"/>
                <w:sz w:val="15"/>
                <w:szCs w:val="15"/>
                <w:color w:val="auto"/>
              </w:rPr>
              <w:t>INDEX</w:t>
            </w:r>
          </w:p>
        </w:tc>
        <w:tc>
          <w:tcPr>
            <w:tcW w:w="1220" w:type="dxa"/>
            <w:vAlign w:val="bottom"/>
          </w:tcPr>
          <w:p>
            <w:pPr>
              <w:spacing w:after="0"/>
              <w:rPr>
                <w:sz w:val="24"/>
                <w:szCs w:val="24"/>
                <w:color w:val="auto"/>
              </w:rPr>
            </w:pPr>
          </w:p>
        </w:tc>
      </w:tr>
      <w:tr>
        <w:trPr>
          <w:trHeight w:val="529"/>
        </w:trPr>
        <w:tc>
          <w:tcPr>
            <w:tcW w:w="14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Courier New" w:cs="Courier New" w:eastAsia="Courier New" w:hAnsi="Courier New"/>
                <w:sz w:val="15"/>
                <w:szCs w:val="15"/>
                <w:color w:val="auto"/>
                <w:w w:val="97"/>
              </w:rPr>
              <w:t>PAGE NO.</w:t>
            </w:r>
          </w:p>
        </w:tc>
      </w:tr>
      <w:tr>
        <w:trPr>
          <w:trHeight w:val="176"/>
        </w:trPr>
        <w:tc>
          <w:tcPr>
            <w:tcW w:w="14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220" w:type="dxa"/>
            <w:vAlign w:val="bottom"/>
          </w:tcPr>
          <w:p>
            <w:pPr>
              <w:ind w:left="500"/>
              <w:spacing w:after="0"/>
              <w:rPr>
                <w:sz w:val="20"/>
                <w:szCs w:val="20"/>
                <w:color w:val="auto"/>
              </w:rPr>
            </w:pPr>
            <w:r>
              <w:rPr>
                <w:rFonts w:ascii="Courier New" w:cs="Courier New" w:eastAsia="Courier New" w:hAnsi="Courier New"/>
                <w:sz w:val="15"/>
                <w:szCs w:val="15"/>
                <w:color w:val="auto"/>
                <w:w w:val="97"/>
              </w:rPr>
              <w:t>--------</w:t>
            </w:r>
          </w:p>
        </w:tc>
      </w:tr>
      <w:tr>
        <w:trPr>
          <w:trHeight w:val="352"/>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1220" w:type="dxa"/>
            <w:vAlign w:val="bottom"/>
          </w:tcPr>
          <w:p>
            <w:pPr>
              <w:spacing w:after="0"/>
              <w:rPr>
                <w:sz w:val="24"/>
                <w:szCs w:val="24"/>
                <w:color w:val="auto"/>
              </w:rPr>
            </w:pPr>
          </w:p>
        </w:tc>
      </w:tr>
      <w:tr>
        <w:trPr>
          <w:trHeight w:val="352"/>
        </w:trPr>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Item 1.</w:t>
            </w: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Financial Statements</w:t>
            </w:r>
          </w:p>
        </w:tc>
        <w:tc>
          <w:tcPr>
            <w:tcW w:w="1220" w:type="dxa"/>
            <w:vAlign w:val="bottom"/>
          </w:tcPr>
          <w:p>
            <w:pPr>
              <w:spacing w:after="0"/>
              <w:rPr>
                <w:sz w:val="24"/>
                <w:szCs w:val="24"/>
                <w:color w:val="auto"/>
              </w:rPr>
            </w:pPr>
          </w:p>
        </w:tc>
      </w:tr>
      <w:tr>
        <w:trPr>
          <w:trHeight w:val="352"/>
        </w:trPr>
        <w:tc>
          <w:tcPr>
            <w:tcW w:w="142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Condensed, Consolidated Statements of Operations - Three</w:t>
            </w:r>
          </w:p>
        </w:tc>
        <w:tc>
          <w:tcPr>
            <w:tcW w:w="1220" w:type="dxa"/>
            <w:vAlign w:val="bottom"/>
          </w:tcPr>
          <w:p>
            <w:pPr>
              <w:spacing w:after="0"/>
              <w:rPr>
                <w:sz w:val="24"/>
                <w:szCs w:val="24"/>
                <w:color w:val="auto"/>
              </w:rPr>
            </w:pPr>
          </w:p>
        </w:tc>
      </w:tr>
      <w:tr>
        <w:trPr>
          <w:trHeight w:val="176"/>
        </w:trPr>
        <w:tc>
          <w:tcPr>
            <w:tcW w:w="1420" w:type="dxa"/>
            <w:vAlign w:val="bottom"/>
          </w:tcPr>
          <w:p>
            <w:pPr>
              <w:spacing w:after="0"/>
              <w:rPr>
                <w:sz w:val="15"/>
                <w:szCs w:val="15"/>
                <w:color w:val="auto"/>
              </w:rPr>
            </w:pP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and nine month periods ended  July 3, 1999 and July 4, 1998</w:t>
            </w:r>
          </w:p>
        </w:tc>
        <w:tc>
          <w:tcPr>
            <w:tcW w:w="1220" w:type="dxa"/>
            <w:vAlign w:val="bottom"/>
          </w:tcPr>
          <w:p>
            <w:pPr>
              <w:ind w:left="780"/>
              <w:spacing w:after="0"/>
              <w:rPr>
                <w:sz w:val="20"/>
                <w:szCs w:val="20"/>
                <w:color w:val="auto"/>
              </w:rPr>
            </w:pPr>
            <w:r>
              <w:rPr>
                <w:rFonts w:ascii="Courier New" w:cs="Courier New" w:eastAsia="Courier New" w:hAnsi="Courier New"/>
                <w:sz w:val="15"/>
                <w:szCs w:val="15"/>
                <w:color w:val="auto"/>
              </w:rPr>
              <w:t>3</w:t>
            </w:r>
          </w:p>
        </w:tc>
      </w:tr>
      <w:tr>
        <w:trPr>
          <w:trHeight w:val="352"/>
        </w:trPr>
        <w:tc>
          <w:tcPr>
            <w:tcW w:w="142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Condensed, Consolidated Statements of Cash Flows - Nine</w:t>
            </w:r>
          </w:p>
        </w:tc>
        <w:tc>
          <w:tcPr>
            <w:tcW w:w="1220" w:type="dxa"/>
            <w:vAlign w:val="bottom"/>
          </w:tcPr>
          <w:p>
            <w:pPr>
              <w:spacing w:after="0"/>
              <w:rPr>
                <w:sz w:val="24"/>
                <w:szCs w:val="24"/>
                <w:color w:val="auto"/>
              </w:rPr>
            </w:pPr>
          </w:p>
        </w:tc>
      </w:tr>
      <w:tr>
        <w:trPr>
          <w:trHeight w:val="176"/>
        </w:trPr>
        <w:tc>
          <w:tcPr>
            <w:tcW w:w="1420" w:type="dxa"/>
            <w:vAlign w:val="bottom"/>
          </w:tcPr>
          <w:p>
            <w:pPr>
              <w:spacing w:after="0"/>
              <w:rPr>
                <w:sz w:val="15"/>
                <w:szCs w:val="15"/>
                <w:color w:val="auto"/>
              </w:rPr>
            </w:pP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month periods ended July 3, 1999 and July 4, 1998</w:t>
            </w:r>
          </w:p>
        </w:tc>
        <w:tc>
          <w:tcPr>
            <w:tcW w:w="1220" w:type="dxa"/>
            <w:vAlign w:val="bottom"/>
          </w:tcPr>
          <w:p>
            <w:pPr>
              <w:ind w:left="780"/>
              <w:spacing w:after="0"/>
              <w:rPr>
                <w:sz w:val="20"/>
                <w:szCs w:val="20"/>
                <w:color w:val="auto"/>
              </w:rPr>
            </w:pPr>
            <w:r>
              <w:rPr>
                <w:rFonts w:ascii="Courier New" w:cs="Courier New" w:eastAsia="Courier New" w:hAnsi="Courier New"/>
                <w:sz w:val="15"/>
                <w:szCs w:val="15"/>
                <w:color w:val="auto"/>
              </w:rPr>
              <w:t>4</w:t>
            </w:r>
          </w:p>
        </w:tc>
      </w:tr>
      <w:tr>
        <w:trPr>
          <w:trHeight w:val="352"/>
        </w:trPr>
        <w:tc>
          <w:tcPr>
            <w:tcW w:w="142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Condensed, Consolidated Balance Sheets - July 3, 1999,</w:t>
            </w:r>
          </w:p>
        </w:tc>
        <w:tc>
          <w:tcPr>
            <w:tcW w:w="1220" w:type="dxa"/>
            <w:vAlign w:val="bottom"/>
          </w:tcPr>
          <w:p>
            <w:pPr>
              <w:spacing w:after="0"/>
              <w:rPr>
                <w:sz w:val="24"/>
                <w:szCs w:val="24"/>
                <w:color w:val="auto"/>
              </w:rPr>
            </w:pPr>
          </w:p>
        </w:tc>
      </w:tr>
      <w:tr>
        <w:trPr>
          <w:trHeight w:val="176"/>
        </w:trPr>
        <w:tc>
          <w:tcPr>
            <w:tcW w:w="1420" w:type="dxa"/>
            <w:vAlign w:val="bottom"/>
          </w:tcPr>
          <w:p>
            <w:pPr>
              <w:spacing w:after="0"/>
              <w:rPr>
                <w:sz w:val="15"/>
                <w:szCs w:val="15"/>
                <w:color w:val="auto"/>
              </w:rPr>
            </w:pP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July 4, 1998, and September 30, 1998</w:t>
            </w:r>
          </w:p>
        </w:tc>
        <w:tc>
          <w:tcPr>
            <w:tcW w:w="1220" w:type="dxa"/>
            <w:vAlign w:val="bottom"/>
          </w:tcPr>
          <w:p>
            <w:pPr>
              <w:ind w:left="780"/>
              <w:spacing w:after="0"/>
              <w:rPr>
                <w:sz w:val="20"/>
                <w:szCs w:val="20"/>
                <w:color w:val="auto"/>
              </w:rPr>
            </w:pPr>
            <w:r>
              <w:rPr>
                <w:rFonts w:ascii="Courier New" w:cs="Courier New" w:eastAsia="Courier New" w:hAnsi="Courier New"/>
                <w:sz w:val="15"/>
                <w:szCs w:val="15"/>
                <w:color w:val="auto"/>
              </w:rPr>
              <w:t>5</w:t>
            </w:r>
          </w:p>
        </w:tc>
      </w:tr>
      <w:tr>
        <w:trPr>
          <w:trHeight w:val="352"/>
        </w:trPr>
        <w:tc>
          <w:tcPr>
            <w:tcW w:w="142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1220" w:type="dxa"/>
            <w:vAlign w:val="bottom"/>
          </w:tcPr>
          <w:p>
            <w:pPr>
              <w:ind w:left="680"/>
              <w:spacing w:after="0"/>
              <w:rPr>
                <w:sz w:val="20"/>
                <w:szCs w:val="20"/>
                <w:color w:val="auto"/>
              </w:rPr>
            </w:pPr>
            <w:r>
              <w:rPr>
                <w:rFonts w:ascii="Courier New" w:cs="Courier New" w:eastAsia="Courier New" w:hAnsi="Courier New"/>
                <w:sz w:val="15"/>
                <w:szCs w:val="15"/>
                <w:color w:val="auto"/>
              </w:rPr>
              <w:t>6-16</w:t>
            </w:r>
          </w:p>
        </w:tc>
      </w:tr>
      <w:tr>
        <w:trPr>
          <w:trHeight w:val="352"/>
        </w:trPr>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Item 2.</w:t>
            </w: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220" w:type="dxa"/>
            <w:vAlign w:val="bottom"/>
          </w:tcPr>
          <w:p>
            <w:pPr>
              <w:ind w:left="680"/>
              <w:spacing w:after="0"/>
              <w:rPr>
                <w:sz w:val="20"/>
                <w:szCs w:val="20"/>
                <w:color w:val="auto"/>
              </w:rPr>
            </w:pPr>
            <w:r>
              <w:rPr>
                <w:rFonts w:ascii="Courier New" w:cs="Courier New" w:eastAsia="Courier New" w:hAnsi="Courier New"/>
                <w:sz w:val="15"/>
                <w:szCs w:val="15"/>
                <w:color w:val="auto"/>
              </w:rPr>
              <w:t>17-32</w:t>
            </w:r>
          </w:p>
        </w:tc>
      </w:tr>
      <w:tr>
        <w:trPr>
          <w:trHeight w:val="176"/>
        </w:trPr>
        <w:tc>
          <w:tcPr>
            <w:tcW w:w="1420" w:type="dxa"/>
            <w:vAlign w:val="bottom"/>
          </w:tcPr>
          <w:p>
            <w:pPr>
              <w:spacing w:after="0"/>
              <w:rPr>
                <w:sz w:val="15"/>
                <w:szCs w:val="15"/>
                <w:color w:val="auto"/>
              </w:rPr>
            </w:pP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and Results of Operations</w:t>
            </w:r>
          </w:p>
        </w:tc>
        <w:tc>
          <w:tcPr>
            <w:tcW w:w="1220" w:type="dxa"/>
            <w:vAlign w:val="bottom"/>
          </w:tcPr>
          <w:p>
            <w:pPr>
              <w:spacing w:after="0"/>
              <w:rPr>
                <w:sz w:val="15"/>
                <w:szCs w:val="15"/>
                <w:color w:val="auto"/>
              </w:rPr>
            </w:pPr>
          </w:p>
        </w:tc>
      </w:tr>
      <w:tr>
        <w:trPr>
          <w:trHeight w:val="352"/>
        </w:trPr>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Item 3.</w:t>
            </w: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1220" w:type="dxa"/>
            <w:vAlign w:val="bottom"/>
          </w:tcPr>
          <w:p>
            <w:pPr>
              <w:ind w:left="680"/>
              <w:spacing w:after="0"/>
              <w:rPr>
                <w:sz w:val="20"/>
                <w:szCs w:val="20"/>
                <w:color w:val="auto"/>
              </w:rPr>
            </w:pPr>
            <w:r>
              <w:rPr>
                <w:rFonts w:ascii="Courier New" w:cs="Courier New" w:eastAsia="Courier New" w:hAnsi="Courier New"/>
                <w:sz w:val="15"/>
                <w:szCs w:val="15"/>
                <w:color w:val="auto"/>
              </w:rPr>
              <w:t>33-34</w:t>
            </w:r>
          </w:p>
        </w:tc>
      </w:tr>
      <w:tr>
        <w:trPr>
          <w:trHeight w:val="352"/>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1220" w:type="dxa"/>
            <w:vAlign w:val="bottom"/>
          </w:tcPr>
          <w:p>
            <w:pPr>
              <w:spacing w:after="0"/>
              <w:rPr>
                <w:sz w:val="24"/>
                <w:szCs w:val="24"/>
                <w:color w:val="auto"/>
              </w:rPr>
            </w:pPr>
          </w:p>
        </w:tc>
      </w:tr>
      <w:tr>
        <w:trPr>
          <w:trHeight w:val="352"/>
        </w:trPr>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Item 1.</w:t>
            </w: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Legal Proceedings</w:t>
            </w:r>
          </w:p>
        </w:tc>
        <w:tc>
          <w:tcPr>
            <w:tcW w:w="1220" w:type="dxa"/>
            <w:vAlign w:val="bottom"/>
          </w:tcPr>
          <w:p>
            <w:pPr>
              <w:ind w:left="780"/>
              <w:spacing w:after="0"/>
              <w:rPr>
                <w:sz w:val="20"/>
                <w:szCs w:val="20"/>
                <w:color w:val="auto"/>
              </w:rPr>
            </w:pPr>
            <w:r>
              <w:rPr>
                <w:rFonts w:ascii="Courier New" w:cs="Courier New" w:eastAsia="Courier New" w:hAnsi="Courier New"/>
                <w:sz w:val="15"/>
                <w:szCs w:val="15"/>
                <w:color w:val="auto"/>
              </w:rPr>
              <w:t>35</w:t>
            </w:r>
          </w:p>
        </w:tc>
      </w:tr>
      <w:tr>
        <w:trPr>
          <w:trHeight w:val="352"/>
        </w:trPr>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Item 6.</w:t>
            </w:r>
          </w:p>
        </w:tc>
        <w:tc>
          <w:tcPr>
            <w:tcW w:w="6140" w:type="dxa"/>
            <w:vAlign w:val="bottom"/>
          </w:tcPr>
          <w:p>
            <w:pPr>
              <w:ind w:left="220"/>
              <w:spacing w:after="0"/>
              <w:rPr>
                <w:sz w:val="20"/>
                <w:szCs w:val="20"/>
                <w:color w:val="auto"/>
              </w:rPr>
            </w:pPr>
            <w:r>
              <w:rPr>
                <w:rFonts w:ascii="Courier New" w:cs="Courier New" w:eastAsia="Courier New" w:hAnsi="Courier New"/>
                <w:sz w:val="15"/>
                <w:szCs w:val="15"/>
                <w:color w:val="auto"/>
              </w:rPr>
              <w:t>Exhibits and Reports on Form 8-K</w:t>
            </w:r>
          </w:p>
        </w:tc>
        <w:tc>
          <w:tcPr>
            <w:tcW w:w="1220" w:type="dxa"/>
            <w:vAlign w:val="bottom"/>
          </w:tcPr>
          <w:p>
            <w:pPr>
              <w:ind w:left="780"/>
              <w:spacing w:after="0"/>
              <w:rPr>
                <w:sz w:val="20"/>
                <w:szCs w:val="20"/>
                <w:color w:val="auto"/>
              </w:rPr>
            </w:pPr>
            <w:r>
              <w:rPr>
                <w:rFonts w:ascii="Courier New" w:cs="Courier New" w:eastAsia="Courier New" w:hAnsi="Courier New"/>
                <w:sz w:val="15"/>
                <w:szCs w:val="15"/>
                <w:color w:val="auto"/>
              </w:rPr>
              <w:t>35</w:t>
            </w:r>
          </w:p>
        </w:tc>
      </w:tr>
      <w:tr>
        <w:trPr>
          <w:trHeight w:val="352"/>
        </w:trPr>
        <w:tc>
          <w:tcPr>
            <w:tcW w:w="142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6140" w:type="dxa"/>
            <w:vAlign w:val="bottom"/>
          </w:tcPr>
          <w:p>
            <w:pPr>
              <w:spacing w:after="0"/>
              <w:rPr>
                <w:sz w:val="24"/>
                <w:szCs w:val="24"/>
                <w:color w:val="auto"/>
              </w:rPr>
            </w:pPr>
          </w:p>
        </w:tc>
        <w:tc>
          <w:tcPr>
            <w:tcW w:w="1220" w:type="dxa"/>
            <w:vAlign w:val="bottom"/>
          </w:tcPr>
          <w:p>
            <w:pPr>
              <w:ind w:left="780"/>
              <w:spacing w:after="0"/>
              <w:rPr>
                <w:sz w:val="20"/>
                <w:szCs w:val="20"/>
                <w:color w:val="auto"/>
              </w:rPr>
            </w:pPr>
            <w:r>
              <w:rPr>
                <w:rFonts w:ascii="Courier New" w:cs="Courier New" w:eastAsia="Courier New" w:hAnsi="Courier New"/>
                <w:sz w:val="15"/>
                <w:szCs w:val="15"/>
                <w:color w:val="auto"/>
              </w:rPr>
              <w:t>36</w:t>
            </w:r>
          </w:p>
        </w:tc>
      </w:tr>
      <w:tr>
        <w:trPr>
          <w:trHeight w:val="352"/>
        </w:trPr>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9"/>
              </w:rPr>
              <w:t>Exhibit Index</w:t>
            </w:r>
          </w:p>
        </w:tc>
        <w:tc>
          <w:tcPr>
            <w:tcW w:w="6140" w:type="dxa"/>
            <w:vAlign w:val="bottom"/>
          </w:tcPr>
          <w:p>
            <w:pPr>
              <w:spacing w:after="0"/>
              <w:rPr>
                <w:sz w:val="24"/>
                <w:szCs w:val="24"/>
                <w:color w:val="auto"/>
              </w:rPr>
            </w:pPr>
          </w:p>
        </w:tc>
        <w:tc>
          <w:tcPr>
            <w:tcW w:w="1220" w:type="dxa"/>
            <w:vAlign w:val="bottom"/>
          </w:tcPr>
          <w:p>
            <w:pPr>
              <w:ind w:left="780"/>
              <w:spacing w:after="0"/>
              <w:rPr>
                <w:sz w:val="20"/>
                <w:szCs w:val="20"/>
                <w:color w:val="auto"/>
              </w:rPr>
            </w:pPr>
            <w:r>
              <w:rPr>
                <w:rFonts w:ascii="Courier New" w:cs="Courier New" w:eastAsia="Courier New" w:hAnsi="Courier New"/>
                <w:sz w:val="15"/>
                <w:szCs w:val="15"/>
                <w:color w:val="auto"/>
              </w:rPr>
              <w:t>37</w:t>
            </w:r>
          </w:p>
        </w:tc>
      </w:tr>
      <w:tr>
        <w:trPr>
          <w:trHeight w:val="529"/>
        </w:trPr>
        <w:tc>
          <w:tcPr>
            <w:tcW w:w="1420" w:type="dxa"/>
            <w:vAlign w:val="bottom"/>
          </w:tcPr>
          <w:p>
            <w:pPr>
              <w:spacing w:after="0"/>
              <w:rPr>
                <w:sz w:val="24"/>
                <w:szCs w:val="24"/>
                <w:color w:val="auto"/>
              </w:rPr>
            </w:pPr>
          </w:p>
        </w:tc>
        <w:tc>
          <w:tcPr>
            <w:tcW w:w="6140" w:type="dxa"/>
            <w:vAlign w:val="bottom"/>
          </w:tcPr>
          <w:p>
            <w:pPr>
              <w:ind w:left="2140"/>
              <w:spacing w:after="0"/>
              <w:rPr>
                <w:sz w:val="20"/>
                <w:szCs w:val="20"/>
                <w:color w:val="auto"/>
              </w:rPr>
            </w:pPr>
            <w:r>
              <w:rPr>
                <w:rFonts w:ascii="Courier New" w:cs="Courier New" w:eastAsia="Courier New" w:hAnsi="Courier New"/>
                <w:sz w:val="15"/>
                <w:szCs w:val="15"/>
                <w:color w:val="auto"/>
              </w:rPr>
              <w:t>2</w:t>
            </w:r>
          </w:p>
        </w:tc>
        <w:tc>
          <w:tcPr>
            <w:tcW w:w="12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PART I - FINANCIAL INFORMATION</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ITEM 1. FINANCIAL STATEMENTS</w:t>
      </w:r>
    </w:p>
    <w:p>
      <w:pPr>
        <w:spacing w:after="0" w:line="359"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6" w:lineRule="exact"/>
        <w:rPr>
          <w:sz w:val="20"/>
          <w:szCs w:val="20"/>
          <w:color w:val="auto"/>
        </w:rPr>
      </w:pPr>
    </w:p>
    <w:p>
      <w:pPr>
        <w:jc w:val="center"/>
        <w:ind w:right="105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6" w:lineRule="exact"/>
        <w:rPr>
          <w:sz w:val="20"/>
          <w:szCs w:val="20"/>
          <w:color w:val="auto"/>
        </w:rPr>
      </w:pPr>
    </w:p>
    <w:p>
      <w:pPr>
        <w:jc w:val="center"/>
        <w:ind w:right="979"/>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3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THREE MONTHS</w:t>
            </w:r>
          </w:p>
        </w:tc>
        <w:tc>
          <w:tcPr>
            <w:tcW w:w="22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NINE MONTHS</w:t>
            </w:r>
          </w:p>
        </w:tc>
      </w:tr>
      <w:tr>
        <w:trPr>
          <w:trHeight w:val="176"/>
        </w:trPr>
        <w:tc>
          <w:tcPr>
            <w:tcW w:w="4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jc w:val="right"/>
              <w:ind w:right="904"/>
              <w:spacing w:after="0"/>
              <w:rPr>
                <w:sz w:val="20"/>
                <w:szCs w:val="20"/>
                <w:color w:val="auto"/>
              </w:rPr>
            </w:pPr>
            <w:r>
              <w:rPr>
                <w:rFonts w:ascii="Courier New" w:cs="Courier New" w:eastAsia="Courier New" w:hAnsi="Courier New"/>
                <w:sz w:val="15"/>
                <w:szCs w:val="15"/>
                <w:color w:val="auto"/>
                <w:w w:val="93"/>
              </w:rPr>
              <w:t>ENDED</w:t>
            </w:r>
          </w:p>
        </w:tc>
        <w:tc>
          <w:tcPr>
            <w:tcW w:w="1040" w:type="dxa"/>
            <w:vAlign w:val="bottom"/>
          </w:tcPr>
          <w:p>
            <w:pPr>
              <w:spacing w:after="0"/>
              <w:rPr>
                <w:sz w:val="15"/>
                <w:szCs w:val="15"/>
                <w:color w:val="auto"/>
              </w:rPr>
            </w:pPr>
          </w:p>
        </w:tc>
        <w:tc>
          <w:tcPr>
            <w:tcW w:w="120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7"/>
              </w:rPr>
              <w:t>ENDED</w:t>
            </w:r>
          </w:p>
        </w:tc>
      </w:tr>
      <w:tr>
        <w:trPr>
          <w:trHeight w:val="176"/>
        </w:trPr>
        <w:tc>
          <w:tcPr>
            <w:tcW w:w="4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jc w:val="right"/>
              <w:ind w:right="904"/>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spacing w:after="0"/>
              <w:rPr>
                <w:sz w:val="15"/>
                <w:szCs w:val="15"/>
                <w:color w:val="auto"/>
              </w:rPr>
            </w:pPr>
          </w:p>
        </w:tc>
        <w:tc>
          <w:tcPr>
            <w:tcW w:w="120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7"/>
              </w:rPr>
              <w:t>-----</w:t>
            </w:r>
          </w:p>
        </w:tc>
      </w:tr>
      <w:tr>
        <w:trPr>
          <w:trHeight w:val="176"/>
        </w:trPr>
        <w:tc>
          <w:tcPr>
            <w:tcW w:w="4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JULY 3,</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JULY 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JULY 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JULY 4,</w:t>
            </w:r>
          </w:p>
        </w:tc>
      </w:tr>
      <w:tr>
        <w:trPr>
          <w:trHeight w:val="176"/>
        </w:trPr>
        <w:tc>
          <w:tcPr>
            <w:tcW w:w="4620" w:type="dxa"/>
            <w:vAlign w:val="bottom"/>
          </w:tcPr>
          <w:p>
            <w:pPr>
              <w:spacing w:after="0"/>
              <w:rPr>
                <w:sz w:val="15"/>
                <w:szCs w:val="15"/>
                <w:color w:val="auto"/>
              </w:rPr>
            </w:pPr>
          </w:p>
        </w:tc>
        <w:tc>
          <w:tcPr>
            <w:tcW w:w="88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1999</w:t>
            </w:r>
          </w:p>
        </w:tc>
        <w:tc>
          <w:tcPr>
            <w:tcW w:w="142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1998</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620" w:type="dxa"/>
            <w:vAlign w:val="bottom"/>
          </w:tcPr>
          <w:p>
            <w:pPr>
              <w:spacing w:after="0"/>
              <w:rPr>
                <w:sz w:val="15"/>
                <w:szCs w:val="15"/>
                <w:color w:val="auto"/>
              </w:rPr>
            </w:pPr>
          </w:p>
        </w:tc>
        <w:tc>
          <w:tcPr>
            <w:tcW w:w="88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w:t>
            </w:r>
          </w:p>
        </w:tc>
      </w:tr>
      <w:tr>
        <w:trPr>
          <w:trHeight w:val="352"/>
        </w:trPr>
        <w:tc>
          <w:tcPr>
            <w:tcW w:w="46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$586.2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$367.0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$1,402.2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$921.9</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349.8</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235.7</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832.1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578.8</w:t>
            </w:r>
          </w:p>
        </w:tc>
      </w:tr>
      <w:tr>
        <w:trPr>
          <w:trHeight w:val="176"/>
        </w:trPr>
        <w:tc>
          <w:tcPr>
            <w:tcW w:w="46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236.4</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131.3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570.1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343.1</w:t>
            </w:r>
          </w:p>
        </w:tc>
      </w:tr>
      <w:tr>
        <w:trPr>
          <w:trHeight w:val="352"/>
        </w:trPr>
        <w:tc>
          <w:tcPr>
            <w:tcW w:w="4620" w:type="dxa"/>
            <w:vAlign w:val="bottom"/>
          </w:tcPr>
          <w:p>
            <w:pPr>
              <w:spacing w:after="0"/>
              <w:rPr>
                <w:sz w:val="20"/>
                <w:szCs w:val="20"/>
                <w:color w:val="auto"/>
              </w:rPr>
            </w:pPr>
            <w:r>
              <w:rPr>
                <w:rFonts w:ascii="Courier New" w:cs="Courier New" w:eastAsia="Courier New" w:hAnsi="Courier New"/>
                <w:sz w:val="15"/>
                <w:szCs w:val="15"/>
                <w:color w:val="auto"/>
              </w:rPr>
              <w:t>Commission earned from agency agreement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w:t>
            </w:r>
          </w:p>
        </w:tc>
        <w:tc>
          <w:tcPr>
            <w:tcW w:w="142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27.5</w:t>
            </w:r>
          </w:p>
        </w:tc>
        <w:tc>
          <w:tcPr>
            <w:tcW w:w="120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Advertising and promotion</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63.8</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166.6</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93.9</w:t>
            </w: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79.4</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121.9</w:t>
            </w: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w:t>
            </w: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Restructuring and other charges</w:t>
            </w: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Other (income) expense, net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w:t>
            </w:r>
          </w:p>
        </w:tc>
      </w:tr>
      <w:tr>
        <w:trPr>
          <w:trHeight w:val="176"/>
        </w:trPr>
        <w:tc>
          <w:tcPr>
            <w:tcW w:w="46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95.1</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114.9</w:t>
            </w:r>
          </w:p>
        </w:tc>
      </w:tr>
      <w:tr>
        <w:trPr>
          <w:trHeight w:val="352"/>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24.6</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25.7</w:t>
            </w:r>
          </w:p>
        </w:tc>
      </w:tr>
      <w:tr>
        <w:trPr>
          <w:trHeight w:val="176"/>
        </w:trPr>
        <w:tc>
          <w:tcPr>
            <w:tcW w:w="46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70.5</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40.6</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89.2</w:t>
            </w:r>
          </w:p>
        </w:tc>
      </w:tr>
      <w:tr>
        <w:trPr>
          <w:trHeight w:val="352"/>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28.9</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36.9</w:t>
            </w:r>
          </w:p>
        </w:tc>
      </w:tr>
      <w:tr>
        <w:trPr>
          <w:trHeight w:val="176"/>
        </w:trPr>
        <w:tc>
          <w:tcPr>
            <w:tcW w:w="46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41.6</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52.3</w:t>
            </w:r>
          </w:p>
        </w:tc>
      </w:tr>
      <w:tr>
        <w:trPr>
          <w:trHeight w:val="352"/>
        </w:trPr>
        <w:tc>
          <w:tcPr>
            <w:tcW w:w="4620" w:type="dxa"/>
            <w:vAlign w:val="bottom"/>
          </w:tcPr>
          <w:p>
            <w:pPr>
              <w:spacing w:after="0"/>
              <w:rPr>
                <w:sz w:val="20"/>
                <w:szCs w:val="20"/>
                <w:color w:val="auto"/>
              </w:rPr>
            </w:pPr>
            <w:r>
              <w:rPr>
                <w:rFonts w:ascii="Courier New" w:cs="Courier New" w:eastAsia="Courier New" w:hAnsi="Courier New"/>
                <w:sz w:val="15"/>
                <w:szCs w:val="15"/>
                <w:color w:val="auto"/>
              </w:rPr>
              <w:t>Extraordinary loss on early</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extinguishment of debt, net of taxes</w:t>
            </w: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w:t>
            </w:r>
          </w:p>
        </w:tc>
      </w:tr>
      <w:tr>
        <w:trPr>
          <w:trHeight w:val="176"/>
        </w:trPr>
        <w:tc>
          <w:tcPr>
            <w:tcW w:w="46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41.6</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51.6</w:t>
            </w:r>
          </w:p>
        </w:tc>
      </w:tr>
      <w:tr>
        <w:trPr>
          <w:trHeight w:val="352"/>
        </w:trPr>
        <w:tc>
          <w:tcPr>
            <w:tcW w:w="462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w:t>
            </w:r>
          </w:p>
        </w:tc>
      </w:tr>
      <w:tr>
        <w:trPr>
          <w:trHeight w:val="176"/>
        </w:trPr>
        <w:tc>
          <w:tcPr>
            <w:tcW w:w="46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applicable to common shareholders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44.3</w:t>
            </w:r>
          </w:p>
        </w:tc>
      </w:tr>
      <w:tr>
        <w:trPr>
          <w:trHeight w:val="352"/>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Before extraordinary loss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w:t>
            </w: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 net of taxes</w:t>
            </w: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0.04</w:t>
            </w:r>
          </w:p>
        </w:tc>
      </w:tr>
      <w:tr>
        <w:trPr>
          <w:trHeight w:val="176"/>
        </w:trPr>
        <w:tc>
          <w:tcPr>
            <w:tcW w:w="46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Before extraordinary loss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0.80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w:t>
            </w: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 net of taxes</w:t>
            </w: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0.02</w:t>
            </w:r>
          </w:p>
        </w:tc>
      </w:tr>
      <w:tr>
        <w:trPr>
          <w:trHeight w:val="176"/>
        </w:trPr>
        <w:tc>
          <w:tcPr>
            <w:tcW w:w="46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0.80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Common shares used in basic earnings</w:t>
            </w: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per share calculation</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18.3</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18.7</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Common shares and potential common shares</w:t>
            </w: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used in diluted earnings per share</w:t>
            </w: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calculation</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30.9</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30.6</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30.3</w:t>
            </w:r>
          </w:p>
        </w:tc>
      </w:tr>
    </w:tbl>
    <w:p>
      <w:pPr>
        <w:spacing w:after="0" w:line="357" w:lineRule="exact"/>
        <w:rPr>
          <w:sz w:val="20"/>
          <w:szCs w:val="20"/>
          <w:color w:val="auto"/>
        </w:rPr>
      </w:pPr>
    </w:p>
    <w:p>
      <w:pPr>
        <w:ind w:left="3560" w:right="4999" w:hanging="3572"/>
        <w:spacing w:after="0" w:line="499" w:lineRule="auto"/>
        <w:rPr>
          <w:sz w:val="20"/>
          <w:szCs w:val="20"/>
          <w:color w:val="auto"/>
        </w:rPr>
      </w:pPr>
      <w:r>
        <w:rPr>
          <w:rFonts w:ascii="Courier New" w:cs="Courier New" w:eastAsia="Courier New" w:hAnsi="Courier New"/>
          <w:sz w:val="15"/>
          <w:szCs w:val="15"/>
          <w:color w:val="auto"/>
        </w:rPr>
        <w:t>See notes to condensed, consolidated financial statements 3</w:t>
      </w:r>
    </w:p>
    <w:p>
      <w:pPr>
        <w:sectPr>
          <w:pgSz w:w="11900" w:h="16838" w:orient="portrait"/>
          <w:cols w:equalWidth="0" w:num="1">
            <w:col w:w="10219"/>
          </w:cols>
          <w:pgMar w:left="240" w:top="29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6"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5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JULY 3,</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JULY 4,</w:t>
            </w:r>
          </w:p>
        </w:tc>
      </w:tr>
      <w:tr>
        <w:trPr>
          <w:trHeight w:val="176"/>
        </w:trPr>
        <w:tc>
          <w:tcPr>
            <w:tcW w:w="5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1998</w:t>
            </w:r>
          </w:p>
        </w:tc>
      </w:tr>
      <w:tr>
        <w:trPr>
          <w:trHeight w:val="176"/>
        </w:trPr>
        <w:tc>
          <w:tcPr>
            <w:tcW w:w="5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51.6</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by operating activities: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42.8</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27.6</w:t>
            </w:r>
          </w:p>
        </w:tc>
      </w:tr>
      <w:tr>
        <w:trPr>
          <w:trHeight w:val="176"/>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Extraordinary loss, net of tax</w:t>
            </w:r>
          </w:p>
        </w:tc>
        <w:tc>
          <w:tcPr>
            <w:tcW w:w="3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w:t>
            </w:r>
          </w:p>
        </w:tc>
      </w:tr>
      <w:tr>
        <w:trPr>
          <w:trHeight w:val="176"/>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Net change in certain components of working capital</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13.4</w:t>
            </w:r>
          </w:p>
        </w:tc>
      </w:tr>
      <w:tr>
        <w:trPr>
          <w:trHeight w:val="176"/>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Net change in other assets and liabilities and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720" w:type="dxa"/>
            <w:vAlign w:val="bottom"/>
          </w:tcPr>
          <w:p>
            <w:pPr>
              <w:ind w:left="920"/>
              <w:spacing w:after="0"/>
              <w:rPr>
                <w:sz w:val="20"/>
                <w:szCs w:val="20"/>
                <w:color w:val="auto"/>
              </w:rPr>
            </w:pPr>
            <w:r>
              <w:rPr>
                <w:rFonts w:ascii="Courier New" w:cs="Courier New" w:eastAsia="Courier New" w:hAnsi="Courier New"/>
                <w:sz w:val="15"/>
                <w:szCs w:val="15"/>
                <w:color w:val="auto"/>
              </w:rPr>
              <w:t>other adjustments</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(23.7)</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6"/>
        </w:trPr>
        <w:tc>
          <w:tcPr>
            <w:tcW w:w="5720" w:type="dxa"/>
            <w:vAlign w:val="bottom"/>
          </w:tcPr>
          <w:p>
            <w:pPr>
              <w:spacing w:after="0"/>
              <w:rPr>
                <w:sz w:val="15"/>
                <w:szCs w:val="15"/>
                <w:color w:val="auto"/>
              </w:rPr>
            </w:pP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92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90.5</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93.0</w:t>
            </w:r>
          </w:p>
        </w:tc>
      </w:tr>
      <w:tr>
        <w:trPr>
          <w:trHeight w:val="176"/>
        </w:trPr>
        <w:tc>
          <w:tcPr>
            <w:tcW w:w="5720" w:type="dxa"/>
            <w:vAlign w:val="bottom"/>
          </w:tcPr>
          <w:p>
            <w:pPr>
              <w:spacing w:after="0"/>
              <w:rPr>
                <w:sz w:val="15"/>
                <w:szCs w:val="15"/>
                <w:color w:val="auto"/>
              </w:rPr>
            </w:pP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Investment in property, plant and equipment, net</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(37.9)</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Investment in acquired businesses, net of cash acquired</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(496.4)</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(146.4)</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15"/>
                <w:szCs w:val="15"/>
                <w:color w:val="auto"/>
              </w:rPr>
            </w:pP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920"/>
              <w:spacing w:after="0"/>
              <w:rPr>
                <w:sz w:val="20"/>
                <w:szCs w:val="20"/>
                <w:color w:val="auto"/>
              </w:rPr>
            </w:pPr>
            <w:r>
              <w:rPr>
                <w:rFonts w:ascii="Courier New" w:cs="Courier New" w:eastAsia="Courier New" w:hAnsi="Courier New"/>
                <w:sz w:val="15"/>
                <w:szCs w:val="15"/>
                <w:color w:val="auto"/>
              </w:rPr>
              <w:t>Net cash used in investing activities</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(540.8)</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(168.1)</w:t>
            </w:r>
          </w:p>
        </w:tc>
      </w:tr>
      <w:tr>
        <w:trPr>
          <w:trHeight w:val="176"/>
        </w:trPr>
        <w:tc>
          <w:tcPr>
            <w:tcW w:w="5720" w:type="dxa"/>
            <w:vAlign w:val="bottom"/>
          </w:tcPr>
          <w:p>
            <w:pPr>
              <w:spacing w:after="0"/>
              <w:rPr>
                <w:sz w:val="15"/>
                <w:szCs w:val="15"/>
                <w:color w:val="auto"/>
              </w:rPr>
            </w:pP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Gross borrowings under term loans</w:t>
            </w:r>
          </w:p>
        </w:tc>
        <w:tc>
          <w:tcPr>
            <w:tcW w:w="3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525.0</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101.4</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Gross repayments under term loans</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Net borrowings under revolving and bank lines of credit</w:t>
            </w:r>
          </w:p>
        </w:tc>
        <w:tc>
          <w:tcPr>
            <w:tcW w:w="3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15.5</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Repayment of outstanding balance on old credit facility</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(241.0)</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Issuance of 8 5/8% senior subordinated notes</w:t>
            </w:r>
          </w:p>
        </w:tc>
        <w:tc>
          <w:tcPr>
            <w:tcW w:w="3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330.0</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Partial extinguishment of 9 7/8% senior subordinated notes</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(104.1)</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Settlement of interest rate locks</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Financing and issuance fees</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(23.8)</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Repurchase of treasury shares</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Cash received from exercise of stock options</w:t>
            </w:r>
          </w:p>
        </w:tc>
        <w:tc>
          <w:tcPr>
            <w:tcW w:w="3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6"/>
        </w:trPr>
        <w:tc>
          <w:tcPr>
            <w:tcW w:w="5720" w:type="dxa"/>
            <w:vAlign w:val="bottom"/>
          </w:tcPr>
          <w:p>
            <w:pPr>
              <w:spacing w:after="0"/>
              <w:rPr>
                <w:sz w:val="15"/>
                <w:szCs w:val="15"/>
                <w:color w:val="auto"/>
              </w:rPr>
            </w:pP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92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3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474.9</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91.8</w:t>
            </w:r>
          </w:p>
        </w:tc>
      </w:tr>
      <w:tr>
        <w:trPr>
          <w:trHeight w:val="176"/>
        </w:trPr>
        <w:tc>
          <w:tcPr>
            <w:tcW w:w="5720" w:type="dxa"/>
            <w:vAlign w:val="bottom"/>
          </w:tcPr>
          <w:p>
            <w:pPr>
              <w:spacing w:after="0"/>
              <w:rPr>
                <w:sz w:val="15"/>
                <w:szCs w:val="15"/>
                <w:color w:val="auto"/>
              </w:rPr>
            </w:pP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32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6"/>
        </w:trPr>
        <w:tc>
          <w:tcPr>
            <w:tcW w:w="5720" w:type="dxa"/>
            <w:vAlign w:val="bottom"/>
          </w:tcPr>
          <w:p>
            <w:pPr>
              <w:spacing w:after="0"/>
              <w:rPr>
                <w:sz w:val="15"/>
                <w:szCs w:val="15"/>
                <w:color w:val="auto"/>
              </w:rPr>
            </w:pP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320" w:type="dxa"/>
            <w:vAlign w:val="bottom"/>
          </w:tcPr>
          <w:p>
            <w:pPr>
              <w:spacing w:after="0"/>
              <w:rPr>
                <w:sz w:val="24"/>
                <w:szCs w:val="24"/>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23.6</w:t>
            </w:r>
          </w:p>
        </w:tc>
        <w:tc>
          <w:tcPr>
            <w:tcW w:w="28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3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10.6</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w:t>
            </w:r>
          </w:p>
        </w:tc>
      </w:tr>
      <w:tr>
        <w:trPr>
          <w:trHeight w:val="176"/>
        </w:trPr>
        <w:tc>
          <w:tcPr>
            <w:tcW w:w="5720" w:type="dxa"/>
            <w:vAlign w:val="bottom"/>
          </w:tcPr>
          <w:p>
            <w:pPr>
              <w:spacing w:after="0"/>
              <w:rPr>
                <w:sz w:val="15"/>
                <w:szCs w:val="15"/>
                <w:color w:val="auto"/>
              </w:rPr>
            </w:pP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29.6</w:t>
            </w:r>
          </w:p>
        </w:tc>
      </w:tr>
      <w:tr>
        <w:trPr>
          <w:trHeight w:val="176"/>
        </w:trPr>
        <w:tc>
          <w:tcPr>
            <w:tcW w:w="5720" w:type="dxa"/>
            <w:vAlign w:val="bottom"/>
          </w:tcPr>
          <w:p>
            <w:pPr>
              <w:spacing w:after="0"/>
              <w:rPr>
                <w:sz w:val="15"/>
                <w:szCs w:val="15"/>
                <w:color w:val="auto"/>
              </w:rPr>
            </w:pP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Businesses Acquired: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Fair value of assets acquired, net of cash</w:t>
            </w: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$ 635.2</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$ 192.3</w:t>
            </w:r>
          </w:p>
        </w:tc>
      </w:tr>
      <w:tr>
        <w:trPr>
          <w:trHeight w:val="176"/>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Liabilities assumed</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(101.8)</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(45.9)</w:t>
            </w:r>
          </w:p>
        </w:tc>
      </w:tr>
      <w:tr>
        <w:trPr>
          <w:trHeight w:val="176"/>
        </w:trPr>
        <w:tc>
          <w:tcPr>
            <w:tcW w:w="5720" w:type="dxa"/>
            <w:vAlign w:val="bottom"/>
          </w:tcPr>
          <w:p>
            <w:pPr>
              <w:spacing w:after="0"/>
              <w:rPr>
                <w:sz w:val="15"/>
                <w:szCs w:val="15"/>
                <w:color w:val="auto"/>
              </w:rPr>
            </w:pP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Net assets acquired</w:t>
            </w: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$ 533.4</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$ 146.4</w:t>
            </w:r>
          </w:p>
        </w:tc>
      </w:tr>
      <w:tr>
        <w:trPr>
          <w:trHeight w:val="352"/>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Cash paid</w:t>
            </w:r>
          </w:p>
        </w:tc>
        <w:tc>
          <w:tcPr>
            <w:tcW w:w="320" w:type="dxa"/>
            <w:vAlign w:val="bottom"/>
          </w:tcPr>
          <w:p>
            <w:pPr>
              <w:spacing w:after="0"/>
              <w:rPr>
                <w:sz w:val="24"/>
                <w:szCs w:val="24"/>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w:t>
            </w:r>
          </w:p>
        </w:tc>
        <w:tc>
          <w:tcPr>
            <w:tcW w:w="28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w:t>
            </w:r>
          </w:p>
        </w:tc>
      </w:tr>
      <w:tr>
        <w:trPr>
          <w:trHeight w:val="176"/>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Notes issued to seller</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37.0</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Debt issued</w:t>
            </w:r>
          </w:p>
        </w:tc>
        <w:tc>
          <w:tcPr>
            <w:tcW w:w="1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$ 491.6</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$ 146.2</w:t>
            </w:r>
          </w:p>
        </w:tc>
      </w:tr>
    </w:tbl>
    <w:p>
      <w:pPr>
        <w:spacing w:after="0" w:line="357" w:lineRule="exact"/>
        <w:rPr>
          <w:sz w:val="20"/>
          <w:szCs w:val="20"/>
          <w:color w:val="auto"/>
        </w:rPr>
      </w:pPr>
    </w:p>
    <w:p>
      <w:pPr>
        <w:ind w:left="3660" w:right="4999" w:hanging="3664"/>
        <w:spacing w:after="0" w:line="499" w:lineRule="auto"/>
        <w:rPr>
          <w:sz w:val="20"/>
          <w:szCs w:val="20"/>
          <w:color w:val="auto"/>
        </w:rPr>
      </w:pPr>
      <w:r>
        <w:rPr>
          <w:rFonts w:ascii="Courier New" w:cs="Courier New" w:eastAsia="Courier New" w:hAnsi="Courier New"/>
          <w:sz w:val="15"/>
          <w:szCs w:val="15"/>
          <w:color w:val="auto"/>
        </w:rPr>
        <w:t>See notes to condensed, consolidated financial statements 4</w:t>
      </w:r>
    </w:p>
    <w:p>
      <w:pPr>
        <w:sectPr>
          <w:pgSz w:w="11900" w:h="16838" w:orient="portrait"/>
          <w:cols w:equalWidth="0" w:num="1">
            <w:col w:w="10219"/>
          </w:cols>
          <w:pgMar w:left="240" w:top="29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jc w:val="center"/>
        <w:ind w:right="133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6"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6" w:lineRule="exact"/>
        <w:rPr>
          <w:sz w:val="20"/>
          <w:szCs w:val="20"/>
          <w:color w:val="auto"/>
        </w:rPr>
      </w:pPr>
    </w:p>
    <w:p>
      <w:pPr>
        <w:jc w:val="center"/>
        <w:ind w:right="1339"/>
        <w:spacing w:after="0"/>
        <w:rPr>
          <w:sz w:val="20"/>
          <w:szCs w:val="20"/>
          <w:color w:val="auto"/>
        </w:rPr>
      </w:pPr>
      <w:r>
        <w:rPr>
          <w:rFonts w:ascii="Courier New" w:cs="Courier New" w:eastAsia="Courier New" w:hAnsi="Courier New"/>
          <w:sz w:val="15"/>
          <w:szCs w:val="15"/>
          <w:color w:val="auto"/>
        </w:rPr>
        <w:t>(IN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ind w:left="4120"/>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29"/>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JULY 3,</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JULY 4,</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4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1998</w:t>
            </w:r>
          </w:p>
        </w:tc>
        <w:tc>
          <w:tcPr>
            <w:tcW w:w="460" w:type="dxa"/>
            <w:vAlign w:val="bottom"/>
          </w:tcPr>
          <w:p>
            <w:pPr>
              <w:spacing w:after="0"/>
              <w:rPr>
                <w:sz w:val="15"/>
                <w:szCs w:val="15"/>
                <w:color w:val="auto"/>
              </w:rPr>
            </w:pPr>
          </w:p>
        </w:tc>
        <w:tc>
          <w:tcPr>
            <w:tcW w:w="8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w:t>
            </w:r>
          </w:p>
        </w:tc>
        <w:tc>
          <w:tcPr>
            <w:tcW w:w="460" w:type="dxa"/>
            <w:vAlign w:val="bottom"/>
          </w:tcPr>
          <w:p>
            <w:pPr>
              <w:spacing w:after="0"/>
              <w:rPr>
                <w:sz w:val="15"/>
                <w:szCs w:val="15"/>
                <w:color w:val="auto"/>
              </w:rPr>
            </w:pPr>
          </w:p>
        </w:tc>
        <w:tc>
          <w:tcPr>
            <w:tcW w:w="8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352"/>
        </w:trPr>
        <w:tc>
          <w:tcPr>
            <w:tcW w:w="4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34.2</w:t>
            </w:r>
          </w:p>
        </w:tc>
        <w:tc>
          <w:tcPr>
            <w:tcW w:w="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10.6</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less allowances of</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$15.5, $5.6 and $6.3, respectively</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319.2</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164.6</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146.6</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281.1</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165.3</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177.7</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Current deferred tax asset</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22.1</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19.5</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20.8</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Prepaid and other assets</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36.2</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11.5</w:t>
            </w:r>
          </w:p>
        </w:tc>
      </w:tr>
      <w:tr>
        <w:trPr>
          <w:trHeight w:val="176"/>
        </w:trPr>
        <w:tc>
          <w:tcPr>
            <w:tcW w:w="494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ind w:left="920"/>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692.8</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389.4</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367.2</w:t>
            </w:r>
          </w:p>
        </w:tc>
      </w:tr>
      <w:tr>
        <w:trPr>
          <w:trHeight w:val="176"/>
        </w:trPr>
        <w:tc>
          <w:tcPr>
            <w:tcW w:w="494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49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6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241.3</w:t>
            </w:r>
          </w:p>
        </w:tc>
        <w:tc>
          <w:tcPr>
            <w:tcW w:w="420" w:type="dxa"/>
            <w:vAlign w:val="bottom"/>
          </w:tcPr>
          <w:p>
            <w:pPr>
              <w:spacing w:after="0"/>
              <w:rPr>
                <w:sz w:val="24"/>
                <w:szCs w:val="24"/>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187.7</w:t>
            </w:r>
          </w:p>
        </w:tc>
        <w:tc>
          <w:tcPr>
            <w:tcW w:w="460" w:type="dxa"/>
            <w:vAlign w:val="bottom"/>
          </w:tcPr>
          <w:p>
            <w:pPr>
              <w:spacing w:after="0"/>
              <w:rPr>
                <w:sz w:val="24"/>
                <w:szCs w:val="24"/>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197.0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800.0</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435.6</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435.1</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35.4</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35.9</w:t>
            </w:r>
          </w:p>
        </w:tc>
      </w:tr>
      <w:tr>
        <w:trPr>
          <w:trHeight w:val="176"/>
        </w:trPr>
        <w:tc>
          <w:tcPr>
            <w:tcW w:w="494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ind w:left="920"/>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$1,769.5</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$1,019.1</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$1,035.2</w:t>
            </w:r>
          </w:p>
        </w:tc>
      </w:tr>
      <w:tr>
        <w:trPr>
          <w:trHeight w:val="176"/>
        </w:trPr>
        <w:tc>
          <w:tcPr>
            <w:tcW w:w="494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gridSpan w:val="3"/>
          </w:tcPr>
          <w:p>
            <w:pPr>
              <w:jc w:val="right"/>
              <w:ind w:right="144"/>
              <w:spacing w:after="0"/>
              <w:rPr>
                <w:sz w:val="20"/>
                <w:szCs w:val="20"/>
                <w:color w:val="auto"/>
              </w:rPr>
            </w:pPr>
            <w:r>
              <w:rPr>
                <w:rFonts w:ascii="Courier New" w:cs="Courier New" w:eastAsia="Courier New" w:hAnsi="Courier New"/>
                <w:sz w:val="15"/>
                <w:szCs w:val="15"/>
                <w:color w:val="auto"/>
              </w:rPr>
              <w:t>LIABILITIES AND SHAREHOLDERS' EQUITY</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Short-term debt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41.2</w:t>
            </w:r>
          </w:p>
        </w:tc>
        <w:tc>
          <w:tcPr>
            <w:tcW w:w="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13.3</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127.2</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77.8</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77.8</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182.1</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97.2</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124.9</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Accrued taxes</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40.5</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36.4</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15.9</w:t>
            </w:r>
          </w:p>
        </w:tc>
      </w:tr>
      <w:tr>
        <w:trPr>
          <w:trHeight w:val="176"/>
        </w:trPr>
        <w:tc>
          <w:tcPr>
            <w:tcW w:w="494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ind w:left="920"/>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391.0</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215.8</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231.9</w:t>
            </w:r>
          </w:p>
        </w:tc>
      </w:tr>
      <w:tr>
        <w:trPr>
          <w:trHeight w:val="352"/>
        </w:trPr>
        <w:tc>
          <w:tcPr>
            <w:tcW w:w="49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855.6</w:t>
            </w:r>
          </w:p>
        </w:tc>
        <w:tc>
          <w:tcPr>
            <w:tcW w:w="420" w:type="dxa"/>
            <w:vAlign w:val="bottom"/>
          </w:tcPr>
          <w:p>
            <w:pPr>
              <w:spacing w:after="0"/>
              <w:rPr>
                <w:sz w:val="24"/>
                <w:szCs w:val="24"/>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332.0</w:t>
            </w:r>
          </w:p>
        </w:tc>
        <w:tc>
          <w:tcPr>
            <w:tcW w:w="460" w:type="dxa"/>
            <w:vAlign w:val="bottom"/>
          </w:tcPr>
          <w:p>
            <w:pPr>
              <w:spacing w:after="0"/>
              <w:rPr>
                <w:sz w:val="24"/>
                <w:szCs w:val="24"/>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359.2</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57.0</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41.2</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40.2</w:t>
            </w:r>
          </w:p>
        </w:tc>
      </w:tr>
      <w:tr>
        <w:trPr>
          <w:trHeight w:val="176"/>
        </w:trPr>
        <w:tc>
          <w:tcPr>
            <w:tcW w:w="494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ind w:left="920"/>
              <w:spacing w:after="0"/>
              <w:rPr>
                <w:sz w:val="20"/>
                <w:szCs w:val="20"/>
                <w:color w:val="auto"/>
              </w:rPr>
            </w:pPr>
            <w:r>
              <w:rPr>
                <w:rFonts w:ascii="Courier New" w:cs="Courier New" w:eastAsia="Courier New" w:hAnsi="Courier New"/>
                <w:sz w:val="15"/>
                <w:szCs w:val="15"/>
                <w:color w:val="auto"/>
              </w:rPr>
              <w:t>Total liabilities</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1,303.6</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589.0</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631.3</w:t>
            </w:r>
          </w:p>
        </w:tc>
      </w:tr>
      <w:tr>
        <w:trPr>
          <w:trHeight w:val="352"/>
        </w:trPr>
        <w:tc>
          <w:tcPr>
            <w:tcW w:w="49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2"/>
        </w:trPr>
        <w:tc>
          <w:tcPr>
            <w:tcW w:w="49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Class A Convertible Preferred Stock, no par value</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176.7</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177.3</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177.3</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Common shares, no par value, $.01 stated value,</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issued 21.1 shares in 1999 and 1998</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0.2</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0.2</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Capital in excess of par value</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209.1</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208.3</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208.7</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149.8</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94.4</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76.6</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2.8, 2.4, and 2.8 shares,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respectively, at cost</w:t>
            </w:r>
          </w:p>
        </w:tc>
        <w:tc>
          <w:tcPr>
            <w:tcW w:w="36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(58.9)</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(43.9)</w:t>
            </w:r>
          </w:p>
        </w:tc>
        <w:tc>
          <w:tcPr>
            <w:tcW w:w="46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(55.9)</w:t>
            </w:r>
          </w:p>
        </w:tc>
      </w:tr>
      <w:tr>
        <w:trPr>
          <w:trHeight w:val="176"/>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 account</w:t>
            </w:r>
          </w:p>
        </w:tc>
        <w:tc>
          <w:tcPr>
            <w:tcW w:w="36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(11.0)</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w:t>
            </w:r>
          </w:p>
        </w:tc>
        <w:tc>
          <w:tcPr>
            <w:tcW w:w="46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r>
      <w:tr>
        <w:trPr>
          <w:trHeight w:val="176"/>
        </w:trPr>
        <w:tc>
          <w:tcPr>
            <w:tcW w:w="494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ind w:left="920"/>
              <w:spacing w:after="0"/>
              <w:rPr>
                <w:sz w:val="20"/>
                <w:szCs w:val="20"/>
                <w:color w:val="auto"/>
              </w:rPr>
            </w:pPr>
            <w:r>
              <w:rPr>
                <w:rFonts w:ascii="Courier New" w:cs="Courier New" w:eastAsia="Courier New" w:hAnsi="Courier New"/>
                <w:sz w:val="15"/>
                <w:szCs w:val="15"/>
                <w:color w:val="auto"/>
              </w:rPr>
              <w:t>Total shareholders' equity</w:t>
            </w:r>
          </w:p>
        </w:tc>
        <w:tc>
          <w:tcPr>
            <w:tcW w:w="3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465.9</w:t>
            </w:r>
          </w:p>
        </w:tc>
        <w:tc>
          <w:tcPr>
            <w:tcW w:w="4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430.1</w:t>
            </w:r>
          </w:p>
        </w:tc>
        <w:tc>
          <w:tcPr>
            <w:tcW w:w="4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403.9</w:t>
            </w:r>
          </w:p>
        </w:tc>
      </w:tr>
      <w:tr>
        <w:trPr>
          <w:trHeight w:val="176"/>
        </w:trPr>
        <w:tc>
          <w:tcPr>
            <w:tcW w:w="494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ind w:left="920"/>
              <w:spacing w:after="0"/>
              <w:rPr>
                <w:sz w:val="20"/>
                <w:szCs w:val="20"/>
                <w:color w:val="auto"/>
              </w:rPr>
            </w:pPr>
            <w:r>
              <w:rPr>
                <w:rFonts w:ascii="Courier New" w:cs="Courier New" w:eastAsia="Courier New" w:hAnsi="Courier New"/>
                <w:sz w:val="15"/>
                <w:szCs w:val="15"/>
                <w:color w:val="auto"/>
              </w:rPr>
              <w:t>Total liabilities and shareholders'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940" w:type="dxa"/>
            <w:vAlign w:val="bottom"/>
          </w:tcPr>
          <w:p>
            <w:pPr>
              <w:ind w:left="1100"/>
              <w:spacing w:after="0"/>
              <w:rPr>
                <w:sz w:val="20"/>
                <w:szCs w:val="20"/>
                <w:color w:val="auto"/>
              </w:rPr>
            </w:pPr>
            <w:r>
              <w:rPr>
                <w:rFonts w:ascii="Courier New" w:cs="Courier New" w:eastAsia="Courier New" w:hAnsi="Courier New"/>
                <w:sz w:val="15"/>
                <w:szCs w:val="15"/>
                <w:color w:val="auto"/>
              </w:rPr>
              <w:t>equity</w:t>
            </w: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$1,769.5</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$1,019.1</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$1,035.2</w:t>
            </w:r>
          </w:p>
        </w:tc>
      </w:tr>
      <w:tr>
        <w:trPr>
          <w:trHeight w:val="176"/>
        </w:trPr>
        <w:tc>
          <w:tcPr>
            <w:tcW w:w="494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3560" w:right="4999" w:hanging="3572"/>
        <w:spacing w:after="0" w:line="499" w:lineRule="auto"/>
        <w:rPr>
          <w:sz w:val="20"/>
          <w:szCs w:val="20"/>
          <w:color w:val="auto"/>
        </w:rPr>
      </w:pPr>
      <w:r>
        <w:rPr>
          <w:rFonts w:ascii="Courier New" w:cs="Courier New" w:eastAsia="Courier New" w:hAnsi="Courier New"/>
          <w:sz w:val="15"/>
          <w:szCs w:val="15"/>
          <w:color w:val="auto"/>
        </w:rPr>
        <w:t>See notes to condensed, consolidated financial statements 5</w:t>
      </w:r>
    </w:p>
    <w:p>
      <w:pPr>
        <w:sectPr>
          <w:pgSz w:w="11900" w:h="16838" w:orient="portrait"/>
          <w:cols w:equalWidth="0" w:num="1">
            <w:col w:w="10219"/>
          </w:cols>
          <w:pgMar w:left="240" w:top="294" w:right="1440" w:bottom="1440" w:gutter="0" w:footer="0" w:header="0"/>
        </w:sectPr>
      </w:pPr>
    </w:p>
    <w:bookmarkStart w:id="5" w:name="page6"/>
    <w:bookmarkEnd w:id="5"/>
    <w:p>
      <w:pPr>
        <w:ind w:left="266"/>
        <w:spacing w:after="0"/>
        <w:rPr>
          <w:sz w:val="20"/>
          <w:szCs w:val="20"/>
          <w:color w:val="auto"/>
        </w:rPr>
      </w:pPr>
      <w:r>
        <w:rPr>
          <w:rFonts w:ascii="Courier New" w:cs="Courier New" w:eastAsia="Courier New" w:hAnsi="Courier New"/>
          <w:sz w:val="15"/>
          <w:szCs w:val="15"/>
          <w:color w:val="auto"/>
        </w:rPr>
        <w:t>6</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(ALL AMOUNTS ARE IN MILLIONS EXCEPT PER SHARE DATA OR AS OTHERWISE NOTED)</w:t>
      </w:r>
    </w:p>
    <w:p>
      <w:pPr>
        <w:spacing w:after="0" w:line="182" w:lineRule="exact"/>
        <w:rPr>
          <w:sz w:val="20"/>
          <w:szCs w:val="20"/>
          <w:color w:val="auto"/>
        </w:rPr>
      </w:pPr>
    </w:p>
    <w:p>
      <w:pPr>
        <w:ind w:left="646" w:right="5739" w:hanging="646"/>
        <w:spacing w:after="0" w:line="497" w:lineRule="auto"/>
        <w:tabs>
          <w:tab w:leader="none" w:pos="64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ind w:left="6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Europe, the Caribbean, South America, Southeast Asia, the Middle East, Africa, Australia, New Zealand, Mexico, Japan, and several Latin American countries.</w:t>
      </w:r>
    </w:p>
    <w:p>
      <w:pPr>
        <w:spacing w:after="0" w:line="175" w:lineRule="exact"/>
        <w:rPr>
          <w:rFonts w:ascii="Courier New" w:cs="Courier New" w:eastAsia="Courier New" w:hAnsi="Courier New"/>
          <w:sz w:val="15"/>
          <w:szCs w:val="15"/>
          <w:color w:val="auto"/>
        </w:rPr>
      </w:pPr>
    </w:p>
    <w:p>
      <w:pPr>
        <w:ind w:left="6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82" w:lineRule="exact"/>
        <w:rPr>
          <w:rFonts w:ascii="Courier New" w:cs="Courier New" w:eastAsia="Courier New" w:hAnsi="Courier New"/>
          <w:sz w:val="15"/>
          <w:szCs w:val="15"/>
          <w:color w:val="auto"/>
        </w:rPr>
      </w:pPr>
    </w:p>
    <w:p>
      <w:pPr>
        <w:ind w:left="6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financial statements include the accounts of The Scotts Company ("Scotts") and its subsidiaries (collectively, the "Company"). All material intercompany transactions have been eliminated.</w:t>
      </w:r>
    </w:p>
    <w:p>
      <w:pPr>
        <w:spacing w:after="0" w:line="175" w:lineRule="exact"/>
        <w:rPr>
          <w:rFonts w:ascii="Courier New" w:cs="Courier New" w:eastAsia="Courier New" w:hAnsi="Courier New"/>
          <w:sz w:val="15"/>
          <w:szCs w:val="15"/>
          <w:color w:val="auto"/>
        </w:rPr>
      </w:pP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balance sheets and the related condensed, consolidated statements of operations and cash flows as of and for the applicable three and nine month periods ended July 3, 1999 and July 4, 1998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should be read in conjunction with the financial statements and accompanying notes in Scotts' fiscal 1998 Annual Report on Form 10-K.</w:t>
      </w:r>
    </w:p>
    <w:p>
      <w:pPr>
        <w:spacing w:after="0" w:line="175" w:lineRule="exact"/>
        <w:rPr>
          <w:rFonts w:ascii="Courier New" w:cs="Courier New" w:eastAsia="Courier New" w:hAnsi="Courier New"/>
          <w:sz w:val="15"/>
          <w:szCs w:val="15"/>
          <w:color w:val="auto"/>
        </w:rPr>
      </w:pPr>
    </w:p>
    <w:p>
      <w:pPr>
        <w:ind w:left="6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82" w:lineRule="exact"/>
        <w:rPr>
          <w:rFonts w:ascii="Courier New" w:cs="Courier New" w:eastAsia="Courier New" w:hAnsi="Courier New"/>
          <w:sz w:val="15"/>
          <w:szCs w:val="15"/>
          <w:color w:val="auto"/>
        </w:rPr>
      </w:pP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liabilities, post-retirement benefits, promotional and consumer rebate liabilities, commissions from agency agreement, income taxes and contingencies. Although these estimates are based on management's best knowledge of current events and actions that may occur in the future, actual results ultimately may differ from these estimates.</w:t>
      </w:r>
    </w:p>
    <w:p>
      <w:pPr>
        <w:spacing w:after="0" w:line="174" w:lineRule="exact"/>
        <w:rPr>
          <w:rFonts w:ascii="Courier New" w:cs="Courier New" w:eastAsia="Courier New" w:hAnsi="Courier New"/>
          <w:sz w:val="15"/>
          <w:szCs w:val="15"/>
          <w:color w:val="auto"/>
        </w:rPr>
      </w:pPr>
    </w:p>
    <w:p>
      <w:pPr>
        <w:ind w:left="6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w:t>
      </w:r>
    </w:p>
    <w:p>
      <w:pPr>
        <w:spacing w:after="0" w:line="182" w:lineRule="exact"/>
        <w:rPr>
          <w:rFonts w:ascii="Courier New" w:cs="Courier New" w:eastAsia="Courier New" w:hAnsi="Courier New"/>
          <w:sz w:val="15"/>
          <w:szCs w:val="15"/>
          <w:color w:val="auto"/>
        </w:rPr>
      </w:pP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generally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w:t>
      </w:r>
    </w:p>
    <w:p>
      <w:pPr>
        <w:spacing w:after="0" w:line="351" w:lineRule="exact"/>
        <w:rPr>
          <w:rFonts w:ascii="Courier New" w:cs="Courier New" w:eastAsia="Courier New" w:hAnsi="Courier New"/>
          <w:sz w:val="15"/>
          <w:szCs w:val="15"/>
          <w:color w:val="auto"/>
        </w:rPr>
      </w:pPr>
    </w:p>
    <w:p>
      <w:pPr>
        <w:ind w:left="6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82" w:lineRule="exact"/>
        <w:rPr>
          <w:rFonts w:ascii="Courier New" w:cs="Courier New" w:eastAsia="Courier New" w:hAnsi="Courier New"/>
          <w:sz w:val="15"/>
          <w:szCs w:val="15"/>
          <w:color w:val="auto"/>
        </w:rPr>
      </w:pPr>
    </w:p>
    <w:p>
      <w:pPr>
        <w:ind w:left="6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is recognized when products are shipped to customers, except for certain large multi-location customers, for which revenue is recognized when products are shipped to intermediate locations and ownership</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4" w:top="294" w:right="1440" w:bottom="1440" w:gutter="0" w:footer="0" w:header="0"/>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7</w:t>
      </w:r>
    </w:p>
    <w:p>
      <w:pPr>
        <w:spacing w:after="0" w:line="6" w:lineRule="exact"/>
        <w:rPr>
          <w:sz w:val="20"/>
          <w:szCs w:val="20"/>
          <w:color w:val="auto"/>
        </w:rPr>
      </w:pPr>
    </w:p>
    <w:p>
      <w:pPr>
        <w:ind w:left="646" w:right="3439"/>
        <w:spacing w:after="0" w:line="250" w:lineRule="auto"/>
        <w:rPr>
          <w:sz w:val="20"/>
          <w:szCs w:val="20"/>
          <w:color w:val="auto"/>
        </w:rPr>
      </w:pPr>
      <w:r>
        <w:rPr>
          <w:rFonts w:ascii="Courier New" w:cs="Courier New" w:eastAsia="Courier New" w:hAnsi="Courier New"/>
          <w:sz w:val="15"/>
          <w:szCs w:val="15"/>
          <w:color w:val="auto"/>
        </w:rPr>
        <w:t>is acknowledged by the customer. Reserves for estimated returns and allowances are recorded at the time of shipment.</w:t>
      </w:r>
    </w:p>
    <w:p>
      <w:pPr>
        <w:spacing w:after="0" w:line="175"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Long-Lived Assets</w:t>
      </w:r>
    </w:p>
    <w:p>
      <w:pPr>
        <w:spacing w:after="0" w:line="182" w:lineRule="exact"/>
        <w:rPr>
          <w:sz w:val="20"/>
          <w:szCs w:val="20"/>
          <w:color w:val="auto"/>
        </w:rPr>
      </w:pPr>
    </w:p>
    <w:p>
      <w:pPr>
        <w:ind w:left="646" w:right="3179"/>
        <w:spacing w:after="0" w:line="249" w:lineRule="auto"/>
        <w:rPr>
          <w:sz w:val="20"/>
          <w:szCs w:val="20"/>
          <w:color w:val="auto"/>
        </w:rPr>
      </w:pPr>
      <w:r>
        <w:rPr>
          <w:rFonts w:ascii="Courier New" w:cs="Courier New" w:eastAsia="Courier New" w:hAnsi="Courier New"/>
          <w:sz w:val="15"/>
          <w:szCs w:val="15"/>
          <w:color w:val="auto"/>
        </w:rPr>
        <w:t>Goodwill arising from business acquisitions is amortized over its estimated useful life, which is generally 40 years, on a straight-line basis. Intangible assets also consist of patents, trademarks and debt issuance costs. Patents and trademarks are being amortized on a straight-line basis over periods varying from 7 to 40 years. Debt issuance costs are being amortized over the terms of the various agreements.</w:t>
      </w:r>
    </w:p>
    <w:p>
      <w:pPr>
        <w:spacing w:after="0" w:line="175" w:lineRule="exact"/>
        <w:rPr>
          <w:sz w:val="20"/>
          <w:szCs w:val="20"/>
          <w:color w:val="auto"/>
        </w:rPr>
      </w:pPr>
    </w:p>
    <w:p>
      <w:pPr>
        <w:ind w:left="646" w:right="3179"/>
        <w:spacing w:after="0" w:line="249" w:lineRule="auto"/>
        <w:rPr>
          <w:sz w:val="20"/>
          <w:szCs w:val="20"/>
          <w:color w:val="auto"/>
        </w:rPr>
      </w:pPr>
      <w:r>
        <w:rPr>
          <w:rFonts w:ascii="Courier New" w:cs="Courier New" w:eastAsia="Courier New" w:hAnsi="Courier New"/>
          <w:sz w:val="15"/>
          <w:szCs w:val="15"/>
          <w:color w:val="auto"/>
        </w:rPr>
        <w:t>Management periodically assesses the recoverability of property and equipment, goodwill, trademarks and other intangible assets by determining whether the amortization of such assets over the remaining lives can be recovered through projected undiscounted net cash flows produced by such assets.</w:t>
      </w:r>
    </w:p>
    <w:p>
      <w:pPr>
        <w:spacing w:after="0" w:line="176"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Cash and Cash Equivalents</w:t>
      </w:r>
    </w:p>
    <w:p>
      <w:pPr>
        <w:spacing w:after="0" w:line="182" w:lineRule="exact"/>
        <w:rPr>
          <w:sz w:val="20"/>
          <w:szCs w:val="20"/>
          <w:color w:val="auto"/>
        </w:rPr>
      </w:pPr>
    </w:p>
    <w:p>
      <w:pPr>
        <w:ind w:left="646" w:right="3439"/>
        <w:spacing w:after="0" w:line="250" w:lineRule="auto"/>
        <w:rPr>
          <w:sz w:val="20"/>
          <w:szCs w:val="20"/>
          <w:color w:val="auto"/>
        </w:rPr>
      </w:pPr>
      <w:r>
        <w:rPr>
          <w:rFonts w:ascii="Courier New" w:cs="Courier New" w:eastAsia="Courier New" w:hAnsi="Courier New"/>
          <w:sz w:val="15"/>
          <w:szCs w:val="15"/>
          <w:color w:val="auto"/>
        </w:rPr>
        <w:t>The Company considers all highly liquid financial instruments with original maturities of three months or less to be cash equivalents.</w:t>
      </w:r>
    </w:p>
    <w:p>
      <w:pPr>
        <w:spacing w:after="0" w:line="175"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Reclassifications</w:t>
      </w:r>
    </w:p>
    <w:p>
      <w:pPr>
        <w:spacing w:after="0" w:line="182" w:lineRule="exact"/>
        <w:rPr>
          <w:sz w:val="20"/>
          <w:szCs w:val="20"/>
          <w:color w:val="auto"/>
        </w:rPr>
      </w:pPr>
    </w:p>
    <w:p>
      <w:pPr>
        <w:ind w:left="646" w:right="3359"/>
        <w:spacing w:after="0" w:line="250"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1999 classifications.</w:t>
      </w:r>
    </w:p>
    <w:p>
      <w:pPr>
        <w:spacing w:after="0" w:line="175" w:lineRule="exact"/>
        <w:rPr>
          <w:sz w:val="20"/>
          <w:szCs w:val="20"/>
          <w:color w:val="auto"/>
        </w:rPr>
      </w:pPr>
    </w:p>
    <w:p>
      <w:pPr>
        <w:ind w:left="646" w:hanging="646"/>
        <w:spacing w:after="0"/>
        <w:tabs>
          <w:tab w:leader="none" w:pos="64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AGENCY AGREEMENT</w:t>
      </w:r>
    </w:p>
    <w:p>
      <w:pPr>
        <w:spacing w:after="0" w:line="182" w:lineRule="exact"/>
        <w:rPr>
          <w:rFonts w:ascii="Courier New" w:cs="Courier New" w:eastAsia="Courier New" w:hAnsi="Courier New"/>
          <w:sz w:val="15"/>
          <w:szCs w:val="15"/>
          <w:color w:val="auto"/>
        </w:rPr>
      </w:pP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1998, the Company entered into an agreement with Monsanto Company ("Monsanto") for exclusive international marketing and agency rights to Monsanto's consumer Roundup(R) herbicide products. In connection with the agreement, the Company paid a $32.0 million deferred marketing fee that is being amortized over 20 years. The agreement covers most major consumer lawn and garden markets in the world, including the U.S., Canada, Germany, France, other parts of continental Europe, and Australia.</w:t>
      </w:r>
    </w:p>
    <w:p>
      <w:pPr>
        <w:spacing w:after="0" w:line="175" w:lineRule="exact"/>
        <w:rPr>
          <w:rFonts w:ascii="Courier New" w:cs="Courier New" w:eastAsia="Courier New" w:hAnsi="Courier New"/>
          <w:sz w:val="15"/>
          <w:szCs w:val="15"/>
          <w:color w:val="auto"/>
        </w:rPr>
      </w:pP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provides for the Company to earn a commission based on the EBIT (as defined by the agreement) generated annually by the global consumer Roundup(R) business. The Company records its estimated commission based upon the actual EBIT of the Roundup(R) business for the periods presented, net of annual fixed contribution payments to Monsanto.</w:t>
      </w:r>
    </w:p>
    <w:p>
      <w:pPr>
        <w:spacing w:after="0" w:line="175" w:lineRule="exact"/>
        <w:rPr>
          <w:rFonts w:ascii="Courier New" w:cs="Courier New" w:eastAsia="Courier New" w:hAnsi="Courier New"/>
          <w:sz w:val="15"/>
          <w:szCs w:val="15"/>
          <w:color w:val="auto"/>
        </w:rPr>
      </w:pPr>
    </w:p>
    <w:p>
      <w:pPr>
        <w:ind w:left="646" w:hanging="646"/>
        <w:spacing w:after="0"/>
        <w:tabs>
          <w:tab w:leader="none" w:pos="64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82" w:lineRule="exact"/>
        <w:rPr>
          <w:rFonts w:ascii="Courier New" w:cs="Courier New" w:eastAsia="Courier New" w:hAnsi="Courier New"/>
          <w:sz w:val="15"/>
          <w:szCs w:val="15"/>
          <w:color w:val="auto"/>
        </w:rPr>
      </w:pP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1999, the Company acquired the assets of Monsanto's consumer lawn and garden businesses, exclusive of the Roundup(R) business ("Ortho"), for approximately $300 million, subject to adjustment based on working capital as of the closing date and as defined in the purchase agreement. The Company is currently in negotiations with Monsanto to agree on the working capital amounts as of the closing date.</w:t>
      </w:r>
    </w:p>
    <w:p>
      <w:pPr>
        <w:spacing w:after="0" w:line="175" w:lineRule="exact"/>
        <w:rPr>
          <w:rFonts w:ascii="Courier New" w:cs="Courier New" w:eastAsia="Courier New" w:hAnsi="Courier New"/>
          <w:sz w:val="15"/>
          <w:szCs w:val="15"/>
          <w:color w:val="auto"/>
        </w:rPr>
      </w:pPr>
    </w:p>
    <w:p>
      <w:pPr>
        <w:ind w:left="64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October 1998, the Company acquired Rhone-Poulenc Jardin ("RPJ"), continental Europe's largest consumer lawn and garden products company. The final purchase price, established subsequent to post-acquisition working capital adjustments, was approximately $162 million as compared to management's original estimate of approximately $216 million.</w:t>
      </w:r>
    </w:p>
    <w:p>
      <w:pPr>
        <w:spacing w:after="0" w:line="175" w:lineRule="exact"/>
        <w:rPr>
          <w:rFonts w:ascii="Courier New" w:cs="Courier New" w:eastAsia="Courier New" w:hAnsi="Courier New"/>
          <w:sz w:val="15"/>
          <w:szCs w:val="15"/>
          <w:color w:val="auto"/>
        </w:rPr>
      </w:pP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February 1998, the Company acquired all the shares of EarthGro, Inc. ("EarthGro"), a regional growing media company located in Glastonbury, Connecticut, for approximately $47.0 million.</w:t>
      </w:r>
    </w:p>
    <w:p>
      <w:pPr>
        <w:spacing w:after="0" w:line="175" w:lineRule="exact"/>
        <w:rPr>
          <w:rFonts w:ascii="Courier New" w:cs="Courier New" w:eastAsia="Courier New" w:hAnsi="Courier New"/>
          <w:sz w:val="15"/>
          <w:szCs w:val="15"/>
          <w:color w:val="auto"/>
        </w:rPr>
      </w:pP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1997, the Company acquired all the shares of Levington Group Limited ("Levington"), a leading producer of consumer and professional lawn fertilizer and growing media in the U.K., for approximately $94.0 million.</w:t>
      </w:r>
    </w:p>
    <w:p>
      <w:pPr>
        <w:spacing w:after="0" w:line="175" w:lineRule="exact"/>
        <w:rPr>
          <w:rFonts w:ascii="Courier New" w:cs="Courier New" w:eastAsia="Courier New" w:hAnsi="Courier New"/>
          <w:sz w:val="15"/>
          <w:szCs w:val="15"/>
          <w:color w:val="auto"/>
        </w:rPr>
      </w:pPr>
    </w:p>
    <w:p>
      <w:pPr>
        <w:ind w:left="646" w:right="325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1999 and 1998, the Company also invested in or acquired other entities consistent with its long-term strategic plan. These investments include Asef Holding BV, Scotts Lawn Service, Sanford Scientific, Inc. and certain intangible assets acquired in Ireland.</w:t>
      </w:r>
    </w:p>
    <w:p>
      <w:pPr>
        <w:spacing w:after="0" w:line="175" w:lineRule="exact"/>
        <w:rPr>
          <w:rFonts w:ascii="Courier New" w:cs="Courier New" w:eastAsia="Courier New" w:hAnsi="Courier New"/>
          <w:sz w:val="15"/>
          <w:szCs w:val="15"/>
          <w:color w:val="auto"/>
        </w:rPr>
      </w:pPr>
    </w:p>
    <w:p>
      <w:pPr>
        <w:ind w:left="64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above acquisitions was made in exchange for cash or notes from the seller and was accounted for under the purchase method of accounting. Accordingly, the purchase prices have been allocated to the assets acquired and liabilities assumed based on their estimated fair values at the date of acquisition. Final allocations of</w:t>
      </w:r>
    </w:p>
    <w:p>
      <w:pPr>
        <w:sectPr>
          <w:pgSz w:w="11900" w:h="16838" w:orient="portrait"/>
          <w:cols w:equalWidth="0" w:num="1">
            <w:col w:w="10225"/>
          </w:cols>
          <w:pgMar w:left="234" w:top="294" w:right="1440" w:bottom="1440" w:gutter="0" w:footer="0" w:header="0"/>
        </w:sectPr>
      </w:pP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294" w:right="1440" w:bottom="1440" w:gutter="0" w:footer="0" w:header="0"/>
          <w:type w:val="continuous"/>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8</w:t>
      </w:r>
    </w:p>
    <w:p>
      <w:pPr>
        <w:spacing w:after="0" w:line="6" w:lineRule="exact"/>
        <w:rPr>
          <w:sz w:val="20"/>
          <w:szCs w:val="20"/>
          <w:color w:val="auto"/>
        </w:rPr>
      </w:pPr>
    </w:p>
    <w:p>
      <w:pPr>
        <w:ind w:left="646" w:right="2979"/>
        <w:spacing w:after="0" w:line="249" w:lineRule="auto"/>
        <w:rPr>
          <w:sz w:val="20"/>
          <w:szCs w:val="20"/>
          <w:color w:val="auto"/>
        </w:rPr>
      </w:pPr>
      <w:r>
        <w:rPr>
          <w:rFonts w:ascii="Courier New" w:cs="Courier New" w:eastAsia="Courier New" w:hAnsi="Courier New"/>
          <w:sz w:val="15"/>
          <w:szCs w:val="15"/>
          <w:color w:val="auto"/>
        </w:rPr>
        <w:t>the purchase prices to acquired net assets associated with the Ortho and RPJ acquisitions are expected to be completed in the fourth quarter of fiscal 1999; the excess of the purchase price over the net book value of acquired assets is currently recorded on the balance sheet as an intangible asset and is being amortized over a period of 35 years, subject to adjustment based on final purchase price allocations. Intangible assets associated with the purchase of EarthGro and Levington were $23.3 million and $62.8 million, respectively. Intangible assets associated with the other acquisitions mentioned above, exclusive of RPJ and Ortho, are approximately $37.0 million on a combined basis.</w:t>
      </w:r>
    </w:p>
    <w:p>
      <w:pPr>
        <w:spacing w:after="0" w:line="175" w:lineRule="exact"/>
        <w:rPr>
          <w:sz w:val="20"/>
          <w:szCs w:val="20"/>
          <w:color w:val="auto"/>
        </w:rPr>
      </w:pPr>
    </w:p>
    <w:p>
      <w:pPr>
        <w:jc w:val="both"/>
        <w:ind w:left="646" w:right="3079"/>
        <w:spacing w:after="0" w:line="249" w:lineRule="auto"/>
        <w:rPr>
          <w:sz w:val="20"/>
          <w:szCs w:val="20"/>
          <w:color w:val="auto"/>
        </w:rPr>
      </w:pPr>
      <w:r>
        <w:rPr>
          <w:rFonts w:ascii="Courier New" w:cs="Courier New" w:eastAsia="Courier New" w:hAnsi="Courier New"/>
          <w:sz w:val="15"/>
          <w:szCs w:val="15"/>
          <w:color w:val="auto"/>
        </w:rPr>
        <w:t>The following unaudited pro forma results of operations give effect to the Ortho, RPJ, Earthgro, and Levington acquisitions and the Roundup(R) Agency Agreement as if they had occurred on October 1, 1997.</w:t>
      </w:r>
    </w:p>
    <w:p>
      <w:pPr>
        <w:spacing w:after="0" w:line="200" w:lineRule="exact"/>
        <w:rPr>
          <w:sz w:val="20"/>
          <w:szCs w:val="20"/>
          <w:color w:val="auto"/>
        </w:rPr>
      </w:pPr>
    </w:p>
    <w:p>
      <w:pPr>
        <w:spacing w:after="0" w:line="328"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2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JULY 4,</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JULY 3,</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(IN MILLIONS, EXCEPT PER SHARE DATA)</w:t>
            </w:r>
          </w:p>
        </w:tc>
        <w:tc>
          <w:tcPr>
            <w:tcW w:w="640" w:type="dxa"/>
            <w:vAlign w:val="bottom"/>
          </w:tcPr>
          <w:p>
            <w:pPr>
              <w:spacing w:after="0"/>
              <w:rPr>
                <w:sz w:val="15"/>
                <w:szCs w:val="15"/>
                <w:color w:val="auto"/>
              </w:rPr>
            </w:pP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46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1,436.5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1,270.8</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Income before extraordinary loss</w:t>
            </w:r>
          </w:p>
        </w:tc>
        <w:tc>
          <w:tcPr>
            <w:tcW w:w="6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72.2</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68.7</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66.4</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68.0</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Before extraordinary loss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3.55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After extraordinary loss</w:t>
            </w:r>
          </w:p>
        </w:tc>
        <w:tc>
          <w:tcPr>
            <w:tcW w:w="6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3.23</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3.24</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Before extraordinary loss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After extraordinary loss</w:t>
            </w:r>
          </w:p>
        </w:tc>
        <w:tc>
          <w:tcPr>
            <w:tcW w:w="64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2.18</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bl>
    <w:p>
      <w:pPr>
        <w:spacing w:after="0" w:line="357" w:lineRule="exact"/>
        <w:rPr>
          <w:sz w:val="20"/>
          <w:szCs w:val="20"/>
          <w:color w:val="auto"/>
        </w:rPr>
      </w:pPr>
    </w:p>
    <w:p>
      <w:pPr>
        <w:ind w:left="646" w:right="3079"/>
        <w:spacing w:after="0" w:line="249"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Ortho, RPJ, Earthgro, and Levington acquisitions, and the Roundup(R) Agency Agreement, had occurred as of October 1, 1997, and is not intended to be indicative of future results or trends.</w:t>
      </w:r>
    </w:p>
    <w:p>
      <w:pPr>
        <w:spacing w:after="0" w:line="176" w:lineRule="exact"/>
        <w:rPr>
          <w:sz w:val="20"/>
          <w:szCs w:val="20"/>
          <w:color w:val="auto"/>
        </w:rPr>
      </w:pPr>
    </w:p>
    <w:p>
      <w:pPr>
        <w:ind w:left="646" w:hanging="646"/>
        <w:spacing w:after="0"/>
        <w:tabs>
          <w:tab w:leader="none" w:pos="64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82" w:lineRule="exact"/>
        <w:rPr>
          <w:rFonts w:ascii="Courier New" w:cs="Courier New" w:eastAsia="Courier New" w:hAnsi="Courier New"/>
          <w:sz w:val="15"/>
          <w:szCs w:val="15"/>
          <w:color w:val="auto"/>
        </w:rPr>
      </w:pPr>
    </w:p>
    <w:p>
      <w:pPr>
        <w:ind w:left="646" w:right="31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items of $22.0 million, $8.7 million and $12.0 million, respectively, consisted of:</w:t>
      </w:r>
    </w:p>
    <w:p>
      <w:pPr>
        <w:spacing w:after="0" w:line="200" w:lineRule="exact"/>
        <w:rPr>
          <w:sz w:val="20"/>
          <w:szCs w:val="20"/>
          <w:color w:val="auto"/>
        </w:rPr>
      </w:pPr>
    </w:p>
    <w:p>
      <w:pPr>
        <w:spacing w:after="0" w:line="328"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2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JULY 3,</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JULY 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2340" w:type="dxa"/>
            <w:vAlign w:val="bottom"/>
          </w:tcPr>
          <w:p>
            <w:pPr>
              <w:spacing w:after="0"/>
              <w:rPr>
                <w:sz w:val="15"/>
                <w:szCs w:val="15"/>
                <w:color w:val="auto"/>
              </w:rPr>
            </w:pPr>
          </w:p>
        </w:tc>
        <w:tc>
          <w:tcPr>
            <w:tcW w:w="2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$206.6</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$107.0</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$121.0</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74.1</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56.6</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55.8</w:t>
            </w:r>
          </w:p>
        </w:tc>
      </w:tr>
      <w:tr>
        <w:trPr>
          <w:trHeight w:val="176"/>
        </w:trPr>
        <w:tc>
          <w:tcPr>
            <w:tcW w:w="2340" w:type="dxa"/>
            <w:vAlign w:val="bottom"/>
          </w:tcPr>
          <w:p>
            <w:pPr>
              <w:spacing w:after="0"/>
              <w:rPr>
                <w:sz w:val="15"/>
                <w:szCs w:val="15"/>
                <w:color w:val="auto"/>
              </w:rPr>
            </w:pPr>
          </w:p>
        </w:tc>
        <w:tc>
          <w:tcPr>
            <w:tcW w:w="2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FIFO cost</w:t>
            </w:r>
          </w:p>
        </w:tc>
        <w:tc>
          <w:tcPr>
            <w:tcW w:w="2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280.7</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163.6</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176.8</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2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0.4</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0.9</w:t>
            </w:r>
          </w:p>
        </w:tc>
      </w:tr>
      <w:tr>
        <w:trPr>
          <w:trHeight w:val="176"/>
        </w:trPr>
        <w:tc>
          <w:tcPr>
            <w:tcW w:w="2340" w:type="dxa"/>
            <w:vAlign w:val="bottom"/>
          </w:tcPr>
          <w:p>
            <w:pPr>
              <w:spacing w:after="0"/>
              <w:rPr>
                <w:sz w:val="15"/>
                <w:szCs w:val="15"/>
                <w:color w:val="auto"/>
              </w:rPr>
            </w:pPr>
          </w:p>
        </w:tc>
        <w:tc>
          <w:tcPr>
            <w:tcW w:w="2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$281.1</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$165.3</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$177.7</w:t>
            </w:r>
          </w:p>
        </w:tc>
      </w:tr>
      <w:tr>
        <w:trPr>
          <w:trHeight w:val="176"/>
        </w:trPr>
        <w:tc>
          <w:tcPr>
            <w:tcW w:w="2340" w:type="dxa"/>
            <w:vAlign w:val="bottom"/>
          </w:tcPr>
          <w:p>
            <w:pPr>
              <w:spacing w:after="0"/>
              <w:rPr>
                <w:sz w:val="15"/>
                <w:szCs w:val="15"/>
                <w:color w:val="auto"/>
              </w:rPr>
            </w:pPr>
          </w:p>
        </w:tc>
        <w:tc>
          <w:tcPr>
            <w:tcW w:w="2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46" w:hanging="646"/>
        <w:spacing w:after="0"/>
        <w:tabs>
          <w:tab w:leader="none" w:pos="6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NET</w:t>
      </w:r>
    </w:p>
    <w:p>
      <w:pPr>
        <w:spacing w:after="0" w:line="200" w:lineRule="exact"/>
        <w:rPr>
          <w:sz w:val="20"/>
          <w:szCs w:val="20"/>
          <w:color w:val="auto"/>
        </w:rPr>
      </w:pPr>
    </w:p>
    <w:p>
      <w:pPr>
        <w:spacing w:after="0" w:line="335"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1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JULY 3,</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JULY 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1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2280" w:type="dxa"/>
            <w:vAlign w:val="bottom"/>
          </w:tcPr>
          <w:p>
            <w:pPr>
              <w:spacing w:after="0"/>
              <w:rPr>
                <w:sz w:val="15"/>
                <w:szCs w:val="15"/>
                <w:color w:val="auto"/>
              </w:rPr>
            </w:pPr>
          </w:p>
        </w:tc>
        <w:tc>
          <w:tcPr>
            <w:tcW w:w="21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1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$619.5</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$265.9</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$268.1</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Trademarks</w:t>
            </w:r>
          </w:p>
        </w:tc>
        <w:tc>
          <w:tcPr>
            <w:tcW w:w="21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137.1</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144.6</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144.0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1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43.4</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25.1</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23.0</w:t>
            </w:r>
          </w:p>
        </w:tc>
      </w:tr>
      <w:tr>
        <w:trPr>
          <w:trHeight w:val="176"/>
        </w:trPr>
        <w:tc>
          <w:tcPr>
            <w:tcW w:w="2280" w:type="dxa"/>
            <w:vAlign w:val="bottom"/>
          </w:tcPr>
          <w:p>
            <w:pPr>
              <w:spacing w:after="0"/>
              <w:rPr>
                <w:sz w:val="15"/>
                <w:szCs w:val="15"/>
                <w:color w:val="auto"/>
              </w:rPr>
            </w:pPr>
          </w:p>
        </w:tc>
        <w:tc>
          <w:tcPr>
            <w:tcW w:w="21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$800.0</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$435.6</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$435.1</w:t>
            </w:r>
          </w:p>
        </w:tc>
      </w:tr>
      <w:tr>
        <w:trPr>
          <w:trHeight w:val="176"/>
        </w:trPr>
        <w:tc>
          <w:tcPr>
            <w:tcW w:w="2280" w:type="dxa"/>
            <w:vAlign w:val="bottom"/>
          </w:tcPr>
          <w:p>
            <w:pPr>
              <w:spacing w:after="0"/>
              <w:rPr>
                <w:sz w:val="15"/>
                <w:szCs w:val="15"/>
                <w:color w:val="auto"/>
              </w:rPr>
            </w:pPr>
          </w:p>
        </w:tc>
        <w:tc>
          <w:tcPr>
            <w:tcW w:w="21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5"/>
          </w:cols>
          <w:pgMar w:left="234" w:top="294" w:right="1440" w:bottom="1440" w:gutter="0" w:footer="0" w:header="0"/>
        </w:sectPr>
      </w:pPr>
    </w:p>
    <w:p>
      <w:pPr>
        <w:spacing w:after="0" w:line="15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294"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c>
          <w:tcPr>
            <w:tcW w:w="4180" w:type="dxa"/>
            <w:vAlign w:val="bottom"/>
          </w:tcPr>
          <w:p>
            <w:pPr>
              <w:ind w:left="420"/>
              <w:spacing w:after="0"/>
              <w:rPr>
                <w:sz w:val="20"/>
                <w:szCs w:val="20"/>
                <w:color w:val="auto"/>
              </w:rPr>
            </w:pPr>
            <w:r>
              <w:rPr>
                <w:rFonts w:ascii="Courier New" w:cs="Courier New" w:eastAsia="Courier New" w:hAnsi="Courier New"/>
                <w:sz w:val="15"/>
                <w:szCs w:val="15"/>
                <w:color w:val="auto"/>
              </w:rPr>
              <w:t>LONG-TERM DEBT</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05"/>
        </w:trPr>
        <w:tc>
          <w:tcPr>
            <w:tcW w:w="2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3,</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JULY 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r>
      <w:tr>
        <w:trPr>
          <w:trHeight w:val="176"/>
        </w:trPr>
        <w:tc>
          <w:tcPr>
            <w:tcW w:w="220" w:type="dxa"/>
            <w:vAlign w:val="bottom"/>
          </w:tcPr>
          <w:p>
            <w:pPr>
              <w:spacing w:after="0"/>
              <w:rPr>
                <w:sz w:val="15"/>
                <w:szCs w:val="15"/>
                <w:color w:val="auto"/>
              </w:rPr>
            </w:pPr>
          </w:p>
        </w:tc>
        <w:tc>
          <w:tcPr>
            <w:tcW w:w="4180" w:type="dxa"/>
            <w:vAlign w:val="bottom"/>
          </w:tcPr>
          <w:p>
            <w:pPr>
              <w:ind w:left="420"/>
              <w:spacing w:after="0"/>
              <w:rPr>
                <w:sz w:val="20"/>
                <w:szCs w:val="20"/>
                <w:color w:val="auto"/>
              </w:rPr>
            </w:pPr>
            <w:r>
              <w:rPr>
                <w:rFonts w:ascii="Courier New" w:cs="Courier New" w:eastAsia="Courier New" w:hAnsi="Courier New"/>
                <w:sz w:val="15"/>
                <w:szCs w:val="15"/>
                <w:color w:val="auto"/>
              </w:rPr>
              <w:t>(IN MILLIONS)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2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220" w:type="dxa"/>
            <w:vAlign w:val="bottom"/>
          </w:tcPr>
          <w:p>
            <w:pPr>
              <w:spacing w:after="0"/>
              <w:rPr>
                <w:sz w:val="24"/>
                <w:szCs w:val="24"/>
                <w:color w:val="auto"/>
              </w:rPr>
            </w:pPr>
          </w:p>
        </w:tc>
        <w:tc>
          <w:tcPr>
            <w:tcW w:w="4180" w:type="dxa"/>
            <w:vAlign w:val="bottom"/>
          </w:tcPr>
          <w:p>
            <w:pPr>
              <w:ind w:left="420"/>
              <w:spacing w:after="0"/>
              <w:rPr>
                <w:sz w:val="20"/>
                <w:szCs w:val="20"/>
                <w:color w:val="auto"/>
              </w:rPr>
            </w:pPr>
            <w:r>
              <w:rPr>
                <w:rFonts w:ascii="Courier New" w:cs="Courier New" w:eastAsia="Courier New" w:hAnsi="Courier New"/>
                <w:sz w:val="15"/>
                <w:szCs w:val="15"/>
                <w:color w:val="auto"/>
              </w:rPr>
              <w:t>Revolving loans under credit facility</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$ 16.8</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$215.9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$253.5</w:t>
            </w:r>
          </w:p>
        </w:tc>
      </w:tr>
      <w:tr>
        <w:trPr>
          <w:trHeight w:val="176"/>
        </w:trPr>
        <w:tc>
          <w:tcPr>
            <w:tcW w:w="220" w:type="dxa"/>
            <w:vAlign w:val="bottom"/>
          </w:tcPr>
          <w:p>
            <w:pPr>
              <w:spacing w:after="0"/>
              <w:rPr>
                <w:sz w:val="15"/>
                <w:szCs w:val="15"/>
                <w:color w:val="auto"/>
              </w:rPr>
            </w:pPr>
          </w:p>
        </w:tc>
        <w:tc>
          <w:tcPr>
            <w:tcW w:w="4180" w:type="dxa"/>
            <w:vAlign w:val="bottom"/>
          </w:tcPr>
          <w:p>
            <w:pPr>
              <w:ind w:left="420"/>
              <w:spacing w:after="0"/>
              <w:rPr>
                <w:sz w:val="20"/>
                <w:szCs w:val="20"/>
                <w:color w:val="auto"/>
              </w:rPr>
            </w:pPr>
            <w:r>
              <w:rPr>
                <w:rFonts w:ascii="Courier New" w:cs="Courier New" w:eastAsia="Courier New" w:hAnsi="Courier New"/>
                <w:sz w:val="15"/>
                <w:szCs w:val="15"/>
                <w:color w:val="auto"/>
              </w:rPr>
              <w:t>Term loans under credit facility</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500.6</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20" w:type="dxa"/>
            <w:vAlign w:val="bottom"/>
          </w:tcPr>
          <w:p>
            <w:pPr>
              <w:spacing w:after="0"/>
              <w:rPr>
                <w:sz w:val="15"/>
                <w:szCs w:val="15"/>
                <w:color w:val="auto"/>
              </w:rPr>
            </w:pPr>
          </w:p>
        </w:tc>
        <w:tc>
          <w:tcPr>
            <w:tcW w:w="4180" w:type="dxa"/>
            <w:vAlign w:val="bottom"/>
          </w:tcPr>
          <w:p>
            <w:pPr>
              <w:ind w:left="420"/>
              <w:spacing w:after="0"/>
              <w:rPr>
                <w:sz w:val="20"/>
                <w:szCs w:val="20"/>
                <w:color w:val="auto"/>
              </w:rPr>
            </w:pPr>
            <w:r>
              <w:rPr>
                <w:rFonts w:ascii="Courier New" w:cs="Courier New" w:eastAsia="Courier New" w:hAnsi="Courier New"/>
                <w:sz w:val="15"/>
                <w:szCs w:val="15"/>
                <w:color w:val="auto"/>
              </w:rPr>
              <w:t>Senior subordinated notes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320.5</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99.5</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99.5</w:t>
            </w:r>
          </w:p>
        </w:tc>
      </w:tr>
      <w:tr>
        <w:trPr>
          <w:trHeight w:val="176"/>
        </w:trPr>
        <w:tc>
          <w:tcPr>
            <w:tcW w:w="220" w:type="dxa"/>
            <w:vAlign w:val="bottom"/>
          </w:tcPr>
          <w:p>
            <w:pPr>
              <w:spacing w:after="0"/>
              <w:rPr>
                <w:sz w:val="15"/>
                <w:szCs w:val="15"/>
                <w:color w:val="auto"/>
              </w:rPr>
            </w:pPr>
          </w:p>
        </w:tc>
        <w:tc>
          <w:tcPr>
            <w:tcW w:w="4180" w:type="dxa"/>
            <w:vAlign w:val="bottom"/>
          </w:tcPr>
          <w:p>
            <w:pPr>
              <w:ind w:left="420"/>
              <w:spacing w:after="0"/>
              <w:rPr>
                <w:sz w:val="20"/>
                <w:szCs w:val="20"/>
                <w:color w:val="auto"/>
              </w:rPr>
            </w:pPr>
            <w:r>
              <w:rPr>
                <w:rFonts w:ascii="Courier New" w:cs="Courier New" w:eastAsia="Courier New" w:hAnsi="Courier New"/>
                <w:sz w:val="15"/>
                <w:szCs w:val="15"/>
                <w:color w:val="auto"/>
              </w:rPr>
              <w:t>Notes due to sellers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37.9</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w:t>
            </w:r>
          </w:p>
        </w:tc>
      </w:tr>
      <w:tr>
        <w:trPr>
          <w:trHeight w:val="176"/>
        </w:trPr>
        <w:tc>
          <w:tcPr>
            <w:tcW w:w="220" w:type="dxa"/>
            <w:vAlign w:val="bottom"/>
          </w:tcPr>
          <w:p>
            <w:pPr>
              <w:spacing w:after="0"/>
              <w:rPr>
                <w:sz w:val="15"/>
                <w:szCs w:val="15"/>
                <w:color w:val="auto"/>
              </w:rPr>
            </w:pPr>
          </w:p>
        </w:tc>
        <w:tc>
          <w:tcPr>
            <w:tcW w:w="4180" w:type="dxa"/>
            <w:vAlign w:val="bottom"/>
          </w:tcPr>
          <w:p>
            <w:pPr>
              <w:ind w:left="420"/>
              <w:spacing w:after="0"/>
              <w:rPr>
                <w:sz w:val="20"/>
                <w:szCs w:val="20"/>
                <w:color w:val="auto"/>
              </w:rPr>
            </w:pPr>
            <w:r>
              <w:rPr>
                <w:rFonts w:ascii="Courier New" w:cs="Courier New" w:eastAsia="Courier New" w:hAnsi="Courier New"/>
                <w:sz w:val="15"/>
                <w:szCs w:val="15"/>
                <w:color w:val="auto"/>
              </w:rPr>
              <w:t>Foreign term loans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w:t>
            </w:r>
          </w:p>
        </w:tc>
      </w:tr>
      <w:tr>
        <w:trPr>
          <w:trHeight w:val="176"/>
        </w:trPr>
        <w:tc>
          <w:tcPr>
            <w:tcW w:w="220" w:type="dxa"/>
            <w:vAlign w:val="bottom"/>
          </w:tcPr>
          <w:p>
            <w:pPr>
              <w:spacing w:after="0"/>
              <w:rPr>
                <w:sz w:val="15"/>
                <w:szCs w:val="15"/>
                <w:color w:val="auto"/>
              </w:rPr>
            </w:pPr>
          </w:p>
        </w:tc>
        <w:tc>
          <w:tcPr>
            <w:tcW w:w="4180" w:type="dxa"/>
            <w:vAlign w:val="bottom"/>
          </w:tcPr>
          <w:p>
            <w:pPr>
              <w:ind w:left="420"/>
              <w:spacing w:after="0"/>
              <w:rPr>
                <w:sz w:val="20"/>
                <w:szCs w:val="20"/>
                <w:color w:val="auto"/>
              </w:rPr>
            </w:pPr>
            <w:r>
              <w:rPr>
                <w:rFonts w:ascii="Courier New" w:cs="Courier New" w:eastAsia="Courier New" w:hAnsi="Courier New"/>
                <w:sz w:val="15"/>
                <w:szCs w:val="15"/>
                <w:color w:val="auto"/>
              </w:rPr>
              <w:t>Capital lease obligations and other</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r>
      <w:tr>
        <w:trPr>
          <w:trHeight w:val="176"/>
        </w:trPr>
        <w:tc>
          <w:tcPr>
            <w:tcW w:w="2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896.8</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336.4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372.5</w:t>
            </w:r>
          </w:p>
        </w:tc>
      </w:tr>
      <w:tr>
        <w:trPr>
          <w:trHeight w:val="176"/>
        </w:trPr>
        <w:tc>
          <w:tcPr>
            <w:tcW w:w="220" w:type="dxa"/>
            <w:vAlign w:val="bottom"/>
          </w:tcPr>
          <w:p>
            <w:pPr>
              <w:spacing w:after="0"/>
              <w:rPr>
                <w:sz w:val="15"/>
                <w:szCs w:val="15"/>
                <w:color w:val="auto"/>
              </w:rPr>
            </w:pPr>
          </w:p>
        </w:tc>
        <w:tc>
          <w:tcPr>
            <w:tcW w:w="4180" w:type="dxa"/>
            <w:vAlign w:val="bottom"/>
          </w:tcPr>
          <w:p>
            <w:pPr>
              <w:ind w:left="420"/>
              <w:spacing w:after="0"/>
              <w:rPr>
                <w:sz w:val="20"/>
                <w:szCs w:val="20"/>
                <w:color w:val="auto"/>
              </w:rPr>
            </w:pPr>
            <w:r>
              <w:rPr>
                <w:rFonts w:ascii="Courier New" w:cs="Courier New" w:eastAsia="Courier New" w:hAnsi="Courier New"/>
                <w:sz w:val="15"/>
                <w:szCs w:val="15"/>
                <w:color w:val="auto"/>
              </w:rPr>
              <w:t>Less current portions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41.2</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w:t>
            </w:r>
          </w:p>
        </w:tc>
      </w:tr>
      <w:tr>
        <w:trPr>
          <w:trHeight w:val="176"/>
        </w:trPr>
        <w:tc>
          <w:tcPr>
            <w:tcW w:w="2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$855.6</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$332.0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$359.2</w:t>
            </w:r>
          </w:p>
        </w:tc>
      </w:tr>
      <w:tr>
        <w:trPr>
          <w:trHeight w:val="176"/>
        </w:trPr>
        <w:tc>
          <w:tcPr>
            <w:tcW w:w="2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40" w:right="2979"/>
        <w:spacing w:after="0" w:line="249" w:lineRule="auto"/>
        <w:rPr>
          <w:sz w:val="20"/>
          <w:szCs w:val="20"/>
          <w:color w:val="auto"/>
        </w:rPr>
      </w:pPr>
      <w:r>
        <w:rPr>
          <w:rFonts w:ascii="Courier New" w:cs="Courier New" w:eastAsia="Courier New" w:hAnsi="Courier New"/>
          <w:sz w:val="15"/>
          <w:szCs w:val="15"/>
          <w:color w:val="auto"/>
        </w:rPr>
        <w:t>On December 4, 1998, Scotts and certain of its subsidiaries entered into a new credit facility which provides for borrowings in the aggregate principal amount of $1.025 billion and consists of term loan facilities in the aggregate amount of $525 million and a revolving credit facility in the amount of $500 million. Proceeds from borrowings under the new credit facility of approximately $241.0 million were used to repay amounts outstanding under the then existing credit facility. The Company recorded a $0.4 million extraordinary loss, net of tax, in connection with the retirement of the old facility.</w:t>
      </w:r>
    </w:p>
    <w:p>
      <w:pPr>
        <w:spacing w:after="0" w:line="175" w:lineRule="exact"/>
        <w:rPr>
          <w:sz w:val="20"/>
          <w:szCs w:val="20"/>
          <w:color w:val="auto"/>
        </w:rPr>
      </w:pPr>
    </w:p>
    <w:p>
      <w:pPr>
        <w:jc w:val="both"/>
        <w:ind w:left="640" w:right="3359"/>
        <w:spacing w:after="0" w:line="249" w:lineRule="auto"/>
        <w:rPr>
          <w:sz w:val="20"/>
          <w:szCs w:val="20"/>
          <w:color w:val="auto"/>
        </w:rPr>
      </w:pPr>
      <w:r>
        <w:rPr>
          <w:rFonts w:ascii="Courier New" w:cs="Courier New" w:eastAsia="Courier New" w:hAnsi="Courier New"/>
          <w:sz w:val="15"/>
          <w:szCs w:val="15"/>
          <w:color w:val="auto"/>
        </w:rPr>
        <w:t>Aggregate gross borrowings and gross repayments under the Company's revolving credit facilities were approximately $678 million and $662 million, respectively, for the nine months ended July 3, 1999.</w:t>
      </w:r>
    </w:p>
    <w:p>
      <w:pPr>
        <w:spacing w:after="0" w:line="176" w:lineRule="exact"/>
        <w:rPr>
          <w:sz w:val="20"/>
          <w:szCs w:val="20"/>
          <w:color w:val="auto"/>
        </w:rPr>
      </w:pPr>
    </w:p>
    <w:p>
      <w:pPr>
        <w:ind w:left="640" w:right="2899"/>
        <w:spacing w:after="0" w:line="249" w:lineRule="auto"/>
        <w:rPr>
          <w:sz w:val="20"/>
          <w:szCs w:val="20"/>
          <w:color w:val="auto"/>
        </w:rPr>
      </w:pPr>
      <w:r>
        <w:rPr>
          <w:rFonts w:ascii="Courier New" w:cs="Courier New" w:eastAsia="Courier New" w:hAnsi="Courier New"/>
          <w:sz w:val="15"/>
          <w:szCs w:val="15"/>
          <w:color w:val="auto"/>
        </w:rPr>
        <w:t>The term loan facilities consist of three tranches. The Tranche A Term Loan Facility consists of three sub-tranches of French Francs, German Deutschemarks and British Pounds Sterling in an aggregate principal amount of $265 million which are to be repaid quarterly over a 6 1/2 year period. The Tranche B Term Loan Facility is a 7 1/2 year term loan facility in an aggregate principal amount of $140 million, which is to be repaid in nominal quarterly installments for the first 6 1/2 years and in substantial quarterly installments in the final year. The Tranche C Term Loan Facility is a 8 1/2 year term loan facility in an aggregate principal amount of $120 million, which is to be repaid in nominal quarterly installments for the first 7 1/2 years and in substantial quarterly installments in the final year.</w:t>
      </w:r>
    </w:p>
    <w:p>
      <w:pPr>
        <w:spacing w:after="0" w:line="175" w:lineRule="exact"/>
        <w:rPr>
          <w:sz w:val="20"/>
          <w:szCs w:val="20"/>
          <w:color w:val="auto"/>
        </w:rPr>
      </w:pPr>
    </w:p>
    <w:p>
      <w:pPr>
        <w:ind w:left="640" w:right="2899"/>
        <w:spacing w:after="0" w:line="249" w:lineRule="auto"/>
        <w:rPr>
          <w:sz w:val="20"/>
          <w:szCs w:val="20"/>
          <w:color w:val="auto"/>
        </w:rPr>
      </w:pPr>
      <w:r>
        <w:rPr>
          <w:rFonts w:ascii="Courier New" w:cs="Courier New" w:eastAsia="Courier New" w:hAnsi="Courier New"/>
          <w:sz w:val="15"/>
          <w:szCs w:val="15"/>
          <w:color w:val="auto"/>
        </w:rPr>
        <w:t>The revolving credit facility provides for borrowings up to $500 million, which are available on a revolving basis over a term of 6 1/2 years. A portion of the revolving credit facility not to exceed $100 million is available for the issuance of letters of credit. A portion of the facility not to exceed $225 million is available for borrowings in optional currencies, including German Deutschemarks, British Pounds Sterling, French Francs, Belgian Francs, Italian Lira and other specified currencies, provided that the outstanding revolving loans in optional currencies other than British Pounds Sterling does not exceed $120 million. The outstanding principal amount of all revolving credit loans may not exceed $150 million for at least 30 consecutive days during any calendar year.</w:t>
      </w:r>
    </w:p>
    <w:p>
      <w:pPr>
        <w:spacing w:after="0" w:line="175" w:lineRule="exact"/>
        <w:rPr>
          <w:sz w:val="20"/>
          <w:szCs w:val="20"/>
          <w:color w:val="auto"/>
        </w:rPr>
      </w:pPr>
    </w:p>
    <w:p>
      <w:pPr>
        <w:ind w:left="640" w:right="2899"/>
        <w:spacing w:after="0" w:line="249" w:lineRule="auto"/>
        <w:rPr>
          <w:sz w:val="20"/>
          <w:szCs w:val="20"/>
          <w:color w:val="auto"/>
        </w:rPr>
      </w:pPr>
      <w:r>
        <w:rPr>
          <w:rFonts w:ascii="Courier New" w:cs="Courier New" w:eastAsia="Courier New" w:hAnsi="Courier New"/>
          <w:sz w:val="15"/>
          <w:szCs w:val="15"/>
          <w:color w:val="auto"/>
        </w:rPr>
        <w:t>Interest rates and commitment fees pursuant to the new credit facility vary according to the Company's leverage ratios and also within tranches. In addition, the new credit facility requires that the Company enter into hedge agreements to the extent necessary to provide that at least 50% of the aggregate principal amount of the Senior Subordinated Notes and term loan facilities is subject to a fixed interest rate. Financial covenants include minimum net worth, interest coverage and net leverage ratios. Other covenants include limitations on indebtedness, liens, mergers, consolidations, liquidations and dissolutions, sale of assets, leases, dividends, capital expenditures, and investments, among others.</w:t>
      </w:r>
    </w:p>
    <w:p>
      <w:pPr>
        <w:spacing w:after="0" w:line="175" w:lineRule="exact"/>
        <w:rPr>
          <w:sz w:val="20"/>
          <w:szCs w:val="20"/>
          <w:color w:val="auto"/>
        </w:rPr>
      </w:pPr>
    </w:p>
    <w:p>
      <w:pPr>
        <w:ind w:left="640" w:right="3179"/>
        <w:spacing w:after="0" w:line="249" w:lineRule="auto"/>
        <w:rPr>
          <w:sz w:val="20"/>
          <w:szCs w:val="20"/>
          <w:color w:val="auto"/>
        </w:rPr>
      </w:pPr>
      <w:r>
        <w:rPr>
          <w:rFonts w:ascii="Courier New" w:cs="Courier New" w:eastAsia="Courier New" w:hAnsi="Courier New"/>
          <w:sz w:val="15"/>
          <w:szCs w:val="15"/>
          <w:color w:val="auto"/>
        </w:rPr>
        <w:t>Approximately $12.6 million of financing costs associated with the new credit facility have been deferred as of July 3, 1999 and are being amortized over a period of approximately 7 years.</w:t>
      </w:r>
    </w:p>
    <w:p>
      <w:pPr>
        <w:spacing w:after="0" w:line="176" w:lineRule="exact"/>
        <w:rPr>
          <w:sz w:val="20"/>
          <w:szCs w:val="20"/>
          <w:color w:val="auto"/>
        </w:rPr>
      </w:pPr>
    </w:p>
    <w:p>
      <w:pPr>
        <w:ind w:left="640" w:right="3079"/>
        <w:spacing w:after="0" w:line="249" w:lineRule="auto"/>
        <w:rPr>
          <w:sz w:val="20"/>
          <w:szCs w:val="20"/>
          <w:color w:val="auto"/>
        </w:rPr>
      </w:pPr>
      <w:r>
        <w:rPr>
          <w:rFonts w:ascii="Courier New" w:cs="Courier New" w:eastAsia="Courier New" w:hAnsi="Courier New"/>
          <w:sz w:val="15"/>
          <w:szCs w:val="15"/>
          <w:color w:val="auto"/>
        </w:rPr>
        <w:t>In January 1999, Scotts completed an offering of $330 million of 8 5/8% Senior Subordinated Notes ("the Notes") due 2009. The net proceeds from the offering, together with borrowings under Scotts' credit facility, were used to fund the Ortho acquisition and to repurchase approximately 97% of Scotts $100.0</w:t>
      </w:r>
    </w:p>
    <w:p>
      <w:pPr>
        <w:sectPr>
          <w:pgSz w:w="11900" w:h="16838" w:orient="portrait"/>
          <w:cols w:equalWidth="0" w:num="1">
            <w:col w:w="10219"/>
          </w:cols>
          <w:pgMar w:left="240" w:top="294" w:right="1440" w:bottom="101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010" w:gutter="0" w:footer="0" w:header="0"/>
          <w:type w:val="continuous"/>
        </w:sectPr>
      </w:pPr>
    </w:p>
    <w:bookmarkStart w:id="9" w:name="page10"/>
    <w:bookmarkEnd w:id="9"/>
    <w:p>
      <w:pPr>
        <w:ind w:left="266"/>
        <w:spacing w:after="0"/>
        <w:rPr>
          <w:sz w:val="20"/>
          <w:szCs w:val="20"/>
          <w:color w:val="auto"/>
        </w:rPr>
      </w:pPr>
      <w:r>
        <w:rPr>
          <w:rFonts w:ascii="Courier New" w:cs="Courier New" w:eastAsia="Courier New" w:hAnsi="Courier New"/>
          <w:sz w:val="15"/>
          <w:szCs w:val="15"/>
          <w:color w:val="auto"/>
        </w:rPr>
        <w:t>10</w:t>
      </w:r>
    </w:p>
    <w:p>
      <w:pPr>
        <w:spacing w:after="0" w:line="6" w:lineRule="exact"/>
        <w:rPr>
          <w:sz w:val="20"/>
          <w:szCs w:val="20"/>
          <w:color w:val="auto"/>
        </w:rPr>
      </w:pPr>
    </w:p>
    <w:p>
      <w:pPr>
        <w:ind w:left="646" w:right="2899"/>
        <w:spacing w:after="0" w:line="249" w:lineRule="auto"/>
        <w:rPr>
          <w:sz w:val="20"/>
          <w:szCs w:val="20"/>
          <w:color w:val="auto"/>
        </w:rPr>
      </w:pPr>
      <w:r>
        <w:rPr>
          <w:rFonts w:ascii="Courier New" w:cs="Courier New" w:eastAsia="Courier New" w:hAnsi="Courier New"/>
          <w:sz w:val="15"/>
          <w:szCs w:val="15"/>
          <w:color w:val="auto"/>
        </w:rPr>
        <w:t>million outstanding 9 7/8% Senior Subordinated Notes due August 2004. The Company recorded an extraordinary loss before tax on the extinguishment of the 9 7/8% notes of approximately $9.2 million, including a call premium of $7.1 million and the write-off of unamortized issuance costs and discounts of $2.1 million. Approximately $11.2 million of issuance costs associated with the Notes have been deferred as of July 3, 1999 and are being amortized over the term of the Notes.</w:t>
      </w:r>
    </w:p>
    <w:p>
      <w:pPr>
        <w:spacing w:after="0" w:line="175" w:lineRule="exact"/>
        <w:rPr>
          <w:sz w:val="20"/>
          <w:szCs w:val="20"/>
          <w:color w:val="auto"/>
        </w:rPr>
      </w:pPr>
    </w:p>
    <w:p>
      <w:pPr>
        <w:ind w:left="646" w:right="2899"/>
        <w:spacing w:after="0" w:line="249" w:lineRule="auto"/>
        <w:rPr>
          <w:sz w:val="20"/>
          <w:szCs w:val="20"/>
          <w:color w:val="auto"/>
        </w:rPr>
      </w:pPr>
      <w:r>
        <w:rPr>
          <w:rFonts w:ascii="Courier New" w:cs="Courier New" w:eastAsia="Courier New" w:hAnsi="Courier New"/>
          <w:sz w:val="15"/>
          <w:szCs w:val="15"/>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176" w:lineRule="exact"/>
        <w:rPr>
          <w:sz w:val="20"/>
          <w:szCs w:val="20"/>
          <w:color w:val="auto"/>
        </w:rPr>
      </w:pPr>
    </w:p>
    <w:p>
      <w:pPr>
        <w:ind w:left="646" w:right="2899"/>
        <w:spacing w:after="0" w:line="249" w:lineRule="auto"/>
        <w:rPr>
          <w:sz w:val="20"/>
          <w:szCs w:val="20"/>
          <w:color w:val="auto"/>
        </w:rPr>
      </w:pPr>
      <w:r>
        <w:rPr>
          <w:rFonts w:ascii="Courier New" w:cs="Courier New" w:eastAsia="Courier New" w:hAnsi="Courier New"/>
          <w:sz w:val="15"/>
          <w:szCs w:val="15"/>
          <w:color w:val="auto"/>
        </w:rPr>
        <w:t>In conjunction with the acquisitions of RPJ and Sanford Scientific, notes were issued for certain portions of the total purchase price that are to be paid in annual installments over a four-year period. The present value of remaining note payments are $32.7 million and $4.6 million, respectively. The Company is imputing interest on the non-interest bearing notes using an interest rate prevalent for similar instruments at the time of acquisition.</w:t>
      </w:r>
    </w:p>
    <w:p>
      <w:pPr>
        <w:spacing w:after="0" w:line="175" w:lineRule="exact"/>
        <w:rPr>
          <w:sz w:val="20"/>
          <w:szCs w:val="20"/>
          <w:color w:val="auto"/>
        </w:rPr>
      </w:pPr>
    </w:p>
    <w:p>
      <w:pPr>
        <w:ind w:left="646" w:right="3079"/>
        <w:spacing w:after="0" w:line="249" w:lineRule="auto"/>
        <w:rPr>
          <w:sz w:val="20"/>
          <w:szCs w:val="20"/>
          <w:color w:val="auto"/>
        </w:rPr>
      </w:pPr>
      <w:r>
        <w:rPr>
          <w:rFonts w:ascii="Courier New" w:cs="Courier New" w:eastAsia="Courier New" w:hAnsi="Courier New"/>
          <w:sz w:val="15"/>
          <w:szCs w:val="15"/>
          <w:color w:val="auto"/>
        </w:rPr>
        <w:t>The foreign term loans, which were issued on December 12, 1997, have an 8-year term and bear interest at 1% below LIBOR. The loans are denominated in Pounds Sterling and can be redeemed, on demand, by the note holder.</w:t>
      </w:r>
    </w:p>
    <w:p>
      <w:pPr>
        <w:spacing w:after="0" w:line="176" w:lineRule="exact"/>
        <w:rPr>
          <w:sz w:val="20"/>
          <w:szCs w:val="20"/>
          <w:color w:val="auto"/>
        </w:rPr>
      </w:pPr>
    </w:p>
    <w:p>
      <w:pPr>
        <w:ind w:left="646" w:hanging="646"/>
        <w:spacing w:after="0"/>
        <w:tabs>
          <w:tab w:leader="none" w:pos="64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82" w:lineRule="exact"/>
        <w:rPr>
          <w:rFonts w:ascii="Courier New" w:cs="Courier New" w:eastAsia="Courier New" w:hAnsi="Courier New"/>
          <w:sz w:val="15"/>
          <w:szCs w:val="15"/>
          <w:color w:val="auto"/>
        </w:rPr>
      </w:pPr>
    </w:p>
    <w:p>
      <w:pPr>
        <w:ind w:left="64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information necessary to calculate basic and diluted earnings per common share ("EPS").</w:t>
      </w:r>
    </w:p>
    <w:p>
      <w:pPr>
        <w:spacing w:after="0" w:line="200" w:lineRule="exact"/>
        <w:rPr>
          <w:sz w:val="20"/>
          <w:szCs w:val="20"/>
          <w:color w:val="auto"/>
        </w:rPr>
      </w:pPr>
    </w:p>
    <w:p>
      <w:pPr>
        <w:spacing w:after="0" w:line="327"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0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THREE MONTHS</w:t>
            </w:r>
          </w:p>
        </w:tc>
        <w:tc>
          <w:tcPr>
            <w:tcW w:w="18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NINE MONTHS</w:t>
            </w:r>
          </w:p>
        </w:tc>
      </w:tr>
      <w:tr>
        <w:trPr>
          <w:trHeight w:val="176"/>
        </w:trPr>
        <w:tc>
          <w:tcPr>
            <w:tcW w:w="38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7"/>
              </w:rPr>
              <w:t>ENDED</w:t>
            </w:r>
          </w:p>
        </w:tc>
      </w:tr>
      <w:tr>
        <w:trPr>
          <w:trHeight w:val="176"/>
        </w:trPr>
        <w:tc>
          <w:tcPr>
            <w:tcW w:w="38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7"/>
              </w:rPr>
              <w:t>-----</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JULY 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JULY 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JULY 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JULY 4,</w:t>
            </w:r>
          </w:p>
        </w:tc>
      </w:tr>
      <w:tr>
        <w:trPr>
          <w:trHeight w:val="176"/>
        </w:trPr>
        <w:tc>
          <w:tcPr>
            <w:tcW w:w="3840" w:type="dxa"/>
            <w:vAlign w:val="bottom"/>
          </w:tcPr>
          <w:p>
            <w:pPr>
              <w:spacing w:after="0"/>
              <w:rPr>
                <w:sz w:val="15"/>
                <w:szCs w:val="15"/>
                <w:color w:val="auto"/>
              </w:rPr>
            </w:pPr>
          </w:p>
        </w:tc>
        <w:tc>
          <w:tcPr>
            <w:tcW w:w="120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1999</w:t>
            </w: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840" w:type="dxa"/>
            <w:vAlign w:val="bottom"/>
          </w:tcPr>
          <w:p>
            <w:pPr>
              <w:spacing w:after="0"/>
              <w:rPr>
                <w:sz w:val="15"/>
                <w:szCs w:val="15"/>
                <w:color w:val="auto"/>
              </w:rPr>
            </w:pPr>
          </w:p>
        </w:tc>
        <w:tc>
          <w:tcPr>
            <w:tcW w:w="120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$41.6</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$86.3</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$52.3</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Extraordinary loss on early</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extinguishment of debt, net of taxes</w:t>
            </w:r>
          </w:p>
        </w:tc>
        <w:tc>
          <w:tcPr>
            <w:tcW w:w="12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41.6</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80.5</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51.6</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Income applicable to common shareholders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$39.2</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$22.0</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$73.2</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$44.3</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outstanding during the period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18.3</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Assuming conversion of Class A</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Convertible Preferred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10.3</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Assuming exercise of warrants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0.6</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Assuming exercise of options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0.9</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Weighted-average number of common</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 and potential</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common shares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30.9</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30.6</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30.3</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Before extraordinary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$2.14</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$4.32</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w:t>
            </w: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 net of taxes</w:t>
            </w:r>
          </w:p>
        </w:tc>
        <w:tc>
          <w:tcPr>
            <w:tcW w:w="12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0.32</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0.04</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$2.14</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$4.00</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Before extraordinary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$1.35</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$0.80</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$2.83</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w:t>
            </w: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 net of taxes</w:t>
            </w:r>
          </w:p>
        </w:tc>
        <w:tc>
          <w:tcPr>
            <w:tcW w:w="12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0.19</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0.02</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$1.35</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$0.80</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$2.64</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5"/>
          </w:cols>
          <w:pgMar w:left="234" w:top="294" w:right="1440" w:bottom="1440" w:gutter="0" w:footer="0" w:header="0"/>
        </w:sectPr>
      </w:pPr>
    </w:p>
    <w:p>
      <w:pPr>
        <w:spacing w:after="0" w:line="15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4" w:top="294" w:right="1440" w:bottom="1440" w:gutter="0" w:footer="0" w:header="0"/>
          <w:type w:val="continuous"/>
        </w:sectPr>
      </w:pPr>
    </w:p>
    <w:bookmarkStart w:id="10" w:name="page11"/>
    <w:bookmarkEnd w:id="10"/>
    <w:p>
      <w:pPr>
        <w:ind w:left="266"/>
        <w:spacing w:after="0"/>
        <w:rPr>
          <w:sz w:val="20"/>
          <w:szCs w:val="20"/>
          <w:color w:val="auto"/>
        </w:rPr>
      </w:pPr>
      <w:r>
        <w:rPr>
          <w:rFonts w:ascii="Courier New" w:cs="Courier New" w:eastAsia="Courier New" w:hAnsi="Courier New"/>
          <w:sz w:val="15"/>
          <w:szCs w:val="15"/>
          <w:color w:val="auto"/>
        </w:rPr>
        <w:t>11</w:t>
      </w:r>
    </w:p>
    <w:p>
      <w:pPr>
        <w:spacing w:after="0" w:line="6" w:lineRule="exact"/>
        <w:rPr>
          <w:sz w:val="20"/>
          <w:szCs w:val="20"/>
          <w:color w:val="auto"/>
        </w:rPr>
      </w:pPr>
    </w:p>
    <w:p>
      <w:pPr>
        <w:ind w:left="646" w:hanging="646"/>
        <w:spacing w:after="0"/>
        <w:tabs>
          <w:tab w:leader="none" w:pos="64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COMPREHENSIVE INCOME</w:t>
      </w:r>
    </w:p>
    <w:p>
      <w:pPr>
        <w:spacing w:after="0" w:line="182" w:lineRule="exact"/>
        <w:rPr>
          <w:rFonts w:ascii="Courier New" w:cs="Courier New" w:eastAsia="Courier New" w:hAnsi="Courier New"/>
          <w:sz w:val="15"/>
          <w:szCs w:val="15"/>
          <w:color w:val="auto"/>
        </w:rPr>
      </w:pPr>
    </w:p>
    <w:p>
      <w:pPr>
        <w:ind w:left="646" w:right="29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October 1, 1998, the Company adopted Statement of Financial Accounting Standards No. 130 (SFAS 130), "Reporting Comprehensive Income". SFAS 130 requires that changes in the amounts of certain items, including foreign currency translation adjustments, be presented in the Company's financial statements. The components of other comprehensive income and total comprehensive income for the nine months ended July 3,</w:t>
      </w:r>
    </w:p>
    <w:p>
      <w:pPr>
        <w:spacing w:after="0" w:line="3" w:lineRule="exact"/>
        <w:rPr>
          <w:rFonts w:ascii="Courier New" w:cs="Courier New" w:eastAsia="Courier New" w:hAnsi="Courier New"/>
          <w:sz w:val="15"/>
          <w:szCs w:val="15"/>
          <w:color w:val="auto"/>
        </w:rPr>
      </w:pPr>
    </w:p>
    <w:p>
      <w:pPr>
        <w:ind w:left="6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1999 and July 4,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9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THREE MONTHS</w:t>
            </w:r>
          </w:p>
        </w:tc>
        <w:tc>
          <w:tcPr>
            <w:tcW w:w="17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NINE MONTHS</w:t>
            </w:r>
          </w:p>
        </w:tc>
      </w:tr>
      <w:tr>
        <w:trPr>
          <w:trHeight w:val="176"/>
        </w:trPr>
        <w:tc>
          <w:tcPr>
            <w:tcW w:w="3560" w:type="dxa"/>
            <w:vAlign w:val="bottom"/>
          </w:tcPr>
          <w:p>
            <w:pPr>
              <w:spacing w:after="0"/>
              <w:rPr>
                <w:sz w:val="15"/>
                <w:szCs w:val="15"/>
                <w:color w:val="auto"/>
              </w:rPr>
            </w:pPr>
          </w:p>
        </w:tc>
        <w:tc>
          <w:tcPr>
            <w:tcW w:w="1200" w:type="dxa"/>
            <w:vAlign w:val="bottom"/>
          </w:tcPr>
          <w:p>
            <w:pPr>
              <w:ind w:left="740"/>
              <w:spacing w:after="0"/>
              <w:rPr>
                <w:sz w:val="20"/>
                <w:szCs w:val="20"/>
                <w:color w:val="auto"/>
              </w:rPr>
            </w:pPr>
            <w:r>
              <w:rPr>
                <w:rFonts w:ascii="Courier New" w:cs="Courier New" w:eastAsia="Courier New" w:hAnsi="Courier New"/>
                <w:sz w:val="15"/>
                <w:szCs w:val="15"/>
                <w:color w:val="auto"/>
                <w:w w:val="97"/>
              </w:rPr>
              <w:t>ENDED</w:t>
            </w:r>
          </w:p>
        </w:tc>
        <w:tc>
          <w:tcPr>
            <w:tcW w:w="780" w:type="dxa"/>
            <w:vAlign w:val="bottom"/>
          </w:tcPr>
          <w:p>
            <w:pPr>
              <w:spacing w:after="0"/>
              <w:rPr>
                <w:sz w:val="15"/>
                <w:szCs w:val="15"/>
                <w:color w:val="auto"/>
              </w:rPr>
            </w:pPr>
          </w:p>
        </w:tc>
        <w:tc>
          <w:tcPr>
            <w:tcW w:w="1140" w:type="dxa"/>
            <w:vAlign w:val="bottom"/>
          </w:tcPr>
          <w:p>
            <w:pPr>
              <w:ind w:left="680"/>
              <w:spacing w:after="0"/>
              <w:rPr>
                <w:sz w:val="20"/>
                <w:szCs w:val="20"/>
                <w:color w:val="auto"/>
              </w:rPr>
            </w:pPr>
            <w:r>
              <w:rPr>
                <w:rFonts w:ascii="Courier New" w:cs="Courier New" w:eastAsia="Courier New" w:hAnsi="Courier New"/>
                <w:sz w:val="15"/>
                <w:szCs w:val="15"/>
                <w:color w:val="auto"/>
                <w:w w:val="97"/>
              </w:rPr>
              <w:t>ENDED</w:t>
            </w:r>
          </w:p>
        </w:tc>
        <w:tc>
          <w:tcPr>
            <w:tcW w:w="64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1200" w:type="dxa"/>
            <w:vAlign w:val="bottom"/>
          </w:tcPr>
          <w:p>
            <w:pPr>
              <w:ind w:left="740"/>
              <w:spacing w:after="0"/>
              <w:rPr>
                <w:sz w:val="20"/>
                <w:szCs w:val="20"/>
                <w:color w:val="auto"/>
              </w:rPr>
            </w:pPr>
            <w:r>
              <w:rPr>
                <w:rFonts w:ascii="Courier New" w:cs="Courier New" w:eastAsia="Courier New" w:hAnsi="Courier New"/>
                <w:sz w:val="15"/>
                <w:szCs w:val="15"/>
                <w:color w:val="auto"/>
                <w:w w:val="97"/>
              </w:rPr>
              <w:t>-----</w:t>
            </w:r>
          </w:p>
        </w:tc>
        <w:tc>
          <w:tcPr>
            <w:tcW w:w="780" w:type="dxa"/>
            <w:vAlign w:val="bottom"/>
          </w:tcPr>
          <w:p>
            <w:pPr>
              <w:spacing w:after="0"/>
              <w:rPr>
                <w:sz w:val="15"/>
                <w:szCs w:val="15"/>
                <w:color w:val="auto"/>
              </w:rPr>
            </w:pPr>
          </w:p>
        </w:tc>
        <w:tc>
          <w:tcPr>
            <w:tcW w:w="1140" w:type="dxa"/>
            <w:vAlign w:val="bottom"/>
          </w:tcPr>
          <w:p>
            <w:pPr>
              <w:ind w:left="680"/>
              <w:spacing w:after="0"/>
              <w:rPr>
                <w:sz w:val="20"/>
                <w:szCs w:val="20"/>
                <w:color w:val="auto"/>
              </w:rPr>
            </w:pPr>
            <w:r>
              <w:rPr>
                <w:rFonts w:ascii="Courier New" w:cs="Courier New" w:eastAsia="Courier New" w:hAnsi="Courier New"/>
                <w:sz w:val="15"/>
                <w:szCs w:val="15"/>
                <w:color w:val="auto"/>
                <w:w w:val="97"/>
              </w:rPr>
              <w:t>-----</w:t>
            </w:r>
          </w:p>
        </w:tc>
        <w:tc>
          <w:tcPr>
            <w:tcW w:w="64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1200" w:type="dxa"/>
            <w:vAlign w:val="bottom"/>
          </w:tcPr>
          <w:p>
            <w:pPr>
              <w:ind w:left="200"/>
              <w:spacing w:after="0"/>
              <w:rPr>
                <w:sz w:val="20"/>
                <w:szCs w:val="20"/>
                <w:color w:val="auto"/>
              </w:rPr>
            </w:pPr>
            <w:r>
              <w:rPr>
                <w:rFonts w:ascii="Courier New" w:cs="Courier New" w:eastAsia="Courier New" w:hAnsi="Courier New"/>
                <w:sz w:val="15"/>
                <w:szCs w:val="15"/>
                <w:color w:val="auto"/>
              </w:rPr>
              <w:t>JULY 3,</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JULY 4,</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JULY 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JULY 4,</w:t>
            </w:r>
          </w:p>
        </w:tc>
      </w:tr>
      <w:tr>
        <w:trPr>
          <w:trHeight w:val="176"/>
        </w:trPr>
        <w:tc>
          <w:tcPr>
            <w:tcW w:w="3560" w:type="dxa"/>
            <w:vAlign w:val="bottom"/>
          </w:tcPr>
          <w:p>
            <w:pPr>
              <w:spacing w:after="0"/>
              <w:rPr>
                <w:sz w:val="15"/>
                <w:szCs w:val="15"/>
                <w:color w:val="auto"/>
              </w:rPr>
            </w:pP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560" w:type="dxa"/>
            <w:vAlign w:val="bottom"/>
          </w:tcPr>
          <w:p>
            <w:pPr>
              <w:spacing w:after="0"/>
              <w:rPr>
                <w:sz w:val="15"/>
                <w:szCs w:val="15"/>
                <w:color w:val="auto"/>
              </w:rPr>
            </w:pP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$41.6</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$24.4</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$80.5</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$51.6</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comprehensive income (expense):</w:t>
            </w: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Translation adjustments</w:t>
            </w:r>
          </w:p>
        </w:tc>
        <w:tc>
          <w:tcPr>
            <w:tcW w:w="1200" w:type="dxa"/>
            <w:vAlign w:val="bottom"/>
          </w:tcPr>
          <w:p>
            <w:pPr>
              <w:ind w:left="380"/>
              <w:spacing w:after="0"/>
              <w:rPr>
                <w:sz w:val="20"/>
                <w:szCs w:val="20"/>
                <w:color w:val="auto"/>
              </w:rPr>
            </w:pPr>
            <w:r>
              <w:rPr>
                <w:rFonts w:ascii="Courier New" w:cs="Courier New" w:eastAsia="Courier New" w:hAnsi="Courier New"/>
                <w:sz w:val="15"/>
                <w:szCs w:val="15"/>
                <w:color w:val="auto"/>
              </w:rPr>
              <w:t>(2.8)</w:t>
            </w: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6"/>
        </w:trPr>
        <w:tc>
          <w:tcPr>
            <w:tcW w:w="3560" w:type="dxa"/>
            <w:vAlign w:val="bottom"/>
          </w:tcPr>
          <w:p>
            <w:pPr>
              <w:spacing w:after="0"/>
              <w:rPr>
                <w:sz w:val="15"/>
                <w:szCs w:val="15"/>
                <w:color w:val="auto"/>
              </w:rPr>
            </w:pP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$38.8</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$24.5</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$72.5</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$49.7</w:t>
            </w:r>
          </w:p>
        </w:tc>
      </w:tr>
      <w:tr>
        <w:trPr>
          <w:trHeight w:val="176"/>
        </w:trPr>
        <w:tc>
          <w:tcPr>
            <w:tcW w:w="3560" w:type="dxa"/>
            <w:vAlign w:val="bottom"/>
          </w:tcPr>
          <w:p>
            <w:pPr>
              <w:spacing w:after="0"/>
              <w:rPr>
                <w:sz w:val="15"/>
                <w:szCs w:val="15"/>
                <w:color w:val="auto"/>
              </w:rPr>
            </w:pP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46" w:hanging="646"/>
        <w:spacing w:after="0"/>
        <w:tabs>
          <w:tab w:leader="none" w:pos="64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2" w:lineRule="exact"/>
        <w:rPr>
          <w:rFonts w:ascii="Courier New" w:cs="Courier New" w:eastAsia="Courier New" w:hAnsi="Courier New"/>
          <w:sz w:val="15"/>
          <w:szCs w:val="15"/>
          <w:color w:val="auto"/>
        </w:rPr>
      </w:pP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maintains self-insured retention.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summarizes the more significant of the Company's identified contingencies.</w:t>
      </w:r>
    </w:p>
    <w:p>
      <w:pPr>
        <w:spacing w:after="0" w:line="351" w:lineRule="exact"/>
        <w:rPr>
          <w:rFonts w:ascii="Courier New" w:cs="Courier New" w:eastAsia="Courier New" w:hAnsi="Courier New"/>
          <w:sz w:val="15"/>
          <w:szCs w:val="15"/>
          <w:color w:val="auto"/>
        </w:rPr>
      </w:pPr>
    </w:p>
    <w:p>
      <w:pPr>
        <w:ind w:left="6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Ohio Environmental Protection Agency</w:t>
      </w:r>
    </w:p>
    <w:p>
      <w:pPr>
        <w:spacing w:after="0" w:line="182" w:lineRule="exact"/>
        <w:rPr>
          <w:rFonts w:ascii="Courier New" w:cs="Courier New" w:eastAsia="Courier New" w:hAnsi="Courier New"/>
          <w:sz w:val="15"/>
          <w:szCs w:val="15"/>
          <w:color w:val="auto"/>
        </w:rPr>
      </w:pPr>
    </w:p>
    <w:p>
      <w:pPr>
        <w:ind w:left="6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assessed and addressed certain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Voluntary Action Program ("VAP"), the possible remediation of several discontinued on-site waste disposal areas dating back to the early operations of its Marysville facility.</w:t>
      </w:r>
    </w:p>
    <w:p>
      <w:pPr>
        <w:spacing w:after="0" w:line="175" w:lineRule="exact"/>
        <w:rPr>
          <w:rFonts w:ascii="Courier New" w:cs="Courier New" w:eastAsia="Courier New" w:hAnsi="Courier New"/>
          <w:sz w:val="15"/>
          <w:szCs w:val="15"/>
          <w:color w:val="auto"/>
        </w:rPr>
      </w:pPr>
    </w:p>
    <w:p>
      <w:pPr>
        <w:ind w:left="6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1997, the Company learned that the Ohio Environmental Protection Agency ("OEPA") was referring certain matters relating to environmental conditions at the Company's Marysville site, including the existing wastewater treatment plants and the discontinued on-site waste disposal areas, to the Ohio Attorney General's Office ("OAG"). Representatives from the OEPA, the OAG and the Company continue to meet to discuss these issues.</w:t>
      </w:r>
    </w:p>
    <w:p>
      <w:pPr>
        <w:spacing w:after="0" w:line="175" w:lineRule="exact"/>
        <w:rPr>
          <w:rFonts w:ascii="Courier New" w:cs="Courier New" w:eastAsia="Courier New" w:hAnsi="Courier New"/>
          <w:sz w:val="15"/>
          <w:szCs w:val="15"/>
          <w:color w:val="auto"/>
        </w:rPr>
      </w:pPr>
    </w:p>
    <w:p>
      <w:pPr>
        <w:ind w:left="64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the Company received formal notice of an enforcement action and draft Findings and Orders ("F&amp;O") from the OEPA. The draft F&amp;O elaborated on the subject of the referral to the OAG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OAG which covered many of the same issues contained in the draft F&amp;O including RCRA corrective action. As a result of ongoing discussions, the Company received a revised draft of a judicial consent order from the OAG in late April 1999, which is the focus of current negotiations.</w:t>
      </w:r>
    </w:p>
    <w:p>
      <w:pPr>
        <w:spacing w:after="0" w:line="183" w:lineRule="exact"/>
        <w:rPr>
          <w:rFonts w:ascii="Courier New" w:cs="Courier New" w:eastAsia="Courier New" w:hAnsi="Courier New"/>
          <w:sz w:val="15"/>
          <w:szCs w:val="15"/>
          <w:color w:val="auto"/>
        </w:rPr>
      </w:pP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Company's past efforts to enter into Ohio's VAP, the Company submitted to the OEPA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Pursuant to the statutes covering VAP, an eligible participant in the program is not subject to State enforcement</w:t>
      </w:r>
    </w:p>
    <w:p>
      <w:pPr>
        <w:sectPr>
          <w:pgSz w:w="11900" w:h="16838" w:orient="portrait"/>
          <w:cols w:equalWidth="0" w:num="1">
            <w:col w:w="10225"/>
          </w:cols>
          <w:pgMar w:left="234" w:top="294" w:right="1440" w:bottom="1010" w:gutter="0" w:footer="0" w:header="0"/>
        </w:sectPr>
      </w:pP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4" w:top="294" w:right="1440" w:bottom="101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12</w:t>
      </w:r>
    </w:p>
    <w:p>
      <w:pPr>
        <w:spacing w:after="0" w:line="6" w:lineRule="exact"/>
        <w:rPr>
          <w:sz w:val="20"/>
          <w:szCs w:val="20"/>
          <w:color w:val="auto"/>
        </w:rPr>
      </w:pPr>
    </w:p>
    <w:p>
      <w:pPr>
        <w:ind w:left="380" w:right="2899"/>
        <w:spacing w:after="0" w:line="249" w:lineRule="auto"/>
        <w:rPr>
          <w:sz w:val="20"/>
          <w:szCs w:val="20"/>
          <w:color w:val="auto"/>
        </w:rPr>
      </w:pPr>
      <w:r>
        <w:rPr>
          <w:rFonts w:ascii="Courier New" w:cs="Courier New" w:eastAsia="Courier New" w:hAnsi="Courier New"/>
          <w:sz w:val="15"/>
          <w:szCs w:val="15"/>
          <w:color w:val="auto"/>
        </w:rPr>
        <w:t>actions for those environmental matters being addressed. On October 21, 1997, the Company received a letter from the Director of the OEPA denying VAP eligibility based upon the timeliness of and completeness of the submittal. The Company has appealed the Director's action to the Environmental Review Appeals Commission. No hearing date has been set and the appeal remains pending.</w:t>
      </w:r>
    </w:p>
    <w:p>
      <w:pPr>
        <w:spacing w:after="0" w:line="176" w:lineRule="exact"/>
        <w:rPr>
          <w:sz w:val="20"/>
          <w:szCs w:val="20"/>
          <w:color w:val="auto"/>
        </w:rPr>
      </w:pPr>
    </w:p>
    <w:p>
      <w:pPr>
        <w:ind w:left="380" w:right="2899"/>
        <w:spacing w:after="0" w:line="249" w:lineRule="auto"/>
        <w:rPr>
          <w:sz w:val="20"/>
          <w:szCs w:val="20"/>
          <w:color w:val="auto"/>
        </w:rPr>
      </w:pPr>
      <w:r>
        <w:rPr>
          <w:rFonts w:ascii="Courier New" w:cs="Courier New" w:eastAsia="Courier New" w:hAnsi="Courier New"/>
          <w:sz w:val="15"/>
          <w:szCs w:val="15"/>
          <w:color w:val="auto"/>
        </w:rPr>
        <w:t>The Company is continuing to meet with the OAG and the OEPA in an effort to negotiate an amicable resolution of these issues but is unable at this stage to predict the outcome of the negotiations. While negotiations have narrowed the unresolved issues between the Company and the OAG/OEPA, several critical issues remain the subject of ongoing discussions. The Company believes that it has viable defenses to the State's enforcement action, including that it had been proceeding under VAP to address certain environmental issues, and will assert those defenses in any such action.</w:t>
      </w:r>
    </w:p>
    <w:p>
      <w:pPr>
        <w:spacing w:after="0" w:line="352" w:lineRule="exact"/>
        <w:rPr>
          <w:sz w:val="20"/>
          <w:szCs w:val="20"/>
          <w:color w:val="auto"/>
        </w:rPr>
      </w:pPr>
    </w:p>
    <w:p>
      <w:pPr>
        <w:ind w:left="380" w:right="2899"/>
        <w:spacing w:after="0" w:line="249" w:lineRule="auto"/>
        <w:rPr>
          <w:sz w:val="20"/>
          <w:szCs w:val="20"/>
          <w:color w:val="auto"/>
        </w:rPr>
      </w:pPr>
      <w:r>
        <w:rPr>
          <w:rFonts w:ascii="Courier New" w:cs="Courier New" w:eastAsia="Courier New" w:hAnsi="Courier New"/>
          <w:sz w:val="15"/>
          <w:szCs w:val="15"/>
          <w:color w:val="auto"/>
        </w:rPr>
        <w:t>The Company has reserved for its estimate of the probable outcome of these proceedings. While the Company is unable to predict the ultimate outcome of this issue, management believes that the outcome will not differ materially from the amount reserved for. Many of the issues raised by the State are already being investigated and addressed by the Company during the normal course of conducting business.</w:t>
      </w:r>
    </w:p>
    <w:p>
      <w:pPr>
        <w:spacing w:after="0" w:line="17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AgrEvo Environmental Health, Inc.</w:t>
      </w:r>
    </w:p>
    <w:p>
      <w:pPr>
        <w:spacing w:after="0" w:line="182" w:lineRule="exact"/>
        <w:rPr>
          <w:sz w:val="20"/>
          <w:szCs w:val="20"/>
          <w:color w:val="auto"/>
        </w:rPr>
      </w:pPr>
    </w:p>
    <w:p>
      <w:pPr>
        <w:ind w:left="380" w:right="2979"/>
        <w:spacing w:after="0" w:line="248" w:lineRule="auto"/>
        <w:rPr>
          <w:sz w:val="20"/>
          <w:szCs w:val="20"/>
          <w:color w:val="auto"/>
        </w:rPr>
      </w:pPr>
      <w:r>
        <w:rPr>
          <w:rFonts w:ascii="Courier New" w:cs="Courier New" w:eastAsia="Courier New" w:hAnsi="Courier New"/>
          <w:sz w:val="15"/>
          <w:szCs w:val="15"/>
          <w:color w:val="auto"/>
        </w:rPr>
        <w:t>On June 3, 1999, a Complaint was filed in the United States District Court for the Southern District of New York, styled AgrEvo Environmental</w:t>
      </w:r>
    </w:p>
    <w:p>
      <w:pPr>
        <w:spacing w:after="0" w:line="1"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Health, Inc. v. Scotts Company, Scotts Miracle-Gro Products, Inc. and</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Monsanto Company, in which AgrEvo Environmental Health, Inc. ("AgrEvo")</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0" w:right="2899"/>
        <w:spacing w:after="0" w:line="248" w:lineRule="auto"/>
        <w:rPr>
          <w:sz w:val="20"/>
          <w:szCs w:val="20"/>
          <w:color w:val="auto"/>
        </w:rPr>
      </w:pPr>
      <w:r>
        <w:rPr>
          <w:rFonts w:ascii="Courier New" w:cs="Courier New" w:eastAsia="Courier New" w:hAnsi="Courier New"/>
          <w:sz w:val="15"/>
          <w:szCs w:val="15"/>
          <w:color w:val="auto"/>
        </w:rPr>
        <w:t>seeks damages and injunctive relief for alleged antitrust violations and breach of contract against Scotts and Scotts Miracle-Gro Products, Inc. ("Miracle-Gro"), and antitrust violations and tortious interference against Monsanto Company ("Monsanto"). Scotts purchased a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competing residential non-selective herbicide Scotts previously purchased from AgrEvo, in order to achieve or maintain a monopoly position in that market. AgrEvo also contends that Scotts' execution of various agreements with Monsanto, including the Roundup(R) Agency Agreement, as well as Scotts' subsequent actions, violated various agreements between AgrEvo and Scotts.</w:t>
      </w:r>
    </w:p>
    <w:p>
      <w:pPr>
        <w:spacing w:after="0" w:line="185" w:lineRule="exact"/>
        <w:rPr>
          <w:sz w:val="20"/>
          <w:szCs w:val="20"/>
          <w:color w:val="auto"/>
        </w:rPr>
      </w:pPr>
    </w:p>
    <w:p>
      <w:pPr>
        <w:ind w:left="380" w:right="2899"/>
        <w:spacing w:after="0" w:line="249"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is seeking to have the court invalidate the Roundup(R) agency agreement as violative of the federal antitrust laws. The Company intends to vigorously defend against this action. Pursuant to the indemnification provisions of the Roundup(R) agency agreement, Monsanto and Scotts each have requested that the other indemnify it against any losses arising from this lawsuit. The Company is currently evaluating the potential impact of these proceedings on its future results of operations and financial condition.</w:t>
      </w:r>
    </w:p>
    <w:p>
      <w:pPr>
        <w:spacing w:after="0" w:line="17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Lafayette</w:t>
      </w:r>
    </w:p>
    <w:p>
      <w:pPr>
        <w:spacing w:after="0" w:line="182" w:lineRule="exact"/>
        <w:rPr>
          <w:sz w:val="20"/>
          <w:szCs w:val="20"/>
          <w:color w:val="auto"/>
        </w:rPr>
      </w:pPr>
    </w:p>
    <w:p>
      <w:pPr>
        <w:ind w:left="380" w:right="2899"/>
        <w:spacing w:after="0" w:line="248" w:lineRule="auto"/>
        <w:rPr>
          <w:sz w:val="20"/>
          <w:szCs w:val="20"/>
          <w:color w:val="auto"/>
        </w:rPr>
      </w:pPr>
      <w:r>
        <w:rPr>
          <w:rFonts w:ascii="Courier New" w:cs="Courier New" w:eastAsia="Courier New" w:hAnsi="Courier New"/>
          <w:sz w:val="15"/>
          <w:szCs w:val="15"/>
          <w:color w:val="auto"/>
        </w:rPr>
        <w:t>In July 1990, the Philadelphia District of the U.S. Army Corps of Engineers ("Corps") directed that peat harvesting operations be discontinued at the Company's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The Company believes agreement on the remediation plan has essentially been reached. Before this suit can be fully resolved, however, the Company and the government must reach agreement on the government's civil penalty demand.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materially adversely affected by continued closure of this peat harvesting operation.</w:t>
      </w:r>
    </w:p>
    <w:p>
      <w:pPr>
        <w:spacing w:after="0" w:line="193"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Hershberger</w:t>
      </w:r>
    </w:p>
    <w:p>
      <w:pPr>
        <w:sectPr>
          <w:pgSz w:w="11900" w:h="16838" w:orient="portrait"/>
          <w:cols w:equalWidth="0" w:num="1">
            <w:col w:w="9959"/>
          </w:cols>
          <w:pgMar w:left="500" w:top="294" w:right="1440" w:bottom="0" w:gutter="0" w:footer="0" w:header="0"/>
        </w:sectPr>
      </w:pPr>
    </w:p>
    <w:bookmarkStart w:id="12" w:name="page13"/>
    <w:bookmarkEnd w:id="12"/>
    <w:p>
      <w:pPr>
        <w:ind w:right="2979"/>
        <w:spacing w:after="0" w:line="249" w:lineRule="auto"/>
        <w:rPr>
          <w:sz w:val="20"/>
          <w:szCs w:val="20"/>
          <w:color w:val="auto"/>
        </w:rPr>
      </w:pPr>
      <w:r>
        <w:rPr>
          <w:rFonts w:ascii="Courier New" w:cs="Courier New" w:eastAsia="Courier New" w:hAnsi="Courier New"/>
          <w:sz w:val="15"/>
          <w:szCs w:val="15"/>
          <w:color w:val="auto"/>
        </w:rPr>
        <w:t>In September 1991, the Company was identified by the OEPA as a Potentially Responsible Party ("PRP") with respect to a site in Union County, Ohio (the "Hershberger site"), because the Company allegedly arranged for the transportation, treatment or disposal of waste that allegedly contained hazardous substances, at the Hershberger site. Effective February 1998, the Company and four other named PRPs executed an Administrative Order on Consent ("AOC") with the OEPA, by which the named PRPs funded remedial action at the Hershberger site. After construction of the leachate collection system and reconstruction of the landfill cap, which was substantially completed in August 1998, the Company expects its future obligation will consist primarily of its</w:t>
      </w:r>
    </w:p>
    <w:p>
      <w:pPr>
        <w:spacing w:after="0" w:line="1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579"/>
          </w:cols>
          <w:pgMar w:left="880" w:top="142" w:right="1440" w:bottom="1440" w:gutter="0" w:footer="0" w:header="0"/>
        </w:sectPr>
      </w:pPr>
    </w:p>
    <w:bookmarkStart w:id="13" w:name="page14"/>
    <w:bookmarkEnd w:id="13"/>
    <w:p>
      <w:pPr>
        <w:ind w:left="266"/>
        <w:spacing w:after="0"/>
        <w:rPr>
          <w:sz w:val="20"/>
          <w:szCs w:val="20"/>
          <w:color w:val="auto"/>
        </w:rPr>
      </w:pPr>
      <w:r>
        <w:rPr>
          <w:rFonts w:ascii="Courier New" w:cs="Courier New" w:eastAsia="Courier New" w:hAnsi="Courier New"/>
          <w:sz w:val="15"/>
          <w:szCs w:val="15"/>
          <w:color w:val="auto"/>
        </w:rPr>
        <w:t>13</w:t>
      </w:r>
    </w:p>
    <w:p>
      <w:pPr>
        <w:spacing w:after="0" w:line="6" w:lineRule="exact"/>
        <w:rPr>
          <w:sz w:val="20"/>
          <w:szCs w:val="20"/>
          <w:color w:val="auto"/>
        </w:rPr>
      </w:pPr>
    </w:p>
    <w:p>
      <w:pPr>
        <w:jc w:val="both"/>
        <w:ind w:left="646" w:right="3079"/>
        <w:spacing w:after="0" w:line="249" w:lineRule="auto"/>
        <w:rPr>
          <w:sz w:val="20"/>
          <w:szCs w:val="20"/>
          <w:color w:val="auto"/>
        </w:rPr>
      </w:pPr>
      <w:r>
        <w:rPr>
          <w:rFonts w:ascii="Courier New" w:cs="Courier New" w:eastAsia="Courier New" w:hAnsi="Courier New"/>
          <w:sz w:val="15"/>
          <w:szCs w:val="15"/>
          <w:color w:val="auto"/>
        </w:rPr>
        <w:t>share of annual operating and maintenance expenses. Management does not believe that its obligations under the AOC will have a material adverse effect on the Company's results of operations or financial condition.</w:t>
      </w:r>
    </w:p>
    <w:p>
      <w:pPr>
        <w:spacing w:after="0" w:line="176"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Bramford</w:t>
      </w:r>
    </w:p>
    <w:p>
      <w:pPr>
        <w:spacing w:after="0" w:line="182" w:lineRule="exact"/>
        <w:rPr>
          <w:sz w:val="20"/>
          <w:szCs w:val="20"/>
          <w:color w:val="auto"/>
        </w:rPr>
      </w:pPr>
    </w:p>
    <w:p>
      <w:pPr>
        <w:ind w:left="646" w:right="2899"/>
        <w:spacing w:after="0" w:line="248" w:lineRule="auto"/>
        <w:rPr>
          <w:sz w:val="20"/>
          <w:szCs w:val="20"/>
          <w:color w:val="auto"/>
        </w:rPr>
      </w:pPr>
      <w:r>
        <w:rPr>
          <w:rFonts w:ascii="Courier New" w:cs="Courier New" w:eastAsia="Courier New" w:hAnsi="Courier New"/>
          <w:sz w:val="15"/>
          <w:szCs w:val="15"/>
          <w:color w:val="auto"/>
        </w:rPr>
        <w:t>In the U.K. (United Kingdom), major discharges of waste to air, water and land are regulated by The Environment Agency (the "EA"). The Scotts (UK) Ltd. fertilizer facility in Bramford, (Suffolk), U.K., is subject to environmental regulation by the EA.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EA. In connection with the renewal of an authorization, the EA has identified the need for remediation of the lagoon, and the potential for remediation of a former landfill at the site. The Company intends to comply with the reasonable remediation concerns of the EA, including removal of any contaminated materials from the lagoon. The Company previously installed an environmental enhancement to the facility to the satisfaction of the EA, and believes that it has adequately addressed the remediation concerns of the EA. Management does not believe that its remedial obligations at this site will have a material adverse effect on the operations at the facility or on the Company's results of operations or financial condition.</w:t>
      </w:r>
    </w:p>
    <w:p>
      <w:pPr>
        <w:spacing w:after="0" w:line="363" w:lineRule="exact"/>
        <w:rPr>
          <w:sz w:val="20"/>
          <w:szCs w:val="20"/>
          <w:color w:val="auto"/>
        </w:rPr>
      </w:pPr>
    </w:p>
    <w:p>
      <w:pPr>
        <w:ind w:left="646" w:hanging="646"/>
        <w:spacing w:after="0"/>
        <w:tabs>
          <w:tab w:leader="none" w:pos="64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82" w:lineRule="exact"/>
        <w:rPr>
          <w:rFonts w:ascii="Courier New" w:cs="Courier New" w:eastAsia="Courier New" w:hAnsi="Courier New"/>
          <w:sz w:val="15"/>
          <w:szCs w:val="15"/>
          <w:color w:val="auto"/>
        </w:rPr>
      </w:pPr>
    </w:p>
    <w:p>
      <w:pPr>
        <w:ind w:left="64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the FASB issued SFAS No. 131, "Disclosures About Segments of an Enterprise and Related Information". SFAS No. 131 establishes standards for the way that public enterprises report information about operating segments in annual financial statements and requires that those enterprises report selected information about operating segments in interim financial reports issued to shareholders commencing in the year after adoption. SFAS No. 131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 SFAS No. 131 is effective for financial statements for fiscal years beginning after December 15, 1997. The Company plans to adopt SFAS No. 131 in fiscal 1999.</w:t>
      </w:r>
    </w:p>
    <w:p>
      <w:pPr>
        <w:spacing w:after="0" w:line="185" w:lineRule="exact"/>
        <w:rPr>
          <w:rFonts w:ascii="Courier New" w:cs="Courier New" w:eastAsia="Courier New" w:hAnsi="Courier New"/>
          <w:sz w:val="15"/>
          <w:szCs w:val="15"/>
          <w:color w:val="auto"/>
        </w:rPr>
      </w:pP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1998, the FASB issued SFAS No. 132, "Employers' Disclosure about Pensions and Other Postretirement Benefits." SFAS No. 132 revises employers' disclosures about pension and other postretirement benefit plans. It does not change the measurement or recognition of assets, liabilities, or charges associated with those plans. It standardizes the disclosure requirements for pensions and other postretirement benefits to the extent practicable, requires additional information on changes in the benefit obligations and fair values of plan assets that will facilitate financial analysis, and eliminates certain disclosures that are no longer useful. SFAS No. 132 is effective for financial statements for fiscal years beginning after December 15, 1997. The Company plans to adopt SFAS No. 132 in fiscal 1999.</w:t>
      </w:r>
    </w:p>
    <w:p>
      <w:pPr>
        <w:spacing w:after="0" w:line="174" w:lineRule="exact"/>
        <w:rPr>
          <w:rFonts w:ascii="Courier New" w:cs="Courier New" w:eastAsia="Courier New" w:hAnsi="Courier New"/>
          <w:sz w:val="15"/>
          <w:szCs w:val="15"/>
          <w:color w:val="auto"/>
        </w:rPr>
      </w:pPr>
    </w:p>
    <w:p>
      <w:pPr>
        <w:ind w:left="6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1998, the FASB issued SFAS No. 133, "Accounting For Derivative Instruments and Hedging Activities." 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SFAS No. 133 (as amended) is effective for fiscal years beginning after June 15, 2000. The Company plans to adopt SFAS No. 133 in fiscal 2001.</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4" w:top="294" w:right="1440" w:bottom="1440" w:gutter="0" w:footer="0" w:header="0"/>
        </w:sectPr>
      </w:pPr>
    </w:p>
    <w:bookmarkStart w:id="14" w:name="page15"/>
    <w:bookmarkEnd w:id="14"/>
    <w:p>
      <w:pPr>
        <w:ind w:left="266"/>
        <w:spacing w:after="0"/>
        <w:rPr>
          <w:sz w:val="20"/>
          <w:szCs w:val="20"/>
          <w:color w:val="auto"/>
        </w:rPr>
      </w:pPr>
      <w:r>
        <w:rPr>
          <w:rFonts w:ascii="Courier New" w:cs="Courier New" w:eastAsia="Courier New" w:hAnsi="Courier New"/>
          <w:sz w:val="15"/>
          <w:szCs w:val="15"/>
          <w:color w:val="auto"/>
        </w:rPr>
        <w:t>14</w:t>
      </w:r>
    </w:p>
    <w:p>
      <w:pPr>
        <w:spacing w:after="0" w:line="6" w:lineRule="exact"/>
        <w:rPr>
          <w:sz w:val="20"/>
          <w:szCs w:val="20"/>
          <w:color w:val="auto"/>
        </w:rPr>
      </w:pPr>
    </w:p>
    <w:p>
      <w:pPr>
        <w:ind w:left="646" w:right="6739" w:hanging="646"/>
        <w:spacing w:after="0" w:line="497" w:lineRule="auto"/>
        <w:tabs>
          <w:tab w:leader="none" w:pos="64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1999 CHARGES</w:t>
      </w:r>
    </w:p>
    <w:p>
      <w:pPr>
        <w:ind w:left="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totaled $1.4 million in the first nine months of fiscal 1999. These charges consist of severance costs associated with management's first quarter 1999 decision to reorganize the North American Professional Business Group to strengthen distribution and technical sale support, integrate brand management across market segments and reduce annual operating expenses. As of July 3, 1999, the Company had terminated 57 employees and had made approximately $1.0 million of the anticipated severance payments. The Company anticipates that the remaining $0.4 million of severance costs will be paid in the fourth quarter of fiscal 1999 or in fiscal 2000.</w:t>
      </w:r>
    </w:p>
    <w:p>
      <w:pPr>
        <w:spacing w:after="0" w:line="175" w:lineRule="exact"/>
        <w:rPr>
          <w:rFonts w:ascii="Courier New" w:cs="Courier New" w:eastAsia="Courier New" w:hAnsi="Courier New"/>
          <w:sz w:val="15"/>
          <w:szCs w:val="15"/>
          <w:color w:val="auto"/>
        </w:rPr>
      </w:pPr>
    </w:p>
    <w:p>
      <w:pPr>
        <w:ind w:left="6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1998 CHARGES</w:t>
      </w:r>
    </w:p>
    <w:p>
      <w:pPr>
        <w:spacing w:after="0" w:line="182" w:lineRule="exact"/>
        <w:rPr>
          <w:rFonts w:ascii="Courier New" w:cs="Courier New" w:eastAsia="Courier New" w:hAnsi="Courier New"/>
          <w:sz w:val="15"/>
          <w:szCs w:val="15"/>
          <w:color w:val="auto"/>
        </w:rPr>
      </w:pPr>
    </w:p>
    <w:p>
      <w:pPr>
        <w:ind w:left="6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1998, the Company recorded $20.4 million of restructuring and other charges. These charges consist of the following: (1) $6.0 million for consolidation of the Company's two U.K. operations into one lower-cost business; (2) $9.3 million for the closure of nine composting operations in the U.S. that collect yard and compost waste for certain municipalities; and (3) $5.1 million for the sale or closure of certain other U.S. plants and businesses. The Company expects that these restructuring efforts will be completed during fiscal 1999, except as noted otherwise below. A detailed discussion of each component of the restructuring charge follows:</w:t>
      </w:r>
    </w:p>
    <w:p>
      <w:pPr>
        <w:spacing w:after="0" w:line="175" w:lineRule="exact"/>
        <w:rPr>
          <w:rFonts w:ascii="Courier New" w:cs="Courier New" w:eastAsia="Courier New" w:hAnsi="Courier New"/>
          <w:sz w:val="15"/>
          <w:szCs w:val="15"/>
          <w:color w:val="auto"/>
        </w:rPr>
      </w:pPr>
    </w:p>
    <w:p>
      <w:pPr>
        <w:ind w:left="6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 of UK Operations:</w:t>
      </w:r>
    </w:p>
    <w:p>
      <w:pPr>
        <w:spacing w:after="0" w:line="6" w:lineRule="exact"/>
        <w:rPr>
          <w:rFonts w:ascii="Courier New" w:cs="Courier New" w:eastAsia="Courier New" w:hAnsi="Courier New"/>
          <w:sz w:val="15"/>
          <w:szCs w:val="15"/>
          <w:color w:val="auto"/>
        </w:rPr>
      </w:pPr>
    </w:p>
    <w:p>
      <w:pPr>
        <w:ind w:left="6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management's decision in the second quarter of fiscal 1998 to consolidate the Company's two U.K. operations (Miracle Garden Care and Levington), the Company recorded the following charges:</w:t>
      </w:r>
    </w:p>
    <w:p>
      <w:pPr>
        <w:spacing w:after="0" w:line="175" w:lineRule="exact"/>
        <w:rPr>
          <w:rFonts w:ascii="Courier New" w:cs="Courier New" w:eastAsia="Courier New" w:hAnsi="Courier New"/>
          <w:sz w:val="15"/>
          <w:szCs w:val="15"/>
          <w:color w:val="auto"/>
        </w:rPr>
      </w:pPr>
    </w:p>
    <w:p>
      <w:pPr>
        <w:ind w:left="1286" w:right="2979" w:hanging="645"/>
        <w:spacing w:after="0" w:line="248" w:lineRule="auto"/>
        <w:tabs>
          <w:tab w:leader="none" w:pos="128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$0.9 million to write-off the remaining carrying value of certain property and equipment to be disposed of. The primary assets written-off were: a) production equipment at the Company's existing factory in Howden as a result of transferring production lines to the newly acquired Levington factory in Bramford and b) previously utilized hardware and software as a result of management's decision to utilize the acquired information systems of the Levington business. The Company ceased utilization and abandoned the plant assets and computer equipment in the fourth quarter of fiscal 1998. The charges associated with these write-offs were $0.6 million and $0.3 million, respectively. The Company also recorded a cash charge of $0.2 million for the demolition of the property and equipment mentioned above.</w:t>
      </w:r>
    </w:p>
    <w:p>
      <w:pPr>
        <w:spacing w:after="0" w:line="183" w:lineRule="exact"/>
        <w:rPr>
          <w:rFonts w:ascii="Courier New" w:cs="Courier New" w:eastAsia="Courier New" w:hAnsi="Courier New"/>
          <w:sz w:val="15"/>
          <w:szCs w:val="15"/>
          <w:color w:val="auto"/>
        </w:rPr>
      </w:pPr>
    </w:p>
    <w:p>
      <w:pPr>
        <w:ind w:left="1286" w:right="2899" w:hanging="645"/>
        <w:spacing w:after="0" w:line="249" w:lineRule="auto"/>
        <w:tabs>
          <w:tab w:leader="none" w:pos="128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million for post-consolidation packaging initiatives. The primary components of the charge include: a) the write-off of packaging materials rendered obsolete as a result of new packaging design and b) cash charges incurred in fiscal 1998 to repackage and relaunch products under a single branding strategy. The charges associated with these actions were $0.8 million and $1.3 million respectively.</w:t>
      </w:r>
    </w:p>
    <w:p>
      <w:pPr>
        <w:spacing w:after="0" w:line="175" w:lineRule="exact"/>
        <w:rPr>
          <w:rFonts w:ascii="Courier New" w:cs="Courier New" w:eastAsia="Courier New" w:hAnsi="Courier New"/>
          <w:sz w:val="15"/>
          <w:szCs w:val="15"/>
          <w:color w:val="auto"/>
        </w:rPr>
      </w:pPr>
    </w:p>
    <w:p>
      <w:pPr>
        <w:ind w:left="1286" w:right="2899" w:hanging="645"/>
        <w:spacing w:after="0" w:line="249" w:lineRule="auto"/>
        <w:tabs>
          <w:tab w:leader="none" w:pos="128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million of cash severance costs associated with the termination of 25 employees of the Company's existing UK operation. Management's decision was approved and notification of the pending terminations was communicated to the specifically identified employees in the third quarter of fiscal 1998, including communication of applicable benefit arrangements. As of September 30, 1998, six employees had been terminated. An additional sixteen employees were terminated in the first three quarters of fiscal 1999, with the remaining terminations scheduled for the remainder of fiscal 1999.</w:t>
      </w:r>
    </w:p>
    <w:p>
      <w:pPr>
        <w:spacing w:after="0" w:line="175" w:lineRule="exact"/>
        <w:rPr>
          <w:rFonts w:ascii="Courier New" w:cs="Courier New" w:eastAsia="Courier New" w:hAnsi="Courier New"/>
          <w:sz w:val="15"/>
          <w:szCs w:val="15"/>
          <w:color w:val="auto"/>
        </w:rPr>
      </w:pPr>
    </w:p>
    <w:p>
      <w:pPr>
        <w:ind w:left="1286" w:right="3439" w:hanging="645"/>
        <w:spacing w:after="0" w:line="249" w:lineRule="auto"/>
        <w:tabs>
          <w:tab w:leader="none" w:pos="128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 million write-off of inventory rendered obsolete by the consolidation and $0.8 million cash charges for other integration-related costs.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4" w:top="294"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Closure of Compost Sites: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640" w:right="2979"/>
        <w:spacing w:after="0" w:line="249" w:lineRule="auto"/>
        <w:rPr>
          <w:sz w:val="20"/>
          <w:szCs w:val="20"/>
          <w:color w:val="auto"/>
        </w:rPr>
      </w:pPr>
      <w:r>
        <w:rPr>
          <w:rFonts w:ascii="Courier New" w:cs="Courier New" w:eastAsia="Courier New" w:hAnsi="Courier New"/>
          <w:sz w:val="15"/>
          <w:szCs w:val="15"/>
          <w:color w:val="auto"/>
        </w:rPr>
        <w:t>In connection with management's decision in the fourth quarter of fiscal 1998 to close nine composting sites, the Company recorded the following charges:</w:t>
      </w:r>
    </w:p>
    <w:p>
      <w:pPr>
        <w:spacing w:after="0" w:line="176" w:lineRule="exact"/>
        <w:rPr>
          <w:sz w:val="20"/>
          <w:szCs w:val="20"/>
          <w:color w:val="auto"/>
        </w:rPr>
      </w:pPr>
    </w:p>
    <w:p>
      <w:pPr>
        <w:ind w:left="1280" w:right="2979" w:hanging="645"/>
        <w:spacing w:after="0" w:line="249" w:lineRule="auto"/>
        <w:tabs>
          <w:tab w:leader="none" w:pos="12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million cash charge for costs to be incurred under contractual commitments for which no future revenues will be realized. These costs are associated with the final processing of remaining compost materials, as required, through the end of the operating contract signed with the applicable municipality. These costs include only those estimated from the time that revenue-producing activities cease through the end of the applicable operating contract.</w:t>
      </w:r>
    </w:p>
    <w:p>
      <w:pPr>
        <w:spacing w:after="0" w:line="175" w:lineRule="exact"/>
        <w:rPr>
          <w:rFonts w:ascii="Courier New" w:cs="Courier New" w:eastAsia="Courier New" w:hAnsi="Courier New"/>
          <w:sz w:val="15"/>
          <w:szCs w:val="15"/>
          <w:color w:val="auto"/>
        </w:rPr>
      </w:pPr>
    </w:p>
    <w:p>
      <w:pPr>
        <w:ind w:left="128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Six of the composting sites have operating contracts that end in fiscal 1999; the operating contracts for the three remaining sites expire in fiscal 2000. The Company anticipates that final processing costs of $2.9 million will be incurred in fiscal 1999 and $1.6 million will be incurred in fiscal 2000.</w:t>
      </w:r>
    </w:p>
    <w:p>
      <w:pPr>
        <w:spacing w:after="0" w:line="175" w:lineRule="exact"/>
        <w:rPr>
          <w:rFonts w:ascii="Courier New" w:cs="Courier New" w:eastAsia="Courier New" w:hAnsi="Courier New"/>
          <w:sz w:val="15"/>
          <w:szCs w:val="15"/>
          <w:color w:val="auto"/>
        </w:rPr>
      </w:pPr>
    </w:p>
    <w:p>
      <w:pPr>
        <w:jc w:val="both"/>
        <w:ind w:left="1280" w:right="3619" w:hanging="645"/>
        <w:spacing w:after="0" w:line="248" w:lineRule="auto"/>
        <w:tabs>
          <w:tab w:leader="none" w:pos="12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 million write-down of machinery and equipment for the estimated remaining book value which will not be recovered subsequent to the end of revenue producing activities.</w:t>
      </w:r>
    </w:p>
    <w:p>
      <w:pPr>
        <w:spacing w:after="0" w:line="1" w:lineRule="exact"/>
        <w:rPr>
          <w:rFonts w:ascii="Courier New" w:cs="Courier New" w:eastAsia="Courier New" w:hAnsi="Courier New"/>
          <w:sz w:val="15"/>
          <w:szCs w:val="15"/>
          <w:color w:val="auto"/>
        </w:rPr>
      </w:pPr>
    </w:p>
    <w:p>
      <w:pPr>
        <w:ind w:left="1280" w:right="35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will continue to be recognized during revenue-producing periods.</w:t>
      </w:r>
    </w:p>
    <w:p>
      <w:pPr>
        <w:spacing w:after="0" w:line="174" w:lineRule="exact"/>
        <w:rPr>
          <w:rFonts w:ascii="Courier New" w:cs="Courier New" w:eastAsia="Courier New" w:hAnsi="Courier New"/>
          <w:sz w:val="15"/>
          <w:szCs w:val="15"/>
          <w:color w:val="auto"/>
        </w:rPr>
      </w:pPr>
    </w:p>
    <w:p>
      <w:pPr>
        <w:ind w:left="1280" w:right="3179" w:hanging="645"/>
        <w:spacing w:after="0" w:line="249" w:lineRule="auto"/>
        <w:tabs>
          <w:tab w:leader="none" w:pos="12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million write-off of inventory which must be disposed of during, or subsequent to, revenue-producing periods. Such inventory must be removed from the applicable sites, and is not considered sellable by the Company.</w:t>
      </w:r>
    </w:p>
    <w:p>
      <w:pPr>
        <w:spacing w:after="0" w:line="175" w:lineRule="exact"/>
        <w:rPr>
          <w:rFonts w:ascii="Courier New" w:cs="Courier New" w:eastAsia="Courier New" w:hAnsi="Courier New"/>
          <w:sz w:val="15"/>
          <w:szCs w:val="15"/>
          <w:color w:val="auto"/>
        </w:rPr>
      </w:pPr>
    </w:p>
    <w:p>
      <w:pPr>
        <w:ind w:left="1280" w:right="2979" w:hanging="645"/>
        <w:spacing w:after="0" w:line="249" w:lineRule="auto"/>
        <w:tabs>
          <w:tab w:leader="none" w:pos="12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 million cash charge to provide for remaining lease obligations after revenue producing periods for certain machinery and equipment being leased by the Company at the sites.</w:t>
      </w:r>
    </w:p>
    <w:p>
      <w:pPr>
        <w:spacing w:after="0" w:line="176" w:lineRule="exact"/>
        <w:rPr>
          <w:sz w:val="20"/>
          <w:szCs w:val="20"/>
          <w:color w:val="auto"/>
        </w:rPr>
      </w:pPr>
    </w:p>
    <w:p>
      <w:pPr>
        <w:ind w:left="640" w:right="2899"/>
        <w:spacing w:after="0" w:line="249" w:lineRule="auto"/>
        <w:rPr>
          <w:sz w:val="20"/>
          <w:szCs w:val="20"/>
          <w:color w:val="auto"/>
        </w:rPr>
      </w:pPr>
      <w:r>
        <w:rPr>
          <w:rFonts w:ascii="Courier New" w:cs="Courier New" w:eastAsia="Courier New" w:hAnsi="Courier New"/>
          <w:sz w:val="15"/>
          <w:szCs w:val="15"/>
          <w:color w:val="auto"/>
        </w:rPr>
        <w:t>The composting facilities being closed as part of these restructuring initiatives recorded losses included in the Company's consolidated results of operations of approximately $3.0, $2.0 and $2.0 for the fiscal years ended September 30, 1998, 1997 and 1996, respectively.</w:t>
      </w:r>
    </w:p>
    <w:p>
      <w:pPr>
        <w:spacing w:after="0" w:line="17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Sale and Closure of Certain U.S. Plants and Businesses:</w:t>
      </w:r>
    </w:p>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280" w:right="2899" w:hanging="645"/>
        <w:spacing w:after="0" w:line="249" w:lineRule="auto"/>
        <w:tabs>
          <w:tab w:leader="none" w:pos="1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million for the write-down, to net realizable value, of assets associated with the Agrevo pesticides business. The Company elected to divest these assets in order to avoid potential trade conflicts associated with the Company's purchase of Ortho and signing of the Roundup(R) Marketing Agreement. The sale of the Agrevo business was consummated in February 1999. Agrevo contributed a $0.5 million loss to the Company's fiscal 1999 results from operations prior to the sale of the business.</w:t>
      </w:r>
    </w:p>
    <w:p>
      <w:pPr>
        <w:spacing w:after="0" w:line="175" w:lineRule="exact"/>
        <w:rPr>
          <w:rFonts w:ascii="Courier New" w:cs="Courier New" w:eastAsia="Courier New" w:hAnsi="Courier New"/>
          <w:sz w:val="15"/>
          <w:szCs w:val="15"/>
          <w:color w:val="auto"/>
        </w:rPr>
      </w:pPr>
    </w:p>
    <w:p>
      <w:pPr>
        <w:ind w:left="1280" w:right="2899" w:hanging="645"/>
        <w:spacing w:after="0" w:line="249" w:lineRule="auto"/>
        <w:tabs>
          <w:tab w:leader="none" w:pos="1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 million associated with the closure of a single Growing Media production facility location in New York, the capacity of which was deemed redundant by management subsequent to the Earthgro acquisition made in February 1998. The closure of this facility was completed in September 1998.</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sectPr>
      </w:pPr>
    </w:p>
    <w:bookmarkStart w:id="16" w:name="page17"/>
    <w:bookmarkEnd w:id="16"/>
    <w:p>
      <w:pPr>
        <w:ind w:left="266"/>
        <w:spacing w:after="0"/>
        <w:rPr>
          <w:sz w:val="20"/>
          <w:szCs w:val="20"/>
          <w:color w:val="auto"/>
        </w:rPr>
      </w:pPr>
      <w:r>
        <w:rPr>
          <w:rFonts w:ascii="Courier New" w:cs="Courier New" w:eastAsia="Courier New" w:hAnsi="Courier New"/>
          <w:sz w:val="15"/>
          <w:szCs w:val="15"/>
          <w:color w:val="auto"/>
        </w:rPr>
        <w:t>16</w:t>
      </w:r>
    </w:p>
    <w:p>
      <w:pPr>
        <w:spacing w:after="0" w:line="6" w:lineRule="exact"/>
        <w:rPr>
          <w:sz w:val="20"/>
          <w:szCs w:val="20"/>
          <w:color w:val="auto"/>
        </w:rPr>
      </w:pPr>
    </w:p>
    <w:p>
      <w:pPr>
        <w:ind w:left="646" w:right="3760"/>
        <w:spacing w:after="0" w:line="250" w:lineRule="auto"/>
        <w:rPr>
          <w:sz w:val="20"/>
          <w:szCs w:val="20"/>
          <w:color w:val="auto"/>
        </w:rPr>
      </w:pPr>
      <w:r>
        <w:rPr>
          <w:rFonts w:ascii="Courier New" w:cs="Courier New" w:eastAsia="Courier New" w:hAnsi="Courier New"/>
          <w:sz w:val="15"/>
          <w:szCs w:val="15"/>
          <w:color w:val="auto"/>
        </w:rPr>
        <w:t>The following is a summary, as of July 3, 1999, of the fiscal 1998 restructuring charges detailed above.</w:t>
      </w:r>
    </w:p>
    <w:p>
      <w:pPr>
        <w:spacing w:after="0" w:line="200" w:lineRule="exact"/>
        <w:rPr>
          <w:sz w:val="20"/>
          <w:szCs w:val="20"/>
          <w:color w:val="auto"/>
        </w:rPr>
      </w:pPr>
    </w:p>
    <w:p>
      <w:pPr>
        <w:spacing w:after="0" w:line="327" w:lineRule="exact"/>
        <w:rPr>
          <w:sz w:val="20"/>
          <w:szCs w:val="20"/>
          <w:color w:val="auto"/>
        </w:rPr>
      </w:pPr>
    </w:p>
    <w:p>
      <w:pPr>
        <w:ind w:left="186" w:hanging="186"/>
        <w:spacing w:after="0"/>
        <w:tabs>
          <w:tab w:leader="none" w:pos="18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93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Remaining</w:t>
      </w:r>
    </w:p>
    <w:p>
      <w:pPr>
        <w:spacing w:after="0" w:line="6" w:lineRule="exact"/>
        <w:rPr>
          <w:sz w:val="20"/>
          <w:szCs w:val="20"/>
          <w:color w:val="auto"/>
        </w:rPr>
      </w:pPr>
    </w:p>
    <w:p>
      <w:pPr>
        <w:ind w:left="4126"/>
        <w:spacing w:after="0"/>
        <w:tabs>
          <w:tab w:leader="none" w:pos="5206" w:val="left"/>
          <w:tab w:leader="none" w:pos="6946" w:val="left"/>
          <w:tab w:leader="none" w:pos="7946" w:val="left"/>
          <w:tab w:leader="none" w:pos="9426" w:val="left"/>
        </w:tabs>
        <w:rPr>
          <w:sz w:val="20"/>
          <w:szCs w:val="20"/>
          <w:color w:val="auto"/>
        </w:rPr>
      </w:pPr>
      <w:r>
        <w:rPr>
          <w:rFonts w:ascii="Courier New" w:cs="Courier New" w:eastAsia="Courier New" w:hAnsi="Courier New"/>
          <w:sz w:val="15"/>
          <w:szCs w:val="15"/>
          <w:color w:val="auto"/>
        </w:rPr>
        <w:t>Type</w:t>
      </w:r>
      <w:r>
        <w:rPr>
          <w:sz w:val="20"/>
          <w:szCs w:val="20"/>
          <w:color w:val="auto"/>
        </w:rPr>
        <w:tab/>
      </w:r>
      <w:r>
        <w:rPr>
          <w:rFonts w:ascii="Courier New" w:cs="Courier New" w:eastAsia="Courier New" w:hAnsi="Courier New"/>
          <w:sz w:val="15"/>
          <w:szCs w:val="15"/>
          <w:color w:val="auto"/>
        </w:rPr>
        <w:t>Classification</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Payments</w:t>
      </w:r>
      <w:r>
        <w:rPr>
          <w:sz w:val="20"/>
          <w:szCs w:val="20"/>
          <w:color w:val="auto"/>
        </w:rPr>
        <w:tab/>
      </w:r>
      <w:r>
        <w:rPr>
          <w:rFonts w:ascii="Courier New" w:cs="Courier New" w:eastAsia="Courier New" w:hAnsi="Courier New"/>
          <w:sz w:val="15"/>
          <w:szCs w:val="15"/>
          <w:color w:val="auto"/>
        </w:rPr>
        <w:t>Reserve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Consolidation of U.K. Operations:</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Property and equipment demolition</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Restructuring</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Repackaging and relaunch</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SG&amp;A</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Severance charges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Restructuring</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integration costs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SG&amp;A</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$0.8</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6"/>
        </w:trPr>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640"/>
              <w:spacing w:after="0"/>
              <w:rPr>
                <w:sz w:val="20"/>
                <w:szCs w:val="20"/>
                <w:color w:val="auto"/>
              </w:rPr>
            </w:pPr>
            <w:r>
              <w:rPr>
                <w:rFonts w:ascii="Courier New" w:cs="Courier New" w:eastAsia="Courier New" w:hAnsi="Courier New"/>
                <w:sz w:val="15"/>
                <w:szCs w:val="15"/>
                <w:color w:val="auto"/>
              </w:rPr>
              <w:t>Total cash charges</w:t>
            </w: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6"/>
        </w:trPr>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Property and equipment write-offs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Non-cash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Restructuring</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$0.9</w:t>
            </w: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Obsolete packaging write-offs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Non-cash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Cost of Sales</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$0.8</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inventory write-offs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Non-cash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Cost of Sales</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$0.6</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ind w:left="640"/>
              <w:spacing w:after="0"/>
              <w:rPr>
                <w:sz w:val="20"/>
                <w:szCs w:val="20"/>
                <w:color w:val="auto"/>
              </w:rPr>
            </w:pPr>
            <w:r>
              <w:rPr>
                <w:rFonts w:ascii="Courier New" w:cs="Courier New" w:eastAsia="Courier New" w:hAnsi="Courier New"/>
                <w:sz w:val="15"/>
                <w:szCs w:val="15"/>
                <w:color w:val="auto"/>
              </w:rPr>
              <w:t>Total non-cash charges</w:t>
            </w: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Closure of Compost Sites:</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Costs under contractual commitments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Restructuring</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Lease obligations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Restructuring</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$0.5</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6"/>
        </w:trPr>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640"/>
              <w:spacing w:after="0"/>
              <w:rPr>
                <w:sz w:val="20"/>
                <w:szCs w:val="20"/>
                <w:color w:val="auto"/>
              </w:rPr>
            </w:pPr>
            <w:r>
              <w:rPr>
                <w:rFonts w:ascii="Courier New" w:cs="Courier New" w:eastAsia="Courier New" w:hAnsi="Courier New"/>
                <w:sz w:val="15"/>
                <w:szCs w:val="15"/>
                <w:color w:val="auto"/>
              </w:rPr>
              <w:t>Total cash charges</w:t>
            </w: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6"/>
        </w:trPr>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Property and equipment write-offs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Non-cash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Restructuring</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w:t>
            </w: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Inventory write-offs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Non-cash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Cost of Sales</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ind w:left="640"/>
              <w:spacing w:after="0"/>
              <w:rPr>
                <w:sz w:val="20"/>
                <w:szCs w:val="20"/>
                <w:color w:val="auto"/>
              </w:rPr>
            </w:pPr>
            <w:r>
              <w:rPr>
                <w:rFonts w:ascii="Courier New" w:cs="Courier New" w:eastAsia="Courier New" w:hAnsi="Courier New"/>
                <w:sz w:val="15"/>
                <w:szCs w:val="15"/>
                <w:color w:val="auto"/>
              </w:rPr>
              <w:t>Total non-cash charges</w:t>
            </w: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Businesses/ Plants</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Sale of Agrevo business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Non-cash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Restructuring</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Property and equipment write-offs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Non-cash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Restructuring</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Inventory write-offs</w:t>
            </w: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Non-cash</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Cost of Sales</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$0.4</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ind w:left="640"/>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357" w:lineRule="exact"/>
        <w:rPr>
          <w:sz w:val="20"/>
          <w:szCs w:val="20"/>
          <w:color w:val="auto"/>
        </w:rPr>
      </w:pPr>
    </w:p>
    <w:p>
      <w:pPr>
        <w:ind w:left="646" w:right="3580"/>
        <w:spacing w:after="0" w:line="250" w:lineRule="auto"/>
        <w:rPr>
          <w:sz w:val="20"/>
          <w:szCs w:val="20"/>
          <w:color w:val="auto"/>
        </w:rPr>
      </w:pPr>
      <w:r>
        <w:rPr>
          <w:rFonts w:ascii="Courier New" w:cs="Courier New" w:eastAsia="Courier New" w:hAnsi="Courier New"/>
          <w:sz w:val="15"/>
          <w:szCs w:val="15"/>
          <w:color w:val="auto"/>
        </w:rPr>
        <w:t>There have been no adjustments made to the restructuring reserves in fiscal 1999.</w:t>
      </w:r>
    </w:p>
    <w:p>
      <w:pPr>
        <w:spacing w:after="0" w:line="175" w:lineRule="exact"/>
        <w:rPr>
          <w:sz w:val="20"/>
          <w:szCs w:val="20"/>
          <w:color w:val="auto"/>
        </w:rPr>
      </w:pPr>
    </w:p>
    <w:p>
      <w:pPr>
        <w:ind w:left="646" w:right="3120"/>
        <w:spacing w:after="0" w:line="249" w:lineRule="auto"/>
        <w:rPr>
          <w:sz w:val="20"/>
          <w:szCs w:val="20"/>
          <w:color w:val="auto"/>
        </w:rPr>
      </w:pPr>
      <w:r>
        <w:rPr>
          <w:rFonts w:ascii="Courier New" w:cs="Courier New" w:eastAsia="Courier New" w:hAnsi="Courier New"/>
          <w:sz w:val="15"/>
          <w:szCs w:val="15"/>
          <w:color w:val="auto"/>
        </w:rPr>
        <w:t>The substantial majority of the remaining UK payments or write-offs are expected to be made in the fourth quarter of fiscal 1999. The substantial majority of the remaining compost contractual commitments will be paid in fiscal 2000.</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446"/>
          </w:cols>
          <w:pgMar w:left="234" w:top="294" w:right="121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6" w:lineRule="exact"/>
        <w:rPr>
          <w:sz w:val="20"/>
          <w:szCs w:val="20"/>
          <w:color w:val="auto"/>
        </w:rPr>
      </w:pPr>
    </w:p>
    <w:p>
      <w:pPr>
        <w:jc w:val="center"/>
        <w:ind w:left="320" w:right="280"/>
        <w:spacing w:after="0" w:line="249"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 (ALL AMOUNTS ARE IN MILLIONS EXCEPT PER SHARE DATA OR AS OTHERWISE NOTED)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 is a leading manufacturer and marketer of consumer branded products for lawn and garden care, professional turf care and professional horticulture businesses in the United States and Europe. The Company's operations are divided into three business segments: North American Consumer, Professional and International. The North American Consumer segment includes the Lawns, Gardens, Growing Media and Ortho business groups.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The Company believes that its recent acquisitions diversify both its product line risk and geographic risk to weather conditions.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On September 30, 1998, the Company entered into a long-term Exclusive Agency and Marketing Agreement (the "Roundup(R) Marketing Agreement") with Monsanto for its consumer Roundup(R) herbicide products. Under the Marketing Agreement, the Company and Monsanto will jointly develop global consumer and trade marketing programs for Roundup(R), and the Company has assumed responsibility for sales support, merchandising, distribution, logistics and certain administrative functions.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addition, on January 21, 1999, the Company consummated the acquisition of the assets of Monsanto Company's consumer lawn and garden businesses, exclusive of the Roundup(R) business. These transactions with Monsanto will further the Company's strategic objective of entering the pesticides segment of the consumer lawn and garden category. These businesses make up the newly created Ortho business group within the North American Consumer segment.</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Over the past two years, the Company has made several other acquisitions to strengthen its global market position in the lawn and garden category. In October 1998, the Company acquired Rhone-Poulenc Jardin ("RPJ"). RPJ is a leading European consumer lawn and garden business. The RPJ acquisition provides a significant addition to the Company's existing European platform and strengthens its foothold in the continental European consumer lawn and garden market. Through this acquisition, the Company will establish a strong presence in France, Germany, Austria, and the Benelux countries. The RPJ acquisition may also mitigate, to a certain extent, the Company's susceptibility to weather conditions by expanding the regions in which the Company operates.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February 1998, the Company acquired EarthGro, Inc. ("Earthgro") a Northeastern U.S. growing media producer. In December 1997, the Company acquired Levington Group Limited ("Levington"), a leading producer of consumer and professional lawn fertilizer and growing media in the United Kingdom. In January 1997, the Company acquired the approximate two-thirds interest in Miracle Holdings Limited ("Miracle Holdings") which the Company did not already own. Miracle Holdings owns Miracle Garden Care Limited ("MGC"), a manufacturer and distributor of lawn and garden products in the United Kingdom. These acquisitions are consistent with the Company's stated objective of becoming the world's foremost branded lawn and garden company.</w:t>
      </w:r>
    </w:p>
    <w:p>
      <w:pPr>
        <w:spacing w:after="0" w:line="175"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In addition, on December 15, 1998, the Company acquired Asef Holding B.V., a privately-held Netherlands-based lawn and garden products company.</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Management believes that the acquisitions will provide the Company with several strategic benefits including immediate market penetration, geographic expansion, brand leveraging opportunities, and the achievement of substantial cost savings. The Company is currently a leader in four segments of the consumer lawn and garden category: lawn fertilizer, garden fertilizer, growing media and grass seeds. The acquisition of Ortho and the Marketing Agreement for Roundup(R) will provide the Company with an immediate entry into the fifth segment of the consumer lawn and garden category: the U.S. pesticides segment. The addition of the U.S. pesticides product line completes the Company's product portfolio and positions the Company as the only national company with a complete offering of consumer products for lawn and garden care.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addition of strong pesticide brands completes the Company's product portfolio of powerful branded consumer lawn and garden products that should provide the Company with brand leveraging opportunities for revenue growth. For example, the Company's strengthened market position should create category management opportunities to enhance shelf positioning, consumer communication, trade incentives and trade programs. In addition, significant synergies should be realized from the combined businesses, including reductions in general and administrative, sales, distribution, purchasing, research and development, and corporate overhead costs. Management expects to redirect a portion of these cost savings into increased consumer marketing spending in support of the Ortho brand.</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following discussion and analysis of the consolidated results of operations, cash flows and financial position of the Company should be read in conjunction with the Condensed, Consolidated Financial Statements of the Company included elsewhere in this report. Scotts' Annual Report on Form 10-K for the fiscal year ended September 30, 1998 includes additional information about the Company, its operations, and its financial position, and should be read in conjunction with this Quarterly Report on Form 10-Q.</w:t>
      </w:r>
    </w:p>
    <w:p>
      <w:pPr>
        <w:spacing w:after="0" w:line="175"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The following table sets forth sales by business segment for the three and nine months ended July 3, 1999 and July 4, 1998:</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THREE MONTHS ENDED</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PERIOD</w:t>
            </w:r>
          </w:p>
        </w:tc>
        <w:tc>
          <w:tcPr>
            <w:tcW w:w="2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NINE MONTHS ENDED</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PERIOD</w:t>
            </w:r>
          </w:p>
        </w:tc>
      </w:tr>
      <w:tr>
        <w:trPr>
          <w:trHeight w:val="176"/>
        </w:trPr>
        <w:tc>
          <w:tcPr>
            <w:tcW w:w="24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JULY 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4,</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 PERIOD</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JULY 3,</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JULY 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TO PERIOD</w:t>
            </w:r>
          </w:p>
        </w:tc>
      </w:tr>
      <w:tr>
        <w:trPr>
          <w:trHeight w:val="176"/>
        </w:trPr>
        <w:tc>
          <w:tcPr>
            <w:tcW w:w="242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CHANGE</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CHANGE</w:t>
            </w:r>
          </w:p>
        </w:tc>
      </w:tr>
      <w:tr>
        <w:trPr>
          <w:trHeight w:val="176"/>
        </w:trPr>
        <w:tc>
          <w:tcPr>
            <w:tcW w:w="242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Consumer Lawns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$109.2</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$ 89.5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394.0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$311.6</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w:t>
            </w: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Consumer Gardens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57.2</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137.8</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123.5</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11.6</w:t>
            </w: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Consumer Growing Media</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136.1</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116.1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17.2</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235.7</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202.7</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16.3</w:t>
            </w: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Consumer Ortho</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121.6</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na</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191.2</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na</w:t>
            </w:r>
          </w:p>
        </w:tc>
      </w:tr>
      <w:tr>
        <w:trPr>
          <w:trHeight w:val="176"/>
        </w:trPr>
        <w:tc>
          <w:tcPr>
            <w:tcW w:w="242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5"/>
                <w:szCs w:val="15"/>
                <w:color w:val="auto"/>
              </w:rPr>
            </w:pP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Domestic Consumer</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426.9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262.8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62.4</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958.7</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637.8</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50.3</w:t>
            </w: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Professional</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44.1</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109.2</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121.0</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w:t>
            </w: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123.5</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105.5</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334.3</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163.1</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105.0</w:t>
            </w:r>
          </w:p>
        </w:tc>
      </w:tr>
      <w:tr>
        <w:trPr>
          <w:trHeight w:val="176"/>
        </w:trPr>
        <w:tc>
          <w:tcPr>
            <w:tcW w:w="242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5"/>
                <w:szCs w:val="15"/>
                <w:color w:val="auto"/>
              </w:rPr>
            </w:pP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$586.2</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$367.0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59.7%</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$1,402.2</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$921.9</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52.1%</w:t>
            </w:r>
          </w:p>
        </w:tc>
      </w:tr>
      <w:tr>
        <w:trPr>
          <w:trHeight w:val="176"/>
        </w:trPr>
        <w:tc>
          <w:tcPr>
            <w:tcW w:w="242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5"/>
                <w:szCs w:val="15"/>
                <w:color w:val="auto"/>
              </w:rPr>
            </w:pPr>
          </w:p>
        </w:tc>
      </w:tr>
      <w:tr>
        <w:trPr>
          <w:trHeight w:val="529"/>
        </w:trPr>
        <w:tc>
          <w:tcPr>
            <w:tcW w:w="2420" w:type="dxa"/>
            <w:vAlign w:val="bottom"/>
          </w:tcPr>
          <w:p>
            <w:pPr>
              <w:spacing w:after="0"/>
              <w:rPr>
                <w:sz w:val="20"/>
                <w:szCs w:val="20"/>
                <w:color w:val="auto"/>
              </w:rPr>
            </w:pPr>
            <w:r>
              <w:rPr>
                <w:rFonts w:ascii="Courier New" w:cs="Courier New" w:eastAsia="Courier New" w:hAnsi="Courier New"/>
                <w:sz w:val="15"/>
                <w:szCs w:val="15"/>
                <w:color w:val="auto"/>
              </w:rPr>
              <w:t>THREE MONTHS ENDED JULY 3,</w:t>
            </w:r>
          </w:p>
        </w:tc>
        <w:tc>
          <w:tcPr>
            <w:tcW w:w="39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1999 VERSUS THREE MONTHS ENDED JULY 4, 1998</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Sales for the three months</w:t>
            </w:r>
          </w:p>
        </w:tc>
        <w:tc>
          <w:tcPr>
            <w:tcW w:w="494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ended July 3, 1999 totaled $586.2 million, an</w:t>
            </w:r>
          </w:p>
        </w:tc>
        <w:tc>
          <w:tcPr>
            <w:tcW w:w="880" w:type="dxa"/>
            <w:vAlign w:val="bottom"/>
          </w:tcPr>
          <w:p>
            <w:pPr>
              <w:spacing w:after="0"/>
              <w:rPr>
                <w:sz w:val="24"/>
                <w:szCs w:val="24"/>
                <w:color w:val="auto"/>
              </w:rPr>
            </w:pP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increase of 59.7% over the</w:t>
            </w:r>
          </w:p>
        </w:tc>
        <w:tc>
          <w:tcPr>
            <w:tcW w:w="494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three months ended July 4, 1998 of $367.0 million. On</w:t>
            </w:r>
          </w:p>
        </w:tc>
        <w:tc>
          <w:tcPr>
            <w:tcW w:w="880" w:type="dxa"/>
            <w:vAlign w:val="bottom"/>
          </w:tcPr>
          <w:p>
            <w:pPr>
              <w:spacing w:after="0"/>
              <w:rPr>
                <w:sz w:val="15"/>
                <w:szCs w:val="15"/>
                <w:color w:val="auto"/>
              </w:rPr>
            </w:pPr>
          </w:p>
        </w:tc>
      </w:tr>
      <w:tr>
        <w:trPr>
          <w:trHeight w:val="176"/>
        </w:trPr>
        <w:tc>
          <w:tcPr>
            <w:tcW w:w="7360" w:type="dxa"/>
            <w:vAlign w:val="bottom"/>
            <w:gridSpan w:val="6"/>
          </w:tcPr>
          <w:p>
            <w:pPr>
              <w:spacing w:after="0"/>
              <w:rPr>
                <w:sz w:val="20"/>
                <w:szCs w:val="20"/>
                <w:color w:val="auto"/>
              </w:rPr>
            </w:pPr>
            <w:r>
              <w:rPr>
                <w:rFonts w:ascii="Courier New" w:cs="Courier New" w:eastAsia="Courier New" w:hAnsi="Courier New"/>
                <w:sz w:val="15"/>
                <w:szCs w:val="15"/>
                <w:color w:val="auto"/>
              </w:rPr>
              <w:t>a pro forma basis, assuming that the Ortho and RPJ acquisitions had occurred on</w:t>
            </w:r>
          </w:p>
        </w:tc>
        <w:tc>
          <w:tcPr>
            <w:tcW w:w="880" w:type="dxa"/>
            <w:vAlign w:val="bottom"/>
          </w:tcPr>
          <w:p>
            <w:pPr>
              <w:spacing w:after="0"/>
              <w:rPr>
                <w:sz w:val="15"/>
                <w:szCs w:val="15"/>
                <w:color w:val="auto"/>
              </w:rPr>
            </w:pPr>
          </w:p>
        </w:tc>
      </w:tr>
      <w:tr>
        <w:trPr>
          <w:trHeight w:val="176"/>
        </w:trPr>
        <w:tc>
          <w:tcPr>
            <w:tcW w:w="7360" w:type="dxa"/>
            <w:vAlign w:val="bottom"/>
            <w:gridSpan w:val="6"/>
          </w:tcPr>
          <w:p>
            <w:pPr>
              <w:spacing w:after="0"/>
              <w:rPr>
                <w:sz w:val="20"/>
                <w:szCs w:val="20"/>
                <w:color w:val="auto"/>
              </w:rPr>
            </w:pPr>
            <w:r>
              <w:rPr>
                <w:rFonts w:ascii="Courier New" w:cs="Courier New" w:eastAsia="Courier New" w:hAnsi="Courier New"/>
                <w:sz w:val="15"/>
                <w:szCs w:val="15"/>
                <w:color w:val="auto"/>
              </w:rPr>
              <w:t>October 1, 1997, sales for the third quarter of fiscal 1999 increased 11.8% over</w:t>
            </w:r>
          </w:p>
        </w:tc>
        <w:tc>
          <w:tcPr>
            <w:tcW w:w="880" w:type="dxa"/>
            <w:vAlign w:val="bottom"/>
          </w:tcPr>
          <w:p>
            <w:pPr>
              <w:spacing w:after="0"/>
              <w:rPr>
                <w:sz w:val="15"/>
                <w:szCs w:val="15"/>
                <w:color w:val="auto"/>
              </w:rPr>
            </w:pPr>
          </w:p>
        </w:tc>
      </w:tr>
      <w:tr>
        <w:trPr>
          <w:trHeight w:val="176"/>
        </w:trPr>
        <w:tc>
          <w:tcPr>
            <w:tcW w:w="7360" w:type="dxa"/>
            <w:vAlign w:val="bottom"/>
            <w:gridSpan w:val="6"/>
          </w:tcPr>
          <w:p>
            <w:pPr>
              <w:spacing w:after="0"/>
              <w:rPr>
                <w:sz w:val="20"/>
                <w:szCs w:val="20"/>
                <w:color w:val="auto"/>
              </w:rPr>
            </w:pPr>
            <w:r>
              <w:rPr>
                <w:rFonts w:ascii="Courier New" w:cs="Courier New" w:eastAsia="Courier New" w:hAnsi="Courier New"/>
                <w:sz w:val="15"/>
                <w:szCs w:val="15"/>
                <w:color w:val="auto"/>
              </w:rPr>
              <w:t>pro forma sales for the third quarter of fiscal 1998 of $524.4 million. The</w:t>
            </w:r>
          </w:p>
        </w:tc>
        <w:tc>
          <w:tcPr>
            <w:tcW w:w="880" w:type="dxa"/>
            <w:vAlign w:val="bottom"/>
          </w:tcPr>
          <w:p>
            <w:pPr>
              <w:spacing w:after="0"/>
              <w:rPr>
                <w:sz w:val="15"/>
                <w:szCs w:val="15"/>
                <w:color w:val="auto"/>
              </w:rPr>
            </w:pPr>
          </w:p>
        </w:tc>
      </w:tr>
      <w:tr>
        <w:trPr>
          <w:trHeight w:val="176"/>
        </w:trPr>
        <w:tc>
          <w:tcPr>
            <w:tcW w:w="7360" w:type="dxa"/>
            <w:vAlign w:val="bottom"/>
            <w:gridSpan w:val="6"/>
          </w:tcPr>
          <w:p>
            <w:pPr>
              <w:spacing w:after="0"/>
              <w:rPr>
                <w:sz w:val="20"/>
                <w:szCs w:val="20"/>
                <w:color w:val="auto"/>
              </w:rPr>
            </w:pPr>
            <w:r>
              <w:rPr>
                <w:rFonts w:ascii="Courier New" w:cs="Courier New" w:eastAsia="Courier New" w:hAnsi="Courier New"/>
                <w:sz w:val="15"/>
                <w:szCs w:val="15"/>
                <w:color w:val="auto"/>
              </w:rPr>
              <w:t>increase in these pro forma sales was driven by improved performance across the</w:t>
            </w:r>
          </w:p>
        </w:tc>
        <w:tc>
          <w:tcPr>
            <w:tcW w:w="880" w:type="dxa"/>
            <w:vAlign w:val="bottom"/>
          </w:tcPr>
          <w:p>
            <w:pPr>
              <w:spacing w:after="0"/>
              <w:rPr>
                <w:sz w:val="15"/>
                <w:szCs w:val="15"/>
                <w:color w:val="auto"/>
              </w:rPr>
            </w:pPr>
          </w:p>
        </w:tc>
      </w:tr>
      <w:tr>
        <w:trPr>
          <w:trHeight w:val="176"/>
        </w:trPr>
        <w:tc>
          <w:tcPr>
            <w:tcW w:w="7360" w:type="dxa"/>
            <w:vAlign w:val="bottom"/>
            <w:gridSpan w:val="6"/>
          </w:tcPr>
          <w:p>
            <w:pPr>
              <w:spacing w:after="0"/>
              <w:rPr>
                <w:sz w:val="20"/>
                <w:szCs w:val="20"/>
                <w:color w:val="auto"/>
              </w:rPr>
            </w:pPr>
            <w:r>
              <w:rPr>
                <w:rFonts w:ascii="Courier New" w:cs="Courier New" w:eastAsia="Courier New" w:hAnsi="Courier New"/>
                <w:sz w:val="15"/>
                <w:szCs w:val="15"/>
                <w:color w:val="auto"/>
              </w:rPr>
              <w:t>majority of the Company' business groups, especially Consumer Lawns, Growing</w:t>
            </w:r>
          </w:p>
        </w:tc>
        <w:tc>
          <w:tcPr>
            <w:tcW w:w="880" w:type="dxa"/>
            <w:vAlign w:val="bottom"/>
          </w:tcPr>
          <w:p>
            <w:pPr>
              <w:spacing w:after="0"/>
              <w:rPr>
                <w:sz w:val="15"/>
                <w:szCs w:val="15"/>
                <w:color w:val="auto"/>
              </w:rPr>
            </w:pP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Media and International as</w:t>
            </w: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discussed below.</w:t>
            </w: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181"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North American Consumer segment sales were $426.9 million in the third quarter of fiscal 1999, an increase of $164.1 million, or 62.4%, over sales for the third quarter of fiscal 1998 of $262.8 million. Sales in the Consumer Lawns business group within this segment increased $19.7 million, or 22.0%, from fiscal 1998 to fiscal 1999, reflecting significant volume growth period-to-period in the Company's Turf Builder(R) line of products. This volume growth is responsible for $13.3 million of the increase in sales, while strong grass seed sales were responsible for another $4.7 million.</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Sales in the Consumer Gardens business group increased $2.8 million, or 4.9%, from the third quarter of fiscal 1998 to fiscal 1999, primarily due to strong volume in the Miracle-Gro(R) product line which increased $2.8 million or 5.4%.</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Sales in the Consumer Growing Media business group increased $20.0 million, or 17.2%, driven primarily by a $12.8 million increase in sales of higher margin, value-added potting soil products, a $9.7 million increase in sales of landscape soils and a $7.8 million increase in sales of bark material products. These increases were partially offset by a reduction in sales of lower margin commodity products.</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4"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Sales for the Ortho business group, acquired in January 1999, were $121.6 million for the third quarter. On a pro forma basis, assuming Ortho had been acquired effective October 1, 1997, sales for the Ortho business group increased 6.7% in the three month period.</w:t>
      </w:r>
    </w:p>
    <w:p>
      <w:pPr>
        <w:spacing w:after="0" w:line="176"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Selling price changes did not have a material impact in the North American Consumer segment in the third quarter of fiscal 1999.</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Professional segment sales of $35.8 million in the third quarter of fiscal 1999 were down 18.8% in comparison to the third quarter of fiscal 1998 sales of $44.1 million. Results reflect a decline of approximately $9.0 million in sales of ProTurf(R) products, partially offset by a slight increase in sales of the Company's horticultural products. The decrease in ProTurf(R) sales was driven by short-term interruptions associated with the reorganization of the Professional business group made to strengthen distribution and technical sales support and to integrate brand management. The increase in horticultural products stems from strong sales volume for controlled-release fertilizers used in the nursery and greenhouse segments.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International segment sales were $123.5 million in the third quarter of fiscal 1999, an increase of $63.4 million, or 105.5% over the third quarter of fiscal 1998. After considering the RPJ and Levington acquisitions, on a pro forma basis, sales in the International segment increased 19.3% from the third quarter of fiscal 1998 to fiscal 1999, primarily the result of a $6.0 million pro forma increase in the RPJ businesses as well as a $7.5 million improvement in the European professional business. Also adding to the increase were $7.0 million in sales contributed by the Company's less significant acquisitions of ASEF Holding, B.V. and certain operations in Ireland. The international improvements are net of a $4.6 million adverse impact of foreign currency translation. Excluding the effects of currency translation, pro forma sales would have been 23.8% higher than the third quarter of the prior year.</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Gross profit increased to $236.4 million in the third quarter of fiscal 1999, an increase of 80.0% over fiscal 1998 gross profit of $131.3 million. As a percentage of sales, gross profit was 40.3% of sales for fiscal 1999 compared to 38.9% of sales for the third quarter of fiscal 1998 on a pro forma basis. This slight increase was primarily due to favorable raw material prices, improved manufacturing efficiencies and the following items which negatively impacted fiscal 1998 margins: start-up costs of $0.3 million associated with the upgrade of certain domestic manufacturing facilities, demolition costs of $0.8 million associated with the removal of certain old manufacturing facilities, unplanned outsourcing of certain production of $0.5 million, the loss of a composting contract of $0.5 million and unfavorable inventory adjustments of $0.8 million.</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"commission earned from agency agreement" of $9.9 million in the third quarter of fiscal 1999 was generated from the Company's agreement with Monsanto for exclusive international marketing and agency rights to Monsanto's consumer Roundup(R) herbicide products. The agreement provides for the Company to earn a commission based on EBIT (as defined by the agreement) generated annually, net of an annual fixed contribution payment, by the global consumer Roundup(R) business. The $9.9 million recorded in the third quarter of fiscal 1999 represents the Company's estimated commission based upon the actual EBIT of the Roundup(R) business for the period.</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Advertising and promotion expenses in the third quarter of fiscal 1999 were $63.8 million, an increase of $30.9 million, or 93.9% over fiscal 1998 advertising and promotion expenses of $32.9 million. The newly acquired Ortho and RPJ businesses contributed $14.2 million and $6.7 million, respectively, to the increase. The remaining increase reflects continued emphasis on building consumer demand through consumer-oriented marketing efforts, and is highlighted by significant increases in advertising and promotion expenses in the Consumer Lawns, Growing Media, Consumer Gardens and U.K. businesses. As a percentage of sales, advertising and promotion increased to 10.9% compared to 9.0% for the prior year.</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Selling, general and administrative (SG&amp;A) expenses in the third quarter of fiscal 1999 were $79.4 million, an increase of $35.6 million, or 81.3%, over similar expenses in the third quarter of fiscal 1998 of $43.8 million. As a percentage of sales, SG&amp;A was 13.5% for the third quarter of fiscal 1999 compared to 11.9% for fiscal 1998. The newly acquired Ortho and RPJ businesses contributed $17.5 million and $9.2 million, respectively to the increase. The remaining increase of $8.9 million was primarily due to the following factors: $1.2 million increase for enterprise system implementation efforts; increased charges for bad debt expense of $0.6 million; increased charges for management incentives of $2.2 million; $1.0 million increase for costs associated with the integration of the acquired businesses; and $1.3 million for increased research and development costs.</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4"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Amortization of goodwill and other intangibles increased to $8.3 million in the third quarter of fiscal 1999, compared to $3.5 million in the prior year, due to additional intangibles resulting from the RPJ and Ortho acquisitions.</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Other income/expense for the third quarter of fiscal 1999 was a gain of $0.3 million compared to a loss of $1.3 million in the prior year. The change was primarily due to lower foreign currency and asset retirement losses, partially offset by increased legal and environmental costs.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Income from operations for the third quarter of fiscal 1999 was $95.1 million compared to $49.8 million for the third quarter of fiscal 1998, primarily due to increases realized from the newly acquired Ortho and RPJ businesses, and significant improvement in the Consumer Lawns and Growing Media businesses, partially offset by increased SG&amp;A charges detailed above.</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Interest expense for the third quarter of fiscal 1999 was $24.6 million, an increase of 167.4% over fiscal 1998 interest expense of $9.2 million. The increase in interest expense was due to increased borrowings to fund the Ortho and RPJ acquisitions.</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Income tax expense was $28.9 million for fiscal 1999 compared to $16.2 million in the prior year. The Company's effective tax rate was 41.0% in the third quarter of fiscal 1999 compared to 40.0% in fiscal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reported net income of $41.6 million for the third quarter of fiscal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or $1.35 per common share on a diluted basis, compared to net income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$24.4 million for fiscal 1998, or $0.80 per common share. On a pro forma basis,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 earnings per common share was $1.39 in the third quarter of the prior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JULY 3, 1999 VERSUS NINE MONTHS ENDED JULY 4, 1998</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for the nine months ended July 3, 1999 totaled $1.4 billion, an increase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52.1% over the nine months ended July 4, 1998 of $921.9 million. On a pro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 basis, assuming that the Ortho, RPJ, Levington and Earthgro acquisitions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 occurred on October 1, 1997, sales for the nine months of fiscal 1999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billion increased 13.0% over pro forma sales for the nine months of fiscal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of $1.3 billion. The increase in these pro forma sales was driven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improved performance in all of the Company's consumer business groups and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business group as discussed below.</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North American Consumer segment sales were $958.7 million for the nine months of fiscal 1999, an increase of $320.9 million, or 50.3%, over sales for the nine months of fiscal 1998 of $637.8 million. Sales in the Consumer Lawns business group within this segment increased $82.4 million, or 26.4%, from fiscal 1998 to fiscal 1999, reflecting significant volume growth period-to-period in the Company's Turf Builder(R) line of products. This volume growth is responsible for $62.7 million of the increase in sales, while strong grass seed and spreader sales were responsible for another $8.1 million and $7.5 million, respectively.</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Sales in the Consumer Gardens business group increased $14.3 million, or 11.6%, from the nine months of fiscal 1998 to fiscal 1999, primarily due to strong volume in the Miracle-Gro(R) product line which increased $12.5 million or 11.3%.</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Sales in the Consumer Growing Media business group increased $33.0 million, or 16.3%, partially the result of the Earthgro acquisition made in February of fiscal 1998. On a pro forma basis, including the Earthgro acquisition, sales in the Consumer Growing Media business group increased 12.7% from the nine months of fiscal 1998 to fiscal 1999, driven primarily by a $22.3 million increase in sales of higher margin, value-added potting soil products, a $11.9 million increase in sales of landscape soils and a $12.8 million increase in sales of bark material products. These inceases were partially offset by a reduction in sales of lower margin commodity products.</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Sales for the Ortho business group, acquired in January 1999, were $191.2 million for the post-acquisition period. On a pro forma basis, assuming Ortho had been acquired effective October 1, 1997, sales for the Ortho business group increased 9.4% in the nine month period.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6"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Selling price changes did not have a material impact in the North American Consumer segment in the nine months of fiscal 1999.</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Professional segment sales of $109.2 million in fiscal 1999 were down 9.8% in comparison to the nine months of fiscal 1998 sales of $121.0 million. Results reflect a decline of approximately $19 million in sales of ProTurf(R) products, partially offset by an increase of approximately $7 million in sales of the Company's horticultural products. The decrease in ProTurf(R) sales was driven by short-term interruptions associated with the reorganization of the Professional business group made to strengthen distribution and technical sales support and to integrate brand management. The increase in horticultural products stems from strong sales volume for controlled-release fertilizers used in the nursery and greenhouse segments.</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International segment sales were $334.3 million in the nine months of fiscal 1999, an increase of $171.2 million, or 105% over the nine months of fiscal 1998. After considering the RPJ and Levington acquisitions, on a pro forma basis, sales in the International segment increased 11.6% from the nine months of fiscal 1998 to fiscal 1999, primarily the result of a $24.2 million pro forma increase in the RPJ businesses as well as a $14.7 million improvement in the European professional business. Also adding to the increase were approximately $15 million in sales contributed by the Company's less significant acquisitions of ASEF Holding, B.V. and certain operations in Ireland. These improvements were partially offset by a $20 million proforma decrease in sales for the group's U.K. businesses caused by slower than anticipated orders and supply chain interruptions resulting from the integration of the recently acquired businesses. Excluding the effects of currency translation, pro forma sales would have been 12.1% higher than the nine months of the prior year.</w:t>
      </w:r>
    </w:p>
    <w:p>
      <w:pPr>
        <w:spacing w:after="0" w:line="18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Gross profit increased to $570.1 million in the nine months of fiscal 1999, an increase of 66.2% over fiscal 1998 gross profit of $343.1 million. On a pro forma basis, gross profit as a percentage of sales was 39.9% for fiscal 1999 compared to 38.7% of sales for the nine months of fiscal 1998, primarily due to improved raw material costs, improved manufacturing efficiencies, and the following items which had adverse impacts on fiscal 1998 margins: start-up costs of $1.1 million associated with the upgrade of certain domestic manufacturing facilities, demolition costs of $1.4 million associated with the removal of certain old manufacturing facilities, unplanned outsourcing of certain production of $2.7 million, the loss of a composting contract of $0.6 million and unfavorable inventory adjustments of $0.8 million.</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"commission earned from agency agreement" of $27.5 million in the nine months of fiscal 1999 was generated from the Company's agreement with Monsanto for exclusive international marketing and agency rights to Monsanto's consumer Roundup(R) herbicide products. The agreement provides for the Company to earn a commission based on EBIT (as defined by the agreement) generated annually, net of an annual fixed contribution payment, by the global Roundup(R) business. The $27.5 million recorded in the nine months of fiscal 1999 represents the Company's estimated commission based upon the actual EBIT of the Roundup(R) business for the period.</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Advertising and promotion expenses in the nine months of fiscal 1999 were $166.6 million, an increase of $72.7 million, or 77.4%, over fiscal 1998 advertising and promotion expenses of $93.9 million. The newly acquired Ortho and RPJ businesses contributed $25.4 million and $17.2 million, respectively, to the increase. The remaining increase reflects continued emphasis on building consumer demand through consumer-oriented marketing efforts, and is highlighted by 27%, 46%, 24% and 27% increases in advertising and promotion expenses in the Consumer Lawns, Growing Media, Consumer Gardens and U.K. businesses, respectively. As a percentage of sales, advertising and promotion increased to 11.9% compared to 10.2% for the prior year.</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Selling, general and administrative (SG&amp;A) expenses in the nine months of fiscal 1999 were $205.9 million, an increase of $84.0 million, or 68.9% over similar expenses in the nine months of fiscal 1998 of $121.9 million. As a percentage of sales, SG&amp;A was 14.7% for the nine months fiscal 1999 compared to 13.2% for fiscal 1998. The newly acquired Ortho and RPJ businesses contributed $24.5 million and $27.0 million, respectively, to the increase. The significant components of the remaining $32.5 million increase are as follows: additional information systems expenses of $1.1 million for year 2000 compliance and $4.4 million for enterprise system implementation efforts; increased charges for bad debt expense of $3.5 million; increased charges for management incentives of $3.4 million; increased marketing and selling expenses in the Consumer Lawns group of $5.3 million; increased costs associated with the integration of newly acquired businesses of $2.8 million; and an overall increase in research and development costs of $4.2 million.</w:t>
      </w:r>
    </w:p>
    <w:p>
      <w:pPr>
        <w:sectPr>
          <w:pgSz w:w="11900" w:h="16838" w:orient="portrait"/>
          <w:cols w:equalWidth="0" w:num="1">
            <w:col w:w="10219"/>
          </w:cols>
          <w:pgMar w:left="240" w:top="294" w:right="1440" w:bottom="1440" w:gutter="0" w:footer="0" w:header="0"/>
        </w:sectPr>
      </w:pP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4"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Amortization of goodwill and other intangibles increased to $18.5 million in the nine months of fiscal 1999, compared to $9.7 million in the prior year, due to additional intangibles resulting from the Ortho, RPJ, Levington and Earthgro acquisitions.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Other income/expense for the nine months of fiscal 1999 was a gain of $0.1 million compared to a loss of $2.7 million in the prior year. The change was primarily due to lower foreign currency and asset retirement losses, partially offset by increased legal and environmental costs. Approximately $1.3 million of the increase in environmental provisions recorded in fiscal 1999 were made to update management's estimate of the probable outcome of on-going proceedings with the Ohio Environmental Protection Agency. See further discussion of said litigation in Note 9 to the Company's Condensed Consolidated Financial Statements.</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Income from operations for the nine months of fiscal 1999 was $205.3 million compared to $114.9 million for the nine months of fiscal 1998, primarily due to increases realized from the newly acquired Ortho and RPJ businesses and significant improvement in the Consumer Lawns business, partially offset by increased SG&amp;A charges detailed above.</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Interest expense for the nine months of fiscal 1999 was $59.0 million, an increase of 129.6% over fiscal 1998 interest expense of $25.7 million. The increase in interest expense was due to increased borrowings to fund the Ortho, RPJ, Levington, and EarthGro acquisitions.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Income tax expense was $60.0 million for fiscal 1999 compared to $36.9 million in the prior year. The Company's effective tax rate was 41.0% in the nine months of fiscal 1999 compared to 41.4% in fiscal 1998 as a result of favorable tax planning strategies.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As discussed further in "Liquidity and Capital Resources", in conjunction with the Ortho acquisition, in January 1999 Scotts completed an offering of $330 million of 8 5/8% Senior Subordinated Notes ("the Notes") due 2009. The net proceeds from the offering, together with borrowings under Scotts' bank facility, were used to fund the Ortho acquisition and repurchase approximately 97% of Scotts' $100.0 million outstanding 9 7/8% Senior Subordinated Notes due August 2004. The Company recorded an extraordinary loss before tax on the extinguishment of the 9 7/8% notes of approximately $9.2 million, including a call premium of $7.1 million and the write-off of unamortized issuance costs and discounts of $2.1 million.</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Company reported net income of $80.5 million for the nine months of fiscal 1999, or $2.64 per common share on a diluted basis, compared to net income of $51.6 million for fiscal 1998, or $1.70 per common share. Excluding the impact of the extraordinary loss discussed above, the Company reported earnings per share of $2.83 per share on a diluted basis as compared to $1.72 in the prior year. On a pro forma basis, diluted earnings per common share before extraordinary items increased to $2.37 as compared to $2.27 in the nine months of the prior year.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Cash provided by operating activities totaled $90.5 million for the nine months ended July 3, 1999 compared to $93.0 million for the nine months ended July 4, 1998. The seasonal nature of the Company's operations generally requires cash to fund significant increases in certain components of working capital (primarily inventory and accounts receivable) during the first and second quarters. The third fiscal quarter is a significant period for collecting accounts receivable and liquidating inventory levels.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Cash used in investing activities totaled $540.8 million for the nine months ended July 3, 1999 as compared to $168.1 million in the prior year. This increase was primarily due to the cost of the Ortho, RPJ and Asef acquisitions during the period. Additionally, capital investments were $37.9 million in the nine months of fiscal 1999, a $16.2 increase in comparison to the prior year. The increase in capital investments is primarily due to cost associated with the Enterprise Resource Planning project of $15.6 million. The Company's new credit facilities (as described below) restrict annual capital investments to $70.0 million.</w:t>
      </w:r>
    </w:p>
    <w:p>
      <w:pPr>
        <w:spacing w:after="0" w:line="35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Financing activities generated cash of $474.9 million for the nine months ended July 3, 1999 compared to $91.8 million in the prior year. Cash generated in the first nine months of fiscal 1999 was generally provided by the Company's new $1.025 billion credit facility and the January 1999 Senior Subordinated Notes offering of $330 million. Borrowings were primarily used to provide funds for the following: Ortho, RPJ and Asef acquisitions,</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4"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marketing fees associated with the Roundup(R) agency agreement, financing fees associated with the new credit facility (as discussed below), issuance fees associated with the Notes offering, payments associated with the then outstanding interest rate locks (also described below), repurchase of treasury shares, dividends on Class A Preferred Stock, and the repurchase of approximately 97% of Scotts' $100.0 million outstanding 9 7/8% Senior Subordinated Notes due August 2004.</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Total debt was $896.8 million as of July 3, 1999, an increase of $524.3 million compared with debt at September 30, 1998 and an increase of $560.4 million compared with debt levels at July 4, 1998. The increase in debt, period to period, was primarily due to borrowings made to fund the financing activities previously mentioned.</w:t>
      </w:r>
    </w:p>
    <w:p>
      <w:pPr>
        <w:spacing w:after="0" w:line="176"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5"/>
          <w:szCs w:val="15"/>
          <w:color w:val="auto"/>
        </w:rPr>
        <w:t>The primary sources of liquidity for the Company are funds generated by operations and borrowings under Scotts' credit facility. On December 4, 1998, Scotts and certain of its subsidiaries entered into a new credit facility which provides for borrowings in the aggregate principal amount of</w:t>
      </w:r>
    </w:p>
    <w:p>
      <w:pPr>
        <w:spacing w:after="0" w:line="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$1.025 billion and consists of term loan facilities in the aggregate amount of $525 million and a revolving credit facility in the amount of $500 million. Proceeds from borrowings under the new credit facility of approximately $241.0 million were used to repay amounts outstanding under the then existing credit facility.</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term loan facilities consist of three tranches. The Tranche A Term Loan Facility consists of three sub-tranches of French Francs, German Deutschemarks and British Pounds Sterling in an aggregate principal amount of $265 million which are to be repaid quarterly over a 6 1/2 year period. The Tranche B Term Loan Facility is a 7 1/2 year term loan facility in an aggregate principal amount of $140 million, which is to be repaid in nominal quarterly installments for the first 6 1/2 years and in substantial quarterly installments in the final year. The Tranche C Term Loan Facility is a 8 1/2 year term loan facility in an aggregate principal amount of $120 million, which is to be repaid in nominal quarterly installments for the first 7 1/2 years and in substantial quarterly installments in the final year.</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revolving credit facility provides for borrowings up to $500 million, which are available on a revolving basis over a term of 6 1/2 years. A portion of the revolving credit facility not to exceed $100 million is available for the issuance of letters of credit. A portion of the facility not to exceed $225 million is available for borrowings in optional currencies, including German Deutschemarks, British Pounds Sterling, French Francs, Belgian Francs, Italian Lira and other specified currencies, provided that the outstanding revolving loans in optional currencies other than British Pounds Sterling does not exceed $120 million. The outstanding principal amount of all revolving credit loans may not exceed $150 million for at least 30 consecutive days during any calendar year.</w:t>
      </w:r>
    </w:p>
    <w:p>
      <w:pPr>
        <w:spacing w:after="0" w:line="175"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The Company funded the acquisition of RPJ and Asef with borrowings under the newly created credit facility. Certain other borrowings under the credit facility, along with proceeds from the January, 1999 offering of $330 million of 8 5/8% Senior Subordinated Notes due 2009, were used to fund the Ortho acquisition and to repurchase approximately 97% of Scotts $100.0 million outstanding 9 7/8% Senior Subordinated Notes due August 2004.</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In July 1998, the Board of Directors of Scotts, authorized the repurchase of up to $100 million of Scotts' common shares on the open market or in privately negotiated transactions on or prior to September 30, 2001 ("the Repurchase Program"). As of July 3, 1999, approximately 414,000 common shares ($13.3 million) were repurchased under the Repurchase Program. The timing and amount of any future purchases under the Repurchase Program will be at Scotts' discretion and will depend upon market conditions and the Company's operating performance and liquidity. Any repurchase will also be subject to the covenants contained in the Company's credit facilities as well as its other debt instruments. The repurchased shares will be held in treasury and will thereafter be used for the exercise of employee stock options and for other valid corporate purposes. The Company anticipates that all repurchases will be made in the open market or in privately negotiated transactions, and that the Hagedorn Partnership, L.P. will sell its pro-rata share (42%) of such repurchased shares in the open market. The agreement governing the merger transactions with the former shareholders of Stern's Miracle-Gro Products, Inc. ("the Miracle-Gro shareholders")</w:t>
      </w:r>
    </w:p>
    <w:p>
      <w:pPr>
        <w:sectPr>
          <w:pgSz w:w="11900" w:h="16838" w:orient="portrait"/>
          <w:cols w:equalWidth="0" w:num="1">
            <w:col w:w="10219"/>
          </w:cols>
          <w:pgMar w:left="240" w:top="294" w:right="1440" w:bottom="1440" w:gutter="0" w:footer="0" w:header="0"/>
        </w:sectPr>
      </w:pP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4"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6"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requires that the they reduce their percentage ownership in the Company to no more than 44% on a fully diluted basis to the extent that repurchases by the Company would cause such ownership to exceed 44%.</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the opinion of the Company's management, cash flows from operations and capital resources will be sufficient to meet debt service and working capital needs during fiscal 1999, however, the Company cannot ensure that its business groups will generate sufficient cash flow from operations, that currently anticipated cost savings and operating improvements will be realized on schedule or at all, or that future borrowings will be available under the newly created credit facility in amounts sufficient to pay indebtedness or fund other liquidity needs. The Company cannot ensure that it will be able to refinance any indebtedness, including the newly created credit facility, on commercially reasonable terms, or at all.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 Additional information on environmental matters affecting the Company is provided in Note 9 to the Company's Condensed, Consolidated Financial Statements as of and for the nine months ended July 3, 1999 and in the 1998 Annual Report on Form 10-K under the "BUSINESS" and "LEGAL PROCEEDINGS" sections.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Company may be impacted by the inability of its computer software applications and other business systems (e.g., embedded microchips) to properly identify the Year 2000 due to a commonly used programming convention of using only two digits to identify a year. Unless modified or replaced, these systems could fail or create erroneous results when referencing the Year 2000.</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Management has assessed the extent and impact of this issue and has implemented a readiness program to mitigate the possibility of business interruption or other risks. Substantially all significant business systems are compliant. Progress is being made on open items that relate to minor systems or equipment upgrades scheduled for summer plant shutdowns.</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Company has established a Year 2000 Program Office to oversee the readiness program. The Program Office functions include regular communication with Year 2000 project managers and site visits to the Company's various businesses to monitor remediation efforts and verify progress toward stated compliance goals. The Program Office reports to senior management, who in turn reports regularly to the Scotts' Board of Directors regarding the Company's progress toward Year 2000 readiness.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TECHNOLOGY (IT) SYSTEMS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Currently, mainframe computer operations at the Company's Marysville, Ohio headquarters support all U. S. business groups with the exception of the Scotts' Miracle-Gro and the Republic Tool (spreaders) manufacturing operation. The Company's foreign operations generally do not electronically interface with the U.S. headquarters.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headquarters mainframe operations consist primarily of internally developed systems that have been remediated. Other domestic and international operations utilize commercial packaged software which, if not Year 2000 compliant, is being upgraded or replaced. Remediation of headquarters applications, which is the Company's most complex and costly effort, was completed in April 1999.</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4"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Personal computers are being made Year 2000 compliant by systematic upgrade through lease renewals. Many other hardware/software upgrades are being executed under ongoing maintenance and support agreements with vendors. Testing of upgrades is being performed internally.</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support of the Company's long-range strategic plans, an enterprise-wide application systems (ERP) project is under way to link all business groups. This enterprise-wide system will be implemented in stages starting in 1999 and is expected to be completed in 2000. The primary software provider for the enterprise-wide system has represented that its software is Year 2000 compliant. This is being verified as part of testing prior to implementation.</w:t>
      </w:r>
    </w:p>
    <w:p>
      <w:pPr>
        <w:spacing w:after="0" w:line="176"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5"/>
          <w:szCs w:val="15"/>
          <w:color w:val="auto"/>
        </w:rPr>
        <w:t>The Company's Year 2000 compliance efforts are being concentrated on the currently existing systems to ensure there is adequate information systems support until implementation of the enterprise-wide system is completed.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NON-IT SYSTEMS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Non-IT systems, comprised mainly of equipment and machinery operating and control systems, telecommunication systems, building air management systems, security and fire control systems, electrical and natural gas systems are being assessed by each business group with advice from the suppliers of these systems/services. Upgrades or replacements are being made as necessary.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PARTY SUPPLIERS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Company relies on third party suppliers for finished goods, raw materials, water, other utilities, transportation and a variety of other key services. Interruption of supplier operation due to Year 2000 issues could affect Company operations. The Company continues to evaluate the status of suppliers' efforts through confirmation and follow-up procedures, including selected site assessment trips, to determine contingency planning where necessary.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READINESS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Each business group has completed an internal inventory to identify IT and non-IT systems that are susceptible to system failure or processing errors as a result of Year 2000 issues.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headquarters mainframe remediation project is complete (including testing). The upgrade or replacement and testing of IT systems at other North American operations is substantially complete. Non-IT efforts are being performed concurrently and replacement and testing is substantially complete. Site visits continue to be conducted by the Program Office to verify progress against plans.</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Year 2000 readiness plans are being executed within the International segment. Upgrades of packaged software for the primary systems are substantially complete. Site visits are being conducted by the Program Office to verify progress against plans.</w:t>
      </w:r>
    </w:p>
    <w:p>
      <w:pPr>
        <w:spacing w:after="0" w:line="176"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A confirmation process with respect to third party suppliers continues. Site visits with critical suppliers continue, in order to determine if alternative sources are needed.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Company has been tracking incremental Year 2000 costs which exclude the costs of internally dedicated resources. Contingency planning costs are not yet quantified. The current estimate of incremental costs for the Year 2000 efforts (excluding those related to the ERP project) is approximately $5.7 million. Of this amount, $4.3 million has been incurred to date. These costs, with the exception of relatively small capital expenditures, are being expensed as incurred and are being funded through operating cash flows. A summary of the cost components follows ($ in millions):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4" w:right="1440" w:bottom="1440" w:gutter="0" w:footer="0" w:header="0"/>
        </w:sectPr>
      </w:pPr>
    </w:p>
    <w:bookmarkStart w:id="26" w:name="page27"/>
    <w:bookmarkEnd w:id="26"/>
    <w:p>
      <w:pPr>
        <w:ind w:left="266"/>
        <w:spacing w:after="0"/>
        <w:rPr>
          <w:sz w:val="20"/>
          <w:szCs w:val="20"/>
          <w:color w:val="auto"/>
        </w:rPr>
      </w:pPr>
      <w:r>
        <w:rPr>
          <w:rFonts w:ascii="Courier New" w:cs="Courier New" w:eastAsia="Courier New" w:hAnsi="Courier New"/>
          <w:sz w:val="15"/>
          <w:szCs w:val="15"/>
          <w:color w:val="auto"/>
        </w:rPr>
        <w:t>26</w:t>
      </w:r>
    </w:p>
    <w:p>
      <w:pPr>
        <w:spacing w:after="0" w:line="359" w:lineRule="exact"/>
        <w:rPr>
          <w:sz w:val="20"/>
          <w:szCs w:val="20"/>
          <w:color w:val="auto"/>
        </w:rPr>
      </w:pPr>
    </w:p>
    <w:tbl>
      <w:tblPr>
        <w:tblLayout w:type="fixed"/>
        <w:tblInd w:w="1106"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As of</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Remainder</w:t>
            </w:r>
          </w:p>
        </w:tc>
        <w:tc>
          <w:tcPr>
            <w:tcW w:w="700" w:type="dxa"/>
            <w:vAlign w:val="bottom"/>
          </w:tcPr>
          <w:p>
            <w:pPr>
              <w:spacing w:after="0"/>
              <w:rPr>
                <w:sz w:val="14"/>
                <w:szCs w:val="14"/>
                <w:color w:val="auto"/>
              </w:rPr>
            </w:pPr>
          </w:p>
        </w:tc>
      </w:tr>
      <w:tr>
        <w:trPr>
          <w:trHeight w:val="176"/>
        </w:trPr>
        <w:tc>
          <w:tcPr>
            <w:tcW w:w="2460" w:type="dxa"/>
            <w:vAlign w:val="bottom"/>
          </w:tcPr>
          <w:p>
            <w:pPr>
              <w:spacing w:after="0"/>
              <w:rPr>
                <w:sz w:val="15"/>
                <w:szCs w:val="15"/>
                <w:color w:val="auto"/>
              </w:rPr>
            </w:pPr>
          </w:p>
        </w:tc>
        <w:tc>
          <w:tcPr>
            <w:tcW w:w="16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July 3, 1999</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of 1999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Headquarters mainframe</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Other U.S. Operations</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0.5</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International Operations</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0.8</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6"/>
        </w:trPr>
        <w:tc>
          <w:tcPr>
            <w:tcW w:w="2460" w:type="dxa"/>
            <w:vAlign w:val="bottom"/>
          </w:tcPr>
          <w:p>
            <w:pPr>
              <w:spacing w:after="0"/>
              <w:rPr>
                <w:sz w:val="15"/>
                <w:szCs w:val="15"/>
                <w:color w:val="auto"/>
              </w:rPr>
            </w:pP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$4.3</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6"/>
        </w:trPr>
        <w:tc>
          <w:tcPr>
            <w:tcW w:w="2460" w:type="dxa"/>
            <w:vAlign w:val="bottom"/>
          </w:tcPr>
          <w:p>
            <w:pPr>
              <w:spacing w:after="0"/>
              <w:rPr>
                <w:sz w:val="15"/>
                <w:szCs w:val="15"/>
                <w:color w:val="auto"/>
              </w:rPr>
            </w:pPr>
          </w:p>
        </w:tc>
        <w:tc>
          <w:tcPr>
            <w:tcW w:w="16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RISKS</w:t>
      </w:r>
    </w:p>
    <w:p>
      <w:pPr>
        <w:spacing w:after="0" w:line="182" w:lineRule="exact"/>
        <w:rPr>
          <w:sz w:val="20"/>
          <w:szCs w:val="20"/>
          <w:color w:val="auto"/>
        </w:rPr>
      </w:pPr>
    </w:p>
    <w:p>
      <w:pPr>
        <w:jc w:val="both"/>
        <w:ind w:left="6" w:right="2979"/>
        <w:spacing w:after="0" w:line="250" w:lineRule="auto"/>
        <w:rPr>
          <w:sz w:val="20"/>
          <w:szCs w:val="20"/>
          <w:color w:val="auto"/>
        </w:rPr>
      </w:pPr>
      <w:r>
        <w:rPr>
          <w:rFonts w:ascii="Courier New" w:cs="Courier New" w:eastAsia="Courier New" w:hAnsi="Courier New"/>
          <w:sz w:val="15"/>
          <w:szCs w:val="15"/>
          <w:color w:val="auto"/>
        </w:rPr>
        <w:t>The principal business risks to the Company relating to completion of Year 2000 efforts are:</w:t>
      </w:r>
    </w:p>
    <w:p>
      <w:pPr>
        <w:spacing w:after="0" w:line="175" w:lineRule="exact"/>
        <w:rPr>
          <w:sz w:val="20"/>
          <w:szCs w:val="20"/>
          <w:color w:val="auto"/>
        </w:rPr>
      </w:pPr>
    </w:p>
    <w:p>
      <w:pPr>
        <w:ind w:left="646" w:right="2899" w:hanging="646"/>
        <w:spacing w:after="0" w:line="250" w:lineRule="auto"/>
        <w:tabs>
          <w:tab w:leader="none" w:pos="64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on key business partners to not have disruption in their ability to provide goods and services as a result of Year 2000 issues.</w:t>
      </w:r>
    </w:p>
    <w:p>
      <w:pPr>
        <w:spacing w:after="0" w:line="174" w:lineRule="exact"/>
        <w:rPr>
          <w:rFonts w:ascii="Courier New" w:cs="Courier New" w:eastAsia="Courier New" w:hAnsi="Courier New"/>
          <w:sz w:val="15"/>
          <w:szCs w:val="15"/>
          <w:color w:val="auto"/>
        </w:rPr>
      </w:pPr>
    </w:p>
    <w:p>
      <w:pPr>
        <w:ind w:left="646" w:hanging="646"/>
        <w:spacing w:after="0"/>
        <w:tabs>
          <w:tab w:leader="none" w:pos="64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recruit and/or retain key staff for the Year 2000 effort.</w:t>
      </w:r>
    </w:p>
    <w:p>
      <w:pPr>
        <w:spacing w:after="0" w:line="182" w:lineRule="exact"/>
        <w:rPr>
          <w:rFonts w:ascii="Courier New" w:cs="Courier New" w:eastAsia="Courier New" w:hAnsi="Courier New"/>
          <w:sz w:val="15"/>
          <w:szCs w:val="15"/>
          <w:color w:val="auto"/>
        </w:rPr>
      </w:pPr>
    </w:p>
    <w:p>
      <w:pPr>
        <w:ind w:left="646" w:right="3899" w:hanging="646"/>
        <w:spacing w:after="0" w:line="250" w:lineRule="auto"/>
        <w:tabs>
          <w:tab w:leader="none" w:pos="64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Unforeseen issues arising in connection with recent and future acquisitions/business partnerships.</w:t>
      </w:r>
    </w:p>
    <w:p>
      <w:pPr>
        <w:spacing w:after="0" w:line="174" w:lineRule="exact"/>
        <w:rPr>
          <w:rFonts w:ascii="Courier New" w:cs="Courier New" w:eastAsia="Courier New" w:hAnsi="Courier New"/>
          <w:sz w:val="15"/>
          <w:szCs w:val="15"/>
          <w:color w:val="auto"/>
        </w:rPr>
      </w:pPr>
    </w:p>
    <w:p>
      <w:pPr>
        <w:ind w:left="646" w:right="3359" w:hanging="646"/>
        <w:spacing w:after="0" w:line="250" w:lineRule="auto"/>
        <w:tabs>
          <w:tab w:leader="none" w:pos="64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Forecasting unreliability due to customers' departures from expected buying patterns.</w:t>
      </w:r>
    </w:p>
    <w:p>
      <w:pPr>
        <w:spacing w:after="0" w:line="174" w:lineRule="exact"/>
        <w:rPr>
          <w:rFonts w:ascii="Courier New" w:cs="Courier New" w:eastAsia="Courier New" w:hAnsi="Courier New"/>
          <w:sz w:val="15"/>
          <w:szCs w:val="15"/>
          <w:color w:val="auto"/>
        </w:rPr>
      </w:pPr>
    </w:p>
    <w:p>
      <w:pPr>
        <w:ind w:left="646" w:right="3359" w:hanging="646"/>
        <w:spacing w:after="0" w:line="250" w:lineRule="auto"/>
        <w:tabs>
          <w:tab w:leader="none" w:pos="64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continue to focus on Year 2000 issues by internal and external resources.</w:t>
      </w:r>
    </w:p>
    <w:p>
      <w:pPr>
        <w:spacing w:after="0" w:line="175"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Because the Company's Year 2000 readiness is dependent upon key business partners also being Year 2000 ready, there can be no guarantee that the Company's efforts will prevent a material adverse impact on its results of operations, financial condition and cash flows. The possible consequences to the Company of its key business partners' inability to provide goods and services as a result of Year 2000 issues include temporary plant closings; delays in delivery of finished products; delays in receipt of key raw materials, containers and packaging supplies; invoice and collection errors; and inventory and supply obsolescence. The Company believes that its readiness efforts, which include confirmation, site visits and other testing with critical suppliers to determine if contingency planning is needed, should reduce the likelihood of such disruptions.</w:t>
      </w:r>
    </w:p>
    <w:p>
      <w:pPr>
        <w:spacing w:after="0" w:line="35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CONTINGENCY PLANS</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A formal contingency plan process is underway, now that a significant amount of the business units' readiness plans have been completed. The Company will continue to assess where alternative courses of action are needed as the IT and non-IT readiness plans are executed. Due to the nature of contingency planning, assessment and planning efforts will continue until the end of 1999.</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ONGOING PROCESS</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Company's readiness program is an ongoing process and the estimates of costs and completion dates for various components of the program described above are subject to change.</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ENTERPRISE RESOURCE PLANNING ("ERP")</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In July 1998, the Company announced a project designed to bring its information system resources in line with the Company's current strategic objectives. The project will include the redesign of certain key business processes in</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5"/>
          </w:cols>
          <w:pgMar w:left="234" w:top="294"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connection with the installation of new software on a world-wide basis over the course of the next two fiscal years. The Company estimates that the project will cost $50.0 million, approximately 75% of which will be capitalized over a period of four to eight years. SAP has been selected as the primary software provider for this project.</w:t>
      </w:r>
    </w:p>
    <w:p>
      <w:pPr>
        <w:spacing w:after="0" w:line="17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The Company has expensed approximately $6.1 million related to the project since its inception.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In January 1999, a new currency called the "euro" began to be introduced in certain Economic and Monetary Union ("EMU") countries. During 2002, all EMU countries are expected to be operating with the euro as their single currency. Uncertainty exists as to the effects the euro currency will have on the marketplace. Additionally, the European Commission has not yet defined and formalized all of the final rules and regulations. The Company is still assessing the impact the EMU formation and euro implementation will have on its internal systems and the sale of its products. The Company expects to take appropriate actions based on the results of such assessment. The Company has not yet determined the costs related to addressing this issue and there can be no assurance that this issue and its related costs will not have a materially adverse effect on the Company's business, operating results and financial condition.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OUTLOOK</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Results for the nine months of fiscal 1999 are in line with the Company's long-term strategy for profitable growth. The performance in 1999 reflects the successful continuation of its primary growth drivers: to emphasize consumer-oriented marketing efforts to pull demand through its distribution channels, and to make strategic acquisitions to increase market share in global markets and within segments of the lawn and garden category. Restructuring charges taken in fiscal 1998 reflect the costs to integrate recent acquisitions and to exit businesses that are not strategically aligned with the Company's core businesses. Going forward, these actions should allow the Company to fully realize the operational synergies created by the acquisitions and to focus resources in businesses that provide opportunities for growth.</w:t>
      </w:r>
    </w:p>
    <w:p>
      <w:pPr>
        <w:spacing w:after="0" w:line="175" w:lineRule="exact"/>
        <w:rPr>
          <w:sz w:val="20"/>
          <w:szCs w:val="20"/>
          <w:color w:val="auto"/>
        </w:rPr>
      </w:pPr>
    </w:p>
    <w:p>
      <w:pPr>
        <w:ind w:right="3619"/>
        <w:spacing w:after="0" w:line="250" w:lineRule="auto"/>
        <w:rPr>
          <w:sz w:val="20"/>
          <w:szCs w:val="20"/>
          <w:color w:val="auto"/>
        </w:rPr>
      </w:pPr>
      <w:r>
        <w:rPr>
          <w:rFonts w:ascii="Courier New" w:cs="Courier New" w:eastAsia="Courier New" w:hAnsi="Courier New"/>
          <w:sz w:val="15"/>
          <w:szCs w:val="15"/>
          <w:color w:val="auto"/>
        </w:rPr>
        <w:t>Looking forward, the Company maintains the following broad tenets to its strategic plan:</w:t>
      </w:r>
    </w:p>
    <w:p>
      <w:pPr>
        <w:spacing w:after="0" w:line="175" w:lineRule="exact"/>
        <w:rPr>
          <w:sz w:val="20"/>
          <w:szCs w:val="20"/>
          <w:color w:val="auto"/>
        </w:rPr>
      </w:pPr>
    </w:p>
    <w:p>
      <w:pPr>
        <w:ind w:left="1280" w:right="2899" w:hanging="645"/>
        <w:spacing w:after="0" w:line="249" w:lineRule="auto"/>
        <w:tabs>
          <w:tab w:leader="none" w:pos="12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Promote and capitalize on the strengths of the Scotts(R), Miracle-Gro(R) and Hyponex(R) industry-leading brands, as well as those brands acquired in conjunction with the RPJ and Ortho transactions. This involves a commitment to investors and retail partners that the Company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351" w:lineRule="exact"/>
        <w:rPr>
          <w:rFonts w:ascii="Courier New" w:cs="Courier New" w:eastAsia="Courier New" w:hAnsi="Courier New"/>
          <w:sz w:val="15"/>
          <w:szCs w:val="15"/>
          <w:color w:val="auto"/>
        </w:rPr>
      </w:pPr>
    </w:p>
    <w:p>
      <w:pPr>
        <w:ind w:left="1280" w:right="2979" w:hanging="645"/>
        <w:spacing w:after="0" w:line="250" w:lineRule="auto"/>
        <w:tabs>
          <w:tab w:leader="none" w:pos="12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 to continuously study and improve knowledge of the market, the consumer and the competition;</w:t>
      </w:r>
    </w:p>
    <w:p>
      <w:pPr>
        <w:spacing w:after="0" w:line="174" w:lineRule="exact"/>
        <w:rPr>
          <w:rFonts w:ascii="Courier New" w:cs="Courier New" w:eastAsia="Courier New" w:hAnsi="Courier New"/>
          <w:sz w:val="15"/>
          <w:szCs w:val="15"/>
          <w:color w:val="auto"/>
        </w:rPr>
      </w:pPr>
    </w:p>
    <w:p>
      <w:pPr>
        <w:ind w:left="1280" w:right="3079" w:hanging="645"/>
        <w:spacing w:after="0" w:line="249" w:lineRule="auto"/>
        <w:tabs>
          <w:tab w:leader="none" w:pos="12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product lines and business processes, to focus on those that deliver value, evaluate marginal ones and eliminate those that lack future prospects; and</w:t>
      </w:r>
    </w:p>
    <w:p>
      <w:pPr>
        <w:spacing w:after="0" w:line="175" w:lineRule="exact"/>
        <w:rPr>
          <w:rFonts w:ascii="Courier New" w:cs="Courier New" w:eastAsia="Courier New" w:hAnsi="Courier New"/>
          <w:sz w:val="15"/>
          <w:szCs w:val="15"/>
          <w:color w:val="auto"/>
        </w:rPr>
      </w:pPr>
    </w:p>
    <w:p>
      <w:pPr>
        <w:ind w:left="1280" w:right="2979" w:hanging="645"/>
        <w:spacing w:after="0" w:line="250" w:lineRule="auto"/>
        <w:tabs>
          <w:tab w:leader="none" w:pos="12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world leadership in operations, leveraging technology and know-how to deliver outstanding customer service and quality.</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4" w:right="1440" w:bottom="1440" w:gutter="0" w:footer="0" w:header="0"/>
        </w:sectPr>
      </w:pPr>
    </w:p>
    <w:bookmarkStart w:id="28" w:name="page29"/>
    <w:bookmarkEnd w:id="28"/>
    <w:p>
      <w:pPr>
        <w:ind w:left="266"/>
        <w:spacing w:after="0"/>
        <w:rPr>
          <w:sz w:val="20"/>
          <w:szCs w:val="20"/>
          <w:color w:val="auto"/>
        </w:rPr>
      </w:pPr>
      <w:r>
        <w:rPr>
          <w:rFonts w:ascii="Courier New" w:cs="Courier New" w:eastAsia="Courier New" w:hAnsi="Courier New"/>
          <w:sz w:val="15"/>
          <w:szCs w:val="15"/>
          <w:color w:val="auto"/>
        </w:rPr>
        <w:t>28</w:t>
      </w:r>
    </w:p>
    <w:p>
      <w:pPr>
        <w:spacing w:after="0" w:line="6" w:lineRule="exact"/>
        <w:rPr>
          <w:sz w:val="20"/>
          <w:szCs w:val="20"/>
          <w:color w:val="auto"/>
        </w:rPr>
      </w:pPr>
    </w:p>
    <w:p>
      <w:pPr>
        <w:ind w:left="6" w:right="3539"/>
        <w:spacing w:after="0" w:line="250" w:lineRule="auto"/>
        <w:rPr>
          <w:sz w:val="20"/>
          <w:szCs w:val="20"/>
          <w:color w:val="auto"/>
        </w:rPr>
      </w:pPr>
      <w:r>
        <w:rPr>
          <w:rFonts w:ascii="Courier New" w:cs="Courier New" w:eastAsia="Courier New" w:hAnsi="Courier New"/>
          <w:sz w:val="15"/>
          <w:szCs w:val="15"/>
          <w:color w:val="auto"/>
        </w:rPr>
        <w:t>Within the Company's four-year strategic plan, management has established challenging, but realistic, financial goals, including:</w:t>
      </w:r>
    </w:p>
    <w:p>
      <w:pPr>
        <w:spacing w:after="0" w:line="175" w:lineRule="exact"/>
        <w:rPr>
          <w:sz w:val="20"/>
          <w:szCs w:val="20"/>
          <w:color w:val="auto"/>
        </w:rPr>
      </w:pPr>
    </w:p>
    <w:p>
      <w:pPr>
        <w:ind w:left="1286" w:hanging="645"/>
        <w:spacing w:after="0"/>
        <w:tabs>
          <w:tab w:leader="none" w:pos="128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growth of 8% to 10%;</w:t>
      </w:r>
    </w:p>
    <w:p>
      <w:pPr>
        <w:spacing w:after="0" w:line="182" w:lineRule="exact"/>
        <w:rPr>
          <w:rFonts w:ascii="Courier New" w:cs="Courier New" w:eastAsia="Courier New" w:hAnsi="Courier New"/>
          <w:sz w:val="15"/>
          <w:szCs w:val="15"/>
          <w:color w:val="auto"/>
        </w:rPr>
      </w:pPr>
    </w:p>
    <w:p>
      <w:pPr>
        <w:ind w:left="1286" w:hanging="645"/>
        <w:spacing w:after="0"/>
        <w:tabs>
          <w:tab w:leader="none" w:pos="128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operating margin improvement;</w:t>
      </w:r>
    </w:p>
    <w:p>
      <w:pPr>
        <w:spacing w:after="0" w:line="182" w:lineRule="exact"/>
        <w:rPr>
          <w:rFonts w:ascii="Courier New" w:cs="Courier New" w:eastAsia="Courier New" w:hAnsi="Courier New"/>
          <w:sz w:val="15"/>
          <w:szCs w:val="15"/>
          <w:color w:val="auto"/>
        </w:rPr>
      </w:pPr>
    </w:p>
    <w:p>
      <w:pPr>
        <w:ind w:left="1286" w:hanging="645"/>
        <w:spacing w:after="0"/>
        <w:tabs>
          <w:tab w:leader="none" w:pos="128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compounded annual EPS growth of 15%.</w:t>
      </w:r>
    </w:p>
    <w:p>
      <w:pPr>
        <w:spacing w:after="0" w:line="182" w:lineRule="exact"/>
        <w:rPr>
          <w:rFonts w:ascii="Courier New" w:cs="Courier New" w:eastAsia="Courier New" w:hAnsi="Courier New"/>
          <w:sz w:val="15"/>
          <w:szCs w:val="15"/>
          <w:color w:val="auto"/>
        </w:rPr>
      </w:pPr>
    </w:p>
    <w:p>
      <w:pPr>
        <w:ind w:left="1286" w:hanging="645"/>
        <w:spacing w:after="0"/>
        <w:tabs>
          <w:tab w:leader="none" w:pos="128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equity target of at least 15%</w:t>
      </w:r>
    </w:p>
    <w:p>
      <w:pPr>
        <w:spacing w:after="0" w:line="18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FORWARD-LOOKING STATEMENTS</w:t>
      </w:r>
    </w:p>
    <w:p>
      <w:pPr>
        <w:spacing w:after="0" w:line="18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The Company has made and will make certain forward-looking statements in its Annual Report, Form 10-K and in other contexts relating to future growth and profitability targets, and strategies designed to increase total shareholder value. The Private Securities Litigation Reform Act of 1995 (the "Act")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w:t>
      </w:r>
    </w:p>
    <w:p>
      <w:pPr>
        <w:spacing w:after="0" w:line="5" w:lineRule="exact"/>
        <w:rPr>
          <w:sz w:val="20"/>
          <w:szCs w:val="20"/>
          <w:color w:val="auto"/>
        </w:rPr>
      </w:pPr>
    </w:p>
    <w:p>
      <w:pPr>
        <w:ind w:left="6" w:right="3259"/>
        <w:spacing w:after="0" w:line="250" w:lineRule="auto"/>
        <w:rPr>
          <w:sz w:val="20"/>
          <w:szCs w:val="20"/>
          <w:color w:val="auto"/>
        </w:rPr>
      </w:pPr>
      <w:r>
        <w:rPr>
          <w:rFonts w:ascii="Courier New" w:cs="Courier New" w:eastAsia="Courier New" w:hAnsi="Courier New"/>
          <w:sz w:val="15"/>
          <w:szCs w:val="15"/>
          <w:color w:val="auto"/>
        </w:rPr>
        <w:t>The Company desires to take advantage of the "safe harbor" provisions of the Act.</w:t>
      </w:r>
    </w:p>
    <w:p>
      <w:pPr>
        <w:spacing w:after="0" w:line="175"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These forward-looking statements represent challenging goals for the Company, and the achievement thereof is subject to a variety of risks and assumptions, and numerous factors beyond the Company's control. These forward-looking statements include, but are not limited to, information regarding the future economic performance and financial condition of the Company, the plans and objectives of the Company's management, and the Company's assumptions regarding such performance and plans. Therefore, it is possible that the Company's future actual financial results may differ materially from those expressed in these forward-looking statements due to a variety of factors, including:</w:t>
      </w:r>
    </w:p>
    <w:p>
      <w:pPr>
        <w:spacing w:after="0" w:line="175" w:lineRule="exact"/>
        <w:rPr>
          <w:sz w:val="20"/>
          <w:szCs w:val="20"/>
          <w:color w:val="auto"/>
        </w:rPr>
      </w:pPr>
    </w:p>
    <w:p>
      <w:pPr>
        <w:ind w:left="646" w:right="2899" w:hanging="646"/>
        <w:spacing w:after="0" w:line="249" w:lineRule="auto"/>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Weather Conditions -- Adverse weather conditions could adversely impact financial results: Weather conditions in North America and Europe have a significant impact on the timing of sales in the spring selling season and overall annual sales. In particular, an abnormally cold spring throughout the United States could adversely affect the Company's financial results;</w:t>
      </w:r>
    </w:p>
    <w:p>
      <w:pPr>
        <w:spacing w:after="0" w:line="175" w:lineRule="exact"/>
        <w:rPr>
          <w:rFonts w:ascii="Courier New" w:cs="Courier New" w:eastAsia="Courier New" w:hAnsi="Courier New"/>
          <w:sz w:val="15"/>
          <w:szCs w:val="15"/>
          <w:color w:val="auto"/>
        </w:rPr>
      </w:pPr>
    </w:p>
    <w:p>
      <w:pPr>
        <w:ind w:left="646" w:right="2899" w:hanging="646"/>
        <w:spacing w:after="0" w:line="249" w:lineRule="auto"/>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Seasonality -- Historical seasonality could impair the Company's ability to make interest payments on indebtedness. Because the Company's products are used primarily in the spring and summer, the business is highly seasonal. Approximately 72% of sales occur in the second and third fiscal quarters. Working capital needs, and correspondingly borrowings, peak at the end of the first fiscal quarter during which the Company generates less revenues while incurring expenditures in preparation for the spring selling season. If the Company is unable to draw on the new credit facility when an interest payment is due on the other indebtedness, this seasonality could adversely affect the Company's ability to make interest payments as required by the other indebtedness. Adverse weather conditions could heighten this risk;</w:t>
      </w:r>
    </w:p>
    <w:p>
      <w:pPr>
        <w:spacing w:after="0" w:line="174" w:lineRule="exact"/>
        <w:rPr>
          <w:rFonts w:ascii="Courier New" w:cs="Courier New" w:eastAsia="Courier New" w:hAnsi="Courier New"/>
          <w:sz w:val="15"/>
          <w:szCs w:val="15"/>
          <w:color w:val="auto"/>
        </w:rPr>
      </w:pPr>
    </w:p>
    <w:p>
      <w:pPr>
        <w:ind w:left="646" w:right="2719" w:hanging="646"/>
        <w:spacing w:after="0" w:line="249" w:lineRule="auto"/>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Marketplace Acceptance of the Company's North American Consumer Groups' "Pull" Advertising Marketing Strategies - Acceptance is particularly important in the Consumer Lawns group which refocused its general marketing strategy beginning in fiscal 1996;</w:t>
      </w:r>
    </w:p>
    <w:p>
      <w:pPr>
        <w:spacing w:after="0" w:line="175" w:lineRule="exact"/>
        <w:rPr>
          <w:rFonts w:ascii="Courier New" w:cs="Courier New" w:eastAsia="Courier New" w:hAnsi="Courier New"/>
          <w:sz w:val="15"/>
          <w:szCs w:val="15"/>
          <w:color w:val="auto"/>
        </w:rPr>
      </w:pPr>
    </w:p>
    <w:p>
      <w:pPr>
        <w:ind w:left="646" w:right="2979" w:hanging="646"/>
        <w:spacing w:after="0" w:line="249" w:lineRule="auto"/>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Maintain Profit Margins On Its Products, To Produce Its Products On A Timely Basis, And To Maintain And Develop Additional Production Capacity As Necessary To Meet Demand;</w:t>
      </w:r>
    </w:p>
    <w:p>
      <w:pPr>
        <w:spacing w:after="0" w:line="175" w:lineRule="exact"/>
        <w:rPr>
          <w:rFonts w:ascii="Courier New" w:cs="Courier New" w:eastAsia="Courier New" w:hAnsi="Courier New"/>
          <w:sz w:val="15"/>
          <w:szCs w:val="15"/>
          <w:color w:val="auto"/>
        </w:rPr>
      </w:pPr>
    </w:p>
    <w:p>
      <w:pPr>
        <w:ind w:left="646" w:right="2979" w:hanging="646"/>
        <w:spacing w:after="0" w:line="250" w:lineRule="auto"/>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Among Lawn And Garden Care Product Producers Supplying The Consumer And Professional Markets, Both In North America And Europe;</w:t>
      </w:r>
    </w:p>
    <w:p>
      <w:pPr>
        <w:spacing w:after="0" w:line="174" w:lineRule="exact"/>
        <w:rPr>
          <w:rFonts w:ascii="Courier New" w:cs="Courier New" w:eastAsia="Courier New" w:hAnsi="Courier New"/>
          <w:sz w:val="15"/>
          <w:szCs w:val="15"/>
          <w:color w:val="auto"/>
        </w:rPr>
      </w:pPr>
    </w:p>
    <w:p>
      <w:pPr>
        <w:ind w:left="646" w:right="3179" w:hanging="646"/>
        <w:spacing w:after="0" w:line="250" w:lineRule="auto"/>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Between And The Recent Consolidation Within The Retail Outlets Selling Lawn And Garden Care Products Produced By The Company;</w:t>
      </w:r>
    </w:p>
    <w:p>
      <w:pPr>
        <w:spacing w:after="0" w:line="174" w:lineRule="exact"/>
        <w:rPr>
          <w:rFonts w:ascii="Courier New" w:cs="Courier New" w:eastAsia="Courier New" w:hAnsi="Courier New"/>
          <w:sz w:val="15"/>
          <w:szCs w:val="15"/>
          <w:color w:val="auto"/>
        </w:rPr>
      </w:pPr>
    </w:p>
    <w:p>
      <w:pPr>
        <w:ind w:left="646" w:right="3179" w:hanging="646"/>
        <w:spacing w:after="0" w:line="250" w:lineRule="auto"/>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Regarding The Safety Of The Products Produced And Marketed By The Company;</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5"/>
          </w:cols>
          <w:pgMar w:left="234" w:top="294" w:right="1440" w:bottom="1440" w:gutter="0" w:footer="0" w:header="0"/>
        </w:sectPr>
      </w:pPr>
    </w:p>
    <w:bookmarkStart w:id="29" w:name="page30"/>
    <w:bookmarkEnd w:id="29"/>
    <w:p>
      <w:pPr>
        <w:ind w:left="266"/>
        <w:spacing w:after="0"/>
        <w:rPr>
          <w:sz w:val="20"/>
          <w:szCs w:val="20"/>
          <w:color w:val="auto"/>
        </w:rPr>
      </w:pPr>
      <w:r>
        <w:rPr>
          <w:rFonts w:ascii="Courier New" w:cs="Courier New" w:eastAsia="Courier New" w:hAnsi="Courier New"/>
          <w:sz w:val="15"/>
          <w:szCs w:val="15"/>
          <w:color w:val="auto"/>
        </w:rPr>
        <w:t>29</w:t>
      </w:r>
    </w:p>
    <w:p>
      <w:pPr>
        <w:spacing w:after="0" w:line="6" w:lineRule="exact"/>
        <w:rPr>
          <w:sz w:val="20"/>
          <w:szCs w:val="20"/>
          <w:color w:val="auto"/>
        </w:rPr>
      </w:pPr>
    </w:p>
    <w:p>
      <w:pPr>
        <w:ind w:left="646" w:right="2899" w:hanging="646"/>
        <w:spacing w:after="0" w:line="248" w:lineRule="auto"/>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Associated With International Operations -- The Company's significant international operations make it more susceptible to fluctuations in currency exchange rates and to the costs of international regulation. The Company currently operates manufacturing, sales and service facilities outside of North America and particularly in the U.K., Germany and France. International operations have increased with the acquisitions of Levington, Miracle Garden Care and RPJ and will increase further through the Roundup(R) Marketing Agreement and the Ortho acquisition. In fiscal 1998, international sales accounted for approximately 18% of total sales. Therefore, the Company is subject to risks associated with operations in foreign countries, including fluctuations in currency exchange rates, the imposition of limitations on conversion of foreign currencies into dollars or remittance of dividends and other payments by foreign subsidiaries. Many foreign countries have tended to suffer from inflation more than the United States. In addition, by operating in a large number of countries, the Company incurs additional costs of compliance with local regulations. The Company has attempted to hedge some currency exchange rate risks, including by borrowing in local currencies, but such hedges do not eliminate the risk completely. The costs related to international operations could adversely affect operations and financial results in the future;</w:t>
      </w:r>
    </w:p>
    <w:p>
      <w:pPr>
        <w:spacing w:after="0" w:line="188" w:lineRule="exact"/>
        <w:rPr>
          <w:rFonts w:ascii="Courier New" w:cs="Courier New" w:eastAsia="Courier New" w:hAnsi="Courier New"/>
          <w:sz w:val="15"/>
          <w:szCs w:val="15"/>
          <w:color w:val="auto"/>
        </w:rPr>
      </w:pPr>
    </w:p>
    <w:p>
      <w:pPr>
        <w:ind w:left="646" w:right="2899" w:hanging="646"/>
        <w:spacing w:after="0" w:line="248" w:lineRule="auto"/>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New European Currency -- The implementation of the euro currency in certain European countries in 2002 could adversely impact the Company. In January 1999, a new currency called the "euro" began to be introduced in certain Economic and Monetary Union ("EMU") countries. During 2002, all EMU countries are expected to be operating with the euro as their single currency. Uncertainty exists as to the effects the euro currency will have on the marketplace. Additionally, all of the final rules and regulations have not yet been defined and finalized by the European Commission with regard to the euro currency. The Company is still assessing the impact the EMU formation will have on internal systems and the sale of products. The Company expects to take appropriate actions based on the results of such assessment. However, the Company has not yet determined the cost related to addressing this issue and there can be no assurance that this issue and its related costs will not have a materially adverse effect on operating results and financial condition;</w:t>
      </w:r>
    </w:p>
    <w:p>
      <w:pPr>
        <w:spacing w:after="0" w:line="185" w:lineRule="exact"/>
        <w:rPr>
          <w:rFonts w:ascii="Courier New" w:cs="Courier New" w:eastAsia="Courier New" w:hAnsi="Courier New"/>
          <w:sz w:val="15"/>
          <w:szCs w:val="15"/>
          <w:color w:val="auto"/>
        </w:rPr>
      </w:pPr>
    </w:p>
    <w:p>
      <w:pPr>
        <w:ind w:left="646" w:right="3079" w:hanging="646"/>
        <w:spacing w:after="0" w:line="250" w:lineRule="auto"/>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Economic Conditions In The United States And The Impact Of Changes In Interest Rates;</w:t>
      </w:r>
    </w:p>
    <w:p>
      <w:pPr>
        <w:spacing w:after="0" w:line="174"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-Addressing Year 2000 Issues -- The failure of the Company, or the failure</w:t>
      </w:r>
    </w:p>
    <w:p>
      <w:pPr>
        <w:spacing w:after="0" w:line="6" w:lineRule="exact"/>
        <w:rPr>
          <w:rFonts w:ascii="Courier New" w:cs="Courier New" w:eastAsia="Courier New" w:hAnsi="Courier New"/>
          <w:sz w:val="15"/>
          <w:szCs w:val="15"/>
          <w:color w:val="auto"/>
        </w:rPr>
      </w:pPr>
    </w:p>
    <w:p>
      <w:pPr>
        <w:ind w:left="64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third party suppliers or retailer customers, to address information technology issues related to the Year 2000 could adversely affect operations. Like other business entities, the Company must address the ability of its computer software applications and other business systems (e.g., embedded microchips) to properly identify the year 2000 due to a commonly used programming convention of using only two digits to identify a year. Unless modified or replaced, these systems could fail or create erroneous results when referencing the year 2000. While the Company is assessing the relevant issues related to the Year 2000 problem and has implemented a readiness program to mitigate the possibility of business interruption or other risks, the Company cannot be sure that it will have adequately addressed the issue, particularly with respect to recent and pending acquisitions. Moreover, the Company relies on third party suppliers for finished goods, raw materials, water, other utilities, transportation and a variety of other key services. If one or more of these suppliers fail to address the Year 2000 problem adequately, such suppliers' operations could be interrupted. Such interruption, in turn, could adversely affect the Company's operations. In addition, the failure of retailer customers adequately to address the Year 2000 problem could adversely affect financial results;</w:t>
      </w:r>
    </w:p>
    <w:p>
      <w:pPr>
        <w:spacing w:after="0" w:line="188" w:lineRule="exact"/>
        <w:rPr>
          <w:rFonts w:ascii="Courier New" w:cs="Courier New" w:eastAsia="Courier New" w:hAnsi="Courier New"/>
          <w:sz w:val="15"/>
          <w:szCs w:val="15"/>
          <w:color w:val="auto"/>
        </w:rPr>
      </w:pPr>
    </w:p>
    <w:p>
      <w:pPr>
        <w:ind w:left="646" w:right="2719" w:hanging="646"/>
        <w:spacing w:after="0" w:line="249" w:lineRule="auto"/>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Improve Processes And Business Practices To Keep Pace With The Economic, Competitive And Technological Environment, Including Successful Completion Of The Enterprise Resource Planning Project;</w:t>
      </w:r>
    </w:p>
    <w:p>
      <w:pPr>
        <w:spacing w:after="0" w:line="175" w:lineRule="exact"/>
        <w:rPr>
          <w:rFonts w:ascii="Courier New" w:cs="Courier New" w:eastAsia="Courier New" w:hAnsi="Courier New"/>
          <w:sz w:val="15"/>
          <w:szCs w:val="15"/>
          <w:color w:val="auto"/>
        </w:rPr>
      </w:pPr>
    </w:p>
    <w:p>
      <w:pPr>
        <w:ind w:left="646" w:right="2899" w:hanging="646"/>
        <w:spacing w:after="0" w:line="249" w:lineRule="auto"/>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Regulation -- Compliance with environmental and other public health regulations could result in the expenditure of significant capital resources. Local, state, federal and foreign laws and regulations relating to environmental matters affect the Company in several ways. All products containing pesticides must be registered with the United States Environmental Protection Agency ("United States EPA") (and in many cases, similar state and/or foreign agencies) before they can be sold. The inability to obtain or the cancellation of any such registration could have an adverse effect on the Company. The severity of the effect would depend on which products were involved, whether another product could be substituted and whether</w:t>
      </w:r>
    </w:p>
    <w:p>
      <w:pPr>
        <w:sectPr>
          <w:pgSz w:w="11900" w:h="16838" w:orient="portrait"/>
          <w:cols w:equalWidth="0" w:num="1">
            <w:col w:w="10225"/>
          </w:cols>
          <w:pgMar w:left="234" w:top="294" w:right="1440" w:bottom="1440" w:gutter="0" w:footer="0" w:header="0"/>
        </w:sectPr>
      </w:pP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5"/>
          </w:cols>
          <w:pgMar w:left="234" w:top="294" w:right="1440" w:bottom="1440" w:gutter="0" w:footer="0" w:header="0"/>
          <w:type w:val="continuous"/>
        </w:sectPr>
      </w:pPr>
    </w:p>
    <w:bookmarkStart w:id="30" w:name="page31"/>
    <w:bookmarkEnd w:id="30"/>
    <w:p>
      <w:pPr>
        <w:ind w:left="266"/>
        <w:spacing w:after="0"/>
        <w:rPr>
          <w:sz w:val="20"/>
          <w:szCs w:val="20"/>
          <w:color w:val="auto"/>
        </w:rPr>
      </w:pPr>
      <w:r>
        <w:rPr>
          <w:rFonts w:ascii="Courier New" w:cs="Courier New" w:eastAsia="Courier New" w:hAnsi="Courier New"/>
          <w:sz w:val="15"/>
          <w:szCs w:val="15"/>
          <w:color w:val="auto"/>
        </w:rPr>
        <w:t>30</w:t>
      </w:r>
    </w:p>
    <w:p>
      <w:pPr>
        <w:spacing w:after="0" w:line="6" w:lineRule="exact"/>
        <w:rPr>
          <w:sz w:val="20"/>
          <w:szCs w:val="20"/>
          <w:color w:val="auto"/>
        </w:rPr>
      </w:pPr>
    </w:p>
    <w:p>
      <w:pPr>
        <w:ind w:left="646" w:right="2899"/>
        <w:spacing w:after="0" w:line="248" w:lineRule="auto"/>
        <w:rPr>
          <w:sz w:val="20"/>
          <w:szCs w:val="20"/>
          <w:color w:val="auto"/>
        </w:rPr>
      </w:pPr>
      <w:r>
        <w:rPr>
          <w:rFonts w:ascii="Courier New" w:cs="Courier New" w:eastAsia="Courier New" w:hAnsi="Courier New"/>
          <w:sz w:val="15"/>
          <w:szCs w:val="15"/>
          <w:color w:val="auto"/>
        </w:rPr>
        <w:t>competitors were similarly affected. The Company attempts to anticipate regulatory developments and maintain registrations of, and access to, substitute chemicals, but may not always be able to avoid or minimize these risks. Regulations regarding the use of certain pesticide and fertilizer products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In addition, with the acquisitions of RPJ and Ortho, the Company has acquired many new pesticide product lines that are subject to additional regulations. Even if the Company is able to comply with all such regulations and obtain all necessary registrations, the Company cannot assure that its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364" w:lineRule="exact"/>
        <w:rPr>
          <w:sz w:val="20"/>
          <w:szCs w:val="20"/>
          <w:color w:val="auto"/>
        </w:rPr>
      </w:pPr>
    </w:p>
    <w:p>
      <w:pPr>
        <w:ind w:left="646" w:right="2899" w:hanging="646"/>
        <w:spacing w:after="0" w:line="248" w:lineRule="auto"/>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By Significant Shareholders -- The interests of the Miracle-Gro Shareholders could conflict with those of the other shareholders or noteholders. The Miracle-Gro Shareholders (through the Hagedorn Partnership, L.P.) beneficially own approximately 42% of the outstanding common shares of the Company on a fully diluted basis. While the merger agreement pursuant to which Scotts and Miracle-Gro merged places certain voting restrictions on the Miracle-Gro Shareholders through May 19, 2000, the Miracle-Gro Shareholders have the right to designate three members of the Company's Board of Directors and have the ability to veto significant corporate actions by the Company. In addition, after May 19, 2000, the Miracle-Gro Shareholders will be able to vote their shares without restriction and will be able to significantly control the election of directors and the approval of other actions requiring the approval of the Company's shareholders. The interests of the Miracle-Gro Shareholders could conflict with those of the Company's other shareholders or the holders of the Company issued notes;</w:t>
      </w:r>
    </w:p>
    <w:p>
      <w:pPr>
        <w:spacing w:after="0" w:line="185" w:lineRule="exact"/>
        <w:rPr>
          <w:rFonts w:ascii="Courier New" w:cs="Courier New" w:eastAsia="Courier New" w:hAnsi="Courier New"/>
          <w:sz w:val="15"/>
          <w:szCs w:val="15"/>
          <w:color w:val="auto"/>
        </w:rPr>
      </w:pPr>
    </w:p>
    <w:p>
      <w:pPr>
        <w:ind w:left="646" w:right="2979" w:hanging="646"/>
        <w:spacing w:after="0" w:line="249" w:lineRule="auto"/>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 Leverage -- The Company's substantial indebtedness could adversely affect the financial health of the Company and prevent the Company from fulfilling its obligations under certain indebtedness. As a result of the Notes offering, the Company has a significant amount of indebtedness. This substantial indebtedness could have important consequences. For example, it could:</w:t>
      </w:r>
    </w:p>
    <w:p>
      <w:pPr>
        <w:spacing w:after="0" w:line="175" w:lineRule="exact"/>
        <w:rPr>
          <w:rFonts w:ascii="Courier New" w:cs="Courier New" w:eastAsia="Courier New" w:hAnsi="Courier New"/>
          <w:sz w:val="15"/>
          <w:szCs w:val="15"/>
          <w:color w:val="auto"/>
        </w:rPr>
      </w:pPr>
    </w:p>
    <w:p>
      <w:pPr>
        <w:ind w:left="1286" w:right="3359" w:hanging="645"/>
        <w:spacing w:after="0" w:line="250" w:lineRule="auto"/>
        <w:tabs>
          <w:tab w:leader="none" w:pos="1286"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to satisfy obligations with respect to indebtedness;</w:t>
      </w:r>
    </w:p>
    <w:p>
      <w:pPr>
        <w:spacing w:after="0" w:line="174" w:lineRule="exact"/>
        <w:rPr>
          <w:rFonts w:ascii="Courier New" w:cs="Courier New" w:eastAsia="Courier New" w:hAnsi="Courier New"/>
          <w:sz w:val="15"/>
          <w:szCs w:val="15"/>
          <w:color w:val="auto"/>
        </w:rPr>
      </w:pPr>
    </w:p>
    <w:p>
      <w:pPr>
        <w:ind w:left="1286" w:right="3179" w:hanging="645"/>
        <w:spacing w:after="0" w:line="250" w:lineRule="auto"/>
        <w:tabs>
          <w:tab w:leader="none" w:pos="1286"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vulnerability to general adverse economic and industry conditions;</w:t>
      </w:r>
    </w:p>
    <w:p>
      <w:pPr>
        <w:spacing w:after="0" w:line="174" w:lineRule="exact"/>
        <w:rPr>
          <w:rFonts w:ascii="Courier New" w:cs="Courier New" w:eastAsia="Courier New" w:hAnsi="Courier New"/>
          <w:sz w:val="15"/>
          <w:szCs w:val="15"/>
          <w:color w:val="auto"/>
        </w:rPr>
      </w:pPr>
    </w:p>
    <w:p>
      <w:pPr>
        <w:ind w:left="1286" w:right="3259" w:hanging="645"/>
        <w:spacing w:after="0" w:line="249" w:lineRule="auto"/>
        <w:tabs>
          <w:tab w:leader="none" w:pos="1286"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ability to fund future working capital, capital expenditures, research and development costs and other general corporate requirements;</w:t>
      </w:r>
    </w:p>
    <w:p>
      <w:pPr>
        <w:spacing w:after="0" w:line="175" w:lineRule="exact"/>
        <w:rPr>
          <w:rFonts w:ascii="Courier New" w:cs="Courier New" w:eastAsia="Courier New" w:hAnsi="Courier New"/>
          <w:sz w:val="15"/>
          <w:szCs w:val="15"/>
          <w:color w:val="auto"/>
        </w:rPr>
      </w:pPr>
    </w:p>
    <w:p>
      <w:pPr>
        <w:ind w:left="1286" w:right="2899" w:hanging="645"/>
        <w:spacing w:after="0" w:line="249" w:lineRule="auto"/>
        <w:tabs>
          <w:tab w:leader="none" w:pos="1286"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the Company to dedicate a substantial portion of cash flow from operations to payments on indebtedness, thereby reducing the availability of cash flow to fund working capital, capital expenditures, research and development efforts and other general corporate purposes;</w:t>
      </w:r>
    </w:p>
    <w:p>
      <w:pPr>
        <w:spacing w:after="0" w:line="175" w:lineRule="exact"/>
        <w:rPr>
          <w:rFonts w:ascii="Courier New" w:cs="Courier New" w:eastAsia="Courier New" w:hAnsi="Courier New"/>
          <w:sz w:val="15"/>
          <w:szCs w:val="15"/>
          <w:color w:val="auto"/>
        </w:rPr>
      </w:pPr>
    </w:p>
    <w:p>
      <w:pPr>
        <w:ind w:left="1286" w:right="2979" w:hanging="645"/>
        <w:spacing w:after="0" w:line="250" w:lineRule="auto"/>
        <w:tabs>
          <w:tab w:leader="none" w:pos="1286"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flexibility in planning for, or reacting to, changes in the Company's business and the industry in which it operates;</w:t>
      </w:r>
    </w:p>
    <w:p>
      <w:pPr>
        <w:spacing w:after="0" w:line="174" w:lineRule="exact"/>
        <w:rPr>
          <w:rFonts w:ascii="Courier New" w:cs="Courier New" w:eastAsia="Courier New" w:hAnsi="Courier New"/>
          <w:sz w:val="15"/>
          <w:szCs w:val="15"/>
          <w:color w:val="auto"/>
        </w:rPr>
      </w:pPr>
    </w:p>
    <w:p>
      <w:pPr>
        <w:ind w:left="1286" w:right="3539" w:hanging="645"/>
        <w:spacing w:after="0" w:line="250" w:lineRule="auto"/>
        <w:tabs>
          <w:tab w:leader="none" w:pos="1286"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the Company at a competitive disadvantage compared to competitors that have less debt; and</w:t>
      </w:r>
    </w:p>
    <w:p>
      <w:pPr>
        <w:spacing w:after="0" w:line="174" w:lineRule="exact"/>
        <w:rPr>
          <w:rFonts w:ascii="Courier New" w:cs="Courier New" w:eastAsia="Courier New" w:hAnsi="Courier New"/>
          <w:sz w:val="15"/>
          <w:szCs w:val="15"/>
          <w:color w:val="auto"/>
        </w:rPr>
      </w:pPr>
    </w:p>
    <w:p>
      <w:pPr>
        <w:ind w:left="1286" w:right="2899" w:hanging="645"/>
        <w:spacing w:after="0" w:line="249" w:lineRule="auto"/>
        <w:tabs>
          <w:tab w:leader="none" w:pos="1286"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along with the financial and other restrictive covenants in the Company's indebtedness, among other things, the ability to borrow additional funds. And, failing to comply with those covenants could result in an event of default which, if not cured or waived, could have a material adverse effect on the Company;</w:t>
      </w:r>
    </w:p>
    <w:p>
      <w:pPr>
        <w:spacing w:after="0" w:line="175" w:lineRule="exact"/>
        <w:rPr>
          <w:rFonts w:ascii="Courier New" w:cs="Courier New" w:eastAsia="Courier New" w:hAnsi="Courier New"/>
          <w:sz w:val="15"/>
          <w:szCs w:val="15"/>
          <w:color w:val="auto"/>
        </w:rPr>
      </w:pPr>
    </w:p>
    <w:p>
      <w:pPr>
        <w:ind w:left="646" w:right="2899" w:hanging="646"/>
        <w:spacing w:after="0" w:line="249" w:lineRule="auto"/>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Borrowings Available -- Despite current indebtedness levels, the Company and its subsidiaries may be able to incur substantially more debt. This could further exacerbate the risks described above. The terms of the indenture do not fully prohibit the Company or its subsidiaries from doing so. If new debt is added to the Company and its subsidiaries' current debt levels, the related risks that the Company now face could intensify;</w:t>
      </w:r>
    </w:p>
    <w:p>
      <w:pPr>
        <w:sectPr>
          <w:pgSz w:w="11900" w:h="16838" w:orient="portrait"/>
          <w:cols w:equalWidth="0" w:num="1">
            <w:col w:w="10225"/>
          </w:cols>
          <w:pgMar w:left="234" w:top="294" w:right="1440" w:bottom="1440" w:gutter="0" w:footer="0" w:header="0"/>
        </w:sectPr>
      </w:pP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4" w:top="294" w:right="1440" w:bottom="1440" w:gutter="0" w:footer="0" w:header="0"/>
          <w:type w:val="continuous"/>
        </w:sectPr>
      </w:pPr>
    </w:p>
    <w:bookmarkStart w:id="31" w:name="page32"/>
    <w:bookmarkEnd w:id="31"/>
    <w:p>
      <w:pPr>
        <w:ind w:left="266"/>
        <w:spacing w:after="0"/>
        <w:rPr>
          <w:sz w:val="20"/>
          <w:szCs w:val="20"/>
          <w:color w:val="auto"/>
        </w:rPr>
      </w:pPr>
      <w:r>
        <w:rPr>
          <w:rFonts w:ascii="Courier New" w:cs="Courier New" w:eastAsia="Courier New" w:hAnsi="Courier New"/>
          <w:sz w:val="15"/>
          <w:szCs w:val="15"/>
          <w:color w:val="auto"/>
        </w:rPr>
        <w:t>31</w:t>
      </w:r>
    </w:p>
    <w:p>
      <w:pPr>
        <w:spacing w:after="0" w:line="6" w:lineRule="exact"/>
        <w:rPr>
          <w:sz w:val="20"/>
          <w:szCs w:val="20"/>
          <w:color w:val="auto"/>
        </w:rPr>
      </w:pPr>
    </w:p>
    <w:p>
      <w:pPr>
        <w:ind w:left="646" w:right="2899" w:hanging="646"/>
        <w:spacing w:after="0" w:line="248" w:lineRule="auto"/>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Service Debt -- To service indebtedness, the Company will require a significant amount of cash. The Company's ability to generate cash depends on many factors beyond its control. The ability to make payments on and to refinance indebtedness, and to fund planned capital expenditures and research and development efforts will depend on the ability to generate cash in the future. This, to a certain extent, is subject to general economic, financial, competitive, legislative, regulatory and other factors that are beyond the Company's control. Based on current level of operations and anticipated cost savings and operating improvements, the Company believes its cash flow from operations, available cash and available borrowings under the new credit facility will be adequate to meet its future liquidity needs for at least the next few years. The Company cannot assure, however, that its business will generate sufficient cash flow from operations, that currently anticipated cost savings and operating improvements will be realized on schedule or at all or that future borrowings will be available under the new credit facility in amounts sufficient to enable us to pay our indebtedness, or to fund other liquidity needs. The Company may need to refinance all or a portion of its indebtedness, on or before maturity. The Company cannot ensure that it will be able to refinance any of its indebtedness, on commercially reasonable terms or at all;</w:t>
      </w:r>
    </w:p>
    <w:p>
      <w:pPr>
        <w:spacing w:after="0" w:line="188" w:lineRule="exact"/>
        <w:rPr>
          <w:rFonts w:ascii="Courier New" w:cs="Courier New" w:eastAsia="Courier New" w:hAnsi="Courier New"/>
          <w:sz w:val="15"/>
          <w:szCs w:val="15"/>
          <w:color w:val="auto"/>
        </w:rPr>
      </w:pPr>
    </w:p>
    <w:p>
      <w:pPr>
        <w:ind w:left="646" w:right="2799" w:hanging="646"/>
        <w:spacing w:after="0" w:line="248" w:lineRule="auto"/>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-Integration Issues -- Inability to integrate the acquisitions made could prevent the Company from maximizing synergies and could adversely affect financial results. The Company has made several substantial acquisitions in the past four years. The Ortho acquisition represents the largest. The success of any completed acquisition depends, and the success of the Ortho acquisition will depend, on the ability to integrate effectively the acquired business. The Company believes that the RPJ acquisition and the Ortho acquisition provide significant cost saving opportunities. However, if the Company is not able to successfully integrate Ortho, RPJ or other acquisitions, the Company will not be able to maximize such cost saving opportunities. Rather, the failure to integrate such acquired businesses, because of difficulties in the assimilation of operations and products, the diversion of management's attention from other business concerns, the loss of key employees or other factors, could materially adversely affect financial results;</w:t>
      </w:r>
    </w:p>
    <w:p>
      <w:pPr>
        <w:spacing w:after="0" w:line="185" w:lineRule="exact"/>
        <w:rPr>
          <w:rFonts w:ascii="Courier New" w:cs="Courier New" w:eastAsia="Courier New" w:hAnsi="Courier New"/>
          <w:sz w:val="15"/>
          <w:szCs w:val="15"/>
          <w:color w:val="auto"/>
        </w:rPr>
      </w:pPr>
    </w:p>
    <w:p>
      <w:pPr>
        <w:ind w:left="646" w:right="2899" w:hanging="646"/>
        <w:spacing w:after="0" w:line="248" w:lineRule="auto"/>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Concentration -- Because of the concentration of sales to a small number of retail customers, the loss of one of the top 10 customers could adversely affect financial results. The Company's top 10 customers together accounted for approximately 50% of 1998 fiscal year sales and 27% of outstanding accounts receivable as of September 30, 1998. The top two customers, The Home Depot and Wal*Mart, represented approximately 17% and 10%, respectively, of our 1998 fiscal year sales and approximately 12% and 2%, respectively, of outstanding accounts receivable at September 30, 1998. The loss of, or reduction in orders from, The Home Depot, Wal*Mart or any other significant customer could have a material adverse effect on the Company and its financial results, as could customer disputes regarding shipments, fees, merchandise condition or related matters with, or the inability to collect accounts receivable from, any of such customers;</w:t>
      </w:r>
    </w:p>
    <w:p>
      <w:pPr>
        <w:spacing w:after="0" w:line="184" w:lineRule="exact"/>
        <w:rPr>
          <w:rFonts w:ascii="Courier New" w:cs="Courier New" w:eastAsia="Courier New" w:hAnsi="Courier New"/>
          <w:sz w:val="15"/>
          <w:szCs w:val="15"/>
          <w:color w:val="auto"/>
        </w:rPr>
      </w:pPr>
    </w:p>
    <w:p>
      <w:pPr>
        <w:ind w:left="646" w:right="2899" w:hanging="646"/>
        <w:spacing w:after="0" w:line="248" w:lineRule="auto"/>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Roundup(R) Marketing Agreement -- If Monsanto terminates the Roundup(R) marketing agreement without having to pay a termination fee, the Company would lose a substantial source of future earnings. Monsanto has the right to terminate the Roundup(R) Marketing Agreement either as a whole or within a particular region for certain events of default. If Monsanto rightfully terminates the Company pursuant to an event of default, the Company would not be entitled to any termination fee under the Roundup(R) Marketing Agreement and would lose the significant source of earnings that the Company believes the Roundup(R) Marketing Agreement provides. In addition, Monsanto may terminate the Company within a given region, including North America, without paying a termination fee, if sales decline on a consumer sell-through basis over a cumulative three program year period or if such sales decline by more than 5% for each of two consecutive program years, unless the Company can show, in effect, that such declines were not its fault;</w:t>
      </w:r>
    </w:p>
    <w:p>
      <w:pPr>
        <w:spacing w:after="0" w:line="185" w:lineRule="exact"/>
        <w:rPr>
          <w:rFonts w:ascii="Courier New" w:cs="Courier New" w:eastAsia="Courier New" w:hAnsi="Courier New"/>
          <w:sz w:val="15"/>
          <w:szCs w:val="15"/>
          <w:color w:val="auto"/>
        </w:rPr>
      </w:pPr>
    </w:p>
    <w:p>
      <w:pPr>
        <w:ind w:left="646" w:right="2899" w:hanging="646"/>
        <w:spacing w:after="0" w:line="249" w:lineRule="auto"/>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-Post-Patent Results of Roundup(R) in the United States -- The Company cannot predict the success of Roundup(R) after glyphosate ceases to be patented. Substantial new competition in the United States could adversely affect the Company. Glyphosate, the active ingredient in Roundup(R), is subject to a patent in the United States that expires in September 2000. Glyphosate is no longer subject to patent in the European Union and is not subject to patent in Canada. While sales of Roundup(R) in such countries have continued to increase despite the lack of a patent, sales in the United States may decline as a result of increased competition after the U.S. patent expires. Any such decline in sales would adversely affect the Company's net commission</w:t>
      </w:r>
    </w:p>
    <w:p>
      <w:pPr>
        <w:sectPr>
          <w:pgSz w:w="11900" w:h="16838" w:orient="portrait"/>
          <w:cols w:equalWidth="0" w:num="1">
            <w:col w:w="10225"/>
          </w:cols>
          <w:pgMar w:left="234" w:top="294" w:right="1440" w:bottom="1440" w:gutter="0" w:footer="0" w:header="0"/>
        </w:sectPr>
      </w:pP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5"/>
          </w:cols>
          <w:pgMar w:left="234" w:top="294" w:right="1440" w:bottom="1440" w:gutter="0" w:footer="0" w:header="0"/>
          <w:type w:val="continuous"/>
        </w:sectPr>
      </w:pPr>
    </w:p>
    <w:bookmarkStart w:id="32" w:name="page33"/>
    <w:bookmarkEnd w:id="32"/>
    <w:p>
      <w:pPr>
        <w:ind w:left="266"/>
        <w:spacing w:after="0"/>
        <w:rPr>
          <w:sz w:val="20"/>
          <w:szCs w:val="20"/>
          <w:color w:val="auto"/>
        </w:rPr>
      </w:pPr>
      <w:r>
        <w:rPr>
          <w:rFonts w:ascii="Courier New" w:cs="Courier New" w:eastAsia="Courier New" w:hAnsi="Courier New"/>
          <w:sz w:val="15"/>
          <w:szCs w:val="15"/>
          <w:color w:val="auto"/>
        </w:rPr>
        <w:t>32</w:t>
      </w:r>
    </w:p>
    <w:p>
      <w:pPr>
        <w:spacing w:after="0" w:line="6" w:lineRule="exact"/>
        <w:rPr>
          <w:sz w:val="20"/>
          <w:szCs w:val="20"/>
          <w:color w:val="auto"/>
        </w:rPr>
      </w:pPr>
    </w:p>
    <w:p>
      <w:pPr>
        <w:ind w:left="646" w:right="2899"/>
        <w:spacing w:after="0" w:line="249" w:lineRule="auto"/>
        <w:rPr>
          <w:sz w:val="20"/>
          <w:szCs w:val="20"/>
          <w:color w:val="auto"/>
        </w:rPr>
      </w:pPr>
      <w:r>
        <w:rPr>
          <w:rFonts w:ascii="Courier New" w:cs="Courier New" w:eastAsia="Courier New" w:hAnsi="Courier New"/>
          <w:sz w:val="15"/>
          <w:szCs w:val="15"/>
          <w:color w:val="auto"/>
        </w:rPr>
        <w:t>under the Roundup(R) Marketing Agreement and therefore financial results. Such a decline could also trigger Monsanto's regional termination right under the Roundup(R) Marketing Agreement.</w:t>
      </w:r>
    </w:p>
    <w:p>
      <w:pPr>
        <w:spacing w:after="0" w:line="176" w:lineRule="exact"/>
        <w:rPr>
          <w:sz w:val="20"/>
          <w:szCs w:val="20"/>
          <w:color w:val="auto"/>
        </w:rPr>
      </w:pPr>
    </w:p>
    <w:p>
      <w:pPr>
        <w:ind w:left="646" w:right="2719" w:hanging="646"/>
        <w:spacing w:after="0" w:line="250" w:lineRule="auto"/>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Government Review of the Non-Selective Herbicide Market under the Antitrust Laws Could Adversely Affect Financial Results.</w:t>
      </w:r>
    </w:p>
    <w:p>
      <w:pPr>
        <w:spacing w:after="0" w:line="175" w:lineRule="exact"/>
        <w:rPr>
          <w:sz w:val="20"/>
          <w:szCs w:val="20"/>
          <w:color w:val="auto"/>
        </w:rPr>
      </w:pPr>
    </w:p>
    <w:p>
      <w:pPr>
        <w:ind w:left="646" w:right="2899"/>
        <w:spacing w:after="0" w:line="249" w:lineRule="auto"/>
        <w:rPr>
          <w:sz w:val="20"/>
          <w:szCs w:val="20"/>
          <w:color w:val="auto"/>
        </w:rPr>
      </w:pPr>
      <w:r>
        <w:rPr>
          <w:rFonts w:ascii="Courier New" w:cs="Courier New" w:eastAsia="Courier New" w:hAnsi="Courier New"/>
          <w:sz w:val="15"/>
          <w:szCs w:val="15"/>
          <w:color w:val="auto"/>
        </w:rPr>
        <w:t>The Company understands that the Federal Trade Commission (the "FTC") is reviewing the non-selective herbicide market under the various antitrust laws of the United States. Pursuant to this review, the FTC has requested additional information from the Company regarding Roundup(R) and Finale(R), a brand of non-selective herbicide that was bought from AgrEvo Environmental Health, Inc. in May 1998, and information from Monsanto regarding Roundup(R). The Company has subsequently divested the Finale(R) business. Any modification of the Roundup Marketing Agreement, as a result of the FTC's review, could adversely affect financial results.</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5"/>
          </w:cols>
          <w:pgMar w:left="234" w:top="294"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82" w:lineRule="exact"/>
        <w:rPr>
          <w:sz w:val="20"/>
          <w:szCs w:val="20"/>
          <w:color w:val="auto"/>
        </w:rPr>
      </w:pPr>
    </w:p>
    <w:p>
      <w:pPr>
        <w:ind w:right="4200"/>
        <w:spacing w:after="0" w:line="249" w:lineRule="auto"/>
        <w:rPr>
          <w:sz w:val="20"/>
          <w:szCs w:val="20"/>
          <w:color w:val="auto"/>
        </w:rPr>
      </w:pPr>
      <w:r>
        <w:rPr>
          <w:rFonts w:ascii="Courier New" w:cs="Courier New" w:eastAsia="Courier New" w:hAnsi="Courier New"/>
          <w:sz w:val="15"/>
          <w:szCs w:val="15"/>
          <w:color w:val="auto"/>
        </w:rPr>
        <w:t>As part of its ongoing business, the Company is exposed to certain market risks, including fluctuations in interest rates, foreign currency exchange rates, commodity prices, and its common share price. The Company uses derivative financial and other instruments, where appropriate, to manage these risks. The Company does not enter into transactions designed to mitigate its market risks for trading or speculative purposes.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82" w:lineRule="exact"/>
        <w:rPr>
          <w:sz w:val="20"/>
          <w:szCs w:val="20"/>
          <w:color w:val="auto"/>
        </w:rPr>
      </w:pPr>
    </w:p>
    <w:p>
      <w:pPr>
        <w:ind w:right="4280"/>
        <w:spacing w:after="0" w:line="249" w:lineRule="auto"/>
        <w:rPr>
          <w:sz w:val="20"/>
          <w:szCs w:val="20"/>
          <w:color w:val="auto"/>
        </w:rPr>
      </w:pPr>
      <w:r>
        <w:rPr>
          <w:rFonts w:ascii="Courier New" w:cs="Courier New" w:eastAsia="Courier New" w:hAnsi="Courier New"/>
          <w:sz w:val="15"/>
          <w:szCs w:val="15"/>
          <w:color w:val="auto"/>
        </w:rPr>
        <w:t>The Company has various debt instruments outstanding at July 3, 1999 that are impacted by changes in interest rates. As a means of managing its interest rate risk on these debt instruments, the Company has entered into interest rate swap agreements to effectively convert certain variable rate debt obligations to fixed rates as follows:</w:t>
      </w:r>
    </w:p>
    <w:p>
      <w:pPr>
        <w:spacing w:after="0" w:line="176" w:lineRule="exact"/>
        <w:rPr>
          <w:sz w:val="20"/>
          <w:szCs w:val="20"/>
          <w:color w:val="auto"/>
        </w:rPr>
      </w:pPr>
    </w:p>
    <w:p>
      <w:pPr>
        <w:ind w:left="640" w:right="4280"/>
        <w:spacing w:after="0" w:line="249" w:lineRule="auto"/>
        <w:rPr>
          <w:sz w:val="20"/>
          <w:szCs w:val="20"/>
          <w:color w:val="auto"/>
        </w:rPr>
      </w:pPr>
      <w:r>
        <w:rPr>
          <w:rFonts w:ascii="Courier New" w:cs="Courier New" w:eastAsia="Courier New" w:hAnsi="Courier New"/>
          <w:sz w:val="15"/>
          <w:szCs w:val="15"/>
          <w:color w:val="auto"/>
        </w:rPr>
        <w:t>A 20 million British Pound Sterling notional amount swap used to convert obligations denominated in British Pounds Sterling to a fixed rate. The exchange rate used to convert British Pounds Sterling to U.S. dollars at July 3, 1999 was $1.58:1 GBP.</w:t>
      </w:r>
    </w:p>
    <w:p>
      <w:pPr>
        <w:spacing w:after="0" w:line="176" w:lineRule="exact"/>
        <w:rPr>
          <w:sz w:val="20"/>
          <w:szCs w:val="20"/>
          <w:color w:val="auto"/>
        </w:rPr>
      </w:pPr>
    </w:p>
    <w:p>
      <w:pPr>
        <w:ind w:left="640" w:right="4280"/>
        <w:spacing w:after="0" w:line="249" w:lineRule="auto"/>
        <w:rPr>
          <w:sz w:val="20"/>
          <w:szCs w:val="20"/>
          <w:color w:val="auto"/>
        </w:rPr>
      </w:pPr>
      <w:r>
        <w:rPr>
          <w:rFonts w:ascii="Courier New" w:cs="Courier New" w:eastAsia="Courier New" w:hAnsi="Courier New"/>
          <w:sz w:val="15"/>
          <w:szCs w:val="15"/>
          <w:color w:val="auto"/>
        </w:rPr>
        <w:t>Four interest rate swaps with a total notional amount of $105.0 million which are used to hedge certain variable-rate obligations under the Company's credit facility. The credit facility requires that the Company enter into hedge agreements to the extent necessary to provide that at least 50% of the aggregate principal amount of the senior subordinated notes and term loan facilities is subject to a fixed interest rate.</w:t>
      </w:r>
    </w:p>
    <w:p>
      <w:pPr>
        <w:spacing w:after="0" w:line="176" w:lineRule="exact"/>
        <w:rPr>
          <w:sz w:val="20"/>
          <w:szCs w:val="20"/>
          <w:color w:val="auto"/>
        </w:rPr>
      </w:pPr>
    </w:p>
    <w:p>
      <w:pPr>
        <w:ind w:right="4280"/>
        <w:spacing w:after="0" w:line="249" w:lineRule="auto"/>
        <w:rPr>
          <w:sz w:val="20"/>
          <w:szCs w:val="20"/>
          <w:color w:val="auto"/>
        </w:rPr>
      </w:pPr>
      <w:r>
        <w:rPr>
          <w:rFonts w:ascii="Courier New" w:cs="Courier New" w:eastAsia="Courier New" w:hAnsi="Courier New"/>
          <w:sz w:val="15"/>
          <w:szCs w:val="15"/>
          <w:color w:val="auto"/>
        </w:rPr>
        <w:t>The following table summarizes information about the Company's derivative financial instruments and its debt instruments that are sensitive to changes in interest rates as of July 3, 1999.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July 3, 1999. The information is presented in U.S. dollars (in millions):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EXPECTED MATURITY DATE</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6"/>
        </w:trPr>
        <w:tc>
          <w:tcPr>
            <w:tcW w:w="2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FAIR</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2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1999</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THEREAFTER</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TOTAL</w:t>
            </w:r>
          </w:p>
        </w:tc>
        <w:tc>
          <w:tcPr>
            <w:tcW w:w="380" w:type="dxa"/>
            <w:vAlign w:val="bottom"/>
          </w:tcPr>
          <w:p>
            <w:pPr>
              <w:spacing w:after="0"/>
              <w:rPr>
                <w:sz w:val="15"/>
                <w:szCs w:val="15"/>
                <w:color w:val="auto"/>
              </w:rPr>
            </w:pPr>
          </w:p>
        </w:tc>
        <w:tc>
          <w:tcPr>
            <w:tcW w:w="620" w:type="dxa"/>
            <w:vAlign w:val="bottom"/>
          </w:tcPr>
          <w:p>
            <w:pPr>
              <w:jc w:val="right"/>
              <w:ind w:right="84"/>
              <w:spacing w:after="0"/>
              <w:rPr>
                <w:sz w:val="20"/>
                <w:szCs w:val="20"/>
                <w:color w:val="auto"/>
              </w:rPr>
            </w:pPr>
            <w:r>
              <w:rPr>
                <w:rFonts w:ascii="Courier New" w:cs="Courier New" w:eastAsia="Courier New" w:hAnsi="Courier New"/>
                <w:sz w:val="15"/>
                <w:szCs w:val="15"/>
                <w:color w:val="auto"/>
                <w:w w:val="97"/>
              </w:rPr>
              <w:t>VALUE</w:t>
            </w:r>
          </w:p>
        </w:tc>
      </w:tr>
      <w:tr>
        <w:trPr>
          <w:trHeight w:val="176"/>
        </w:trPr>
        <w:tc>
          <w:tcPr>
            <w:tcW w:w="2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620" w:type="dxa"/>
            <w:vAlign w:val="bottom"/>
          </w:tcPr>
          <w:p>
            <w:pPr>
              <w:jc w:val="right"/>
              <w:ind w:right="84"/>
              <w:spacing w:after="0"/>
              <w:rPr>
                <w:sz w:val="20"/>
                <w:szCs w:val="20"/>
                <w:color w:val="auto"/>
              </w:rPr>
            </w:pPr>
            <w:r>
              <w:rPr>
                <w:rFonts w:ascii="Courier New" w:cs="Courier New" w:eastAsia="Courier New" w:hAnsi="Courier New"/>
                <w:sz w:val="15"/>
                <w:szCs w:val="15"/>
                <w:color w:val="auto"/>
                <w:w w:val="97"/>
              </w:rPr>
              <w:t>-----</w:t>
            </w: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Fixed rate debt</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(332.9)</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$(332.9)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(328.1)</w:t>
            </w:r>
          </w:p>
        </w:tc>
      </w:tr>
      <w:tr>
        <w:trPr>
          <w:trHeight w:val="176"/>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Average rate</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8.625%</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8.625%</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Variable rate debt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(1.5)</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$(25.0)</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(46.5)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(369.8)</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$(517.4)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(517.4)</w:t>
            </w: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Average rate</w:t>
            </w:r>
          </w:p>
        </w:tc>
        <w:tc>
          <w:tcPr>
            <w:tcW w:w="8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7.29%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6.85%</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6.79%</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6.79%</w:t>
            </w:r>
          </w:p>
        </w:tc>
        <w:tc>
          <w:tcPr>
            <w:tcW w:w="3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7.88%</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7.57%</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INTEREST-RATE</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DERIVATIVES:</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Interest rate swap</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(0.2)</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$(0.6)</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Average rate</w:t>
            </w:r>
          </w:p>
        </w:tc>
        <w:tc>
          <w:tcPr>
            <w:tcW w:w="8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7.62%</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7.62%</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7.62%</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Interest rate swap</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$ 0.3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$ 0.5</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$ 0.2</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0.8</w:t>
            </w: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Average rate</w:t>
            </w:r>
          </w:p>
        </w:tc>
        <w:tc>
          <w:tcPr>
            <w:tcW w:w="8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5.05%</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5.05%</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Interest rate swap</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$ 0.2</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$ 0.3</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$ 0.2</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Average rate</w:t>
            </w:r>
          </w:p>
        </w:tc>
        <w:tc>
          <w:tcPr>
            <w:tcW w:w="8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5.08%</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5.08%</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5.08%</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5.08%</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Interest rate swap</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$ 0.1</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$ 0.3</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$ 0.3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Average rate</w:t>
            </w:r>
          </w:p>
        </w:tc>
        <w:tc>
          <w:tcPr>
            <w:tcW w:w="8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5.11%</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5.11%</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5.11%</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5.11%</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5.11%</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52"/>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Interest rate swap</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$ 0.2</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$ 0.3</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$ 0.3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w:t>
            </w:r>
          </w:p>
        </w:tc>
        <w:tc>
          <w:tcPr>
            <w:tcW w:w="1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Average rate</w:t>
            </w:r>
          </w:p>
        </w:tc>
        <w:tc>
          <w:tcPr>
            <w:tcW w:w="8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5.18%</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5.18%</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5.18%</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5.18%</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5.18%</w:t>
            </w:r>
          </w:p>
        </w:tc>
        <w:tc>
          <w:tcPr>
            <w:tcW w:w="3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5.18%</w:t>
            </w: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529"/>
        </w:trPr>
        <w:tc>
          <w:tcPr>
            <w:tcW w:w="2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520"/>
          </w:cols>
          <w:pgMar w:left="240" w:top="294" w:right="139"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January 21, 1999, Scotts issued $330 million of Senior Subordinated</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Notes due in 2009 bearing interest at 8.625%, retired approximately 97% of its $100.0 million Senior Subordinated Notes then outstanding and unwound its then outstanding interest rate locks. See additional discussion of the Company's indebtedness in "Liquidity and Capital Resources" in "ITEM 2. MANAGEMENT'S DISCUSSION AND ANALYSIS OF FINANCIAL CONDITION AND RESULTS OF OPERATIONS".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4"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PART II - OTHER INFORMATION</w:t>
      </w:r>
    </w:p>
    <w:p>
      <w:pPr>
        <w:spacing w:after="0" w:line="18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See Footnote 9 to the Condensed, Consolidated Financial Statements.</w:t>
      </w:r>
    </w:p>
    <w:p>
      <w:pPr>
        <w:spacing w:after="0" w:line="18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2" w:lineRule="exact"/>
        <w:rPr>
          <w:sz w:val="20"/>
          <w:szCs w:val="20"/>
          <w:color w:val="auto"/>
        </w:rPr>
      </w:pPr>
    </w:p>
    <w:p>
      <w:pPr>
        <w:ind w:left="1000" w:right="3359"/>
        <w:spacing w:after="0" w:line="250" w:lineRule="auto"/>
        <w:rPr>
          <w:sz w:val="20"/>
          <w:szCs w:val="20"/>
          <w:color w:val="auto"/>
        </w:rPr>
      </w:pPr>
      <w:r>
        <w:rPr>
          <w:rFonts w:ascii="Courier New" w:cs="Courier New" w:eastAsia="Courier New" w:hAnsi="Courier New"/>
          <w:sz w:val="15"/>
          <w:szCs w:val="15"/>
          <w:color w:val="auto"/>
        </w:rPr>
        <w:t>See Exhibit Index at page 37 for a list of the exhibits included herewith.</w:t>
      </w:r>
    </w:p>
    <w:p>
      <w:pPr>
        <w:spacing w:after="0" w:line="175" w:lineRule="exact"/>
        <w:rPr>
          <w:sz w:val="20"/>
          <w:szCs w:val="20"/>
          <w:color w:val="auto"/>
        </w:rPr>
      </w:pPr>
    </w:p>
    <w:p>
      <w:pPr>
        <w:ind w:left="1000" w:right="3259"/>
        <w:spacing w:after="0" w:line="248" w:lineRule="auto"/>
        <w:rPr>
          <w:sz w:val="20"/>
          <w:szCs w:val="20"/>
          <w:color w:val="auto"/>
        </w:rPr>
      </w:pPr>
      <w:r>
        <w:rPr>
          <w:rFonts w:ascii="Courier New" w:cs="Courier New" w:eastAsia="Courier New" w:hAnsi="Courier New"/>
          <w:sz w:val="15"/>
          <w:szCs w:val="15"/>
          <w:color w:val="auto"/>
        </w:rPr>
        <w:t>No reports on Form 8-K were filed during the fiscal quarter ended July 3, 1999</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4"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jc w:val="both"/>
        <w:ind w:right="3619"/>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17, 1999</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Christopher L. Nagel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Acting Chief Financial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Corporate Controller</w:t>
      </w:r>
    </w:p>
    <w:p>
      <w:pPr>
        <w:spacing w:after="0" w:line="182" w:lineRule="exact"/>
        <w:rPr>
          <w:sz w:val="20"/>
          <w:szCs w:val="20"/>
          <w:color w:val="auto"/>
        </w:rPr>
      </w:pPr>
    </w:p>
    <w:p>
      <w:pPr>
        <w:sectPr>
          <w:pgSz w:w="11900" w:h="16838" w:orient="portrait"/>
          <w:cols w:equalWidth="0" w:num="2">
            <w:col w:w="3040" w:space="720"/>
            <w:col w:w="6459"/>
          </w:cols>
          <w:pgMar w:left="240" w:top="294"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4"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SCOTTS COMPANY QUARTERLY REPORT ON FORM 10-Q FOR FISCAL QUARTER ENDED</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JULY 3, 1999</w:t>
      </w:r>
    </w:p>
    <w:p>
      <w:pPr>
        <w:spacing w:after="0" w:line="35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94" w:right="1440" w:bottom="1440" w:gutter="0" w:footer="0" w:header="0"/>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NUMBER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NUMBER</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3">
            <w:col w:w="2480" w:space="720"/>
            <w:col w:w="2400" w:space="720"/>
            <w:col w:w="389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4" w:lineRule="exact"/>
        <w:rPr>
          <w:sz w:val="20"/>
          <w:szCs w:val="20"/>
          <w:color w:val="auto"/>
        </w:rPr>
      </w:pPr>
    </w:p>
    <w:p>
      <w:pPr>
        <w:sectPr>
          <w:pgSz w:w="11900" w:h="16838" w:orient="portrait"/>
          <w:cols w:equalWidth="0" w:num="3">
            <w:col w:w="1560" w:space="720"/>
            <w:col w:w="3780" w:space="720"/>
            <w:col w:w="343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*Filed herewith</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4" w:right="1440" w:bottom="1440" w:gutter="0" w:footer="0" w:header="0"/>
          <w:type w:val="continuous"/>
        </w:sectPr>
      </w:pPr>
    </w:p>
    <w:bookmarkStart w:id="38" w:name="page39"/>
    <w:bookmarkEnd w:id="38"/>
    <w:p>
      <w:pPr>
        <w:ind w:left="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right="3139"/>
        <w:spacing w:after="0" w:line="249"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AND CONSOLIDATED STATEMENT OF OPERATIONS OF THE SCOTTS COMPANY AND IS QUALIFIED IN ITS ENTIRETY BY REFERENCE TO THE FORM 10-Q FOR THE QUARTER ENDED JULY 3, 1999.</w:t>
      </w:r>
    </w:p>
    <w:p>
      <w:pPr>
        <w:spacing w:after="0" w:line="200" w:lineRule="exact"/>
        <w:rPr>
          <w:sz w:val="20"/>
          <w:szCs w:val="20"/>
          <w:color w:val="auto"/>
        </w:rPr>
      </w:pPr>
    </w:p>
    <w:p>
      <w:pPr>
        <w:spacing w:after="0" w:line="328"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3-MOS</w:t>
      </w:r>
    </w:p>
    <w:p>
      <w:pPr>
        <w:spacing w:after="0" w:line="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SEP-30-1999</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APR-03-1999</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JUL-03-1999</w:t>
      </w:r>
    </w:p>
    <w:p>
      <w:pPr>
        <w:spacing w:after="0" w:line="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34,200,000</w:t>
      </w:r>
    </w:p>
    <w:p>
      <w:pPr>
        <w:spacing w:after="0" w:line="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334,700,000</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(15,500,000)</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281,100,000</w:t>
      </w:r>
    </w:p>
    <w:p>
      <w:pPr>
        <w:spacing w:after="0" w:line="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692,800,000</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408,600,000</w:t>
      </w:r>
    </w:p>
    <w:p>
      <w:pPr>
        <w:spacing w:after="0" w:line="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(167,300,000)</w:t>
      </w:r>
    </w:p>
    <w:p>
      <w:pPr>
        <w:spacing w:after="0" w:line="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1,769,500,000</w:t>
      </w:r>
    </w:p>
    <w:p>
      <w:pPr>
        <w:spacing w:after="0" w:line="6"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391,000,000</w:t>
      </w:r>
    </w:p>
    <w:p>
      <w:pPr>
        <w:spacing w:after="0" w:line="6"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176,700,000</w:t>
      </w:r>
    </w:p>
    <w:p>
      <w:pPr>
        <w:spacing w:after="0" w:line="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200,000</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289,000,000</w:t>
      </w:r>
    </w:p>
    <w:p>
      <w:pPr>
        <w:spacing w:after="0" w:line="6"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1,769,500,000</w:t>
      </w:r>
    </w:p>
    <w:p>
      <w:pPr>
        <w:spacing w:after="0" w:line="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586,200,000</w:t>
      </w:r>
    </w:p>
    <w:p>
      <w:pPr>
        <w:spacing w:after="0" w:line="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596,100,000</w:t>
      </w:r>
    </w:p>
    <w:p>
      <w:pPr>
        <w:spacing w:after="0" w:line="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349,800,000</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501,300,000</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(300,000)</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800,000</w:t>
      </w:r>
    </w:p>
    <w:p>
      <w:pPr>
        <w:spacing w:after="0" w:line="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24,600,000</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70,500,000</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28,900,000</w:t>
      </w:r>
    </w:p>
    <w:p>
      <w:pPr>
        <w:spacing w:after="0" w:line="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41,600,000</w:t>
      </w:r>
    </w:p>
    <w:p>
      <w:pPr>
        <w:spacing w:after="0" w:line="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41,600,000</w:t>
      </w:r>
    </w:p>
    <w:p>
      <w:pPr>
        <w:spacing w:after="0" w:line="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2.14</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1.35</w:t>
      </w:r>
    </w:p>
    <w:sectPr>
      <w:pgSz w:w="11900" w:h="16838" w:orient="portrait"/>
      <w:cols w:equalWidth="0" w:num="1">
        <w:col w:w="10199"/>
      </w:cols>
      <w:pgMar w:left="260" w:top="4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1"/>
    </w:lvl>
    <w:lvl w:ilvl="1">
      <w:lvlJc w:val="left"/>
      <w:lvlText w:val="%2."/>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o"/>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lvl w:ilvl="1">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2020-02-22T14:49:24Z</dcterms:created>
  <dcterms:modified xsi:type="dcterms:W3CDTF">2020-02-22T14:49:24Z</dcterms:modified>
</cp:coreProperties>
</file>