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50"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FORM 8-K/A</w:t>
      </w:r>
    </w:p>
    <w:p>
      <w:pPr>
        <w:spacing w:after="0" w:line="35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CURRENT REPORT</w:t>
      </w:r>
    </w:p>
    <w:p>
      <w:pPr>
        <w:spacing w:after="0" w:line="177"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50"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September 13, 2002</w:t>
      </w:r>
    </w:p>
    <w:p>
      <w:pPr>
        <w:spacing w:after="0" w:line="350"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3"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OHIO</w:t>
            </w: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1-11593</w:t>
            </w:r>
          </w:p>
        </w:tc>
        <w:tc>
          <w:tcPr>
            <w:tcW w:w="2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31-1414921</w:t>
            </w:r>
          </w:p>
        </w:tc>
      </w:tr>
      <w:tr>
        <w:trPr>
          <w:trHeight w:val="173"/>
        </w:trPr>
        <w:tc>
          <w:tcPr>
            <w:tcW w:w="3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(STATE OR OTHER JURISDICTION</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(COMMISSION FILE</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30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OF INCORPORATION)</w:t>
            </w: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IDENTIFICATION NO.)</w:t>
            </w:r>
          </w:p>
        </w:tc>
      </w:tr>
    </w:tbl>
    <w:p>
      <w:pPr>
        <w:spacing w:after="0" w:line="35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14111 SCOTTSLAWN ROAD, MARYSVILLE, OH 43041</w:t>
      </w:r>
    </w:p>
    <w:p>
      <w:pPr>
        <w:spacing w:after="0" w:line="3"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Registrant's telephone number, including area code (937) 644-0011</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Not Applicable</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19"/>
          </w:cols>
          <w:pgMar w:left="240" w:top="58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ITEM 5. OTHER EVENTS</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Subsequent to the issuance of the Company's financial statements for the year ended September 30, 2001, the Company reissued its financial statements on Form 8-K with the Securities and Exchange Commission on June 24, 2002. The Form 8-K contained the Items from the Company's Form 10-K for the year ended September 30, 2001 that were being revised to reflect retroactive income statement classification and disclosure changes required upon the adoption of EITF 00-25, Vendor Income Statement Characterization of Consideration Paid to a Reseller of the Vendor's Products, in the quarter ended December 29, 2001 and certain other matters noted below. That filing is being amended for additional reclassifications to reflect additional cooperative advertising costs as reductions to net sales and additional reclassifications of internal marketing costs previously reported as advertising and promotion to selling, general and administrative to achieve the Company's objective of reporting only external media costs as advertising expenses. (See Note 25 to Consolidated Financial Statements)</w:t>
      </w:r>
    </w:p>
    <w:p>
      <w:pPr>
        <w:spacing w:after="0" w:line="183"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As previously reported in our report on Form 10-Q for the quarter ended December 29, 2001, the Company changed its reportable segments effective October 1, 2001. The consolidated financial statements as of and for the year ended September 30, 2001, 2000, and 1999 included in this form 8-K/A reflect the new basis of segment reporting. (See Note 20 to Consolidated Financial Statements)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2001, the FASB issued Statement of Accounting Standard No. 142, "Goodwill and Other Intangible Assets." The Company adopted SFAS No. 142 effective October 1, 2001. Note 24 of the consolidated financial statements as of and for the years ended September 30, 2001, 2000, and 1999 included in this Form 8-K/A has been added to reconcile the income available to common shareholders as previously reported in the Company's Form 10-K to the adjusted income available to common shareholders and related earnings per share as if the provisions of Statement 142 had been adopted as of the earliest period presented. (See Note 24 to Consolidated Financial Statements)</w:t>
      </w:r>
    </w:p>
    <w:p>
      <w:pPr>
        <w:spacing w:after="0" w:line="200" w:lineRule="exact"/>
        <w:rPr>
          <w:sz w:val="20"/>
          <w:szCs w:val="20"/>
          <w:color w:val="auto"/>
        </w:rPr>
      </w:pPr>
    </w:p>
    <w:p>
      <w:pPr>
        <w:spacing w:after="0" w:line="32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FINANCIAL STATEMENT AND EXHIBITS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77" w:lineRule="exact"/>
        <w:rPr>
          <w:sz w:val="20"/>
          <w:szCs w:val="20"/>
          <w:color w:val="auto"/>
        </w:rPr>
      </w:pPr>
    </w:p>
    <w:p>
      <w:pPr>
        <w:ind w:left="1160" w:hanging="356"/>
        <w:spacing w:after="0"/>
        <w:tabs>
          <w:tab w:leader="none" w:pos="11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1160"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3 for a list of exhibits included herewith.</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September 13, 2002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CHRISTOPHER L. NAGEL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Christopher L. Nagel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Accounting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Senior Vice President of Finance,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Corporate North America</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2">
            <w:col w:w="2780" w:space="720"/>
            <w:col w:w="6719"/>
          </w:cols>
          <w:pgMar w:left="240" w:top="638"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638" w:right="1440" w:bottom="1440" w:gutter="0" w:footer="0" w:header="0"/>
          <w:type w:val="continuous"/>
        </w:sectPr>
      </w:pPr>
    </w:p>
    <w:bookmarkStart w:id="2" w:name="page3"/>
    <w:bookmarkEnd w:id="2"/>
    <w:p>
      <w:pPr>
        <w:jc w:val="center"/>
        <w:ind w:right="3019"/>
        <w:spacing w:after="0"/>
        <w:rPr>
          <w:sz w:val="20"/>
          <w:szCs w:val="20"/>
          <w:color w:val="auto"/>
        </w:rPr>
      </w:pPr>
      <w:r>
        <w:rPr>
          <w:rFonts w:ascii="Courier New" w:cs="Courier New" w:eastAsia="Courier New" w:hAnsi="Courier New"/>
          <w:sz w:val="15"/>
          <w:szCs w:val="15"/>
          <w:color w:val="auto"/>
        </w:rPr>
        <w:t>THE SCOTTS COMPANY</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Current Report on Form 8-K/A</w:t>
      </w:r>
    </w:p>
    <w:p>
      <w:pPr>
        <w:spacing w:after="0" w:line="18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46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1160" w:space="180"/>
            <w:col w:w="3800" w:space="720"/>
            <w:col w:w="4359"/>
          </w:cols>
          <w:pgMar w:left="240" w:top="46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ind w:right="100"/>
        <w:spacing w:after="0" w:line="243" w:lineRule="auto"/>
        <w:rPr>
          <w:sz w:val="20"/>
          <w:szCs w:val="20"/>
          <w:color w:val="auto"/>
        </w:rPr>
      </w:pPr>
      <w:r>
        <w:rPr>
          <w:rFonts w:ascii="Courier New" w:cs="Courier New" w:eastAsia="Courier New" w:hAnsi="Courier New"/>
          <w:sz w:val="15"/>
          <w:szCs w:val="15"/>
          <w:color w:val="auto"/>
        </w:rPr>
        <w:t>Annual Report on Form 10-K for the Year Ended September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71" w:lineRule="exact"/>
        <w:rPr>
          <w:sz w:val="20"/>
          <w:szCs w:val="20"/>
          <w:color w:val="auto"/>
        </w:rPr>
      </w:pPr>
    </w:p>
    <w:p>
      <w:pPr>
        <w:sectPr>
          <w:pgSz w:w="11900" w:h="16838" w:orient="portrait"/>
          <w:cols w:equalWidth="0" w:num="3">
            <w:col w:w="620" w:space="720"/>
            <w:col w:w="4160" w:space="720"/>
            <w:col w:w="3999"/>
          </w:cols>
          <w:pgMar w:left="240" w:top="46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1" w:lineRule="exact"/>
        <w:rPr>
          <w:sz w:val="20"/>
          <w:szCs w:val="20"/>
          <w:color w:val="auto"/>
        </w:rPr>
      </w:pPr>
    </w:p>
    <w:p>
      <w:pPr>
        <w:sectPr>
          <w:pgSz w:w="11900" w:h="16838" w:orient="portrait"/>
          <w:cols w:equalWidth="0" w:num="3">
            <w:col w:w="620" w:space="720"/>
            <w:col w:w="4160" w:space="720"/>
            <w:col w:w="3999"/>
          </w:cols>
          <w:pgMar w:left="240" w:top="464"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464" w:right="1440" w:bottom="1440" w:gutter="0" w:footer="0" w:header="0"/>
          <w:type w:val="continuous"/>
        </w:sectPr>
      </w:pPr>
    </w:p>
    <w:bookmarkStart w:id="3" w:name="page4"/>
    <w:bookmarkEnd w:id="3"/>
    <w:p>
      <w:pPr>
        <w:ind w:left="6308"/>
        <w:spacing w:after="0"/>
        <w:rPr>
          <w:sz w:val="20"/>
          <w:szCs w:val="20"/>
          <w:color w:val="auto"/>
        </w:rPr>
      </w:pPr>
      <w:r>
        <w:rPr>
          <w:rFonts w:ascii="Courier New" w:cs="Courier New" w:eastAsia="Courier New" w:hAnsi="Courier New"/>
          <w:sz w:val="15"/>
          <w:szCs w:val="15"/>
          <w:color w:val="auto"/>
        </w:rPr>
        <w:t>Exhibit 13</w:t>
      </w:r>
    </w:p>
    <w:p>
      <w:pPr>
        <w:spacing w:after="0" w:line="350"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77" w:lineRule="exact"/>
        <w:rPr>
          <w:sz w:val="20"/>
          <w:szCs w:val="20"/>
          <w:color w:val="auto"/>
        </w:rPr>
      </w:pPr>
    </w:p>
    <w:p>
      <w:pPr>
        <w:jc w:val="center"/>
        <w:ind w:right="4132"/>
        <w:spacing w:after="0"/>
        <w:rPr>
          <w:sz w:val="20"/>
          <w:szCs w:val="20"/>
          <w:color w:val="auto"/>
        </w:rPr>
      </w:pPr>
      <w:r>
        <w:rPr>
          <w:rFonts w:ascii="Courier New" w:cs="Courier New" w:eastAsia="Courier New" w:hAnsi="Courier New"/>
          <w:sz w:val="15"/>
          <w:szCs w:val="15"/>
          <w:color w:val="auto"/>
        </w:rPr>
        <w:t>FIVE YEAR SUMMARY</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FOR THE FISCAL YEAR ENDED SEPTEMBER 30,</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2001(1)</w:t>
            </w:r>
          </w:p>
        </w:tc>
        <w:tc>
          <w:tcPr>
            <w:tcW w:w="30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1999(2)</w:t>
            </w:r>
          </w:p>
        </w:tc>
        <w:tc>
          <w:tcPr>
            <w:tcW w:w="360" w:type="dxa"/>
            <w:vAlign w:val="bottom"/>
          </w:tcPr>
          <w:p>
            <w:pPr>
              <w:spacing w:after="0"/>
              <w:rPr>
                <w:sz w:val="14"/>
                <w:szCs w:val="14"/>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1998(3)</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1997(4)</w:t>
            </w:r>
          </w:p>
        </w:tc>
      </w:tr>
      <w:tr>
        <w:trPr>
          <w:trHeight w:val="173"/>
        </w:trPr>
        <w:tc>
          <w:tcPr>
            <w:tcW w:w="482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Net sales(7)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1,655.4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1,550.6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1,066.0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857.8</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Gross profit(8)</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597.2</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603.0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563.3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351.0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284.2</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Income from operations(5)</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116.4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210.2</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196.1</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94.1</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94.8</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Income before extraordinary items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69.1</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Income applicable to common shareholders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53.5</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26.5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63.6</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56.2</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34.5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249.1</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234.1</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274.8</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135.3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property, plant and equipment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41.3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310.7</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290.5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259.4</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197.0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1,843.0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1,761.4</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1,769.6</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1,035.2</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787.6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debt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887.8</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862.8</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950.0</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372.5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221.3</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506.2</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477.9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443.3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403.9</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389.2</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78.2</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71.0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(89.5)</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(571.6)</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(192.1)</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(78.2)</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513.9</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118.4</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Operating margin</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Current ratio</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debt to total book capitalization</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63.7%</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64.3%</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68.2%</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Return on average shareholders' equity</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0.51</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Price to diluted earnings per share,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end of period</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66.9</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25.5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Stock price at year-end</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34.10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33.50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30.63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Stock price range--High</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47.10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42.00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47.63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41.38</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Stock price range--Low</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28.88</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29.44</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26.25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17.75</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EBITDA(6)</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271.2</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128.6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EBITDA margin(6)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Interest coverage (EBITDA/interest expense)(6)</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Average common shares outstanding</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used in diluted earnings per common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share calculation</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30.5</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bl>
    <w:p>
      <w:pPr>
        <w:spacing w:after="0" w:line="200" w:lineRule="exact"/>
        <w:rPr>
          <w:sz w:val="20"/>
          <w:szCs w:val="20"/>
          <w:color w:val="auto"/>
        </w:rPr>
      </w:pPr>
    </w:p>
    <w:p>
      <w:pPr>
        <w:spacing w:after="0" w:line="324" w:lineRule="exact"/>
        <w:rPr>
          <w:sz w:val="20"/>
          <w:szCs w:val="20"/>
          <w:color w:val="auto"/>
        </w:rPr>
      </w:pPr>
    </w:p>
    <w:p>
      <w:pPr>
        <w:ind w:left="808" w:right="4960" w:hanging="799"/>
        <w:spacing w:after="0" w:line="243" w:lineRule="auto"/>
        <w:tabs>
          <w:tab w:leader="none" w:pos="787"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Prior year presentations have been changed to conform to fiscal 2001 presentation; these changes did not impact net income.</w:t>
      </w:r>
    </w:p>
    <w:p>
      <w:pPr>
        <w:spacing w:after="0" w:line="175" w:lineRule="exact"/>
        <w:rPr>
          <w:sz w:val="20"/>
          <w:szCs w:val="20"/>
          <w:color w:val="auto"/>
        </w:rPr>
      </w:pPr>
    </w:p>
    <w:p>
      <w:pPr>
        <w:ind w:left="808"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Substral(R) brand acquired from Henkel KGaA from January 2001.</w:t>
      </w:r>
    </w:p>
    <w:p>
      <w:pPr>
        <w:spacing w:after="0" w:line="177" w:lineRule="exact"/>
        <w:rPr>
          <w:rFonts w:ascii="Courier New" w:cs="Courier New" w:eastAsia="Courier New" w:hAnsi="Courier New"/>
          <w:sz w:val="15"/>
          <w:szCs w:val="15"/>
          <w:color w:val="auto"/>
        </w:rPr>
      </w:pPr>
    </w:p>
    <w:p>
      <w:pPr>
        <w:ind w:left="808" w:right="4680" w:hanging="808"/>
        <w:spacing w:after="0" w:line="244"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Rhone-Poulenc Jardin (nka Scotts France SAS) from October 1998, ASEF Holding BV from December 1998 and the non-Roundup(R)("Ortho") business from January 1999.</w:t>
      </w:r>
    </w:p>
    <w:p>
      <w:pPr>
        <w:spacing w:after="0" w:line="175" w:lineRule="exact"/>
        <w:rPr>
          <w:rFonts w:ascii="Courier New" w:cs="Courier New" w:eastAsia="Courier New" w:hAnsi="Courier New"/>
          <w:sz w:val="15"/>
          <w:szCs w:val="15"/>
          <w:color w:val="auto"/>
        </w:rPr>
      </w:pPr>
    </w:p>
    <w:p>
      <w:pPr>
        <w:ind w:left="808" w:right="4600" w:hanging="808"/>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Levington Group Limited (nka The Scotts Company (UK) Ltd.) from December 1997 and EarthGro, Inc. from February 1998.</w:t>
      </w:r>
    </w:p>
    <w:p>
      <w:pPr>
        <w:spacing w:after="0" w:line="176" w:lineRule="exact"/>
        <w:rPr>
          <w:rFonts w:ascii="Courier New" w:cs="Courier New" w:eastAsia="Courier New" w:hAnsi="Courier New"/>
          <w:sz w:val="15"/>
          <w:szCs w:val="15"/>
          <w:color w:val="auto"/>
        </w:rPr>
      </w:pPr>
    </w:p>
    <w:p>
      <w:pPr>
        <w:ind w:left="808" w:right="4500" w:hanging="808"/>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Miracle Holdings Limited (nka The Scotts Company (UK) Ltd.) from January 1997.</w:t>
      </w:r>
    </w:p>
    <w:p>
      <w:pPr>
        <w:spacing w:after="0" w:line="176" w:lineRule="exact"/>
        <w:rPr>
          <w:rFonts w:ascii="Courier New" w:cs="Courier New" w:eastAsia="Courier New" w:hAnsi="Courier New"/>
          <w:sz w:val="15"/>
          <w:szCs w:val="15"/>
          <w:color w:val="auto"/>
        </w:rPr>
      </w:pPr>
    </w:p>
    <w:p>
      <w:pPr>
        <w:ind w:left="808" w:right="4320" w:hanging="808"/>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operations for fiscal 2001 and 1998 includes $75.7 million and $20.4 million of restructuring and other charges, respectively.</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448"/>
          </w:cols>
          <w:pgMar w:left="232" w:top="487" w:right="219" w:bottom="1440" w:gutter="0" w:footer="0" w:header="0"/>
        </w:sectPr>
      </w:pPr>
    </w:p>
    <w:bookmarkStart w:id="4" w:name="page5"/>
    <w:bookmarkEnd w:id="4"/>
    <w:p>
      <w:pPr>
        <w:ind w:left="808" w:right="319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178" w:lineRule="exact"/>
        <w:rPr>
          <w:rFonts w:ascii="Courier New" w:cs="Courier New" w:eastAsia="Courier New" w:hAnsi="Courier New"/>
          <w:sz w:val="15"/>
          <w:szCs w:val="15"/>
          <w:color w:val="auto"/>
        </w:rPr>
      </w:pPr>
    </w:p>
    <w:p>
      <w:pPr>
        <w:ind w:left="808" w:right="327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the guidance of EITF 00-25, "Accounting for Consideration from a Vendor to a Retailer in Connection with the Purchase or Promotion of the Vendor's Products" in the first quarter of 2002. The related decreases in Net Sales are as follows; $51.1 million for 2001, $53.6 million for 2000, $51.9 million for 1999, $17.3 million for 1998 and $13.9 million for 1997.</w:t>
      </w:r>
    </w:p>
    <w:p>
      <w:pPr>
        <w:spacing w:after="0" w:line="177" w:lineRule="exact"/>
        <w:rPr>
          <w:rFonts w:ascii="Courier New" w:cs="Courier New" w:eastAsia="Courier New" w:hAnsi="Courier New"/>
          <w:sz w:val="15"/>
          <w:szCs w:val="15"/>
          <w:color w:val="auto"/>
        </w:rPr>
      </w:pPr>
    </w:p>
    <w:p>
      <w:pPr>
        <w:ind w:left="808" w:right="319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related decreases in Gross Profit from the adoption of EITF 00-25 are as follow; $54.2 million for 2001, $55.5 million for 2000, $51.9 million for 1999, $17.3 million for 1998 and $13.9 million for 1997.</w:t>
      </w:r>
    </w:p>
    <w:p>
      <w:pPr>
        <w:spacing w:after="0" w:line="175"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During fiscal 2001, our operations were divided into Four business segments: North American Consumer, Scotts LawnService(R), Global Professional and International Consumer. The North American Consumer segment includes the Lawns, Gardens, Growing Media, Ortho and Canada businesses.</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80"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 fiscal 2001, we began two major initiatives that affect the way we go to business with our customers in our North American consumer business segment. One was the "one face to the customer" initiative whereby the separate sales forces under our previous "Business Unit" structure were combined into a single, centrally managed and coordinated sales force. The other major initiative was the reduction in the number of, and amount of business we do through distributors. The end objective of these initiatives was to improve the service levels and relationships with our customers in North America. While we generally believe that these initiatives were successful in fiscal 2001, and are important to our future success, they did have the effect of increasing some costs in 2001, such as selling expenses, and further complicated order processing and fulfillment in an environment where we were also going live on our new ERP system in two significant businesses--Lawns and Ortho.</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Scotts' sales are seasonal in nature and are susceptible to global weather conditions, primarily in North America and Europe. For instance, periods of wet weather can slow fertilizer sales but can increase demand for pesticide sales. Periods of dry, hot weather can have the opposite effect on fertilizer and pesticide sales. We believe that the acquisitions we have made over the past several years diversify both our product line risk and geographic risk to weather conditions.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 fiscal 1999, we expanded our reach of product line offerings into the controls segment with the acquisition of the Ortho(R) brand of control products from Monsanto and the execution of the Roundup(R) marketing agreement. In addition, over the past several years, we have made several acquisitions to strengthen our international market position in the lawn and garden category including Rhone-Poulenc Jardin, ASEF Holding BV and, most recently, Substral. Each acquisition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181"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The following discussion and analysis of our consolidated results of operations and financial position should be read in conjunction with our Consolidated Financial Statements included elsewhere in this report.</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075"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880" w:firstLine="811"/>
        <w:spacing w:after="0" w:line="243"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years ended September 30, 2001: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2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2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7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spacing w:after="0"/>
              <w:rPr>
                <w:sz w:val="24"/>
                <w:szCs w:val="24"/>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64.8</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63.7</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35.2</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Commission earned from marketing agreement, net</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19.1</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Extraordinary loss on extinguishment of debt</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3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694"/>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The following table sets forth net sales by business segment for the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three years ended September 30, 2001: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867"/>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24"/>
                <w:szCs w:val="2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24"/>
                <w:szCs w:val="2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 millions)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20"/>
        </w:trPr>
        <w:tc>
          <w:tcPr>
            <w:tcW w:w="706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Lawns</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452.2</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401.7</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Gardens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149.4</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149.8</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138.6</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Growing Media</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245.3</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Ortho</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216.5</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236.1</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205.3</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Canada</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28.2</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76.7</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720"/>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1,223.1</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1,189.5</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1,079.5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Scotts LawnService(R)</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International Consumer</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252.1</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264.8</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284.5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Global Professional</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179.4</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180.5</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172.6</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1,696.6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1,655.4</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1,550.6</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2001 COMPARED TO FISCAL 2000</w:t>
      </w:r>
    </w:p>
    <w:p>
      <w:pPr>
        <w:spacing w:after="0" w:line="178" w:lineRule="exact"/>
        <w:rPr>
          <w:sz w:val="20"/>
          <w:szCs w:val="20"/>
          <w:color w:val="auto"/>
        </w:rPr>
      </w:pPr>
    </w:p>
    <w:p>
      <w:pPr>
        <w:ind w:right="3980" w:firstLine="902"/>
        <w:spacing w:after="0" w:line="244" w:lineRule="auto"/>
        <w:rPr>
          <w:sz w:val="20"/>
          <w:szCs w:val="20"/>
          <w:color w:val="auto"/>
        </w:rPr>
      </w:pPr>
      <w:r>
        <w:rPr>
          <w:rFonts w:ascii="Courier New" w:cs="Courier New" w:eastAsia="Courier New" w:hAnsi="Courier New"/>
          <w:sz w:val="15"/>
          <w:szCs w:val="15"/>
          <w:color w:val="auto"/>
        </w:rPr>
        <w:t>Net sales for fiscal 2001 were $1,696.6 million, an increase of 2.5% over fiscal 2000 sales of $1,655.4 million. As discussed below, net sales increased over 2.8% in the North American Consumer segment; whereas, net sales declined by 4.8% in the International Consumer segment and Global Professional net sales were flat. Net sales for the Scotts LawnService(R) segment increased 103.9% in fiscal 2001 over fiscal 2000.</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North American Consumer net sales were $1,223.1 million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 increase of 2.8% over fiscal 2000 net sales of $1,189.5 million.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in the Lawns business within this segment were $495.8 million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 9.6% increase over fiscal 2000 net sales of $452.2 million,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the introduction of a new line of grass seed products. Net sales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Growing Media business increased 3.5% to $296.9 million in fiscal 2001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$287.0 million in fiscal 2000. 2001 saw the continuation of the successful roll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 of the value-added line of</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000"/>
          </w:cols>
          <w:pgMar w:left="240" w:top="638" w:right="659" w:bottom="208" w:gutter="0" w:footer="0" w:header="0"/>
        </w:sectPr>
      </w:pPr>
    </w:p>
    <w:bookmarkStart w:id="6" w:name="page7"/>
    <w:bookmarkEnd w:id="6"/>
    <w:p>
      <w:pPr>
        <w:ind w:right="3019"/>
        <w:spacing w:after="0" w:line="244" w:lineRule="auto"/>
        <w:rPr>
          <w:sz w:val="20"/>
          <w:szCs w:val="20"/>
          <w:color w:val="auto"/>
        </w:rPr>
      </w:pPr>
      <w:r>
        <w:rPr>
          <w:rFonts w:ascii="Courier New" w:cs="Courier New" w:eastAsia="Courier New" w:hAnsi="Courier New"/>
          <w:sz w:val="15"/>
          <w:szCs w:val="15"/>
          <w:color w:val="auto"/>
        </w:rPr>
        <w:t>Miracle-Gro(R) branded garden and potting soils in the Growing Media business. Sales of branded soils increased from $74 million in fiscal 2000 to $101 million in fiscal 2001. Net sales in the Ortho business decreased 8.3% to $216.5 million in fiscal 2001 from $236.1 million in fiscal 2000 due primarily to the weather and product availability issues due to ERP system data problems. The other sales category consists of sales under a supply agreement to the purchaser of the ProTurf(R) business in 2001 and actual sales of the ProTurf(R) business in fiscal 2000 prior to the date of sale. Selling price changes were not material to net sales in fiscal 2001 or fiscal 2000.</w:t>
      </w:r>
    </w:p>
    <w:p>
      <w:pPr>
        <w:spacing w:after="0" w:line="179"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Net sales in the Scotts LawnService(R) business increased 103.9% to $42.0 million in fiscal 2001 from $20.6 million in fiscal 2000. This growth reflects continued expansion through acquisitions and new branch openings, as well as the success of our direct marketing campaign utilizing the Scotts(R) brand name.</w:t>
      </w:r>
    </w:p>
    <w:p>
      <w:pPr>
        <w:spacing w:after="0" w:line="177"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International Consumer net sales decreased 4.8% to $252.1 million in fiscal 2001 compared to $264.8 million in fiscal 2000. Excluding the adverse impact of changes in exchange rates, net sales for International Consumer increased approximately 3% compared to the prior year. The increase in sales is primarily due to the successful sell-in of a new line of fertilizer products under the Substral(R) brand name acquired January 1,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Net sales for Global Professional of $179.4 million for fiscal 2001 were flat with fiscal 2000 net sales of $180.5 million. Excluding the unfavorable impact of changes in foreign exchange rates, Global Professional net sales increased approximately 3.5% year over year.</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Gross profit decreased to $597.2 million in fiscal 2001 compared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$603.0 million in fiscal 2000. Gross profit, including restructuring charges,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percentage of net sales was 35.2% in fiscal 2001 compared to 36.4%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The decrease in gross profit as a percentage of net sales was driven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unfavorable product mix in the Ortho and Gardens businesses and increased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seed which has a lower margin than fertilizers and control products, offset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lower distribution costs and the favorable margin impact from the value-added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Growing Media products.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net commission earned from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 the commission calculation for 2001 as compared to 2000. In addition, the net commission decreased due to the $10 million increase in contribution expenses as specified in the agreement.</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Advertising expenses for fiscal 2001 were $89.9 million, an increase of $0.9 million from fiscal 2000 advertising expense of $89.0 million. This slight increase reflects the impact of improved media buying efficiencies and lower advertising rates compared to the prior year.</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Selling, general and administrative expenses for fiscal 2001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$324.1 million, an increase of $12.1 million, or 3.9%, over similar expenses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of $312.0 million. As a percentage of sales, selling, general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expenses were 19.1% for fiscal 2001 compared to 18.9% for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The increase in selling, general and administrative expenses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year is partially due to an increase in selling expenses as a result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change in the selling and distribution model for the North American Consumer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The increase in selling, general and administrative expenses is also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an increase in information technology expenses from the prior year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the cost of many information technology resources being capitalized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toward the cost of our enterprise resource planning system in fiscal 2000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increased depreciation on the new ERP system in fiscal 2001. Most of these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resources have assumed a system support function that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being expensed as incurred.</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Selling, general and administrative expenses associated with restructuring and other non-operating expenses were $68.4 million for fiscal 2001. These charges, along with the $7.3 million which is included in cost of sales for the write-off of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7" w:name="page8"/>
    <w:bookmarkEnd w:id="7"/>
    <w:p>
      <w:pPr>
        <w:ind w:right="3099"/>
        <w:spacing w:after="0" w:line="244" w:lineRule="auto"/>
        <w:rPr>
          <w:sz w:val="20"/>
          <w:szCs w:val="20"/>
          <w:color w:val="auto"/>
        </w:rPr>
      </w:pPr>
      <w:r>
        <w:rPr>
          <w:rFonts w:ascii="Courier New" w:cs="Courier New" w:eastAsia="Courier New" w:hAnsi="Courier New"/>
          <w:sz w:val="15"/>
          <w:szCs w:val="15"/>
          <w:color w:val="auto"/>
        </w:rPr>
        <w:t>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 The Company expects these restructuring activities to result in expense savings of nearly $15 million in fiscal 2002 after reinvesting some of the savings to grow our brands in our International businesses.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 fiscal 2002, the Company expects to recognize additional restructuring and other charges, primarily for relocation costs for equipment, personnel and inventory which must be expensed when incurred. Additional restructuring costs may be incurred in fiscal 2002 as our review and evaluation of our facilities and processes is an ongoing exercise aimed at achieving improved returns on invested capital. See Note 4 of the Notes to Consolidated Financial Statements, which are included in Item 8.</w:t>
      </w:r>
    </w:p>
    <w:p>
      <w:pPr>
        <w:spacing w:after="0" w:line="178" w:lineRule="exact"/>
        <w:rPr>
          <w:sz w:val="20"/>
          <w:szCs w:val="20"/>
          <w:color w:val="auto"/>
        </w:rPr>
      </w:pPr>
    </w:p>
    <w:p>
      <w:pPr>
        <w:ind w:right="3019" w:firstLine="902"/>
        <w:spacing w:after="0" w:line="264" w:lineRule="auto"/>
        <w:rPr>
          <w:sz w:val="20"/>
          <w:szCs w:val="20"/>
          <w:color w:val="auto"/>
        </w:rPr>
      </w:pPr>
      <w:r>
        <w:rPr>
          <w:rFonts w:ascii="Courier New" w:cs="Courier New" w:eastAsia="Courier New" w:hAnsi="Courier New"/>
          <w:sz w:val="14"/>
          <w:szCs w:val="14"/>
          <w:color w:val="auto"/>
        </w:rPr>
        <w:t>Amortization of goodwill and other intangibles increased to $27.7 million in fiscal 2001 from $27.1 million in fiscal 2000 due to the additional amortization related to the Substral acquisition in December 2000 and numerous small acquisitions by Scotts LawnService(R) throughout fiscal 2001. In fiscal 2002, Scotts will adopt Statement of Financial Accounting Standards No. 142, "Goodwill and Other Intangible Assets" which is expected to result in a reduction in amortization expense in fiscal 2002 and future years. See Note 18 of the Notes to Consolidated Financial Statements, which are included in Item 8.</w:t>
      </w:r>
    </w:p>
    <w:p>
      <w:pPr>
        <w:spacing w:after="0" w:line="165" w:lineRule="exact"/>
        <w:rPr>
          <w:sz w:val="20"/>
          <w:szCs w:val="20"/>
          <w:color w:val="auto"/>
        </w:rPr>
      </w:pPr>
    </w:p>
    <w:p>
      <w:pPr>
        <w:ind w:right="3019" w:firstLine="902"/>
        <w:spacing w:after="0" w:line="266" w:lineRule="auto"/>
        <w:rPr>
          <w:sz w:val="20"/>
          <w:szCs w:val="20"/>
          <w:color w:val="auto"/>
        </w:rPr>
      </w:pPr>
      <w:r>
        <w:rPr>
          <w:rFonts w:ascii="Courier New" w:cs="Courier New" w:eastAsia="Courier New" w:hAnsi="Courier New"/>
          <w:sz w:val="14"/>
          <w:szCs w:val="14"/>
          <w:color w:val="auto"/>
        </w:rPr>
        <w:t>Other income for fiscal 2001 was $8.5 million compared to $6.0 million for fiscal 2000. The increase in other income was primarily due to the favorable settlement of certain legal matters in the current year and an insurance settlement from a seed warehouse fire. The prior year results also included losses on the sale of miscellaneous assets which did not recur in fiscal 2001.</w:t>
      </w:r>
    </w:p>
    <w:p>
      <w:pPr>
        <w:spacing w:after="0" w:line="16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Income from operations for fiscal 2001 was $116.4 million compared to $210.2 million for fiscal 2000. The decrease was the result of the current year restructuring and other charges and increased selling, general and administrative costs, the decline in the marketing agreement net commission and higher depreciation expense for the new ERP system which was fully in service for all of fiscal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is used as the measure for income from operations or operating income. On that basis, operating income in the North American Consumer segment increased from $243.3 million in fiscal 2000 to $245.3 million in fiscal 2001 due to the 2.8% increase in sales offset by lower margins due to mix and higher expenses for selling and the new ERP system. Scotts LawnService(R) had increased income from operations in fiscal 2001 of $4.7 million, compared to $0.9 million in fiscal 2000. This increase resulted from continued expansion through acquisitions and new branch openings. Operating income in the Global Professional segment declined from $26.4 million in fiscal 2000 to $17.4 million in fiscal 2001 due to lower sales due to weather and higher operating costs in the international Professional business. The operating cost structure in the international Professional business was addressed in the restructuring initiatives undertaken in late fiscal 2001. International Consumer segment operating income declined from income of $21.0 million in fiscal 2000 to a loss of $3.3 million in fiscal 2001. Excluding restructuring charges, International Consumer reported operating income of $6.7 million. The decline in income was due to lower sales due to poor weather in Europe and higher operating costs. The International Consumer cost structure was also addressed in 2001's restructuring initiatives. The Corporate operating loss increased from $54.2 million in fiscal 2000 to $120.0 million in fiscal 2001 primarily due to restructuring charges related to the domestic business.</w:t>
      </w:r>
    </w:p>
    <w:p>
      <w:pPr>
        <w:spacing w:after="0" w:line="18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 w:name="page9"/>
    <w:bookmarkEnd w:id="8"/>
    <w:p>
      <w:pPr>
        <w:ind w:right="3019" w:firstLine="902"/>
        <w:spacing w:after="0" w:line="244" w:lineRule="auto"/>
        <w:rPr>
          <w:sz w:val="20"/>
          <w:szCs w:val="20"/>
          <w:color w:val="auto"/>
        </w:rPr>
      </w:pPr>
      <w:r>
        <w:rPr>
          <w:rFonts w:ascii="Courier New" w:cs="Courier New" w:eastAsia="Courier New" w:hAnsi="Courier New"/>
          <w:sz w:val="15"/>
          <w:szCs w:val="15"/>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 fiscal 2000 were 30.4 million and 29.6 million, respectively. The increase reflects more common share equivalents due to higher average stock prices and additional option grants to associates in fiscal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COMPARED TO FISCAL 1999</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Net sales for fiscal 2000 were $1,655.4 million, an increase of 6.8% over fiscal 1999 net sales of $1,550.6 million. On a pro forma basis, assuming that the Ortho and Rhone-Poulenc Jardin acquisitions had occurred on October 1, 1998, net sales for fiscal 2000 were approximately 5.0% higher than pro forma net sales for fiscal 1999. The increase in net sales from year to year was driven by significant increases in net sales across all businesses in the North American Consumer segment, partially offset by decreases in net sales in the International Consumer segment as discussed below.</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North American Consumer net sales, excluding "Consumer Other"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$1,153.3 million in fiscal 2000, an increase of $150.5 million, or 15.0%, over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fiscal 1999 of $1,002.8 million. Net sales in the Lawns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$50.5 million, or 12.6%, from fiscal 1999 to fiscal 2000,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a significant increase in sales to and consumer takeaway from national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 centers. Net sales in the Gardens business increased $11.2 million, or</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8.1%, primarily driven by strong net sales and market share performance in the water-soluble and tree spikes product lines and the successful introduction of new products such as the Miracle-Gro(R) Garden Weed PreventerTM line in fiscal 2000. Net sales in the Growing Media business increased $41.7 million, or 17.0%, due to strong category and market share growth, particularly for value-added products such as Miracle-Gro(R) Potting Soils. Sales in the Ortho business increased $30.8 million, or 15.0%, on an actual basis and $15.5 million, or 7.0%, on a pro forma basis, reflecting significantly improved volume with home center retailers and improved category and market share performance on the selective weed control product lines. Net sales for the Ortho business were negatively impacted by the voluntary product return program for the registered pesticide Ortho(R) Home Defense(R) Indoor &amp; Outdoor Insect Killer, sold with the Pull `N Spray(R) pump dispenser, the phasing out of products containing the active ingredient chlorpyrifos and reduced selling efforts by a primary distributor prior to its termination on September 30,</w:t>
      </w:r>
    </w:p>
    <w:p>
      <w:pPr>
        <w:spacing w:after="0" w:line="9"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2000. Consumer Other net sales were the net sales of the ProTurf(R) business that was sold in May 2000. Selling price changes did not have a significant impact on net sales in the North American Consumer segment for fiscal 2000.</w:t>
      </w:r>
    </w:p>
    <w:p>
      <w:pPr>
        <w:spacing w:after="0" w:line="158" w:lineRule="exact"/>
        <w:rPr>
          <w:sz w:val="20"/>
          <w:szCs w:val="20"/>
          <w:color w:val="auto"/>
        </w:rPr>
      </w:pPr>
    </w:p>
    <w:p>
      <w:pPr>
        <w:ind w:right="3379" w:firstLine="902"/>
        <w:spacing w:after="0" w:line="244" w:lineRule="auto"/>
        <w:rPr>
          <w:sz w:val="20"/>
          <w:szCs w:val="20"/>
          <w:color w:val="auto"/>
        </w:rPr>
      </w:pPr>
      <w:r>
        <w:rPr>
          <w:rFonts w:ascii="Courier New" w:cs="Courier New" w:eastAsia="Courier New" w:hAnsi="Courier New"/>
          <w:sz w:val="15"/>
          <w:szCs w:val="15"/>
          <w:color w:val="auto"/>
        </w:rPr>
        <w:t>Scotts LawnService(R) segment net sales of $20.6 million in fiscal 2000 were $6.6 million above fiscal 1999 net sales of $14.0 million. This increase reflects growth through acquisitions and new branch openings.</w:t>
      </w:r>
    </w:p>
    <w:p>
      <w:pPr>
        <w:spacing w:after="0" w:line="175" w:lineRule="exact"/>
        <w:rPr>
          <w:sz w:val="20"/>
          <w:szCs w:val="20"/>
          <w:color w:val="auto"/>
        </w:rPr>
      </w:pPr>
    </w:p>
    <w:p>
      <w:pPr>
        <w:ind w:right="3019" w:firstLine="902"/>
        <w:spacing w:after="0" w:line="243" w:lineRule="auto"/>
        <w:rPr>
          <w:sz w:val="20"/>
          <w:szCs w:val="20"/>
          <w:color w:val="auto"/>
        </w:rPr>
      </w:pPr>
      <w:r>
        <w:rPr>
          <w:rFonts w:ascii="Courier New" w:cs="Courier New" w:eastAsia="Courier New" w:hAnsi="Courier New"/>
          <w:sz w:val="15"/>
          <w:szCs w:val="15"/>
          <w:color w:val="auto"/>
        </w:rPr>
        <w:t>Global Professional segment net sales of $180.5 million in fiscal 2000 were $7.9 million, or 4.6% above fiscal 1999 net sales of $172.6 million.</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International Consumer segment net sales of $264.8 million in fiscal 2000 were $19.7 million lower than net sales for fiscal 1999 of $284.5 million. The majority of the decrease from year to year was due to the adverse impact of changes in exchange rates. There were also decreases in the segment's U.K. consumer business caused by significant product rationalization and unusually poor weather.</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Gross profit increased to $603.0 million for fiscal 2000, an increase of 7.1% over fiscal 1999 gross profit of $563.3 million, driven by the 6.8% increase in year-to-date net sales discussed above and a slight increase in gross profit as a percentage of net sales. As a percentage of net sales, gross profit was 36.4% for fiscal 2000 compared to 36.3% of net sales for fiscal 1999. This increase in profitability on net sales was driven by a shift to direct distribution to certain retail accounts, improved product mix toward higher margin, value-added products and improved efficiencies in Scotts' production plants, offset by increased urea, fuel and other raw material costs and a significant erosion in the profitability of the ProTurf(R) business prior to its sale.</w:t>
      </w:r>
    </w:p>
    <w:p>
      <w:pPr>
        <w:spacing w:after="0" w:line="180"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gross commission from marketing agreement in fiscal 2000 was $39.2 million, compared to $30.3 million in fiscal 1999. The increase in the gross commission from year to year was driven by significantly higher sales of consumer Roundup(R) worldwide year over year. Contribution expenses under marketing agreement were $9.9 million for fiscal 2000, compared to $1.6 million for fiscal 1999. The increase in contribution expenses was due to</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an increase in the contribution payment to Monsanto and an increase of $3.2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the amortization of the $32 million marketing fee paid to Monsanto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result of correcting the amortization period from 20 to 10 years. The $3.2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additional amortization represents the additional amortization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million that was not recognized in fiscal 1999 and additional amortization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$1.6 million for fiscal 2000.</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Advertising expenses for fiscal 2000 were $89.0 million, an increase of 2.3% over fiscal 1999 advertising expenses of $87.0 million. Promotion expenses are presented as a reduction of net sales. Promotion expenses increased from $97.7 million in fiscal 1999 to $108.9 million in fiscal 2000. As a percentage of net sales before deduction for promotion expenses, combined advertising and promotion spending was 11.2% in both fiscal 2000 and 1999. This increase was primarily due to continued emphasis on increasing advertising and promotion expenses to drive revenue growth within the North American Consumer segment and investments in advertising and promotion to drive future sales growth in the International Consumer segment.</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Selling, general and administrative expenses in fiscal 2000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$312.0 million, an increase of 9.3% over fiscal 1999 expenses of $285.5 million.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percentage of net sales, selling, general and administrative expenses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18.9% in fiscal 2000 and 18.4% in fiscal 1999. The increase in the dollar amount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selling, general and administrative expenses was primarily related to a full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costs in the Ortho business which was acquired in January 1999,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legal costs as a result of various legal matters discussed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Amortization of goodwill and other intangibles in fiscal 2000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 million, an increase of $1.5 million over fiscal 1999 amortization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$25.6 million. This increase was primarily due to fiscal 1999 not reflecting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 of amortization related to the Ortho acquisition since the acquisition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occurred in January 1999.</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Restructuring and other charges were $1.4 million in fiscal 1999. These charges represent severance costs associated with the reorganization of the North American Professional Business Group to strengthen distribution and technical sales support, integrate brand management across market segments and reduce annual operating expenses. Substantially all payments have been made as of September 30, 2000. There were no restructuring charges incurred in fiscal 2000.</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Other income in fiscal 2000 was $6.0 million compared to other income of $3.6 million in the prior year. The increase in other income, on a net basis, was primarily due to the $4.6 million gain resulting from the sale of the ProTurf(R) business, partially offset by costs incurred in connection with Scotts' voluntary return program for the registered pesticide Ortho(R) Home Defense(R) Indoor &amp; Outdoor Insect Killer, sold with the Pull `N Spray(R) pump dispenser and additional losses on disposals of miscellaneous fixed assets.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Income from operations for fiscal 2000 was $210.2 million compared to $196.1 million for fiscal 1999. The increase in income from operations was due primarily to the increase in net sales across the North American Consumer businesses as noted above, partially offset by the decrease in net sales due to the sale of the ProTurf(R) business.</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Interest expense for fiscal 2000 was $93.9 million, an increase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 million over fiscal 1999 interest expense of $79.1 million. The increase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interest expense was due to increased borrowings to fund the Ortho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and an increase in average borrowing rates under our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partially offset by reduced working capital requirements.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Income tax expense was $43.2 million for fiscal 2000 compared to $47.9 million in the prior year. Scotts' effective tax rate decreased to 37.1% for fiscal 2000 compared to 41.0% for the previous year. The decrease in the effective tax rate for fiscal 2000 is due primarily to a reversal of $3.2 million of tax reserves upon resolution of certain outstanding tax matters during the third quarter of fiscal 2000 and a reduction in the base tax rate for the year, before reversal of reserves, to 40.0%.</w:t>
      </w:r>
    </w:p>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of 9 7/8% Senior Subordinated Notes due August 2004. We recorded an extraordinary loss on the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ind w:right="3099"/>
        <w:spacing w:after="0" w:line="244" w:lineRule="auto"/>
        <w:rPr>
          <w:sz w:val="20"/>
          <w:szCs w:val="20"/>
          <w:color w:val="auto"/>
        </w:rPr>
      </w:pPr>
      <w:r>
        <w:rPr>
          <w:rFonts w:ascii="Courier New" w:cs="Courier New" w:eastAsia="Courier New" w:hAnsi="Courier New"/>
          <w:sz w:val="15"/>
          <w:szCs w:val="15"/>
          <w:color w:val="auto"/>
        </w:rPr>
        <w:t>extinguishment of the 9 7/8% Notes of $9.3 million, including a call premium of $7.2 million and the write-off of unamortized issuance costs and discounts of $2.1 million.</w:t>
      </w:r>
    </w:p>
    <w:p>
      <w:pPr>
        <w:spacing w:after="0" w:line="175"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Scotts reported net income of $73.1 million for fiscal 2000, or $2.25 per common share on a diluted basis, compared to net income of $63.2 million for fiscal 1999, or $2.08 per common share on a diluted basis. The diluted earnings per share for fiscal 2000 is net of a one-time reduction of $0.22 per share resulting from the early conversion of Class A Convertible Preferred Stock in October 1999. The diluted earnings per share for fiscal 1999 is net of a $0.19 per share charge associated with the extraordinary loss on early extinguishment of debt discussed above.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Cash provided by operating activities was $65.7 million for fiscal 2001 compared to cash provided by operating activities of $171.5 million for fiscal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decrease in cash provided by operating activities for fiscal 2001 compared to the prior year was due to higher levels of inventory at September 30, 2001 compared to September 30, 2000, due, in part, to the move by major retailers to reduce inventory investments and lower than anticipated net sales in the fourth quarter of fiscal 2001.</w:t>
      </w:r>
    </w:p>
    <w:p>
      <w:pPr>
        <w:spacing w:after="0" w:line="180"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Cash used in investing activities was $101.0 million for fiscal 2001 compared to $89.5 million in the prior year. The additional cash used for investing activities in fiscal 2001 was primarily due to the $13.3 million in payments toward the purchase of the Substral(R) business discussed in Note 5 of the Notes to Consolidated Financial Statements which are included in Item 8, and other payments made toward several lawn service acquisitions during fiscal 2001 partially offset by reduced capital spending in fiscal 2001. Capital spending was $63.4 million in fiscal 2001 compared to $72.5 million in fiscal 2000. In line with our ongoing efforts to improve return on invested capital, capital spending in fiscal 2002 is expected to be approximately $50.0 million.</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Financing activities provided cash of $21.4 million for fiscal 2001 compared to using cash of $78.2 million in the prior year. The increase in cash from financing activities was primarily due to an increase in borrowings under our revolving credit facility to fund operating and investing activities during fiscal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Total debt was $887.8 million as of September 30, 2001, an increase of $25.0 million compared with debt at September 30, 2000 of $862.8 million. The increase in debt compared to the prior year was primarily due to additional borrowings to fund operating and investing activities as discussed above and seller notes from the Substral(R) and Scotts LawnService(R) acquisitions in fiscal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 Borrowings outstanding under the term loan facilities and revolving credit facility were $398.6 million and $94.7 million, respectively at September 30, 2001.</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 July 1998, our Board of Directors authorized the repurchase of up to $100 million of our common shares on the open market or in privately negotiated transactions on or prior to September 30, 2001. As of September 30, 2001, we repurchased 1,106,295 common shares, at a cost of $40.6 million, under this program.</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October 2000, the Board of Directors approved the cancellation of the third year commitment of $50 million under the share repurchase program. The Board did authorize repurchasing the amount still outstanding under the second year repurchase commitment (approximately $9.0 million) through September 30, 2001. Share repurchases are subject to the covenants contained in our credit facility or our other debt instruments. Repurchased shares are held in treasury and will be used for the exercise of employee stock options and for other valid corporate purposes.</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We believe cash flows from operations and capital resources will be sufficient to meet debt service and working capital needs during fiscal 2002, and thereafter for the foreseeable future. However, we cannot ensure that our businesses will generate sufficient cash flows from operations, that currently anticipated cost savings and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ind w:right="3019"/>
        <w:spacing w:after="0" w:line="244" w:lineRule="auto"/>
        <w:rPr>
          <w:sz w:val="20"/>
          <w:szCs w:val="20"/>
          <w:color w:val="auto"/>
        </w:rPr>
      </w:pPr>
      <w:r>
        <w:rPr>
          <w:rFonts w:ascii="Courier New" w:cs="Courier New" w:eastAsia="Courier New" w:hAnsi="Courier New"/>
          <w:sz w:val="15"/>
          <w:szCs w:val="15"/>
          <w:color w:val="auto"/>
        </w:rPr>
        <w:t>operating improvements will be realized on schedule or at all, or that future borrowings will be available under our credit facility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Scotts was not in compliance with debt covenants pertaining to net worth, leverage and interest coverage. A waiver of non-compliance for these covenant violations was received in October 2001. In December 2001, Scotts amended the credit facility resulting in the elimination or resetting of certain negative and affirmative covenants. See Note 8 and Note 22 of the Notes to Consolidated Financial Statements, which are included in Item 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"ITEM 1. BUSINESS--Environmental and Regulatory Considerations," "ITEM 1. BUSINESS--Regulatory Actions" and "ITEM 3. LEGAL PROCEEDINGS".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78" w:lineRule="exact"/>
        <w:rPr>
          <w:sz w:val="20"/>
          <w:szCs w:val="20"/>
          <w:color w:val="auto"/>
        </w:rPr>
      </w:pPr>
    </w:p>
    <w:p>
      <w:pPr>
        <w:ind w:right="3019" w:firstLine="902"/>
        <w:spacing w:after="0" w:line="263" w:lineRule="auto"/>
        <w:rPr>
          <w:sz w:val="20"/>
          <w:szCs w:val="20"/>
          <w:color w:val="auto"/>
        </w:rPr>
      </w:pPr>
      <w:r>
        <w:rPr>
          <w:rFonts w:ascii="Courier New" w:cs="Courier New" w:eastAsia="Courier New" w:hAnsi="Courier New"/>
          <w:sz w:val="14"/>
          <w:szCs w:val="14"/>
          <w:color w:val="auto"/>
        </w:rPr>
        <w:t>In July 1998, we announced a project designed to bring our information systems resources in line with our current strategic objectives. The project included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The implementation of the Canadian system began during the third quarter of fiscal 2001 and was substantially complete by October 1, 2001. Through September 30, 2001, we spent approximately $55 million on the project, approximately 75% of which has been capitalized and is being amortized over a period of four to eight years. We are currently evaluating when, and to what extent, the new information systems and applications will be implemented at our international locations.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Over $1.2 million of the costs associated with this work was incurred during fiscal 2001. Some costs will likely be incurred in the first quarter of fiscal 2002 and beyond as well but are not expected to be material.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Results for fiscal 2001 were below management's expectations. Weather, the economy, retailer initiatives to reduce their inventory investment and our own product availability issues combined to make fiscal 2001 less profitable than fiscal 2000. We believe we are aggressively addressing ways to improve profitability of our business by the restructuring steps we took in late fiscal 2001 to reduce headcount and rationalize the supply chain, sales and administrative organizations in North America and Europe. This process will continue in fiscal 2002 and beyond. We also will continue to look for opportunities to bring new products into the marketplace and profitably expand our Scotts LawnService(R) business.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739" w:firstLine="902"/>
        <w:spacing w:after="0" w:line="243" w:lineRule="auto"/>
        <w:rPr>
          <w:sz w:val="20"/>
          <w:szCs w:val="20"/>
          <w:color w:val="auto"/>
        </w:rPr>
      </w:pPr>
      <w:r>
        <w:rPr>
          <w:rFonts w:ascii="Courier New" w:cs="Courier New" w:eastAsia="Courier New" w:hAnsi="Courier New"/>
          <w:sz w:val="15"/>
          <w:szCs w:val="15"/>
          <w:color w:val="auto"/>
        </w:rPr>
        <w:t>Looking forward, we maintain the following broad tenets to our strategic plan:</w:t>
      </w:r>
    </w:p>
    <w:p>
      <w:pPr>
        <w:spacing w:after="0" w:line="176" w:lineRule="exact"/>
        <w:rPr>
          <w:sz w:val="20"/>
          <w:szCs w:val="20"/>
          <w:color w:val="auto"/>
        </w:rPr>
      </w:pPr>
    </w:p>
    <w:p>
      <w:pPr>
        <w:ind w:left="1700" w:right="3279" w:hanging="806"/>
        <w:spacing w:after="0" w:line="244"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79" w:lineRule="exact"/>
        <w:rPr>
          <w:rFonts w:ascii="Courier New" w:cs="Courier New" w:eastAsia="Courier New" w:hAnsi="Courier New"/>
          <w:sz w:val="15"/>
          <w:szCs w:val="15"/>
          <w:color w:val="auto"/>
        </w:rPr>
      </w:pPr>
    </w:p>
    <w:p>
      <w:pPr>
        <w:ind w:left="1700" w:right="3379" w:hanging="806"/>
        <w:spacing w:after="0" w:line="243"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6" w:lineRule="exact"/>
        <w:rPr>
          <w:rFonts w:ascii="Courier New" w:cs="Courier New" w:eastAsia="Courier New" w:hAnsi="Courier New"/>
          <w:sz w:val="15"/>
          <w:szCs w:val="15"/>
          <w:color w:val="auto"/>
        </w:rPr>
      </w:pPr>
    </w:p>
    <w:p>
      <w:pPr>
        <w:ind w:left="1700" w:right="3279" w:hanging="806"/>
        <w:spacing w:after="0" w:line="244"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5" w:lineRule="exact"/>
        <w:rPr>
          <w:rFonts w:ascii="Courier New" w:cs="Courier New" w:eastAsia="Courier New" w:hAnsi="Courier New"/>
          <w:sz w:val="15"/>
          <w:szCs w:val="15"/>
          <w:color w:val="auto"/>
        </w:rPr>
      </w:pPr>
    </w:p>
    <w:p>
      <w:pPr>
        <w:ind w:left="1700" w:right="3019" w:hanging="806"/>
        <w:spacing w:after="0" w:line="244"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175" w:lineRule="exact"/>
        <w:rPr>
          <w:sz w:val="20"/>
          <w:szCs w:val="20"/>
          <w:color w:val="auto"/>
        </w:rPr>
      </w:pPr>
    </w:p>
    <w:p>
      <w:pPr>
        <w:ind w:right="3019" w:firstLine="902"/>
        <w:spacing w:after="0" w:line="263" w:lineRule="auto"/>
        <w:rPr>
          <w:sz w:val="20"/>
          <w:szCs w:val="20"/>
          <w:color w:val="auto"/>
        </w:rPr>
      </w:pPr>
      <w:r>
        <w:rPr>
          <w:rFonts w:ascii="Courier New" w:cs="Courier New" w:eastAsia="Courier New" w:hAnsi="Courier New"/>
          <w:sz w:val="14"/>
          <w:szCs w:val="14"/>
          <w:color w:val="auto"/>
        </w:rPr>
        <w:t>We anticipate that we can deliver significant revenue and earnings growth through emphasis on executing our strategic plan. We believe that we can generate annual sales growth of 4% to 6% in our core businesses and annual earnings growth of at least 10%. In addition, we have targeted improving our return on invested capital. We believe that we can achieve our goal of realizing a return on our invested capital commensurate with the average return on invested capital for our consumer products peer group in the next three to four years. We expect to achieve this goal by reducing overhead spending, tightening capital spending controls, implementing return on capital measures into our incentive compensation plans and accelerating operating performance and gross margin improvements utilizing our new ERP capabilities in North America.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right="3379" w:firstLine="902"/>
        <w:spacing w:after="0" w:line="244"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2001 Summary Annual Report, our 2001 Financial Statements and Other Information booklet, in this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forward-looking statements that we make in our 2001 Summary Annual Report, in our 2001 Financial Statements and Other Information booklet,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9" w:lineRule="exact"/>
        <w:rPr>
          <w:sz w:val="20"/>
          <w:szCs w:val="20"/>
          <w:color w:val="auto"/>
        </w:rPr>
      </w:pPr>
    </w:p>
    <w:p>
      <w:pPr>
        <w:ind w:left="1700" w:right="3199" w:hanging="806"/>
        <w:spacing w:after="0" w:line="243" w:lineRule="auto"/>
        <w:tabs>
          <w:tab w:leader="none" w:pos="1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FINANCIAL RESULTS.</w:t>
      </w:r>
    </w:p>
    <w:p>
      <w:pPr>
        <w:spacing w:after="0" w:line="176" w:lineRule="exact"/>
        <w:rPr>
          <w:rFonts w:ascii="Courier New" w:cs="Courier New" w:eastAsia="Courier New" w:hAnsi="Courier New"/>
          <w:sz w:val="15"/>
          <w:szCs w:val="15"/>
          <w:color w:val="auto"/>
        </w:rPr>
      </w:pPr>
    </w:p>
    <w:p>
      <w:pPr>
        <w:ind w:left="1700" w:right="35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13" w:name="page14"/>
    <w:bookmarkEnd w:id="13"/>
    <w:p>
      <w:pPr>
        <w:ind w:left="806" w:right="3279"/>
        <w:spacing w:after="0" w:line="244" w:lineRule="auto"/>
        <w:rPr>
          <w:sz w:val="20"/>
          <w:szCs w:val="20"/>
          <w:color w:val="auto"/>
        </w:rPr>
      </w:pPr>
      <w:r>
        <w:rPr>
          <w:rFonts w:ascii="Courier New" w:cs="Courier New" w:eastAsia="Courier New" w:hAnsi="Courier New"/>
          <w:sz w:val="15"/>
          <w:szCs w:val="15"/>
          <w:color w:val="auto"/>
        </w:rPr>
        <w:t>while periods of dry, hot weather can decrease pesticide sales. In addition, an abnormally cold spring throughout North America and/or Europe could adversely affect both fertilizer and pesticide sales and therefore our financial results.</w:t>
      </w:r>
    </w:p>
    <w:p>
      <w:pPr>
        <w:spacing w:after="0" w:line="177" w:lineRule="exact"/>
        <w:rPr>
          <w:sz w:val="20"/>
          <w:szCs w:val="20"/>
          <w:color w:val="auto"/>
        </w:rPr>
      </w:pPr>
    </w:p>
    <w:p>
      <w:pPr>
        <w:ind w:left="806" w:right="3279" w:hanging="806"/>
        <w:spacing w:after="0" w:line="243" w:lineRule="auto"/>
        <w:tabs>
          <w:tab w:leader="none" w:pos="80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AND OPERATING EXPENSES.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182" w:lineRule="exact"/>
        <w:rPr>
          <w:rFonts w:ascii="Courier New" w:cs="Courier New" w:eastAsia="Courier New" w:hAnsi="Courier New"/>
          <w:sz w:val="15"/>
          <w:szCs w:val="15"/>
          <w:color w:val="auto"/>
        </w:rPr>
      </w:pPr>
    </w:p>
    <w:p>
      <w:pPr>
        <w:ind w:left="806" w:right="3559" w:hanging="806"/>
        <w:spacing w:after="0" w:line="244" w:lineRule="auto"/>
        <w:tabs>
          <w:tab w:leader="none" w:pos="80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4" w:lineRule="exact"/>
        <w:rPr>
          <w:rFonts w:ascii="Courier New" w:cs="Courier New" w:eastAsia="Courier New" w:hAnsi="Courier New"/>
          <w:sz w:val="15"/>
          <w:szCs w:val="15"/>
          <w:color w:val="auto"/>
        </w:rPr>
      </w:pPr>
    </w:p>
    <w:p>
      <w:pPr>
        <w:ind w:left="8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w:t>
      </w:r>
    </w:p>
    <w:p>
      <w:pPr>
        <w:spacing w:after="0" w:line="177" w:lineRule="exact"/>
        <w:rPr>
          <w:rFonts w:ascii="Courier New" w:cs="Courier New" w:eastAsia="Courier New" w:hAnsi="Courier New"/>
          <w:sz w:val="15"/>
          <w:szCs w:val="15"/>
          <w:color w:val="auto"/>
        </w:rPr>
      </w:pPr>
    </w:p>
    <w:p>
      <w:pPr>
        <w:ind w:left="2346" w:right="3019" w:hanging="813"/>
        <w:spacing w:after="0" w:line="243"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6" w:lineRule="exact"/>
        <w:rPr>
          <w:rFonts w:ascii="Courier New" w:cs="Courier New" w:eastAsia="Courier New" w:hAnsi="Courier New"/>
          <w:sz w:val="15"/>
          <w:szCs w:val="15"/>
          <w:color w:val="auto"/>
        </w:rPr>
      </w:pPr>
    </w:p>
    <w:p>
      <w:pPr>
        <w:ind w:left="2346" w:right="3279" w:hanging="813"/>
        <w:spacing w:after="0" w:line="243"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6" w:lineRule="exact"/>
        <w:rPr>
          <w:rFonts w:ascii="Courier New" w:cs="Courier New" w:eastAsia="Courier New" w:hAnsi="Courier New"/>
          <w:sz w:val="15"/>
          <w:szCs w:val="15"/>
          <w:color w:val="auto"/>
        </w:rPr>
      </w:pPr>
    </w:p>
    <w:p>
      <w:pPr>
        <w:ind w:left="2346" w:right="309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75" w:lineRule="exact"/>
        <w:rPr>
          <w:rFonts w:ascii="Courier New" w:cs="Courier New" w:eastAsia="Courier New" w:hAnsi="Courier New"/>
          <w:sz w:val="15"/>
          <w:szCs w:val="15"/>
          <w:color w:val="auto"/>
        </w:rPr>
      </w:pPr>
    </w:p>
    <w:p>
      <w:pPr>
        <w:ind w:left="2346" w:right="301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77" w:lineRule="exact"/>
        <w:rPr>
          <w:rFonts w:ascii="Courier New" w:cs="Courier New" w:eastAsia="Courier New" w:hAnsi="Courier New"/>
          <w:sz w:val="15"/>
          <w:szCs w:val="15"/>
          <w:color w:val="auto"/>
        </w:rPr>
      </w:pPr>
    </w:p>
    <w:p>
      <w:pPr>
        <w:ind w:left="2346" w:right="301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5" w:lineRule="exact"/>
        <w:rPr>
          <w:rFonts w:ascii="Courier New" w:cs="Courier New" w:eastAsia="Courier New" w:hAnsi="Courier New"/>
          <w:sz w:val="15"/>
          <w:szCs w:val="15"/>
          <w:color w:val="auto"/>
        </w:rPr>
      </w:pPr>
    </w:p>
    <w:p>
      <w:pPr>
        <w:ind w:left="2346" w:right="319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75" w:lineRule="exact"/>
        <w:rPr>
          <w:rFonts w:ascii="Courier New" w:cs="Courier New" w:eastAsia="Courier New" w:hAnsi="Courier New"/>
          <w:sz w:val="15"/>
          <w:szCs w:val="15"/>
          <w:color w:val="auto"/>
        </w:rPr>
      </w:pPr>
    </w:p>
    <w:p>
      <w:pPr>
        <w:ind w:left="2346" w:right="3559" w:hanging="813"/>
        <w:spacing w:after="0" w:line="243"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176" w:lineRule="exact"/>
        <w:rPr>
          <w:sz w:val="20"/>
          <w:szCs w:val="20"/>
          <w:color w:val="auto"/>
        </w:rPr>
      </w:pPr>
    </w:p>
    <w:p>
      <w:pPr>
        <w:ind w:left="806" w:right="3099"/>
        <w:spacing w:after="0" w:line="244" w:lineRule="auto"/>
        <w:rPr>
          <w:sz w:val="20"/>
          <w:szCs w:val="20"/>
          <w:color w:val="auto"/>
        </w:rPr>
      </w:pPr>
      <w:r>
        <w:rPr>
          <w:rFonts w:ascii="Courier New" w:cs="Courier New" w:eastAsia="Courier New" w:hAnsi="Courier New"/>
          <w:sz w:val="15"/>
          <w:szCs w:val="15"/>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77" w:lineRule="exact"/>
        <w:rPr>
          <w:sz w:val="20"/>
          <w:szCs w:val="20"/>
          <w:color w:val="auto"/>
        </w:rPr>
      </w:pPr>
    </w:p>
    <w:p>
      <w:pPr>
        <w:ind w:left="806" w:right="3279" w:hanging="806"/>
        <w:spacing w:after="0" w:line="243" w:lineRule="auto"/>
        <w:tabs>
          <w:tab w:leader="none" w:pos="80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w:t>
      </w:r>
    </w:p>
    <w:p>
      <w:pPr>
        <w:spacing w:after="0" w:line="200" w:lineRule="exact"/>
        <w:rPr>
          <w:sz w:val="20"/>
          <w:szCs w:val="20"/>
          <w:color w:val="auto"/>
        </w:rPr>
      </w:pPr>
    </w:p>
    <w:p>
      <w:pPr>
        <w:spacing w:after="0" w:line="326"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325"/>
          </w:cols>
          <w:pgMar w:left="1134" w:top="639" w:right="1440" w:bottom="902" w:gutter="0" w:footer="0" w:header="0"/>
        </w:sectPr>
      </w:pPr>
    </w:p>
    <w:bookmarkStart w:id="14" w:name="page15"/>
    <w:bookmarkEnd w:id="14"/>
    <w:p>
      <w:pPr>
        <w:ind w:left="806" w:right="3019"/>
        <w:spacing w:after="0" w:line="244" w:lineRule="auto"/>
        <w:rPr>
          <w:sz w:val="20"/>
          <w:szCs w:val="20"/>
          <w:color w:val="auto"/>
        </w:rPr>
      </w:pPr>
      <w:r>
        <w:rPr>
          <w:rFonts w:ascii="Courier New" w:cs="Courier New" w:eastAsia="Courier New" w:hAnsi="Courier New"/>
          <w:sz w:val="15"/>
          <w:szCs w:val="15"/>
          <w:color w:val="auto"/>
        </w:rPr>
        <w:t>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77" w:lineRule="exact"/>
        <w:rPr>
          <w:sz w:val="20"/>
          <w:szCs w:val="20"/>
          <w:color w:val="auto"/>
        </w:rPr>
      </w:pPr>
    </w:p>
    <w:p>
      <w:pPr>
        <w:ind w:left="806" w:right="3279" w:hanging="806"/>
        <w:spacing w:after="0" w:line="243"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179" w:lineRule="exact"/>
        <w:rPr>
          <w:rFonts w:ascii="Courier New" w:cs="Courier New" w:eastAsia="Courier New" w:hAnsi="Courier New"/>
          <w:sz w:val="15"/>
          <w:szCs w:val="15"/>
          <w:color w:val="auto"/>
        </w:rPr>
      </w:pPr>
    </w:p>
    <w:p>
      <w:pPr>
        <w:ind w:left="806" w:right="3199" w:hanging="806"/>
        <w:spacing w:after="0" w:line="244"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5"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72% of our fiscal year 2001 net sales and 37% of our outstanding accounts receivable as of September 30, 2001. Our top four customers, Home Depot, Wal*Mart, Kmart and Lowe's represented approximately 24%, 12%, 8% and 7%,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2" w:lineRule="exact"/>
        <w:rPr>
          <w:rFonts w:ascii="Courier New" w:cs="Courier New" w:eastAsia="Courier New" w:hAnsi="Courier New"/>
          <w:sz w:val="15"/>
          <w:szCs w:val="15"/>
          <w:color w:val="auto"/>
        </w:rPr>
      </w:pPr>
    </w:p>
    <w:p>
      <w:pPr>
        <w:jc w:val="both"/>
        <w:ind w:left="806" w:right="3379" w:hanging="806"/>
        <w:spacing w:after="0" w:line="244"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5" w:lineRule="exact"/>
        <w:rPr>
          <w:rFonts w:ascii="Courier New" w:cs="Courier New" w:eastAsia="Courier New" w:hAnsi="Courier New"/>
          <w:sz w:val="15"/>
          <w:szCs w:val="15"/>
          <w:color w:val="auto"/>
        </w:rPr>
      </w:pPr>
    </w:p>
    <w:p>
      <w:pPr>
        <w:ind w:left="806"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80" w:lineRule="exact"/>
        <w:rPr>
          <w:rFonts w:ascii="Courier New" w:cs="Courier New" w:eastAsia="Courier New" w:hAnsi="Courier New"/>
          <w:sz w:val="15"/>
          <w:szCs w:val="15"/>
          <w:color w:val="auto"/>
        </w:rPr>
      </w:pPr>
    </w:p>
    <w:p>
      <w:pPr>
        <w:ind w:left="2346" w:right="3099" w:hanging="813"/>
        <w:spacing w:after="0" w:line="243" w:lineRule="auto"/>
        <w:tabs>
          <w:tab w:leader="none" w:pos="234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76" w:lineRule="exact"/>
        <w:rPr>
          <w:rFonts w:ascii="Courier New" w:cs="Courier New" w:eastAsia="Courier New" w:hAnsi="Courier New"/>
          <w:sz w:val="15"/>
          <w:szCs w:val="15"/>
          <w:color w:val="auto"/>
        </w:rPr>
      </w:pPr>
    </w:p>
    <w:p>
      <w:pPr>
        <w:ind w:left="2346" w:right="3099" w:hanging="813"/>
        <w:spacing w:after="0" w:line="243" w:lineRule="auto"/>
        <w:tabs>
          <w:tab w:leader="none" w:pos="234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6" w:lineRule="exact"/>
        <w:rPr>
          <w:rFonts w:ascii="Courier New" w:cs="Courier New" w:eastAsia="Courier New" w:hAnsi="Courier New"/>
          <w:sz w:val="15"/>
          <w:szCs w:val="15"/>
          <w:color w:val="auto"/>
        </w:rPr>
      </w:pPr>
    </w:p>
    <w:p>
      <w:pPr>
        <w:ind w:left="806" w:right="3199" w:hanging="806"/>
        <w:spacing w:after="0" w:line="244"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5"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w:t>
      </w:r>
    </w:p>
    <w:p>
      <w:pPr>
        <w:spacing w:after="0" w:line="354"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325"/>
          </w:cols>
          <w:pgMar w:left="1134" w:top="638" w:right="1440" w:bottom="1440" w:gutter="0" w:footer="0" w:header="0"/>
        </w:sectPr>
      </w:pPr>
    </w:p>
    <w:bookmarkStart w:id="15" w:name="page16"/>
    <w:bookmarkEnd w:id="15"/>
    <w:p>
      <w:pPr>
        <w:ind w:left="806" w:right="3099"/>
        <w:spacing w:after="0" w:line="244" w:lineRule="auto"/>
        <w:rPr>
          <w:sz w:val="20"/>
          <w:szCs w:val="20"/>
          <w:color w:val="auto"/>
        </w:rPr>
      </w:pPr>
      <w:r>
        <w:rPr>
          <w:rFonts w:ascii="Courier New" w:cs="Courier New" w:eastAsia="Courier New" w:hAnsi="Courier New"/>
          <w:sz w:val="15"/>
          <w:szCs w:val="15"/>
          <w:color w:val="auto"/>
        </w:rPr>
        <w:t>calculated under the Roundup(R) marketing agreement. We are aware that Spectrum Brands produced glyphosate one-gallon products for Home Depot and Lowe's to be sold under the Real-Kill(R) and No-Pest(R) brand names, respectively, in fiscal year 2001. We anticipate that Lowe's will introduce a one-quart glyphosate product, and that Ace Hardware Corporation will introduce one-gallon and one-quart glyphosate products, in fiscal year 2002. It is too early to determine whether these product introductions will have a material adverse effect on our sales of Roundup(R).</w:t>
      </w:r>
    </w:p>
    <w:p>
      <w:pPr>
        <w:spacing w:after="0" w:line="180" w:lineRule="exact"/>
        <w:rPr>
          <w:sz w:val="20"/>
          <w:szCs w:val="20"/>
          <w:color w:val="auto"/>
        </w:rPr>
      </w:pPr>
    </w:p>
    <w:p>
      <w:pPr>
        <w:jc w:val="both"/>
        <w:ind w:left="806" w:right="3019"/>
        <w:spacing w:after="0" w:line="244" w:lineRule="auto"/>
        <w:rPr>
          <w:sz w:val="20"/>
          <w:szCs w:val="20"/>
          <w:color w:val="auto"/>
        </w:rPr>
      </w:pPr>
      <w:r>
        <w:rPr>
          <w:rFonts w:ascii="Courier New" w:cs="Courier New" w:eastAsia="Courier New" w:hAnsi="Courier New"/>
          <w:sz w:val="15"/>
          <w:szCs w:val="15"/>
          <w:color w:val="auto"/>
        </w:rPr>
        <w:t>Our methylene-urea product composition patent, which covered Scotts Turf Builder(R), Scotts Turf Builder(R) with Plus 2(R) with Weed Control and Scotts Turf Builder(R) with Halts(R)</w:t>
      </w:r>
    </w:p>
    <w:p>
      <w:pPr>
        <w:spacing w:after="0" w:line="2"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Crabgrass Preventer, expired in July 2001 and could also result in increased competition. Any decline in sales of Turf Builder(R) products after the expiration of the methylene-urea product composition patent could adversely affect our financial results.</w:t>
      </w:r>
    </w:p>
    <w:p>
      <w:pPr>
        <w:spacing w:after="0" w:line="177" w:lineRule="exact"/>
        <w:rPr>
          <w:sz w:val="20"/>
          <w:szCs w:val="20"/>
          <w:color w:val="auto"/>
        </w:rPr>
      </w:pPr>
    </w:p>
    <w:p>
      <w:pPr>
        <w:ind w:left="806" w:right="3099" w:hanging="806"/>
        <w:spacing w:after="0" w:line="244" w:lineRule="auto"/>
        <w:tabs>
          <w:tab w:leader="none" w:pos="80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40% OF THE OUTSTANDING COMMON SHARES OF SCOTTS ON A FULLY DILUTED BASIS.</w:t>
      </w:r>
    </w:p>
    <w:p>
      <w:pPr>
        <w:spacing w:after="0" w:line="175" w:lineRule="exact"/>
        <w:rPr>
          <w:rFonts w:ascii="Courier New" w:cs="Courier New" w:eastAsia="Courier New" w:hAnsi="Courier New"/>
          <w:sz w:val="15"/>
          <w:szCs w:val="15"/>
          <w:color w:val="auto"/>
        </w:rPr>
      </w:pPr>
    </w:p>
    <w:p>
      <w:pPr>
        <w:ind w:left="806"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177" w:lineRule="exact"/>
        <w:rPr>
          <w:rFonts w:ascii="Courier New" w:cs="Courier New" w:eastAsia="Courier New" w:hAnsi="Courier New"/>
          <w:sz w:val="15"/>
          <w:szCs w:val="15"/>
          <w:color w:val="auto"/>
        </w:rPr>
      </w:pPr>
    </w:p>
    <w:p>
      <w:pPr>
        <w:ind w:left="806" w:right="3639" w:hanging="806"/>
        <w:spacing w:after="0" w:line="243" w:lineRule="auto"/>
        <w:tabs>
          <w:tab w:leader="none" w:pos="80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2"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188"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w:t>
      </w:r>
    </w:p>
    <w:p>
      <w:pPr>
        <w:sectPr>
          <w:pgSz w:w="11900" w:h="16838" w:orient="portrait"/>
          <w:cols w:equalWidth="0" w:num="1">
            <w:col w:w="9325"/>
          </w:cols>
          <w:pgMar w:left="1134" w:top="812" w:right="1440" w:bottom="0" w:gutter="0" w:footer="0" w:header="0"/>
        </w:sectPr>
      </w:pPr>
    </w:p>
    <w:bookmarkStart w:id="16" w:name="page17"/>
    <w:bookmarkEnd w:id="16"/>
    <w:p>
      <w:pPr>
        <w:ind w:left="23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61" w:right="1440" w:bottom="1440" w:gutter="0" w:footer="0" w:header="0"/>
        </w:sectPr>
      </w:pPr>
    </w:p>
    <w:bookmarkStart w:id="17" w:name="page18"/>
    <w:bookmarkEnd w:id="17"/>
    <w:p>
      <w:pPr>
        <w:ind w:left="806" w:right="3099"/>
        <w:spacing w:after="0" w:line="244" w:lineRule="auto"/>
        <w:rPr>
          <w:sz w:val="20"/>
          <w:szCs w:val="20"/>
          <w:color w:val="auto"/>
        </w:rPr>
      </w:pPr>
      <w:r>
        <w:rPr>
          <w:rFonts w:ascii="Courier New" w:cs="Courier New" w:eastAsia="Courier New" w:hAnsi="Courier New"/>
          <w:sz w:val="15"/>
          <w:szCs w:val="15"/>
          <w:color w:val="auto"/>
        </w:rPr>
        <w:t>products liability have adversely affected operating results in the past and could materially affect future quarterly or annual operating results.</w:t>
      </w:r>
    </w:p>
    <w:p>
      <w:pPr>
        <w:spacing w:after="0" w:line="175"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9"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 During fiscal year 2001, we made approximately $.6 million in environmental capital expenditures and $2.1 million in other environmental expenses, compared with approximately $.8 million in environmental capital expenditures and $1.8 million in other environmental expenses in fiscal year 2000. Management anticipates that environmental capital expenditures and other environmental expenses for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91" w:lineRule="exact"/>
        <w:rPr>
          <w:sz w:val="20"/>
          <w:szCs w:val="20"/>
          <w:color w:val="auto"/>
        </w:rPr>
      </w:pPr>
    </w:p>
    <w:p>
      <w:pPr>
        <w:ind w:left="1526" w:right="3099" w:hanging="715"/>
        <w:spacing w:after="0" w:line="243" w:lineRule="auto"/>
        <w:tabs>
          <w:tab w:leader="none" w:pos="15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6" w:lineRule="exact"/>
        <w:rPr>
          <w:rFonts w:ascii="Courier New" w:cs="Courier New" w:eastAsia="Courier New" w:hAnsi="Courier New"/>
          <w:sz w:val="15"/>
          <w:szCs w:val="15"/>
          <w:color w:val="auto"/>
        </w:rPr>
      </w:pPr>
    </w:p>
    <w:p>
      <w:pPr>
        <w:ind w:left="1526" w:right="3019" w:hanging="715"/>
        <w:spacing w:after="0" w:line="243" w:lineRule="auto"/>
        <w:tabs>
          <w:tab w:leader="none" w:pos="15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6" w:lineRule="exact"/>
        <w:rPr>
          <w:rFonts w:ascii="Courier New" w:cs="Courier New" w:eastAsia="Courier New" w:hAnsi="Courier New"/>
          <w:sz w:val="15"/>
          <w:szCs w:val="15"/>
          <w:color w:val="auto"/>
        </w:rPr>
      </w:pPr>
    </w:p>
    <w:p>
      <w:pPr>
        <w:ind w:left="1526" w:right="3019" w:hanging="715"/>
        <w:spacing w:after="0" w:line="244" w:lineRule="auto"/>
        <w:tabs>
          <w:tab w:leader="none" w:pos="15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7"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8" w:lineRule="exact"/>
        <w:rPr>
          <w:sz w:val="20"/>
          <w:szCs w:val="20"/>
          <w:color w:val="auto"/>
        </w:rPr>
      </w:pPr>
    </w:p>
    <w:p>
      <w:pPr>
        <w:ind w:left="806" w:right="3279" w:hanging="806"/>
        <w:spacing w:after="0" w:line="243" w:lineRule="auto"/>
        <w:tabs>
          <w:tab w:leader="none" w:pos="8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EURO CURRENCY IN SOME EUROPEAN COUNTRIES BETWEEN 1999 AND 2002 COULD ADVERSELY AFFECT US.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"euro" was introduced in some Economic and Monetary Union countries and by 2002, all Economic and Monetary Union countries are expected to be operating with the euro as their single currency. Uncertainty exists as to the effects the euro currency will have on the marketplace. We are still assessing the impact the Economic and Monetary Union formation and euro implementation may have on the sales of our products and conduct of our business. We expect to take appropriate actions based on the results of our assessment. However, there can be no assurance that this issue will not have a material adverse effect on us or our future operating results and financial condition.</w:t>
      </w:r>
    </w:p>
    <w:p>
      <w:pPr>
        <w:spacing w:after="0" w:line="180" w:lineRule="exact"/>
        <w:rPr>
          <w:rFonts w:ascii="Courier New" w:cs="Courier New" w:eastAsia="Courier New" w:hAnsi="Courier New"/>
          <w:sz w:val="15"/>
          <w:szCs w:val="15"/>
          <w:color w:val="auto"/>
        </w:rPr>
      </w:pPr>
    </w:p>
    <w:p>
      <w:pPr>
        <w:ind w:left="806" w:right="3019" w:hanging="806"/>
        <w:spacing w:after="0" w:line="244" w:lineRule="auto"/>
        <w:tabs>
          <w:tab w:leader="none" w:pos="8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348"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325"/>
          </w:cols>
          <w:pgMar w:left="1134" w:top="638" w:right="1440" w:bottom="902" w:gutter="0" w:footer="0" w:header="0"/>
        </w:sectPr>
      </w:pPr>
    </w:p>
    <w:bookmarkStart w:id="18" w:name="page19"/>
    <w:bookmarkEnd w:id="18"/>
    <w:p>
      <w:pPr>
        <w:ind w:left="500" w:right="3459"/>
        <w:spacing w:after="0" w:line="244"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w:t>
      </w:r>
    </w:p>
    <w:p>
      <w:pPr>
        <w:spacing w:after="0" w:line="175" w:lineRule="exact"/>
        <w:rPr>
          <w:sz w:val="20"/>
          <w:szCs w:val="20"/>
          <w:color w:val="auto"/>
        </w:rPr>
      </w:pPr>
    </w:p>
    <w:p>
      <w:pPr>
        <w:ind w:left="500" w:right="3019"/>
        <w:spacing w:after="0" w:line="244" w:lineRule="auto"/>
        <w:rPr>
          <w:sz w:val="20"/>
          <w:szCs w:val="20"/>
          <w:color w:val="auto"/>
        </w:rPr>
      </w:pPr>
      <w:r>
        <w:rPr>
          <w:rFonts w:ascii="Courier New" w:cs="Courier New" w:eastAsia="Courier New" w:hAnsi="Courier New"/>
          <w:sz w:val="15"/>
          <w:szCs w:val="15"/>
          <w:color w:val="auto"/>
        </w:rPr>
        <w:t>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77" w:lineRule="exact"/>
        <w:rPr>
          <w:sz w:val="20"/>
          <w:szCs w:val="20"/>
          <w:color w:val="auto"/>
        </w:rPr>
      </w:pPr>
    </w:p>
    <w:p>
      <w:pPr>
        <w:ind w:left="1220" w:hanging="715"/>
        <w:spacing w:after="0"/>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7" w:lineRule="exact"/>
        <w:rPr>
          <w:rFonts w:ascii="Courier New" w:cs="Courier New" w:eastAsia="Courier New" w:hAnsi="Courier New"/>
          <w:sz w:val="15"/>
          <w:szCs w:val="15"/>
          <w:color w:val="auto"/>
        </w:rPr>
      </w:pPr>
    </w:p>
    <w:p>
      <w:pPr>
        <w:ind w:left="1220" w:right="31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6" w:lineRule="exact"/>
        <w:rPr>
          <w:rFonts w:ascii="Courier New" w:cs="Courier New" w:eastAsia="Courier New" w:hAnsi="Courier New"/>
          <w:sz w:val="15"/>
          <w:szCs w:val="15"/>
          <w:color w:val="auto"/>
        </w:rPr>
      </w:pPr>
    </w:p>
    <w:p>
      <w:pPr>
        <w:ind w:left="1220" w:right="30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6" w:lineRule="exact"/>
        <w:rPr>
          <w:rFonts w:ascii="Courier New" w:cs="Courier New" w:eastAsia="Courier New" w:hAnsi="Courier New"/>
          <w:sz w:val="15"/>
          <w:szCs w:val="15"/>
          <w:color w:val="auto"/>
        </w:rPr>
      </w:pPr>
    </w:p>
    <w:p>
      <w:pPr>
        <w:ind w:left="1220" w:right="40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6" w:lineRule="exact"/>
        <w:rPr>
          <w:rFonts w:ascii="Courier New" w:cs="Courier New" w:eastAsia="Courier New" w:hAnsi="Courier New"/>
          <w:sz w:val="15"/>
          <w:szCs w:val="15"/>
          <w:color w:val="auto"/>
        </w:rPr>
      </w:pPr>
    </w:p>
    <w:p>
      <w:pPr>
        <w:ind w:left="1220" w:right="31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6" w:lineRule="exact"/>
        <w:rPr>
          <w:sz w:val="20"/>
          <w:szCs w:val="20"/>
          <w:color w:val="auto"/>
        </w:rPr>
      </w:pPr>
    </w:p>
    <w:p>
      <w:pPr>
        <w:ind w:left="500" w:right="3099"/>
        <w:spacing w:after="0" w:line="244" w:lineRule="auto"/>
        <w:rPr>
          <w:sz w:val="20"/>
          <w:szCs w:val="20"/>
          <w:color w:val="auto"/>
        </w:rPr>
      </w:pPr>
      <w:r>
        <w:rPr>
          <w:rFonts w:ascii="Courier New" w:cs="Courier New" w:eastAsia="Courier New" w:hAnsi="Courier New"/>
          <w:sz w:val="15"/>
          <w:szCs w:val="15"/>
          <w:color w:val="auto"/>
        </w:rPr>
        <w:t>The costs related to our international operations could adversely affect our operations and financial results in the future.</w:t>
      </w:r>
    </w:p>
    <w:p>
      <w:pPr>
        <w:spacing w:after="0" w:line="34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3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footnotes thereto and schedules listed in the "Index to Consolidated Financial Statements and Financial Statement Schedules" on page 41 herein.</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20" w:name="page21"/>
    <w:bookmarkEnd w:id="20"/>
    <w:p>
      <w:pPr>
        <w:ind w:left="3320"/>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7" w:lineRule="exact"/>
        <w:rPr>
          <w:sz w:val="20"/>
          <w:szCs w:val="20"/>
          <w:color w:val="auto"/>
        </w:rPr>
      </w:pPr>
    </w:p>
    <w:p>
      <w:pPr>
        <w:ind w:left="1260" w:hanging="456"/>
        <w:spacing w:after="0"/>
        <w:tabs>
          <w:tab w:leader="none" w:pos="12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DOCUMENTS FILED AS PART OF THIS REPORT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and 2. Financial Statements and Financial Statement Schedules:</w:t>
      </w:r>
    </w:p>
    <w:p>
      <w:pPr>
        <w:spacing w:after="0" w:line="178" w:lineRule="exact"/>
        <w:rPr>
          <w:sz w:val="20"/>
          <w:szCs w:val="20"/>
          <w:color w:val="auto"/>
        </w:rPr>
      </w:pPr>
    </w:p>
    <w:p>
      <w:pPr>
        <w:ind w:left="800" w:right="3099" w:firstLine="812"/>
        <w:spacing w:after="0" w:line="244"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Reference is made to the "Index to Consolidated Financial Statements and Financial Statement Schedules" on page 41 herein.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 Exhibits:</w:t>
      </w:r>
    </w:p>
    <w:p>
      <w:pPr>
        <w:spacing w:after="0" w:line="178" w:lineRule="exact"/>
        <w:rPr>
          <w:sz w:val="20"/>
          <w:szCs w:val="20"/>
          <w:color w:val="auto"/>
        </w:rPr>
      </w:pPr>
    </w:p>
    <w:p>
      <w:pPr>
        <w:ind w:left="800" w:right="3459" w:firstLine="812"/>
        <w:spacing w:after="0" w:line="243" w:lineRule="auto"/>
        <w:rPr>
          <w:sz w:val="20"/>
          <w:szCs w:val="20"/>
          <w:color w:val="auto"/>
        </w:rPr>
      </w:pPr>
      <w:r>
        <w:rPr>
          <w:rFonts w:ascii="Courier New" w:cs="Courier New" w:eastAsia="Courier New" w:hAnsi="Courier New"/>
          <w:sz w:val="15"/>
          <w:szCs w:val="15"/>
          <w:color w:val="auto"/>
        </w:rPr>
        <w:t>See the Company's Annual Report on Form 10-K for the year ended September 30, 2001 for the list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84" w:right="1440" w:bottom="1440" w:gutter="0" w:footer="0" w:header="0"/>
        </w:sectPr>
      </w:pPr>
    </w:p>
    <w:bookmarkStart w:id="21" w:name="page22"/>
    <w:bookmarkEnd w:id="21"/>
    <w:p>
      <w:pPr>
        <w:ind w:left="1620"/>
        <w:spacing w:after="0"/>
        <w:rPr>
          <w:sz w:val="20"/>
          <w:szCs w:val="20"/>
          <w:color w:val="auto"/>
        </w:rPr>
      </w:pPr>
      <w:r>
        <w:rPr>
          <w:rFonts w:ascii="Courier New" w:cs="Courier New" w:eastAsia="Courier New" w:hAnsi="Courier New"/>
          <w:sz w:val="15"/>
          <w:szCs w:val="15"/>
          <w:color w:val="auto"/>
        </w:rPr>
        <w:t>EXECUTIVE COMPENSATORY PLANS AND ARRANGEMENTS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Exhibit</w:t>
            </w:r>
          </w:p>
        </w:tc>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3"/>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w:t>
            </w:r>
          </w:p>
        </w:tc>
        <w:tc>
          <w:tcPr>
            <w:tcW w:w="4780" w:type="dxa"/>
            <w:vAlign w:val="bottom"/>
            <w:gridSpan w:val="3"/>
          </w:tcPr>
          <w:p>
            <w:pPr>
              <w:ind w:left="25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780" w:type="dxa"/>
            <w:vAlign w:val="bottom"/>
            <w:gridSpan w:val="3"/>
          </w:tcPr>
          <w:p>
            <w:pPr>
              <w:ind w:left="2520"/>
              <w:spacing w:after="0"/>
              <w:rPr>
                <w:sz w:val="20"/>
                <w:szCs w:val="20"/>
                <w:color w:val="auto"/>
              </w:rPr>
            </w:pPr>
            <w:r>
              <w:rPr>
                <w:rFonts w:ascii="Courier New" w:cs="Courier New" w:eastAsia="Courier New" w:hAnsi="Courier New"/>
                <w:sz w:val="15"/>
                <w:szCs w:val="15"/>
                <w:color w:val="auto"/>
              </w:rPr>
              <w:t>-----------</w:t>
            </w:r>
          </w:p>
        </w:tc>
      </w:tr>
      <w:tr>
        <w:trPr>
          <w:trHeight w:val="520"/>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10(a)(1)</w:t>
            </w: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O.M. Scott &amp; Sons Company Excess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Benefit Plan,</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effective October 1, 1993</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86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10(a)(2)</w:t>
            </w: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First Amendment to The O.M. Scott</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Sons Company</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Excess Benefit Plan, effective as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January 1, 1998</w:t>
            </w: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10(a)(3)</w:t>
            </w: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Second Amendment to The O.M. Scott &amp;</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Sons Company</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Excess Benefit Plan, effective as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January 1, 1999</w:t>
            </w: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10(b)</w:t>
            </w: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The Scotts Company 1992 Long Term</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Incentive Plan</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(as amended through May 15, 2000)</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Executive Annual Incentive Plan</w:t>
      </w:r>
    </w:p>
    <w:p>
      <w:pPr>
        <w:spacing w:after="0" w:line="178" w:lineRule="exact"/>
        <w:rPr>
          <w:sz w:val="20"/>
          <w:szCs w:val="20"/>
          <w:color w:val="auto"/>
        </w:rPr>
      </w:pPr>
    </w:p>
    <w:p>
      <w:pPr>
        <w:ind w:left="1080" w:right="980" w:hanging="1079"/>
        <w:spacing w:after="0" w:line="243" w:lineRule="auto"/>
        <w:tabs>
          <w:tab w:leader="none" w:pos="10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The Scotts Company 1996 Stock Option Plan (as amended through May 15, 2000)</w:t>
      </w:r>
    </w:p>
    <w:p>
      <w:pPr>
        <w:spacing w:after="0" w:line="200" w:lineRule="exact"/>
        <w:rPr>
          <w:sz w:val="20"/>
          <w:szCs w:val="20"/>
          <w:color w:val="auto"/>
        </w:rPr>
      </w:pPr>
    </w:p>
    <w:p>
      <w:pPr>
        <w:spacing w:after="0" w:line="32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Specimen form of Stock Option Agreement (as</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amended through October 23, 2001) for Non-Qualified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Stock Options granted to employees under The</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Scotts Company 1996 Stock Option Plan, U.S. specimen</w:t>
      </w:r>
    </w:p>
    <w:p>
      <w:pPr>
        <w:spacing w:after="0" w:line="188" w:lineRule="exact"/>
        <w:rPr>
          <w:sz w:val="20"/>
          <w:szCs w:val="20"/>
          <w:color w:val="auto"/>
        </w:rPr>
      </w:pPr>
    </w:p>
    <w:p>
      <w:pPr>
        <w:ind w:left="1080" w:right="440" w:hanging="1079"/>
        <w:spacing w:after="0" w:line="244" w:lineRule="auto"/>
        <w:tabs>
          <w:tab w:leader="none" w:pos="106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Specimen form of Stock Option Agreement (as amended through October 23, 2001) for Non-Qualified Stock Options granted to employees under The Scotts Company 1996 Stock Option Plan, French specimen</w:t>
      </w:r>
    </w:p>
    <w:p>
      <w:pPr>
        <w:spacing w:after="0" w:line="17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10(g)(1)</w:t>
      </w:r>
      <w:r>
        <w:rPr>
          <w:sz w:val="20"/>
          <w:szCs w:val="20"/>
          <w:color w:val="auto"/>
        </w:rPr>
        <w:tab/>
      </w:r>
      <w:r>
        <w:rPr>
          <w:rFonts w:ascii="Courier New" w:cs="Courier New" w:eastAsia="Courier New" w:hAnsi="Courier New"/>
          <w:sz w:val="15"/>
          <w:szCs w:val="15"/>
          <w:color w:val="auto"/>
        </w:rPr>
        <w:t>The Scotts Company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80" w:right="720" w:hanging="1079"/>
        <w:spacing w:after="0" w:line="278" w:lineRule="auto"/>
        <w:tabs>
          <w:tab w:leader="none" w:pos="1060" w:val="left"/>
        </w:tabs>
        <w:rPr>
          <w:sz w:val="20"/>
          <w:szCs w:val="20"/>
          <w:color w:val="auto"/>
        </w:rPr>
      </w:pPr>
      <w:r>
        <w:rPr>
          <w:rFonts w:ascii="Courier New" w:cs="Courier New" w:eastAsia="Courier New" w:hAnsi="Courier New"/>
          <w:sz w:val="14"/>
          <w:szCs w:val="14"/>
          <w:color w:val="auto"/>
        </w:rPr>
        <w:t>10(g)(2)</w:t>
      </w:r>
      <w:r>
        <w:rPr>
          <w:sz w:val="20"/>
          <w:szCs w:val="20"/>
          <w:color w:val="auto"/>
        </w:rPr>
        <w:tab/>
      </w:r>
      <w:r>
        <w:rPr>
          <w:rFonts w:ascii="Courier New" w:cs="Courier New" w:eastAsia="Courier New" w:hAnsi="Courier New"/>
          <w:sz w:val="14"/>
          <w:szCs w:val="14"/>
          <w:color w:val="auto"/>
        </w:rPr>
        <w:t>First Amendment to The Scotts Company Executive Retirement Plan, effective as of January 1, 1999</w:t>
      </w:r>
    </w:p>
    <w:p>
      <w:pPr>
        <w:spacing w:after="0" w:line="153" w:lineRule="exact"/>
        <w:rPr>
          <w:sz w:val="20"/>
          <w:szCs w:val="20"/>
          <w:color w:val="auto"/>
        </w:rPr>
      </w:pPr>
    </w:p>
    <w:p>
      <w:pPr>
        <w:jc w:val="both"/>
        <w:ind w:left="1080" w:right="720" w:hanging="1079"/>
        <w:spacing w:after="0" w:line="278" w:lineRule="auto"/>
        <w:tabs>
          <w:tab w:leader="none" w:pos="1060" w:val="left"/>
        </w:tabs>
        <w:rPr>
          <w:sz w:val="20"/>
          <w:szCs w:val="20"/>
          <w:color w:val="auto"/>
        </w:rPr>
      </w:pPr>
      <w:r>
        <w:rPr>
          <w:rFonts w:ascii="Courier New" w:cs="Courier New" w:eastAsia="Courier New" w:hAnsi="Courier New"/>
          <w:sz w:val="14"/>
          <w:szCs w:val="14"/>
          <w:color w:val="auto"/>
        </w:rPr>
        <w:t>10(g)(3)</w:t>
      </w:r>
      <w:r>
        <w:rPr>
          <w:sz w:val="20"/>
          <w:szCs w:val="20"/>
          <w:color w:val="auto"/>
        </w:rPr>
        <w:tab/>
      </w:r>
      <w:r>
        <w:rPr>
          <w:rFonts w:ascii="Courier New" w:cs="Courier New" w:eastAsia="Courier New" w:hAnsi="Courier New"/>
          <w:sz w:val="14"/>
          <w:szCs w:val="14"/>
          <w:color w:val="auto"/>
        </w:rPr>
        <w:t>Second Amendment to The Scotts Company Executive Retirement Plan, effective as of January 1, 2000</w:t>
      </w:r>
    </w:p>
    <w:p>
      <w:pPr>
        <w:spacing w:after="0" w:line="153" w:lineRule="exact"/>
        <w:rPr>
          <w:sz w:val="20"/>
          <w:szCs w:val="20"/>
          <w:color w:val="auto"/>
        </w:rPr>
      </w:pPr>
    </w:p>
    <w:p>
      <w:pPr>
        <w:ind w:left="1080" w:right="540" w:hanging="1079"/>
        <w:spacing w:after="0" w:line="244" w:lineRule="auto"/>
        <w:tabs>
          <w:tab w:leader="none" w:pos="10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dated as of August 7, 1998, between the Registrant and Charles M. Berger, and three attached Stock Option Agreements with the following effective dates: September 23, 1998, October 21, 1998 and September 24, 1999</w:t>
      </w:r>
    </w:p>
    <w:p>
      <w:pPr>
        <w:spacing w:after="0" w:line="177" w:lineRule="exact"/>
        <w:rPr>
          <w:sz w:val="20"/>
          <w:szCs w:val="20"/>
          <w:color w:val="auto"/>
        </w:rPr>
      </w:pPr>
    </w:p>
    <w:p>
      <w:pPr>
        <w:ind w:left="1080" w:right="440" w:hanging="1079"/>
        <w:spacing w:after="0" w:line="243" w:lineRule="auto"/>
        <w:tabs>
          <w:tab w:leader="none" w:pos="10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Annual Report on Form 10-K for the fiscal year ended September 30, 1993, of The Scotts Company, a Delaware corporation (File No. 0-19768) [Exhibit 10(h)]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April 1, 2000 (File No. 1-13292) [Exhibit 10(b)]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April 1, 2000 (File No. 1-13292) [Exhibit 10(d)]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10(j)]</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80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10(n)]</w:t>
      </w:r>
    </w:p>
    <w:p>
      <w:pPr>
        <w:spacing w:after="0" w:line="349"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10(m)]</w:t>
      </w:r>
    </w:p>
    <w:p>
      <w:pPr>
        <w:sectPr>
          <w:pgSz w:w="11900" w:h="16838" w:orient="portrait"/>
          <w:cols w:equalWidth="0" w:num="2">
            <w:col w:w="6120" w:space="720"/>
            <w:col w:w="4680"/>
          </w:cols>
          <w:pgMar w:left="240" w:top="811" w:right="1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Exhibit</w:t>
            </w:r>
          </w:p>
        </w:tc>
        <w:tc>
          <w:tcPr>
            <w:tcW w:w="24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3"/>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No.</w:t>
            </w:r>
          </w:p>
        </w:tc>
        <w:tc>
          <w:tcPr>
            <w:tcW w:w="2480" w:type="dxa"/>
            <w:vAlign w:val="bottom"/>
          </w:tcPr>
          <w:p>
            <w:pPr>
              <w:spacing w:after="0"/>
              <w:rPr>
                <w:sz w:val="15"/>
                <w:szCs w:val="15"/>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15"/>
                <w:szCs w:val="15"/>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52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March 21, 2001, pertaining</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to amendment of Employment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Agreement, dated as of</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August 7, 1998, between the Registrant and</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Charles M. Berger; and employment of Mr. Berger</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through January 16, 2003</w:t>
            </w:r>
          </w:p>
        </w:tc>
        <w:tc>
          <w:tcPr>
            <w:tcW w:w="2580" w:type="dxa"/>
            <w:vAlign w:val="bottom"/>
          </w:tcPr>
          <w:p>
            <w:pPr>
              <w:spacing w:after="0"/>
              <w:rPr>
                <w:sz w:val="15"/>
                <w:szCs w:val="15"/>
                <w:color w:val="auto"/>
              </w:rPr>
            </w:pP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September 25, 2001, replacing</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and superceding the letter</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agreement, dated</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March 21, 2001, pertaining</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to amendment of</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as of August 7, 1998,</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Charles M. Berger</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as of May 19, 1995,</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James Hagedorn</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10(m)</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April 10, 1997,</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G. Robert Lucas</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June 11, 2001, between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Registrant and G. Robert Lucas, regarding</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Mr. Lucas' retirement from</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w w:val="99"/>
              </w:rPr>
              <w:t>employment by the Registrant</w:t>
            </w:r>
          </w:p>
        </w:tc>
      </w:tr>
      <w:tr>
        <w:trPr>
          <w:trHeight w:val="52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March 16, 1999, between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Registrant and Hadia Lefavre</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October 14, 2001,</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Hadia Lefavre, pertaining</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 terms of employment of Ms. Lefavre through</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 2002, and superseding certain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provisions of letter agreement, dated March 16, 1999,</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Ms. Lefavre</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10(q)</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June 8, 2000, between the</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Registrant and Patrick J. Norton</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10(r)</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August 1, 1995, between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Scotts Europe B.V. (now Scotts International B.V.)</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and Laurens J.M. de Kort</w:t>
            </w:r>
          </w:p>
        </w:tc>
        <w:tc>
          <w:tcPr>
            <w:tcW w:w="2580" w:type="dxa"/>
            <w:vAlign w:val="bottom"/>
          </w:tcPr>
          <w:p>
            <w:pPr>
              <w:spacing w:after="0"/>
              <w:rPr>
                <w:sz w:val="15"/>
                <w:szCs w:val="15"/>
                <w:color w:val="auto"/>
              </w:rPr>
            </w:pPr>
          </w:p>
        </w:tc>
      </w:tr>
      <w:tr>
        <w:trPr>
          <w:trHeight w:val="52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10(s)</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Settlement Agreement, dated November 27, 2001,</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Laurens J.M. de Kort</w:t>
            </w:r>
          </w:p>
        </w:tc>
      </w:tr>
      <w:tr>
        <w:trPr>
          <w:trHeight w:val="867"/>
        </w:trPr>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28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March 31, 2001 (File No. 1-13292) [Exhibit 10(w)]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1995 (File No. 1-11593) [Exhibit 10(p)]</w:t>
      </w:r>
    </w:p>
    <w:p>
      <w:pPr>
        <w:spacing w:after="0" w:line="176"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1997 (File No. 1-11593) [Exhibit 10(r)]</w:t>
      </w:r>
    </w:p>
    <w:p>
      <w:pPr>
        <w:spacing w:after="0" w:line="176"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June 30, 2001 (File No. 1-13292) [Exhibit 10(x)]</w:t>
      </w:r>
    </w:p>
    <w:p>
      <w:pPr>
        <w:spacing w:after="0" w:line="176"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10(p)]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2000 (File No. 1-13292) [Exhibit 10(q)]</w:t>
      </w:r>
    </w:p>
    <w:p>
      <w:pPr>
        <w:spacing w:after="0" w:line="176"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10(s)]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120" w:space="720"/>
            <w:col w:w="4160"/>
          </w:cols>
          <w:pgMar w:left="240" w:top="1158" w:right="659"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448"/>
        <w:spacing w:after="0"/>
        <w:tabs>
          <w:tab w:leader="none" w:pos="3487"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448"/>
        <w:spacing w:after="0"/>
        <w:tabs>
          <w:tab w:leader="none" w:pos="34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0"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Letter agreement, dated July 16, 2001, between the</w:t>
      </w:r>
    </w:p>
    <w:p>
      <w:pPr>
        <w:spacing w:after="0" w:line="4" w:lineRule="exact"/>
        <w:rPr>
          <w:sz w:val="20"/>
          <w:szCs w:val="20"/>
          <w:color w:val="auto"/>
        </w:rPr>
      </w:pPr>
    </w:p>
    <w:p>
      <w:pPr>
        <w:ind w:left="1088" w:right="440"/>
        <w:spacing w:after="0" w:line="243" w:lineRule="auto"/>
        <w:rPr>
          <w:sz w:val="20"/>
          <w:szCs w:val="20"/>
          <w:color w:val="auto"/>
        </w:rPr>
      </w:pPr>
      <w:r>
        <w:rPr>
          <w:rFonts w:ascii="Courier New" w:cs="Courier New" w:eastAsia="Courier New" w:hAnsi="Courier New"/>
          <w:sz w:val="15"/>
          <w:szCs w:val="15"/>
          <w:color w:val="auto"/>
        </w:rPr>
        <w:t>Registrant and James Rogula, regarding Mr. Rogula's retirement from employment by the Registrant</w:t>
      </w:r>
    </w:p>
    <w:p>
      <w:pPr>
        <w:spacing w:after="0" w:line="349"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10(u)</w:t>
      </w:r>
      <w:r>
        <w:rPr>
          <w:sz w:val="20"/>
          <w:szCs w:val="20"/>
          <w:color w:val="auto"/>
        </w:rPr>
        <w:tab/>
      </w:r>
      <w:r>
        <w:rPr>
          <w:rFonts w:ascii="Courier New" w:cs="Courier New" w:eastAsia="Courier New" w:hAnsi="Courier New"/>
          <w:sz w:val="15"/>
          <w:szCs w:val="15"/>
          <w:color w:val="auto"/>
        </w:rPr>
        <w:t>Written description of employment agreement</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between the Registrant and Michael P. Kelty, Ph.D.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June 30, 2001 (File No. 1-13292) [Exhibit 10(y)]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3" w:lineRule="exact"/>
        <w:rPr>
          <w:sz w:val="20"/>
          <w:szCs w:val="20"/>
          <w:color w:val="auto"/>
        </w:rPr>
      </w:pPr>
    </w:p>
    <w:p>
      <w:pPr>
        <w:sectPr>
          <w:pgSz w:w="11900" w:h="16838" w:orient="portrait"/>
          <w:cols w:equalWidth="0" w:num="2">
            <w:col w:w="6128" w:space="720"/>
            <w:col w:w="3800"/>
          </w:cols>
          <w:pgMar w:left="232" w:top="984" w:right="1019" w:bottom="1440" w:gutter="0" w:footer="0" w:header="0"/>
        </w:sectPr>
      </w:pPr>
    </w:p>
    <w:p>
      <w:pPr>
        <w:spacing w:after="0" w:line="150"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6" w:lineRule="exact"/>
        <w:rPr>
          <w:rFonts w:ascii="Courier New" w:cs="Courier New" w:eastAsia="Courier New" w:hAnsi="Courier New"/>
          <w:sz w:val="15"/>
          <w:szCs w:val="15"/>
          <w:color w:val="auto"/>
        </w:rPr>
      </w:pPr>
    </w:p>
    <w:p>
      <w:pPr>
        <w:ind w:left="1348" w:hanging="446"/>
        <w:spacing w:after="0"/>
        <w:tabs>
          <w:tab w:leader="none" w:pos="134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908" w:right="3700" w:firstLine="811"/>
        <w:spacing w:after="0" w:line="243" w:lineRule="auto"/>
        <w:rPr>
          <w:sz w:val="20"/>
          <w:szCs w:val="20"/>
          <w:color w:val="auto"/>
        </w:rPr>
      </w:pPr>
      <w:r>
        <w:rPr>
          <w:rFonts w:ascii="Courier New" w:cs="Courier New" w:eastAsia="Courier New" w:hAnsi="Courier New"/>
          <w:sz w:val="15"/>
          <w:szCs w:val="15"/>
          <w:color w:val="auto"/>
        </w:rPr>
        <w:t>The Registrant filed no Current Reports on Form 8-K during the last quarter of the period covered by this Report.</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648"/>
          </w:cols>
          <w:pgMar w:left="232" w:top="984" w:right="1019" w:bottom="1440" w:gutter="0" w:footer="0" w:header="0"/>
          <w:type w:val="continuous"/>
        </w:sectPr>
      </w:pPr>
    </w:p>
    <w:bookmarkStart w:id="24" w:name="page25"/>
    <w:bookmarkEnd w:id="24"/>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8800" w:type="dxa"/>
            <w:vAlign w:val="bottom"/>
            <w:gridSpan w:val="2"/>
          </w:tcPr>
          <w:p>
            <w:pPr>
              <w:jc w:val="right"/>
              <w:ind w:right="5065"/>
              <w:spacing w:after="0"/>
              <w:rPr>
                <w:sz w:val="20"/>
                <w:szCs w:val="20"/>
                <w:color w:val="auto"/>
              </w:rPr>
            </w:pPr>
            <w:r>
              <w:rPr>
                <w:rFonts w:ascii="Courier New" w:cs="Courier New" w:eastAsia="Courier New" w:hAnsi="Courier New"/>
                <w:sz w:val="15"/>
                <w:szCs w:val="15"/>
                <w:color w:val="auto"/>
              </w:rPr>
              <w:t>AND FINANCIAL STATEMENT SCHEDULES</w:t>
            </w:r>
          </w:p>
        </w:tc>
        <w:tc>
          <w:tcPr>
            <w:tcW w:w="720" w:type="dxa"/>
            <w:vAlign w:val="bottom"/>
          </w:tcPr>
          <w:p>
            <w:pPr>
              <w:spacing w:after="0"/>
              <w:rPr>
                <w:sz w:val="14"/>
                <w:szCs w:val="14"/>
                <w:color w:val="auto"/>
              </w:rPr>
            </w:pPr>
          </w:p>
        </w:tc>
      </w:tr>
      <w:tr>
        <w:trPr>
          <w:trHeight w:val="694"/>
        </w:trPr>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10280" w:type="dxa"/>
            <w:vAlign w:val="bottom"/>
            <w:gridSpan w:val="3"/>
          </w:tcPr>
          <w:p>
            <w:pPr>
              <w:jc w:val="right"/>
              <w:ind w:right="3625"/>
              <w:spacing w:after="0"/>
              <w:rPr>
                <w:sz w:val="20"/>
                <w:szCs w:val="20"/>
                <w:color w:val="auto"/>
              </w:rPr>
            </w:pPr>
            <w:r>
              <w:rPr>
                <w:rFonts w:ascii="Courier New" w:cs="Courier New" w:eastAsia="Courier New" w:hAnsi="Courier New"/>
                <w:sz w:val="15"/>
                <w:szCs w:val="15"/>
                <w:color w:val="auto"/>
                <w:w w:val="99"/>
              </w:rPr>
              <w:t>Consolidated Financial Statements of The Scotts Company and Subsidiaries:</w:t>
            </w:r>
          </w:p>
        </w:tc>
        <w:tc>
          <w:tcPr>
            <w:tcW w:w="720" w:type="dxa"/>
            <w:vAlign w:val="bottom"/>
          </w:tcPr>
          <w:p>
            <w:pPr>
              <w:spacing w:after="0"/>
              <w:rPr>
                <w:sz w:val="24"/>
                <w:szCs w:val="24"/>
                <w:color w:val="auto"/>
              </w:rPr>
            </w:pPr>
          </w:p>
        </w:tc>
      </w:tr>
      <w:tr>
        <w:trPr>
          <w:trHeight w:val="173"/>
        </w:trPr>
        <w:tc>
          <w:tcPr>
            <w:tcW w:w="102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Report of Management........................................................................................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102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Report of Independent Accountants...........................................................................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Operations for the fiscal years ended</w:t>
            </w:r>
          </w:p>
        </w:tc>
        <w:tc>
          <w:tcPr>
            <w:tcW w:w="720" w:type="dxa"/>
            <w:vAlign w:val="bottom"/>
          </w:tcPr>
          <w:p>
            <w:pPr>
              <w:spacing w:after="0"/>
              <w:rPr>
                <w:sz w:val="15"/>
                <w:szCs w:val="15"/>
                <w:color w:val="auto"/>
              </w:rPr>
            </w:pP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30, 2001, 2000</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and 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 for the fiscal years ended</w:t>
            </w:r>
          </w:p>
        </w:tc>
        <w:tc>
          <w:tcPr>
            <w:tcW w:w="720" w:type="dxa"/>
            <w:vAlign w:val="bottom"/>
          </w:tcPr>
          <w:p>
            <w:pPr>
              <w:spacing w:after="0"/>
              <w:rPr>
                <w:sz w:val="15"/>
                <w:szCs w:val="15"/>
                <w:color w:val="auto"/>
              </w:rPr>
            </w:pP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30, 2001, 2000</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and 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at September 30, 2001 and 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720" w:type="dxa"/>
            <w:vAlign w:val="bottom"/>
          </w:tcPr>
          <w:p>
            <w:pPr>
              <w:spacing w:after="0"/>
              <w:rPr>
                <w:sz w:val="15"/>
                <w:szCs w:val="15"/>
                <w:color w:val="auto"/>
              </w:rPr>
            </w:pPr>
          </w:p>
        </w:tc>
      </w:tr>
      <w:tr>
        <w:trPr>
          <w:trHeight w:val="173"/>
        </w:trPr>
        <w:tc>
          <w:tcPr>
            <w:tcW w:w="2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and Comprehensive Income</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for the fiscal years ended September 30, 2001, 2000 and 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2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Notes to Consolidated Financial</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Statements......................................................................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351"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000"/>
          </w:cols>
          <w:pgMar w:left="240" w:top="984" w:right="659" w:bottom="1440" w:gutter="0" w:footer="0" w:header="0"/>
        </w:sectPr>
      </w:pPr>
    </w:p>
    <w:bookmarkStart w:id="25" w:name="page26"/>
    <w:bookmarkEnd w:id="25"/>
    <w:p>
      <w:pPr>
        <w:ind w:left="2700"/>
        <w:spacing w:after="0"/>
        <w:rPr>
          <w:sz w:val="20"/>
          <w:szCs w:val="20"/>
          <w:color w:val="auto"/>
        </w:rPr>
      </w:pPr>
      <w:r>
        <w:rPr>
          <w:rFonts w:ascii="Courier New" w:cs="Courier New" w:eastAsia="Courier New" w:hAnsi="Courier New"/>
          <w:sz w:val="15"/>
          <w:szCs w:val="15"/>
          <w:color w:val="auto"/>
        </w:rPr>
        <w:t>REPORT OF MANAGEMENT</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Form 10-K. The accompanying financial statements have been prepared in conformity with accounting principles generally accepted in the United States of America and, accordingly, include some amounts that are based on management's best judgments and estimates.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984" w:right="1440" w:bottom="1440" w:gutter="0" w:footer="0" w:header="0"/>
        </w:sectPr>
      </w:pPr>
    </w:p>
    <w:bookmarkStart w:id="26" w:name="page27"/>
    <w:bookmarkEnd w:id="26"/>
    <w:p>
      <w:pPr>
        <w:ind w:left="21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shareholders' equity and comprehensive income and cash flows present fairly, after the restatement described in Note 25, in all material respects, the financial position of The Scotts Company at September 30, 2001, and September 30, 2000, and the results of its operations and its cash flows for each of the three years in the period ended September 30,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332"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As discussed in Note 25 the consolidated statements of operations have been revised to reflect revisions to the reclassifications of certain cooperative advertising costs related to the adoption of EITF 00-25, Vendor Income Statement Characterization of Consideration Paid to a Reseller of the Vendor's Products.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35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October 29, 2001, except for Note 22, as to which the date is December 12, 2001, and paragraph 5 of Note 18, as to which the date is June 5, 2002 and Note 20 and Note 25, as to which the date is September 10,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985" w:right="1440" w:bottom="1440" w:gutter="0" w:footer="0" w:header="0"/>
        </w:sectPr>
      </w:pPr>
    </w:p>
    <w:bookmarkStart w:id="27" w:name="page28"/>
    <w:bookmarkEnd w:id="27"/>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jc w:val="center"/>
        <w:ind w:right="3019"/>
        <w:spacing w:after="0" w:line="244" w:lineRule="auto"/>
        <w:rPr>
          <w:sz w:val="20"/>
          <w:szCs w:val="20"/>
          <w:color w:val="auto"/>
        </w:rPr>
      </w:pPr>
      <w:r>
        <w:rPr>
          <w:rFonts w:ascii="Courier New" w:cs="Courier New" w:eastAsia="Courier New" w:hAnsi="Courier New"/>
          <w:sz w:val="15"/>
          <w:szCs w:val="15"/>
          <w:color w:val="auto"/>
        </w:rPr>
        <w:t>CONSOLIDATED STATEMENTS OF OPERATIONS FOR THE FISCAL YEARS ENDED SEPTEMBER 30, 2001, 2000 AND 1999 (IN MILLIONS, EXCEPT PER SHARE DATA)</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$ 1,696.6</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$ 1,655.4</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$ 1,550.6</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1,052.4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987.3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597.2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603.0</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Advertising</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89.9</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87.0</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312.0</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285.5</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68.4</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Other income, net</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79.1</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117.0</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47.9</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net of income tax benefit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 per</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share calculation</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 used in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 calculation</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1158" w:right="1440" w:bottom="1440" w:gutter="0" w:footer="0" w:header="0"/>
        </w:sectPr>
      </w:pPr>
    </w:p>
    <w:bookmarkStart w:id="28" w:name="page29"/>
    <w:bookmarkEnd w:id="28"/>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FISCAL YEARS ENDED SEPTEMBER 30, 2001, 2000 AND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94"/>
        </w:trPr>
        <w:tc>
          <w:tcPr>
            <w:tcW w:w="5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2001</w:t>
            </w:r>
          </w:p>
        </w:tc>
        <w:tc>
          <w:tcPr>
            <w:tcW w:w="220" w:type="dxa"/>
            <w:vAlign w:val="bottom"/>
          </w:tcPr>
          <w:p>
            <w:pPr>
              <w:spacing w:after="0"/>
              <w:rPr>
                <w:sz w:val="24"/>
                <w:szCs w:val="24"/>
                <w:color w:val="auto"/>
              </w:rPr>
            </w:pPr>
          </w:p>
        </w:tc>
        <w:tc>
          <w:tcPr>
            <w:tcW w:w="78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4"/>
              </w:rPr>
              <w:t>2000</w:t>
            </w:r>
          </w:p>
        </w:tc>
        <w:tc>
          <w:tcPr>
            <w:tcW w:w="22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r>
      <w:tr>
        <w:trPr>
          <w:trHeight w:val="17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5"/>
                <w:szCs w:val="15"/>
                <w:color w:val="auto"/>
              </w:rPr>
            </w:pPr>
          </w:p>
        </w:tc>
        <w:tc>
          <w:tcPr>
            <w:tcW w:w="78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r>
      <w:tr>
        <w:trPr>
          <w:trHeight w:val="52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provided by operating activities: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Amortization</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Deferred taxes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Extraordinary loss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Restructuring and other charges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Loss on sale of property</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Gain on sale of business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 net of</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acquired businesses: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Inventories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Prepaid and other current assets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Accrued taxes and liabilities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Restructuring reserves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Other liabilities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65.7</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171.5</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78.2</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(66.7)</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net of cash acquired</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(506.2)</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Payments on sellers notes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(101.0)</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(571.6)</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(repayments) under revolving</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and bank lines of credit</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61.7</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65.3</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Gross borrowings under term loans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525.0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Gross repayments under term loans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(315.7)</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Repayment of outstanding balance on previous credit facility</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(241.0)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Issuance of 8 5/8% Senior Subordinated Notes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9 7/8% Senior Subordinated Notes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(107.1)</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Settlement of interest rate locks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Financing and issuance fees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(78.2)</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513.9</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984" w:right="1440" w:bottom="1440" w:gutter="0" w:footer="0" w:header="0"/>
        </w:sectPr>
      </w:pPr>
    </w:p>
    <w:bookmarkStart w:id="29" w:name="page30"/>
    <w:bookmarkEnd w:id="29"/>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SEPTEMBER 30, 2001 AND 2000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658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uncollectible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540"/>
              <w:spacing w:after="0"/>
              <w:rPr>
                <w:sz w:val="20"/>
                <w:szCs w:val="20"/>
                <w:color w:val="auto"/>
              </w:rPr>
            </w:pPr>
            <w:r>
              <w:rPr>
                <w:rFonts w:ascii="Courier New" w:cs="Courier New" w:eastAsia="Courier New" w:hAnsi="Courier New"/>
                <w:sz w:val="15"/>
                <w:szCs w:val="15"/>
                <w:color w:val="auto"/>
              </w:rPr>
              <w:t>accounts of $23.9 in 2001 and $11.7 in 2000</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220.8</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216.0</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368.4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307.5</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694.2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643.9</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310.7</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290.5</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743.1</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assets</w:t>
            </w: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$1,843.0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$1,761.4</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1980"/>
              <w:spacing w:after="0"/>
              <w:rPr>
                <w:sz w:val="20"/>
                <w:szCs w:val="20"/>
                <w:color w:val="auto"/>
              </w:rPr>
            </w:pPr>
            <w:r>
              <w:rPr>
                <w:rFonts w:ascii="Courier New" w:cs="Courier New" w:eastAsia="Courier New" w:hAnsi="Courier New"/>
                <w:sz w:val="15"/>
                <w:szCs w:val="15"/>
                <w:color w:val="auto"/>
              </w:rPr>
              <w:t>LIABILITIES AND SHAREHOLDERS' EQUITY</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49.4</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150.9</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153.0</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174.3</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409.8</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816.5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813.4</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60.3</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1,336.8</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1,283.5</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no par value, none issued</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540"/>
              <w:spacing w:after="0"/>
              <w:rPr>
                <w:sz w:val="20"/>
                <w:szCs w:val="20"/>
                <w:color w:val="auto"/>
              </w:rPr>
            </w:pPr>
            <w:r>
              <w:rPr>
                <w:rFonts w:ascii="Courier New" w:cs="Courier New" w:eastAsia="Courier New" w:hAnsi="Courier New"/>
                <w:sz w:val="15"/>
                <w:szCs w:val="15"/>
                <w:color w:val="auto"/>
              </w:rPr>
              <w:t>per share, 31.3 shares issued in 2001 and 2000</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stated value</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389.3</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2.6 shares in 2001, 3.4 shares in 2000</w:t>
            </w:r>
          </w:p>
        </w:tc>
        <w:tc>
          <w:tcPr>
            <w:tcW w:w="8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(83.5)</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w:t>
            </w:r>
          </w:p>
        </w:tc>
        <w:tc>
          <w:tcPr>
            <w:tcW w:w="8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477.9</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$1,843.0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$1,761.4</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984" w:right="1440" w:bottom="1440" w:gutter="0" w:footer="0" w:header="0"/>
        </w:sectPr>
      </w:pPr>
    </w:p>
    <w:bookmarkStart w:id="30" w:name="page31"/>
    <w:bookmarkEnd w:id="30"/>
    <w:p>
      <w:pPr>
        <w:jc w:val="center"/>
        <w:ind w:right="20"/>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jc w:val="center"/>
        <w:ind w:left="300" w:right="1820"/>
        <w:spacing w:after="0" w:line="245" w:lineRule="auto"/>
        <w:rPr>
          <w:sz w:val="20"/>
          <w:szCs w:val="20"/>
          <w:color w:val="auto"/>
        </w:rPr>
      </w:pPr>
      <w:r>
        <w:rPr>
          <w:rFonts w:ascii="Courier New" w:cs="Courier New" w:eastAsia="Courier New" w:hAnsi="Courier New"/>
          <w:sz w:val="15"/>
          <w:szCs w:val="15"/>
          <w:color w:val="auto"/>
        </w:rPr>
        <w:t>CONSOLIDATED STATEMENTS OF CHANGES IN SHAREHOLDERS' EQUITY AND COMPREHENSIVE INCOME FOR THE FISCAL YEARS ENDED SEPTEMBER 30, 2001, 2000 AND 1999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Preferred Shares</w:t>
            </w:r>
          </w:p>
        </w:tc>
        <w:tc>
          <w:tcPr>
            <w:tcW w:w="16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Common Shares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Treasury Stock</w:t>
            </w:r>
          </w:p>
        </w:tc>
      </w:tr>
      <w:tr>
        <w:trPr>
          <w:trHeight w:val="173"/>
        </w:trPr>
        <w:tc>
          <w:tcPr>
            <w:tcW w:w="324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Excess of</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Retained</w:t>
            </w:r>
          </w:p>
        </w:tc>
        <w:tc>
          <w:tcPr>
            <w:tcW w:w="21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Amount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Stated Value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$ 177.3</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$ 208.9</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held in treasury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1999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w:t>
            </w:r>
          </w:p>
        </w:tc>
        <w:tc>
          <w:tcPr>
            <w:tcW w:w="1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held in treasury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173.9</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2000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1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389.3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Unrecognized loss on derivatives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held in treasury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2001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$ 398.3</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180"/>
          </w:cols>
          <w:pgMar w:left="240" w:top="984" w:right="479" w:bottom="1440" w:gutter="0" w:footer="0" w:header="0"/>
        </w:sectPr>
      </w:pPr>
    </w:p>
    <w:bookmarkStart w:id="31" w:name="page32"/>
    <w:bookmarkEnd w:id="31"/>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 Income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Minimum Pension</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Foreign</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Liability</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Currency</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Derivatives</w:t>
            </w: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Adjustment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Translation</w:t>
            </w:r>
          </w:p>
        </w:tc>
        <w:tc>
          <w:tcPr>
            <w:tcW w:w="3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8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403.9</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(4.0)(a)</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1999</w:t>
            </w:r>
          </w:p>
        </w:tc>
        <w:tc>
          <w:tcPr>
            <w:tcW w:w="1840" w:type="dxa"/>
            <w:vAlign w:val="bottom"/>
          </w:tcPr>
          <w:p>
            <w:pPr>
              <w:spacing w:after="0"/>
              <w:rPr>
                <w:sz w:val="15"/>
                <w:szCs w:val="15"/>
                <w:color w:val="auto"/>
              </w:rPr>
            </w:pP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443.3</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(0.9)(a)</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(0.9)</w:t>
            </w: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2000</w:t>
            </w:r>
          </w:p>
        </w:tc>
        <w:tc>
          <w:tcPr>
            <w:tcW w:w="1840" w:type="dxa"/>
            <w:vAlign w:val="bottom"/>
          </w:tcPr>
          <w:p>
            <w:pPr>
              <w:spacing w:after="0"/>
              <w:rPr>
                <w:sz w:val="15"/>
                <w:szCs w:val="15"/>
                <w:color w:val="auto"/>
              </w:rPr>
            </w:pP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477.9</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Unrecognized loss on derivatives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(1.5)(b)</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(8.2)(a)</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2001</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(1.5)</w:t>
            </w:r>
          </w:p>
        </w:tc>
        <w:tc>
          <w:tcPr>
            <w:tcW w:w="18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506.2</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08" w:right="4060" w:hanging="808"/>
        <w:spacing w:after="0" w:line="243"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$5.5, $0.5, and $2.7 for fiscal 2001, 2000 and 1999, respectively.</w:t>
      </w:r>
    </w:p>
    <w:p>
      <w:pPr>
        <w:spacing w:after="0" w:line="175"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$1.1 for fiscal 2001.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088"/>
          </w:cols>
          <w:pgMar w:left="232" w:top="1158" w:right="579" w:bottom="1440" w:gutter="0" w:footer="0" w:header="0"/>
        </w:sectPr>
      </w:pPr>
    </w:p>
    <w:bookmarkStart w:id="32" w:name="page33"/>
    <w:bookmarkEnd w:id="32"/>
    <w:p>
      <w:pPr>
        <w:jc w:val="center"/>
        <w:ind w:right="3019"/>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Southeast Asia, the Middle East, Africa, Australia, New Zealand, Japan and Latin America.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Scotts Company and its subsidiaries. All material intercompany transactions have been eliminated.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ownership of the goods in writing. Provisions for estimated returns and allowances are recorded at the time of shipment based on historical rates of returns as a percentage of sales.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AND PROMOTION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in-store promotional allowances and offered pre-season stocking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Amounts paid or payable to customers or consumers in connection with the purchase of our products are recorded as a reduction of net sales.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2001, 2000, and 1999 was $24.7 million, $24.1 million, and $21.7 million,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1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Inventories are stated at the lower of cost or market, principally determined by the FIFO method; however, certain growing media inventories are accounted for by the LIFO method. At September 30, 2001 and 2000, approximately 9% and 13%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$22.3 million and $20.1 million at September 30, 2001 and 2000,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 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178" w:lineRule="exact"/>
        <w:rPr>
          <w:sz w:val="20"/>
          <w:szCs w:val="20"/>
          <w:color w:val="auto"/>
        </w:rPr>
      </w:pPr>
    </w:p>
    <w:p>
      <w:pPr>
        <w:ind w:right="3559" w:firstLine="811"/>
        <w:spacing w:after="0" w:line="244" w:lineRule="auto"/>
        <w:rPr>
          <w:sz w:val="20"/>
          <w:szCs w:val="20"/>
          <w:color w:val="auto"/>
        </w:rPr>
      </w:pPr>
      <w:r>
        <w:rPr>
          <w:rFonts w:ascii="Courier New" w:cs="Courier New" w:eastAsia="Courier New" w:hAnsi="Courier New"/>
          <w:sz w:val="15"/>
          <w:szCs w:val="15"/>
          <w:color w:val="auto"/>
        </w:rPr>
        <w:t>Interest is capitalized on all significant capital projects. The Company capitalized $3.1 million and $2.4 million of interest costs during fiscal 2001 and 2000, respectively.</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Goodwill arising from business acquisitions is amortized over its useful life, which is generally 20 to 40 years, on a straight-line basis. Intangible assets include patents, trademarks and other intangible assets which are valued at acquisition through independent appraisals. Patents, trademarks and other intangible assets are being amortized on a straight-line basis over periods varying from 7 to 40 years. Accumulated amortization at September 30, 2001 and 2000 was $150.2 million and $120.6 million, respectively.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USE SOFTWARE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post-implementation/operation stage. As of September 30, 2001 and 2000, the Company had $36.7 million and $37.3 million, respectively, in unamortized capitalized internal use computer software costs. Amortization of these costs was $4.3 million during fiscal 2001 and $0.9 million during fiscal 2000.</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1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INSTRUMENTS</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35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35" w:name="page36"/>
    <w:bookmarkEnd w:id="35"/>
    <w:p>
      <w:pPr>
        <w:ind w:right="3099"/>
        <w:spacing w:after="0" w:line="243" w:lineRule="auto"/>
        <w:rPr>
          <w:sz w:val="20"/>
          <w:szCs w:val="20"/>
          <w:color w:val="auto"/>
        </w:rPr>
      </w:pPr>
      <w:r>
        <w:rPr>
          <w:rFonts w:ascii="Courier New" w:cs="Courier New" w:eastAsia="Courier New" w:hAnsi="Courier New"/>
          <w:sz w:val="15"/>
          <w:szCs w:val="15"/>
          <w:color w:val="auto"/>
        </w:rPr>
        <w:t>Unrealized gains or losses resulting from valuing these swaps at fair value are recorded in other comprehensive income.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2001 classifications.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2.  DETAIL OF CERTAIN FINANCIAL STATEMENT ACCOUNTS</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4"/>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INVENTORIES, NET: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Finished goods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295.8</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Raw materials</w:t>
            </w:r>
          </w:p>
        </w:tc>
        <w:tc>
          <w:tcPr>
            <w:tcW w:w="5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72.6</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3"/>
        </w:trPr>
        <w:tc>
          <w:tcPr>
            <w:tcW w:w="55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580" w:type="dxa"/>
            <w:vAlign w:val="bottom"/>
          </w:tcPr>
          <w:p>
            <w:pPr>
              <w:spacing w:after="0"/>
              <w:rPr>
                <w:sz w:val="15"/>
                <w:szCs w:val="15"/>
                <w:color w:val="auto"/>
              </w:rPr>
            </w:pP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368.4</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307.5</w:t>
            </w:r>
          </w:p>
        </w:tc>
      </w:tr>
      <w:tr>
        <w:trPr>
          <w:trHeight w:val="694"/>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347"/>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PROPERTY, PLANT AND EQUIPMENT, NET: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Land and improvements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38.9</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Buildings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119.5</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109.0</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Machinery and equipment</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203.4</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201.4</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Furniture and fixtures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31.9</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Software</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Construction in progress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79.6</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54.4</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Less: accumulated depreciation</w:t>
            </w:r>
          </w:p>
        </w:tc>
        <w:tc>
          <w:tcPr>
            <w:tcW w:w="5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(204.6)</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(182.3)</w:t>
            </w:r>
          </w:p>
        </w:tc>
      </w:tr>
      <w:tr>
        <w:trPr>
          <w:trHeight w:val="173"/>
        </w:trPr>
        <w:tc>
          <w:tcPr>
            <w:tcW w:w="55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310.7</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290.5</w:t>
            </w:r>
          </w:p>
        </w:tc>
      </w:tr>
      <w:tr>
        <w:trPr>
          <w:trHeight w:val="867"/>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INTANGIBLE ASSETS, NET: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Goodwill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352.3</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330.1</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Trademarks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385.7</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358.0</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183.3</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175.6</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Less: accumulated amortization</w:t>
            </w:r>
          </w:p>
        </w:tc>
        <w:tc>
          <w:tcPr>
            <w:tcW w:w="5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(120.6)</w:t>
            </w:r>
          </w:p>
        </w:tc>
      </w:tr>
      <w:tr>
        <w:trPr>
          <w:trHeight w:val="173"/>
        </w:trPr>
        <w:tc>
          <w:tcPr>
            <w:tcW w:w="55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771.1</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743.1</w:t>
            </w:r>
          </w:p>
        </w:tc>
      </w:tr>
      <w:tr>
        <w:trPr>
          <w:trHeight w:val="694"/>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ACCRUED LIABILITIES: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Payroll and other compensation accruals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Advertising and promotional accruals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63.5</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Restructuring accruals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30.1</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79.2</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71.5</w:t>
            </w:r>
          </w:p>
        </w:tc>
      </w:tr>
      <w:tr>
        <w:trPr>
          <w:trHeight w:val="173"/>
        </w:trPr>
        <w:tc>
          <w:tcPr>
            <w:tcW w:w="55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174.3</w:t>
            </w:r>
          </w:p>
        </w:tc>
      </w:tr>
      <w:tr>
        <w:trPr>
          <w:trHeight w:val="694"/>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5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OTHER NON-CURRENT LIABILITIES: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Accrued pension and postretirement liabilities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62.0</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Legal and environmental reserves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Restructuring accruals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580" w:type="dxa"/>
            <w:vAlign w:val="bottom"/>
          </w:tcPr>
          <w:p>
            <w:pPr>
              <w:ind w:left="11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5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8" w:right="1440" w:bottom="0" w:gutter="0" w:footer="0" w:header="0"/>
        </w:sectPr>
      </w:pPr>
    </w:p>
    <w:bookmarkStart w:id="36" w:name="page37"/>
    <w:bookmarkEnd w:id="36"/>
    <w:p>
      <w:pPr>
        <w:spacing w:after="0"/>
        <w:tabs>
          <w:tab w:leader="none" w:pos="4680" w:val="left"/>
          <w:tab w:leader="none" w:pos="5220" w:val="left"/>
          <w:tab w:leader="none" w:pos="6380" w:val="left"/>
          <w:tab w:leader="none" w:pos="674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75.2</w:t>
      </w:r>
      <w:r>
        <w:rPr>
          <w:sz w:val="20"/>
          <w:szCs w:val="20"/>
          <w:color w:val="auto"/>
        </w:rPr>
        <w:tab/>
      </w:r>
      <w:r>
        <w:rPr>
          <w:rFonts w:ascii="Courier New" w:cs="Courier New" w:eastAsia="Courier New" w:hAnsi="Courier New"/>
          <w:sz w:val="15"/>
          <w:szCs w:val="15"/>
          <w:color w:val="auto"/>
        </w:rPr>
        <w:t>$</w:t>
        <w:tab/>
        <w:t>60.3</w:t>
      </w:r>
    </w:p>
    <w:p>
      <w:pPr>
        <w:sectPr>
          <w:pgSz w:w="11900" w:h="16838" w:orient="portrait"/>
          <w:cols w:equalWidth="0" w:num="1">
            <w:col w:w="9059"/>
          </w:cols>
          <w:pgMar w:left="140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059"/>
          </w:cols>
          <w:pgMar w:left="1400" w:top="141" w:right="1440" w:bottom="1440" w:gutter="0" w:footer="0" w:header="0"/>
          <w:type w:val="continuous"/>
        </w:sectPr>
      </w:pPr>
    </w:p>
    <w:bookmarkStart w:id="37" w:name="page38"/>
    <w:bookmarkEnd w:id="37"/>
    <w:p>
      <w:pPr>
        <w:spacing w:after="0"/>
        <w:tabs>
          <w:tab w:leader="none" w:pos="780" w:val="left"/>
        </w:tabs>
        <w:rPr>
          <w:sz w:val="20"/>
          <w:szCs w:val="20"/>
          <w:color w:val="auto"/>
        </w:rPr>
      </w:pPr>
      <w:r>
        <w:rPr>
          <w:rFonts w:ascii="Courier New" w:cs="Courier New" w:eastAsia="Courier New" w:hAnsi="Courier New"/>
          <w:sz w:val="15"/>
          <w:szCs w:val="15"/>
          <w:color w:val="auto"/>
        </w:rPr>
        <w:t>NOTE 3.</w:t>
        <w:tab/>
        <w:t>MARKETING AGREEMENT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2001, contribution payments and related per annum charges of approximately $46.4 million had been deferred under the agreement. This amount is considered a contingent obligation and has not been reflected in the financial statements as of and for the year then ended.</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8" w:right="1440" w:bottom="1440" w:gutter="0" w:footer="0" w:header="0"/>
        </w:sectPr>
      </w:pPr>
    </w:p>
    <w:bookmarkStart w:id="38" w:name="page39"/>
    <w:bookmarkEnd w:id="38"/>
    <w:p>
      <w:pPr>
        <w:ind w:right="460" w:firstLine="811"/>
        <w:spacing w:after="0" w:line="244"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5" w:lineRule="exact"/>
        <w:rPr>
          <w:sz w:val="20"/>
          <w:szCs w:val="20"/>
          <w:color w:val="auto"/>
        </w:rPr>
      </w:pPr>
    </w:p>
    <w:p>
      <w:pPr>
        <w:ind w:right="280" w:firstLine="811"/>
        <w:spacing w:after="0" w:line="244"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83" w:lineRule="exact"/>
        <w:rPr>
          <w:sz w:val="20"/>
          <w:szCs w:val="20"/>
          <w:color w:val="auto"/>
        </w:rPr>
      </w:pPr>
    </w:p>
    <w:p>
      <w:pPr>
        <w:ind w:right="360" w:firstLine="811"/>
        <w:spacing w:after="0" w:line="244"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RESTRUCTURING AND OTHER CHARGES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CHARGES</w:t>
      </w:r>
    </w:p>
    <w:p>
      <w:pPr>
        <w:spacing w:after="0" w:line="178" w:lineRule="exact"/>
        <w:rPr>
          <w:sz w:val="20"/>
          <w:szCs w:val="20"/>
          <w:color w:val="auto"/>
        </w:rPr>
      </w:pPr>
    </w:p>
    <w:p>
      <w:pPr>
        <w:ind w:right="280" w:firstLine="811"/>
        <w:spacing w:after="0" w:line="244" w:lineRule="auto"/>
        <w:rPr>
          <w:sz w:val="20"/>
          <w:szCs w:val="20"/>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w:t>
      </w:r>
    </w:p>
    <w:p>
      <w:pPr>
        <w:spacing w:after="0" w:line="184" w:lineRule="exact"/>
        <w:rPr>
          <w:sz w:val="20"/>
          <w:szCs w:val="20"/>
          <w:color w:val="auto"/>
        </w:rPr>
      </w:pPr>
    </w:p>
    <w:p>
      <w:pPr>
        <w:ind w:right="280" w:firstLine="811"/>
        <w:spacing w:after="0" w:line="243" w:lineRule="auto"/>
        <w:rPr>
          <w:sz w:val="20"/>
          <w:szCs w:val="20"/>
          <w:color w:val="auto"/>
        </w:rPr>
      </w:pPr>
      <w:r>
        <w:rPr>
          <w:rFonts w:ascii="Courier New" w:cs="Courier New" w:eastAsia="Courier New" w:hAnsi="Courier New"/>
          <w:sz w:val="15"/>
          <w:szCs w:val="15"/>
          <w:color w:val="auto"/>
        </w:rPr>
        <w:t>The following is a rollforward of the restructuring and related charges recorded in the third and fourth quarters of fiscal 2001:</w:t>
      </w:r>
    </w:p>
    <w:p>
      <w:pPr>
        <w:spacing w:after="0" w:line="200" w:lineRule="exact"/>
        <w:rPr>
          <w:sz w:val="20"/>
          <w:szCs w:val="20"/>
          <w:color w:val="auto"/>
        </w:rPr>
      </w:pPr>
    </w:p>
    <w:p>
      <w:pPr>
        <w:spacing w:after="0" w:line="32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Description</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Type</w:t>
            </w:r>
          </w:p>
        </w:tc>
        <w:tc>
          <w:tcPr>
            <w:tcW w:w="16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Classification</w:t>
            </w:r>
          </w:p>
        </w:tc>
      </w:tr>
      <w:tr>
        <w:trPr>
          <w:trHeight w:val="173"/>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Severance</w:t>
            </w:r>
          </w:p>
        </w:tc>
        <w:tc>
          <w:tcPr>
            <w:tcW w:w="26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173"/>
        </w:trPr>
        <w:tc>
          <w:tcPr>
            <w:tcW w:w="82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exit costs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173"/>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Other related costs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347"/>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7"/>
        </w:trPr>
        <w:tc>
          <w:tcPr>
            <w:tcW w:w="82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and equipment writedowns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173"/>
        </w:trPr>
        <w:tc>
          <w:tcPr>
            <w:tcW w:w="820" w:type="dxa"/>
            <w:vAlign w:val="bottom"/>
          </w:tcPr>
          <w:p>
            <w:pPr>
              <w:spacing w:after="0"/>
              <w:rPr>
                <w:sz w:val="20"/>
                <w:szCs w:val="20"/>
                <w:color w:val="auto"/>
              </w:rPr>
            </w:pPr>
            <w:r>
              <w:rPr>
                <w:rFonts w:ascii="Courier New" w:cs="Courier New" w:eastAsia="Courier New" w:hAnsi="Courier New"/>
                <w:sz w:val="15"/>
                <w:szCs w:val="15"/>
                <w:color w:val="auto"/>
              </w:rPr>
              <w:t>Obsolete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inventory writeoffs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w w:val="99"/>
              </w:rPr>
              <w:t>Cost of sales</w:t>
            </w:r>
          </w:p>
        </w:tc>
      </w:tr>
      <w:tr>
        <w:trPr>
          <w:trHeight w:val="173"/>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Other asset writedowns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347"/>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non-cash</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7"/>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CHARGES</w:t>
      </w:r>
    </w:p>
    <w:p>
      <w:pPr>
        <w:spacing w:after="0" w:line="178" w:lineRule="exact"/>
        <w:rPr>
          <w:sz w:val="20"/>
          <w:szCs w:val="20"/>
          <w:color w:val="auto"/>
        </w:rPr>
      </w:pPr>
    </w:p>
    <w:p>
      <w:pPr>
        <w:ind w:right="360" w:firstLine="811"/>
        <w:spacing w:after="0" w:line="244" w:lineRule="auto"/>
        <w:rPr>
          <w:sz w:val="20"/>
          <w:szCs w:val="20"/>
          <w:color w:val="auto"/>
        </w:rPr>
      </w:pPr>
      <w:r>
        <w:rPr>
          <w:rFonts w:ascii="Courier New" w:cs="Courier New" w:eastAsia="Courier New" w:hAnsi="Courier New"/>
          <w:sz w:val="15"/>
          <w:szCs w:val="15"/>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costs to sever approximately 60 in-house sales associates who were terminated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Charge</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Payment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$ 25.1</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3"/>
        </w:trPr>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$ 37.3</w:t>
            </w:r>
          </w:p>
        </w:tc>
      </w:tr>
      <w:tr>
        <w:trPr>
          <w:trHeight w:val="173"/>
        </w:trPr>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5"/>
          <w:szCs w:val="15"/>
          <w:color w:val="auto"/>
        </w:rPr>
        <w:t>7.9</w:t>
      </w:r>
    </w:p>
    <w:p>
      <w:pPr>
        <w:spacing w:after="0" w:line="3"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5"/>
          <w:szCs w:val="15"/>
          <w:color w:val="auto"/>
        </w:rPr>
        <w:t>12.5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27.7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hanging="354"/>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75.7</w:t>
      </w:r>
    </w:p>
    <w:p>
      <w:pPr>
        <w:sectPr>
          <w:pgSz w:w="11900" w:h="16838" w:orient="portrait"/>
          <w:cols w:equalWidth="0" w:num="2">
            <w:col w:w="7480" w:space="440"/>
            <w:col w:w="3080"/>
          </w:cols>
          <w:pgMar w:left="240" w:top="639" w:right="659" w:bottom="902" w:gutter="0" w:footer="0" w:header="0"/>
        </w:sectPr>
      </w:pPr>
    </w:p>
    <w:bookmarkStart w:id="39" w:name="page40"/>
    <w:bookmarkEnd w:id="39"/>
    <w:p>
      <w:pPr>
        <w:ind w:right="3099"/>
        <w:spacing w:after="0" w:line="244" w:lineRule="auto"/>
        <w:rPr>
          <w:sz w:val="20"/>
          <w:szCs w:val="20"/>
          <w:color w:val="auto"/>
        </w:rPr>
      </w:pPr>
      <w:r>
        <w:rPr>
          <w:rFonts w:ascii="Courier New" w:cs="Courier New" w:eastAsia="Courier New" w:hAnsi="Courier New"/>
          <w:sz w:val="15"/>
          <w:szCs w:val="15"/>
          <w:color w:val="auto"/>
        </w:rPr>
        <w:t>in fiscal 1999. Approximately $1.1 million of severance payments were made to these former associates during fiscal 1999. Of the remaining $0.3 million, $0.2 million was paid in fiscal 2000, and the remainder was paid in fiscal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ACQUISITIONS AND DIVESTITURES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purchase price will be determined based on the value of the working capital assets acquired and the performance of the business for the period from June 15, 2000 to December 31, 2000. The parties to the transaction are still in the process of determining a final purchase price; however, the Company's management estimates that the final purchase price will be approximately $40 million. On June 29, 2001 and December 29, 2000, the Company advanced $6.4 million and $6.9 million, respectively, to Henkel KGaA toward the Substral(R) purchase price.</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$33.7 million.</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Statement of Financial Accounting Standards No. 141, "Business Combinations" was issued in June 2001. This new standard mandates the purchase method of accounting for all business combinations entered into after June 30, 2001. The standard also requires the valuation of intangible assets apart from goodwill for assets that arise as a result of contractual or legal rights or if the right is separable (able to be sold, transferred, leased, licensed, etc.). Goodwill is the residual amount after all tangible and other intangible assets have been valued. All acquisitions in fiscal 2001 were in process or completed prior to the effective date of SFAS No. 141.</w:t>
      </w:r>
    </w:p>
    <w:p>
      <w:pPr>
        <w:spacing w:after="0" w:line="179"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Substral(R) brand acquisition as if it had occurred on October 1, 1999.</w:t>
      </w:r>
    </w:p>
    <w:p>
      <w:pPr>
        <w:spacing w:after="0" w:line="34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Fiscal Year Ended</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September 30,</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(in millions)</w:t>
            </w: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1,701.2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1,673.6</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Before extraordinary loss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After extraordinary loss</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Before extraordinary loss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After extraordinary loss</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bl>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RETIREMENT PLANS.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offers a defined contribution profit sharing and 401(k)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9" w:right="1440" w:bottom="1440" w:gutter="0" w:footer="0" w:header="0"/>
        </w:sectPr>
      </w:pPr>
    </w:p>
    <w:bookmarkStart w:id="40" w:name="page41"/>
    <w:bookmarkEnd w:id="40"/>
    <w:p>
      <w:pPr>
        <w:ind w:right="3019"/>
        <w:spacing w:after="0" w:line="244" w:lineRule="auto"/>
        <w:rPr>
          <w:sz w:val="20"/>
          <w:szCs w:val="20"/>
          <w:color w:val="auto"/>
        </w:rPr>
      </w:pPr>
      <w:r>
        <w:rPr>
          <w:rFonts w:ascii="Courier New" w:cs="Courier New" w:eastAsia="Courier New" w:hAnsi="Courier New"/>
          <w:sz w:val="15"/>
          <w:szCs w:val="15"/>
          <w:color w:val="auto"/>
        </w:rPr>
        <w:t>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wage base. Participants become vested in the Company's base contribution after three years of service. The Company recorded charges of $10.3 million, $7.4 million and $8.4 million under the plan in fiscal 2001, 2000 and 1999, respectively.</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conjunction with the decision to offer the expanded defined contribution profit sharing and 401(k) plan to domestic Company associates, management decided to freeze benefits under certain defined benefit pension plans. These pension plans covered substantially all full-time U.S. associates who had completed one year of eligible service and reached the age of 21. 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182"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The Company also sponsors the following pension plans associated with the international businesses it has acquired: Scotts Europe BV, ASEF Europe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ASEF Europe BV (Netherlands), The Scotts Company (UK) Ltd., and Miracle Garden Care are funded plans. The remaining international pension plans are not funded by separately held plan assets.</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8" w:right="1440" w:bottom="1440" w:gutter="0" w:footer="0" w:header="0"/>
        </w:sectPr>
      </w:pPr>
    </w:p>
    <w:bookmarkStart w:id="41" w:name="page42"/>
    <w:bookmarkEnd w:id="41"/>
    <w:p>
      <w:pPr>
        <w:ind w:right="4140" w:firstLine="811"/>
        <w:spacing w:after="0" w:line="244" w:lineRule="auto"/>
        <w:rPr>
          <w:sz w:val="20"/>
          <w:szCs w:val="20"/>
          <w:color w:val="auto"/>
        </w:rPr>
      </w:pPr>
      <w:r>
        <w:rPr>
          <w:rFonts w:ascii="Courier New" w:cs="Courier New" w:eastAsia="Courier New" w:hAnsi="Courier New"/>
          <w:sz w:val="15"/>
          <w:szCs w:val="15"/>
          <w:color w:val="auto"/>
        </w:rPr>
        <w:t>The following tables present information about benefit obligations, plan assets, annual expense and other assumptions about the Company's defined benefit pension plans ($ millions):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Curtailed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Defined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International</w:t>
            </w:r>
          </w:p>
        </w:tc>
        <w:tc>
          <w:tcPr>
            <w:tcW w:w="500" w:type="dxa"/>
            <w:vAlign w:val="bottom"/>
          </w:tcPr>
          <w:p>
            <w:pPr>
              <w:spacing w:after="0"/>
              <w:rPr>
                <w:sz w:val="15"/>
                <w:szCs w:val="15"/>
                <w:color w:val="auto"/>
              </w:rPr>
            </w:pP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Curtailed</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Benefit Plans</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Benefit Plans</w:t>
            </w:r>
          </w:p>
        </w:tc>
        <w:tc>
          <w:tcPr>
            <w:tcW w:w="5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Excess Plan</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2001</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2001</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2000</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Benefit obligation at beginning of year</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59.5</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59.0</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Curtailment loss (gain)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5"/>
                <w:szCs w:val="15"/>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(3.9)</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(3.6)</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Benefit obligation at end of year</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67.2</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59.5</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56.2</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56.8</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64.3</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(13.7)</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(3.9)</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(3.6)</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56.9</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56.2</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AMOUNTS RECOGNIZED IN THE STATEMENT OF</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FINANCIAL POSITION CONSIST OF:</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760" w:type="dxa"/>
            <w:vAlign w:val="bottom"/>
          </w:tcPr>
          <w:p>
            <w:pPr>
              <w:spacing w:after="0"/>
              <w:rPr>
                <w:sz w:val="15"/>
                <w:szCs w:val="15"/>
                <w:color w:val="auto"/>
              </w:rPr>
            </w:pPr>
          </w:p>
        </w:tc>
        <w:tc>
          <w:tcPr>
            <w:tcW w:w="16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(24.3)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5"/>
                <w:szCs w:val="15"/>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Unrecognized losses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12.1</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54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(1.6)</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7"/>
        </w:trPr>
        <w:tc>
          <w:tcPr>
            <w:tcW w:w="34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24"/>
                <w:szCs w:val="24"/>
                <w:color w:val="auto"/>
              </w:rPr>
            </w:pPr>
          </w:p>
        </w:tc>
        <w:tc>
          <w:tcPr>
            <w:tcW w:w="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2000</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34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5"/>
                <w:szCs w:val="15"/>
                <w:color w:val="auto"/>
              </w:rPr>
            </w:pPr>
          </w:p>
        </w:tc>
        <w:tc>
          <w:tcPr>
            <w:tcW w:w="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COMPONENTS OF NET PERIODIC</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BENEFIT COST</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60" w:type="dxa"/>
            <w:vAlign w:val="bottom"/>
          </w:tcPr>
          <w:p>
            <w:pPr>
              <w:jc w:val="right"/>
              <w:ind w:right="605"/>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3.5</w:t>
            </w:r>
          </w:p>
        </w:tc>
        <w:tc>
          <w:tcPr>
            <w:tcW w:w="260" w:type="dxa"/>
            <w:vAlign w:val="bottom"/>
          </w:tcPr>
          <w:p>
            <w:pPr>
              <w:jc w:val="right"/>
              <w:ind w:right="105"/>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4.0</w:t>
            </w:r>
          </w:p>
        </w:tc>
        <w:tc>
          <w:tcPr>
            <w:tcW w:w="26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5"/>
                <w:szCs w:val="15"/>
                <w:color w:val="auto"/>
              </w:rPr>
            </w:pP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0.1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5"/>
                <w:szCs w:val="15"/>
                <w:color w:val="auto"/>
              </w:rPr>
            </w:pPr>
          </w:p>
        </w:tc>
        <w:tc>
          <w:tcPr>
            <w:tcW w:w="8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amortization and deferral</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7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0.6</w:t>
            </w:r>
          </w:p>
        </w:tc>
        <w:tc>
          <w:tcPr>
            <w:tcW w:w="26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Curtailment loss (gain)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periodic benefit cost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  3.3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(0.3)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2.6</w:t>
            </w:r>
          </w:p>
        </w:tc>
        <w:tc>
          <w:tcPr>
            <w:tcW w:w="260" w:type="dxa"/>
            <w:vAlign w:val="bottom"/>
          </w:tcPr>
          <w:p>
            <w:pPr>
              <w:jc w:val="right"/>
              <w:ind w:right="105"/>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$ 0.1</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  0.1</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0.1</w:t>
            </w:r>
          </w:p>
        </w:tc>
      </w:tr>
      <w:tr>
        <w:trPr>
          <w:trHeight w:val="173"/>
        </w:trPr>
        <w:tc>
          <w:tcPr>
            <w:tcW w:w="342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867"/>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24"/>
                <w:szCs w:val="24"/>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assumptions: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Discount rate</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5.5-6.5%</w:t>
            </w:r>
          </w:p>
        </w:tc>
        <w:tc>
          <w:tcPr>
            <w:tcW w:w="14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5.4-6.5%</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7.75%</w:t>
            </w:r>
          </w:p>
        </w:tc>
        <w:tc>
          <w:tcPr>
            <w:tcW w:w="440" w:type="dxa"/>
            <w:vAlign w:val="bottom"/>
          </w:tcPr>
          <w:p>
            <w:pPr>
              <w:spacing w:after="0"/>
              <w:rPr>
                <w:sz w:val="15"/>
                <w:szCs w:val="15"/>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Expected return on plan assets</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4.0-8.0%</w:t>
            </w:r>
          </w:p>
        </w:tc>
        <w:tc>
          <w:tcPr>
            <w:tcW w:w="14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4.0-8.0%</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8.0%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w:t>
            </w:r>
          </w:p>
        </w:tc>
        <w:tc>
          <w:tcPr>
            <w:tcW w:w="440" w:type="dxa"/>
            <w:vAlign w:val="bottom"/>
          </w:tcPr>
          <w:p>
            <w:pPr>
              <w:spacing w:after="0"/>
              <w:rPr>
                <w:sz w:val="15"/>
                <w:szCs w:val="15"/>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Rate of compensation increase</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2.5-4.0%</w:t>
            </w:r>
          </w:p>
        </w:tc>
        <w:tc>
          <w:tcPr>
            <w:tcW w:w="14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1.5-4.0%</w:t>
            </w:r>
          </w:p>
        </w:tc>
        <w:tc>
          <w:tcPr>
            <w:tcW w:w="5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w w:val="88"/>
              </w:rPr>
              <w:t>n/a</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5"/>
                <w:szCs w:val="15"/>
                <w:color w:val="auto"/>
              </w:rPr>
            </w:pPr>
          </w:p>
        </w:tc>
      </w:tr>
      <w:tr>
        <w:trPr>
          <w:trHeight w:val="867"/>
        </w:trPr>
        <w:tc>
          <w:tcPr>
            <w:tcW w:w="34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80"/>
          </w:cols>
          <w:pgMar w:left="240" w:top="812" w:right="5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At September 30, 2001, the status</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 plans was as</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3820" w:type="dxa"/>
            <w:vAlign w:val="bottom"/>
          </w:tcPr>
          <w:p>
            <w:pPr>
              <w:jc w:val="right"/>
              <w:ind w:right="3025"/>
              <w:spacing w:after="0"/>
              <w:rPr>
                <w:sz w:val="20"/>
                <w:szCs w:val="20"/>
                <w:color w:val="auto"/>
              </w:rPr>
            </w:pPr>
            <w:r>
              <w:rPr>
                <w:rFonts w:ascii="Courier New" w:cs="Courier New" w:eastAsia="Courier New" w:hAnsi="Courier New"/>
                <w:sz w:val="15"/>
                <w:szCs w:val="15"/>
                <w:color w:val="auto"/>
                <w:w w:val="97"/>
              </w:rPr>
              <w:t>follows:</w:t>
            </w:r>
          </w:p>
        </w:tc>
        <w:tc>
          <w:tcPr>
            <w:tcW w:w="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694"/>
        </w:trPr>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spacing w:after="0"/>
              <w:rPr>
                <w:sz w:val="24"/>
                <w:szCs w:val="2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Plans with benefit obligations in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excess</w:t>
            </w:r>
          </w:p>
        </w:tc>
        <w:tc>
          <w:tcPr>
            <w:tcW w:w="1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of plan assets: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6300" w:type="dxa"/>
            <w:vAlign w:val="bottom"/>
            <w:gridSpan w:val="3"/>
          </w:tcPr>
          <w:p>
            <w:pPr>
              <w:jc w:val="right"/>
              <w:ind w:right="1445"/>
              <w:spacing w:after="0"/>
              <w:rPr>
                <w:sz w:val="20"/>
                <w:szCs w:val="20"/>
                <w:color w:val="auto"/>
              </w:rPr>
            </w:pPr>
            <w:r>
              <w:rPr>
                <w:rFonts w:ascii="Courier New" w:cs="Courier New" w:eastAsia="Courier New" w:hAnsi="Courier New"/>
                <w:sz w:val="15"/>
                <w:szCs w:val="15"/>
                <w:color w:val="auto"/>
              </w:rPr>
              <w:t>Aggregate projected benefit obligations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3"/>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Aggregate fair value of plan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49.7</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3"/>
        </w:trPr>
        <w:tc>
          <w:tcPr>
            <w:tcW w:w="63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Plans with plan assets in excess of benefit obligations: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6300" w:type="dxa"/>
            <w:vAlign w:val="bottom"/>
            <w:gridSpan w:val="3"/>
          </w:tcPr>
          <w:p>
            <w:pPr>
              <w:jc w:val="right"/>
              <w:ind w:right="1445"/>
              <w:spacing w:after="0"/>
              <w:rPr>
                <w:sz w:val="20"/>
                <w:szCs w:val="20"/>
                <w:color w:val="auto"/>
              </w:rPr>
            </w:pPr>
            <w:r>
              <w:rPr>
                <w:rFonts w:ascii="Courier New" w:cs="Courier New" w:eastAsia="Courier New" w:hAnsi="Courier New"/>
                <w:sz w:val="15"/>
                <w:szCs w:val="15"/>
                <w:color w:val="auto"/>
              </w:rPr>
              <w:t>Aggregate projected benefit obligations</w:t>
            </w:r>
          </w:p>
        </w:tc>
        <w:tc>
          <w:tcPr>
            <w:tcW w:w="58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3"/>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Aggregate fair value of plan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ASSOCIATE BENEFITS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78"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61"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In connection with the reduction in force in fiscal 2001, the plan incurred a curtailment expense of $3.7 million which was included in restructuring expense.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 for the information about the retiree medical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200" w:lineRule="exact"/>
        <w:rPr>
          <w:sz w:val="20"/>
          <w:szCs w:val="20"/>
          <w:color w:val="auto"/>
        </w:rPr>
      </w:pPr>
    </w:p>
    <w:p>
      <w:pPr>
        <w:spacing w:after="0" w:line="32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millions)</w:t>
            </w:r>
          </w:p>
        </w:tc>
      </w:tr>
      <w:tr>
        <w:trPr>
          <w:trHeight w:val="520"/>
        </w:trPr>
        <w:tc>
          <w:tcPr>
            <w:tcW w:w="47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 obligation at beginning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Curtailment loss</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 obligation at end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AMOUNTS RECOGNIZED IN THE STATEMENT OF FINANCIAL</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POSITION CONSIST OF:</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costs</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prior gain</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4740" w:type="dxa"/>
            <w:vAlign w:val="bottom"/>
          </w:tcPr>
          <w:p>
            <w:pPr>
              <w:ind w:left="2700"/>
              <w:spacing w:after="0"/>
              <w:rPr>
                <w:sz w:val="20"/>
                <w:szCs w:val="20"/>
                <w:color w:val="auto"/>
              </w:rPr>
            </w:pPr>
            <w:r>
              <w:rPr>
                <w:rFonts w:ascii="Courier New" w:cs="Courier New" w:eastAsia="Courier New" w:hAnsi="Courier New"/>
                <w:sz w:val="15"/>
                <w:szCs w:val="15"/>
                <w:color w:val="auto"/>
              </w:rPr>
              <w:t>41</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984" w:right="1440" w:bottom="1440" w:gutter="0" w:footer="0" w:header="0"/>
        </w:sectPr>
      </w:pPr>
    </w:p>
    <w:bookmarkStart w:id="43" w:name="page44"/>
    <w:bookmarkEnd w:id="43"/>
    <w:p>
      <w:pPr>
        <w:ind w:firstLine="811"/>
        <w:spacing w:after="0" w:line="244"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7.5% and 7.75% in fiscal 2001 and 2000, respectively. For measurement purposes, annual rates of increase in per capita cost of covered retiree medical benefits assumed for fiscal 2001 and 2000 were 9.50% and 8.50%, respectively. The rate was assumed to decrease gradually to 5.5% through the year 2010 and remain at that level thereafter. A 1% increase in health cost trend rate assumptions would increase the accumulated postretirement benefit obligation (APBO) as of September 30, 2001 and 2000 by $0.5 million and $0.7 million, respectively. A 1% increase or decrease in the same rate would not have a material effect on service or interest costs.</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is self-insured for certain health benefits up to $0.2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per occurrence per individual. The cost of such benefits is recognized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expense in the period the claim is incurred. This cost was $14.7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 million and $11.0 million in fiscal 2001, 2000 and 1999, respectively.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 self-insured for State of Ohio workers compensation up to $0.5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per claim. Claims in excess of stated limits of liability and claims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outside of the State of Ohio are insured with commercial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carriers.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Revolving loans under credit facility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Term loans under credit facility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Senior subordinated notes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due to sellers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Foreign bank borrowings and term loans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Capital lease obligations and other</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Less current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811"/>
        <w:spacing w:after="0" w:line="243" w:lineRule="auto"/>
        <w:rPr>
          <w:sz w:val="20"/>
          <w:szCs w:val="20"/>
          <w:color w:val="auto"/>
        </w:rPr>
      </w:pPr>
      <w:r>
        <w:rPr>
          <w:rFonts w:ascii="Courier New" w:cs="Courier New" w:eastAsia="Courier New" w:hAnsi="Courier New"/>
          <w:sz w:val="15"/>
          <w:szCs w:val="15"/>
          <w:color w:val="auto"/>
        </w:rPr>
        <w:t>Maturities of short- and long-term debt, including capital leases for the next five fiscal years and thereafter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2006</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Thereafter</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Less: amounts representing future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811"/>
        <w:spacing w:after="0" w:line="244" w:lineRule="auto"/>
        <w:rPr>
          <w:sz w:val="20"/>
          <w:szCs w:val="20"/>
          <w:color w:val="auto"/>
        </w:rPr>
      </w:pPr>
      <w:r>
        <w:rPr>
          <w:rFonts w:ascii="Courier New" w:cs="Courier New" w:eastAsia="Courier New" w:hAnsi="Courier New"/>
          <w:sz w:val="15"/>
          <w:szCs w:val="15"/>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 The Company recorded a $0.4 million extraordinary loss, net of tax, in connection with the retirement of the previous facility.</w:t>
      </w:r>
    </w:p>
    <w:p>
      <w:pPr>
        <w:spacing w:after="0" w:line="179" w:lineRule="exact"/>
        <w:rPr>
          <w:sz w:val="20"/>
          <w:szCs w:val="20"/>
          <w:color w:val="auto"/>
        </w:rPr>
      </w:pPr>
    </w:p>
    <w:p>
      <w:pPr>
        <w:ind w:firstLine="811"/>
        <w:spacing w:after="0" w:line="244" w:lineRule="auto"/>
        <w:rPr>
          <w:sz w:val="20"/>
          <w:szCs w:val="20"/>
          <w:color w:val="auto"/>
        </w:rPr>
      </w:pPr>
      <w:r>
        <w:rPr>
          <w:rFonts w:ascii="Courier New" w:cs="Courier New" w:eastAsia="Courier New" w:hAnsi="Courier New"/>
          <w:sz w:val="15"/>
          <w:szCs w:val="15"/>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September 30,</w:t>
            </w:r>
          </w:p>
        </w:tc>
        <w:tc>
          <w:tcPr>
            <w:tcW w:w="820" w:type="dxa"/>
            <w:vAlign w:val="bottom"/>
          </w:tcPr>
          <w:p>
            <w:pPr>
              <w:spacing w:after="0"/>
              <w:rPr>
                <w:sz w:val="14"/>
                <w:szCs w:val="14"/>
                <w:color w:val="auto"/>
              </w:rPr>
            </w:pPr>
          </w:p>
        </w:tc>
      </w:tr>
      <w:tr>
        <w:trPr>
          <w:trHeight w:val="173"/>
        </w:trPr>
        <w:tc>
          <w:tcPr>
            <w:tcW w:w="240" w:type="dxa"/>
            <w:vAlign w:val="bottom"/>
          </w:tcPr>
          <w:p>
            <w:pPr>
              <w:spacing w:after="0"/>
              <w:rPr>
                <w:sz w:val="15"/>
                <w:szCs w:val="15"/>
                <w:color w:val="auto"/>
              </w:rPr>
            </w:pPr>
          </w:p>
        </w:tc>
        <w:tc>
          <w:tcPr>
            <w:tcW w:w="16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5"/>
                <w:szCs w:val="15"/>
                <w:color w:val="auto"/>
              </w:rPr>
            </w:pPr>
          </w:p>
        </w:tc>
      </w:tr>
      <w:tr>
        <w:trPr>
          <w:trHeight w:val="173"/>
        </w:trPr>
        <w:tc>
          <w:tcPr>
            <w:tcW w:w="240" w:type="dxa"/>
            <w:vAlign w:val="bottom"/>
          </w:tcPr>
          <w:p>
            <w:pPr>
              <w:spacing w:after="0"/>
              <w:rPr>
                <w:sz w:val="15"/>
                <w:szCs w:val="15"/>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240" w:type="dxa"/>
            <w:vAlign w:val="bottom"/>
          </w:tcPr>
          <w:p>
            <w:pPr>
              <w:spacing w:after="0"/>
              <w:rPr>
                <w:sz w:val="15"/>
                <w:szCs w:val="15"/>
                <w:color w:val="auto"/>
              </w:rPr>
            </w:pPr>
          </w:p>
        </w:tc>
        <w:tc>
          <w:tcPr>
            <w:tcW w:w="16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(in millions)</w:t>
            </w:r>
          </w:p>
        </w:tc>
        <w:tc>
          <w:tcPr>
            <w:tcW w:w="820" w:type="dxa"/>
            <w:vAlign w:val="bottom"/>
          </w:tcPr>
          <w:p>
            <w:pPr>
              <w:spacing w:after="0"/>
              <w:rPr>
                <w:sz w:val="15"/>
                <w:szCs w:val="15"/>
                <w:color w:val="auto"/>
              </w:rPr>
            </w:pPr>
          </w:p>
        </w:tc>
      </w:tr>
      <w:tr>
        <w:trPr>
          <w:trHeight w:val="520"/>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94.7</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398.6</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452.2</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320.5</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319.2</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53.7</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3"/>
        </w:trPr>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887.8</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862.8</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71.3</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r>
      <w:tr>
        <w:trPr>
          <w:trHeight w:val="173"/>
        </w:trPr>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816.5</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813.4</w:t>
            </w:r>
          </w:p>
        </w:tc>
      </w:tr>
      <w:tr>
        <w:trPr>
          <w:trHeight w:val="173"/>
        </w:trPr>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Leases</w:t>
            </w:r>
          </w:p>
        </w:tc>
        <w:tc>
          <w:tcPr>
            <w:tcW w:w="5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r>
      <w:tr>
        <w:trPr>
          <w:trHeight w:val="173"/>
        </w:trPr>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and Other</w:t>
            </w:r>
          </w:p>
        </w:tc>
        <w:tc>
          <w:tcPr>
            <w:tcW w:w="5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Debt</w:t>
            </w:r>
          </w:p>
        </w:tc>
      </w:tr>
      <w:tr>
        <w:trPr>
          <w:trHeight w:val="173"/>
        </w:trPr>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15"/>
                <w:szCs w:val="15"/>
                <w:color w:val="auto"/>
              </w:rPr>
            </w:pPr>
          </w:p>
        </w:tc>
      </w:tr>
      <w:tr>
        <w:trPr>
          <w:trHeight w:val="520"/>
        </w:trPr>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139.7</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585.0</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11.2</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888.1</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(0.3)</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10.9</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876.9</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00" w:space="720"/>
            <w:col w:w="3080"/>
          </w:cols>
          <w:pgMar w:left="240" w:top="639" w:right="659" w:bottom="208" w:gutter="0" w:footer="0" w:header="0"/>
        </w:sectPr>
      </w:pPr>
    </w:p>
    <w:bookmarkStart w:id="44" w:name="page45"/>
    <w:bookmarkEnd w:id="44"/>
    <w:p>
      <w:pPr>
        <w:ind w:right="3019" w:firstLine="811"/>
        <w:spacing w:after="0" w:line="244" w:lineRule="auto"/>
        <w:rPr>
          <w:sz w:val="20"/>
          <w:szCs w:val="20"/>
          <w:color w:val="auto"/>
        </w:rPr>
      </w:pPr>
      <w:r>
        <w:rPr>
          <w:rFonts w:ascii="Courier New" w:cs="Courier New" w:eastAsia="Courier New" w:hAnsi="Courier New"/>
          <w:sz w:val="15"/>
          <w:szCs w:val="15"/>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w:t>
      </w:r>
    </w:p>
    <w:p>
      <w:pPr>
        <w:spacing w:after="0" w:line="180" w:lineRule="exact"/>
        <w:rPr>
          <w:sz w:val="20"/>
          <w:szCs w:val="20"/>
          <w:color w:val="auto"/>
        </w:rPr>
      </w:pPr>
    </w:p>
    <w:p>
      <w:pPr>
        <w:ind w:right="3199" w:firstLine="811"/>
        <w:spacing w:after="0" w:line="262" w:lineRule="auto"/>
        <w:rPr>
          <w:sz w:val="20"/>
          <w:szCs w:val="20"/>
          <w:color w:val="auto"/>
        </w:rPr>
      </w:pPr>
      <w:r>
        <w:rPr>
          <w:rFonts w:ascii="Courier New" w:cs="Courier New" w:eastAsia="Courier New" w:hAnsi="Courier New"/>
          <w:sz w:val="14"/>
          <w:szCs w:val="14"/>
          <w:color w:val="auto"/>
        </w:rPr>
        <w:t>Interest rates and commitment fees under the Amended Credit Agreement vary according to the Company's leverage ratios and interest rates also vary within tranches. The weighted-average interest rate on the Company's variable rate borrowings at September 30, 2001 was 7.85% and at September 30, 2000 was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8.78%.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 Financial covenants include minimum net worth,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82"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At September 30, 2001, primarily due to the restructuring charges recorded in fiscal 2001, Scotts was in default of the covenants in the Amended Credit Agreement pertaining to net worth, leverage and interest coverage. The defaults were waived to and including December 31, 2001 and the Company is now in compliance at September 30, 2001 with the covenants as modified by the December 2001 amendment. See Note 22 regarding the December 2001 amendment to the Amended Credit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Approximately $15.1 million of financing costs associated with the revolving credit facility have been deferred as of September 30, 2001 and are being amortized over a period of approximately 7 years, beginning in fiscal year 1999.</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9" w:right="1440" w:bottom="1440" w:gutter="0" w:footer="0" w:header="0"/>
        </w:sectPr>
      </w:pPr>
    </w:p>
    <w:bookmarkStart w:id="45" w:name="page46"/>
    <w:bookmarkEnd w:id="45"/>
    <w:p>
      <w:pPr>
        <w:ind w:right="3019" w:firstLine="811"/>
        <w:spacing w:after="0" w:line="244"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$16.0 million and $4.4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conjunction with the Substral(R) acquisition, notes were issued for certain portions of the total purchase price that are to be paid in semi-annual installments over a two-year period. The remaining note payments total $21.5 million. The interest rate on these notes is of 5.5%.</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foreign term loans of $6.0 million issued on December 12, 1997, have an 8-year term and bear interest at 1% below LIBOR. The present value of these loans at September 30, 2001 and 2000 was $2.8 million and $3.2 million, respectively. The loans are denominated in British Pounds Sterling and can be redeemed, on demand, by the note holder. The foreign bank borrowings of $6.6 million at September 30, 2001 and $3.9 million at September 30, 2000 represent lines of credit for foreign operations and are primarily denominated in French Francs.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NOTE 9. SHAREHOLDERS' EQUITY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7"/>
        </w:trPr>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5"/>
                <w:szCs w:val="15"/>
                <w:color w:val="auto"/>
              </w:rPr>
            </w:pPr>
          </w:p>
        </w:tc>
      </w:tr>
      <w:tr>
        <w:trPr>
          <w:trHeight w:val="347"/>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STOCK</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Preferred shares, no par value: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Authorized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Issued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173"/>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Common shares, no par value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Authorized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Issued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bl>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The warrants are exercisable upon shareholder demand for 1.0 million common shares at $21.00 per share, 1.0 million common shares at $25.00 per share and 1.0 million common shares at $29.00 per share. The exercise term for the warrants expires November 2003. The fair value of the warrants at issuance has been included in capital in excess of par value in the Company's Consolidated Balance Sheets.</w:t>
      </w:r>
    </w:p>
    <w:p>
      <w:pPr>
        <w:spacing w:after="0" w:line="34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9" w:right="1440" w:bottom="1440" w:gutter="0" w:footer="0" w:header="0"/>
        </w:sectPr>
      </w:pPr>
    </w:p>
    <w:bookmarkStart w:id="46" w:name="page47"/>
    <w:bookmarkEnd w:id="46"/>
    <w:p>
      <w:pPr>
        <w:ind w:right="3800"/>
        <w:spacing w:after="0" w:line="244" w:lineRule="auto"/>
        <w:rPr>
          <w:sz w:val="20"/>
          <w:szCs w:val="20"/>
          <w:color w:val="auto"/>
        </w:rPr>
      </w:pPr>
      <w:r>
        <w:rPr>
          <w:rFonts w:ascii="Courier New" w:cs="Courier New" w:eastAsia="Courier New" w:hAnsi="Courier New"/>
          <w:sz w:val="15"/>
          <w:szCs w:val="15"/>
          <w:color w:val="auto"/>
        </w:rPr>
        <w:t>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176"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176"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182" w:lineRule="exact"/>
        <w:rPr>
          <w:sz w:val="20"/>
          <w:szCs w:val="20"/>
          <w:color w:val="auto"/>
        </w:rPr>
      </w:pPr>
    </w:p>
    <w:p>
      <w:pPr>
        <w:ind w:right="3800" w:firstLine="811"/>
        <w:spacing w:after="0" w:line="264" w:lineRule="auto"/>
        <w:rPr>
          <w:sz w:val="20"/>
          <w:szCs w:val="20"/>
          <w:color w:val="auto"/>
        </w:rPr>
      </w:pPr>
      <w:r>
        <w:rPr>
          <w:rFonts w:ascii="Courier New" w:cs="Courier New" w:eastAsia="Courier New" w:hAnsi="Courier New"/>
          <w:sz w:val="14"/>
          <w:szCs w:val="14"/>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164"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w:t>
      </w:r>
    </w:p>
    <w:p>
      <w:pPr>
        <w:spacing w:after="0" w:line="178" w:lineRule="exact"/>
        <w:rPr>
          <w:sz w:val="20"/>
          <w:szCs w:val="20"/>
          <w:color w:val="auto"/>
        </w:rPr>
      </w:pPr>
    </w:p>
    <w:p>
      <w:pPr>
        <w:ind w:right="4060" w:firstLine="811"/>
        <w:spacing w:after="0" w:line="243" w:lineRule="auto"/>
        <w:rPr>
          <w:sz w:val="20"/>
          <w:szCs w:val="20"/>
          <w:color w:val="auto"/>
        </w:rPr>
      </w:pPr>
      <w:r>
        <w:rPr>
          <w:rFonts w:ascii="Courier New" w:cs="Courier New" w:eastAsia="Courier New" w:hAnsi="Courier New"/>
          <w:sz w:val="15"/>
          <w:szCs w:val="15"/>
          <w:color w:val="auto"/>
        </w:rPr>
        <w:t>Aggregate stock option activity consists of the following (shares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Fiscal Year Ended September 30,</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9"/>
              </w:rPr>
              <w:t>2001</w:t>
            </w: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4"/>
              </w:rPr>
              <w:t>2000</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162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Number of</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w:t>
            </w:r>
          </w:p>
        </w:tc>
        <w:tc>
          <w:tcPr>
            <w:tcW w:w="15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WTD. Avg.</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WTD. Avg.</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Common</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WTD. Avg.</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520"/>
        </w:trPr>
        <w:tc>
          <w:tcPr>
            <w:tcW w:w="284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26.67</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$ 26.33</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20.70</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37.39</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35.70</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19.46</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16.51</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36.87</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30.94</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27.94</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26.67</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26.33</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Exercisable at September 30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$ 21.45</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19.77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000"/>
          </w:cols>
          <w:pgMar w:left="240" w:top="638" w:right="659" w:bottom="1440" w:gutter="0" w:footer="0" w:header="0"/>
        </w:sectPr>
      </w:pPr>
    </w:p>
    <w:bookmarkStart w:id="47" w:name="page48"/>
    <w:bookmarkEnd w:id="47"/>
    <w:p>
      <w:pPr>
        <w:ind w:right="3880" w:firstLine="811"/>
        <w:spacing w:after="0" w:line="243" w:lineRule="auto"/>
        <w:rPr>
          <w:sz w:val="20"/>
          <w:szCs w:val="20"/>
          <w:color w:val="auto"/>
        </w:rPr>
      </w:pPr>
      <w:r>
        <w:rPr>
          <w:rFonts w:ascii="Courier New" w:cs="Courier New" w:eastAsia="Courier New" w:hAnsi="Courier New"/>
          <w:sz w:val="15"/>
          <w:szCs w:val="15"/>
          <w:color w:val="auto"/>
        </w:rPr>
        <w:t>The following summarizes certain information pertaining to stock options outstanding and exercisable at September 30, 2001 (shares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Outstanding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2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0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WTD. Avg.</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WTD. Avg.</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WTD. Avg.</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2240" w:type="dxa"/>
            <w:vAlign w:val="bottom"/>
          </w:tcPr>
          <w:p>
            <w:pPr>
              <w:ind w:left="1300"/>
              <w:spacing w:after="0"/>
              <w:rPr>
                <w:sz w:val="20"/>
                <w:szCs w:val="20"/>
                <w:color w:val="auto"/>
              </w:rPr>
            </w:pPr>
            <w:r>
              <w:rPr>
                <w:rFonts w:ascii="Courier New" w:cs="Courier New" w:eastAsia="Courier New" w:hAnsi="Courier New"/>
                <w:sz w:val="15"/>
                <w:szCs w:val="15"/>
                <w:color w:val="auto"/>
              </w:rPr>
              <w:t>No. of</w:t>
            </w:r>
          </w:p>
        </w:tc>
        <w:tc>
          <w:tcPr>
            <w:tcW w:w="1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Remaining</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Exercise</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No. of</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Exercise Price</w:t>
            </w:r>
          </w:p>
        </w:tc>
        <w:tc>
          <w:tcPr>
            <w:tcW w:w="2240" w:type="dxa"/>
            <w:vAlign w:val="bottom"/>
          </w:tcPr>
          <w:p>
            <w:pPr>
              <w:ind w:left="1300"/>
              <w:spacing w:after="0"/>
              <w:rPr>
                <w:sz w:val="20"/>
                <w:szCs w:val="20"/>
                <w:color w:val="auto"/>
              </w:rPr>
            </w:pPr>
            <w:r>
              <w:rPr>
                <w:rFonts w:ascii="Courier New" w:cs="Courier New" w:eastAsia="Courier New" w:hAnsi="Courier New"/>
                <w:sz w:val="15"/>
                <w:szCs w:val="15"/>
                <w:color w:val="auto"/>
              </w:rPr>
              <w:t>Options</w:t>
            </w:r>
          </w:p>
        </w:tc>
        <w:tc>
          <w:tcPr>
            <w:tcW w:w="1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Life</w:t>
            </w:r>
          </w:p>
        </w:tc>
        <w:tc>
          <w:tcPr>
            <w:tcW w:w="220" w:type="dxa"/>
            <w:vAlign w:val="bottom"/>
          </w:tcPr>
          <w:p>
            <w:pPr>
              <w:spacing w:after="0"/>
              <w:rPr>
                <w:sz w:val="15"/>
                <w:szCs w:val="15"/>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50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2660" w:type="dxa"/>
            <w:vAlign w:val="bottom"/>
          </w:tcPr>
          <w:p>
            <w:pPr>
              <w:spacing w:after="0"/>
              <w:rPr>
                <w:sz w:val="20"/>
                <w:szCs w:val="20"/>
                <w:color w:val="auto"/>
              </w:rPr>
            </w:pPr>
            <w:r>
              <w:rPr>
                <w:rFonts w:ascii="Courier New" w:cs="Courier New" w:eastAsia="Courier New" w:hAnsi="Courier New"/>
                <w:sz w:val="15"/>
                <w:szCs w:val="15"/>
                <w:color w:val="auto"/>
              </w:rPr>
              <w:t>$15.00-$20.00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4.18</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17.84</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17.84</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$20.00-$25.00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4.48</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21.51</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21.51</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$25.00-$30.00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0.5</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6.23</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27.25</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0.5</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27.12</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$30.00-$35.00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31.03</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31.09</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$35.00-$40.00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7.98</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36.36</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$40.00-$46.38</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40.75</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0.0</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40.13</w:t>
            </w:r>
          </w:p>
        </w:tc>
      </w:tr>
      <w:tr>
        <w:trPr>
          <w:trHeight w:val="173"/>
        </w:trPr>
        <w:tc>
          <w:tcPr>
            <w:tcW w:w="2660" w:type="dxa"/>
            <w:vAlign w:val="bottom"/>
          </w:tcPr>
          <w:p>
            <w:pPr>
              <w:spacing w:after="0"/>
              <w:rPr>
                <w:sz w:val="15"/>
                <w:szCs w:val="15"/>
                <w:color w:val="auto"/>
              </w:rPr>
            </w:pP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w:t>
            </w:r>
          </w:p>
        </w:tc>
        <w:tc>
          <w:tcPr>
            <w:tcW w:w="194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27.94</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24.96</w:t>
            </w:r>
          </w:p>
        </w:tc>
      </w:tr>
      <w:tr>
        <w:trPr>
          <w:trHeight w:val="173"/>
        </w:trPr>
        <w:tc>
          <w:tcPr>
            <w:tcW w:w="2660" w:type="dxa"/>
            <w:vAlign w:val="bottom"/>
          </w:tcPr>
          <w:p>
            <w:pPr>
              <w:spacing w:after="0"/>
              <w:rPr>
                <w:sz w:val="15"/>
                <w:szCs w:val="15"/>
                <w:color w:val="auto"/>
              </w:rPr>
            </w:pP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The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fair value of each option granted has been estimated on the grant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date using the Black-Scholes option-pricing model based on the following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assumptions for those granted in fiscal 2001, 2000 and 1999: (1) expected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market-price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volatility of 29.5%, 27.05% and 24.44%, respectively; (2) risk-free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rates of 4.4%, 6.0% and 6.0%, respectively; and (3) expected life of</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options of 6</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years. Options are generally granted with a ten-year term. The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estimated weighted-average fair value per share of options granted during fiscal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2001, 2000 and 1999 was $11.74, $14.94 and $13.64, respectively.</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47"/>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Had</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compensation expense been recognized for fiscal 2001, 2000 and 1999</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in accordance with provisions of SFAS No. 123, the Company would have recorded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net income and earnings per share as follows: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694"/>
        </w:trPr>
        <w:tc>
          <w:tcPr>
            <w:tcW w:w="11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24"/>
                <w:szCs w:val="24"/>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11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(in millions, except per share data)</w:t>
            </w:r>
          </w:p>
        </w:tc>
      </w:tr>
      <w:tr>
        <w:trPr>
          <w:trHeight w:val="52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Net</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income used in basic earnings per</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share calculation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55.3</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Net</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income used in diluted earnings per</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share calculation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45.3</w:t>
            </w:r>
          </w:p>
        </w:tc>
      </w:tr>
      <w:tr>
        <w:trPr>
          <w:trHeight w:val="173"/>
        </w:trPr>
        <w:tc>
          <w:tcPr>
            <w:tcW w:w="73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w:t>
            </w:r>
          </w:p>
        </w:tc>
      </w:tr>
      <w:tr>
        <w:trPr>
          <w:trHeight w:val="52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The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pro forma amounts shown above are not necessarily representative of</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the impact on net income in future years as additional option grants may be made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each year.</w:t>
            </w: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867"/>
        </w:trPr>
        <w:tc>
          <w:tcPr>
            <w:tcW w:w="1120" w:type="dxa"/>
            <w:vAlign w:val="bottom"/>
          </w:tcPr>
          <w:p>
            <w:pPr>
              <w:spacing w:after="0"/>
              <w:rPr>
                <w:sz w:val="24"/>
                <w:szCs w:val="24"/>
                <w:color w:val="auto"/>
              </w:rPr>
            </w:pPr>
          </w:p>
        </w:tc>
        <w:tc>
          <w:tcPr>
            <w:tcW w:w="6180" w:type="dxa"/>
            <w:vAlign w:val="bottom"/>
          </w:tcPr>
          <w:p>
            <w:pPr>
              <w:ind w:left="2380"/>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00"/>
          </w:cols>
          <w:pgMar w:left="240" w:top="812" w:right="65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NOTE 10. EARNINGS PER COMMON SHARE</w:t>
      </w:r>
    </w:p>
    <w:p>
      <w:pPr>
        <w:spacing w:after="0" w:line="178" w:lineRule="exact"/>
        <w:rPr>
          <w:sz w:val="20"/>
          <w:szCs w:val="20"/>
          <w:color w:val="auto"/>
        </w:rPr>
      </w:pPr>
    </w:p>
    <w:p>
      <w:pPr>
        <w:ind w:right="4240" w:firstLine="811"/>
        <w:spacing w:after="0" w:line="243" w:lineRule="auto"/>
        <w:rPr>
          <w:sz w:val="20"/>
          <w:szCs w:val="20"/>
          <w:color w:val="auto"/>
        </w:rPr>
      </w:pPr>
      <w:r>
        <w:rPr>
          <w:rFonts w:ascii="Courier New" w:cs="Courier New" w:eastAsia="Courier New" w:hAnsi="Courier New"/>
          <w:sz w:val="15"/>
          <w:szCs w:val="15"/>
          <w:color w:val="auto"/>
        </w:rPr>
        <w:t>The following table presents information necessary to calculate basic and diluted earnings per common share.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(in millions, except per share data)</w:t>
            </w:r>
          </w:p>
        </w:tc>
      </w:tr>
      <w:tr>
        <w:trPr>
          <w:trHeight w:val="520"/>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 before extraordinary 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Convertible Preferred Stock dividend</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46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Income available to common shareholders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66.7</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Before 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After 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 used in diluted earnings per common</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share calculation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Weighted-average common shares outstanding during</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the period</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Potential common shares:</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Assuming conversion of Class A Convertible Preferred Stock</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Assuming exercise of options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Assuming exercise of warrants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Weighted-average number of common shares outstanding and</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dilutive potential common shares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30.4</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Before 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After</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520"/>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11.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INCOME TAXES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84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The provision for income taxes, net of tax benefits associated with</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the 1999 extraordinary losses of $4.1 million consists of the following:</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20"/>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Currently payable: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Federal</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29.9</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Foreign</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Federal</w:t>
            </w:r>
          </w:p>
        </w:tc>
        <w:tc>
          <w:tcPr>
            <w:tcW w:w="54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Income tax expense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43.8</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7"/>
        </w:trPr>
        <w:tc>
          <w:tcPr>
            <w:tcW w:w="840" w:type="dxa"/>
            <w:vAlign w:val="bottom"/>
          </w:tcPr>
          <w:p>
            <w:pPr>
              <w:spacing w:after="0"/>
              <w:rPr>
                <w:sz w:val="24"/>
                <w:szCs w:val="24"/>
                <w:color w:val="auto"/>
              </w:rPr>
            </w:pPr>
          </w:p>
        </w:tc>
        <w:tc>
          <w:tcPr>
            <w:tcW w:w="6500" w:type="dxa"/>
            <w:vAlign w:val="bottom"/>
          </w:tcPr>
          <w:p>
            <w:pPr>
              <w:jc w:val="right"/>
              <w:ind w:right="3585"/>
              <w:spacing w:after="0"/>
              <w:rPr>
                <w:sz w:val="20"/>
                <w:szCs w:val="20"/>
                <w:color w:val="auto"/>
              </w:rPr>
            </w:pPr>
            <w:r>
              <w:rPr>
                <w:rFonts w:ascii="Courier New" w:cs="Courier New" w:eastAsia="Courier New" w:hAnsi="Courier New"/>
                <w:sz w:val="15"/>
                <w:szCs w:val="15"/>
                <w:color w:val="auto"/>
              </w:rPr>
              <w:t>47</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60"/>
          </w:cols>
          <w:pgMar w:left="240" w:top="811" w:right="399" w:bottom="1440" w:gutter="0" w:footer="0" w:header="0"/>
        </w:sectPr>
      </w:pPr>
    </w:p>
    <w:bookmarkStart w:id="49" w:name="page50"/>
    <w:bookmarkEnd w:id="49"/>
    <w:p>
      <w:pPr>
        <w:ind w:left="900"/>
        <w:spacing w:after="0"/>
        <w:rPr>
          <w:sz w:val="20"/>
          <w:szCs w:val="20"/>
          <w:color w:val="auto"/>
        </w:rPr>
      </w:pPr>
      <w:r>
        <w:rPr>
          <w:rFonts w:ascii="Courier New" w:cs="Courier New" w:eastAsia="Courier New" w:hAnsi="Courier New"/>
          <w:sz w:val="15"/>
          <w:szCs w:val="15"/>
          <w:color w:val="auto"/>
        </w:rPr>
        <w:t>The domestic and foreign components of income before taxes are 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94"/>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5"/>
                <w:szCs w:val="15"/>
                <w:color w:val="auto"/>
              </w:rPr>
            </w:pP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Domestic</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Foreign</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Income before taxes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106.9</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A reconciliation of the federal corporate income tax rate and the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effective tax rate on income before income taxes is summarized below:</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Statutory income tax rate</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580" w:type="dxa"/>
            <w:vAlign w:val="bottom"/>
          </w:tcPr>
          <w:p>
            <w:pPr>
              <w:spacing w:after="0"/>
              <w:rPr>
                <w:sz w:val="24"/>
                <w:szCs w:val="2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Effect of foreign operations</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 and other effects resulting</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340" w:type="dxa"/>
            <w:vAlign w:val="bottom"/>
          </w:tcPr>
          <w:p>
            <w:pPr>
              <w:ind w:left="1340"/>
              <w:spacing w:after="0"/>
              <w:rPr>
                <w:sz w:val="20"/>
                <w:szCs w:val="20"/>
                <w:color w:val="auto"/>
              </w:rPr>
            </w:pPr>
            <w:r>
              <w:rPr>
                <w:rFonts w:ascii="Courier New" w:cs="Courier New" w:eastAsia="Courier New" w:hAnsi="Courier New"/>
                <w:sz w:val="15"/>
                <w:szCs w:val="15"/>
                <w:color w:val="auto"/>
              </w:rPr>
              <w:t>from purchase accounting</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State taxes, net of federal benefit</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Resolution of previous contingencies</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Effective income tax rate</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37.1%</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The net current and non-current components of deferred income taxes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recognized in the Consolidated Balance Sheets at September 30 are:</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867"/>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September 30,</w:t>
            </w: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5"/>
                <w:szCs w:val="15"/>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6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except per share data)</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current assets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52.2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25.1</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non-current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15.4</w:t>
            </w:r>
          </w:p>
        </w:tc>
        <w:tc>
          <w:tcPr>
            <w:tcW w:w="460" w:type="dxa"/>
            <w:vAlign w:val="bottom"/>
          </w:tcPr>
          <w:p>
            <w:pPr>
              <w:spacing w:after="0"/>
              <w:rPr>
                <w:sz w:val="15"/>
                <w:szCs w:val="15"/>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16.2</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67.6</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41.3</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694"/>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The components of the net deferred tax asset are as follows: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94"/>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September 30,</w:t>
            </w: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5"/>
                <w:szCs w:val="15"/>
                <w:color w:val="auto"/>
              </w:rPr>
            </w:pPr>
          </w:p>
        </w:tc>
      </w:tr>
      <w:tr>
        <w:trPr>
          <w:trHeight w:val="520"/>
        </w:trPr>
        <w:tc>
          <w:tcPr>
            <w:tcW w:w="7340" w:type="dxa"/>
            <w:vAlign w:val="bottom"/>
          </w:tcPr>
          <w:p>
            <w:pPr>
              <w:ind w:left="800"/>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Accrued liabilities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33.3</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Postretirement benefits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Foreign net operating losses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Gross deferred tax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104.7</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73.9</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Valuation allowance</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Net deferred tax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103.7</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72.8</w:t>
            </w:r>
          </w:p>
        </w:tc>
      </w:tr>
      <w:tr>
        <w:trPr>
          <w:trHeight w:val="173"/>
        </w:trPr>
        <w:tc>
          <w:tcPr>
            <w:tcW w:w="7340" w:type="dxa"/>
            <w:vAlign w:val="bottom"/>
          </w:tcPr>
          <w:p>
            <w:pPr>
              <w:ind w:left="800"/>
              <w:spacing w:after="0"/>
              <w:rPr>
                <w:sz w:val="20"/>
                <w:szCs w:val="20"/>
                <w:color w:val="auto"/>
              </w:rPr>
            </w:pPr>
            <w:r>
              <w:rPr>
                <w:rFonts w:ascii="Courier New" w:cs="Courier New" w:eastAsia="Courier New" w:hAnsi="Courier New"/>
                <w:sz w:val="15"/>
                <w:szCs w:val="15"/>
                <w:color w:val="auto"/>
              </w:rPr>
              <w:t>LIABILITIES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Property, plant and equipment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260"/>
          </w:cols>
          <w:pgMar w:left="240" w:top="985" w:right="399" w:bottom="0" w:gutter="0" w:footer="0" w:header="0"/>
        </w:sectPr>
      </w:pPr>
    </w:p>
    <w:bookmarkStart w:id="50" w:name="page51"/>
    <w:bookmarkEnd w:id="50"/>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Net assets</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Courier New" w:cs="Courier New" w:eastAsia="Courier New" w:hAnsi="Courier New"/>
          <w:sz w:val="15"/>
          <w:szCs w:val="15"/>
          <w:color w:val="auto"/>
        </w:rPr>
        <w:t>$ 41.3 ==========</w:t>
      </w:r>
    </w:p>
    <w:p>
      <w:pPr>
        <w:spacing w:after="0" w:line="200" w:lineRule="exact"/>
        <w:rPr>
          <w:sz w:val="20"/>
          <w:szCs w:val="20"/>
          <w:color w:val="auto"/>
        </w:rPr>
      </w:pPr>
    </w:p>
    <w:p>
      <w:pPr>
        <w:sectPr>
          <w:pgSz w:w="11900" w:h="16838" w:orient="portrait"/>
          <w:cols w:equalWidth="0" w:num="3">
            <w:col w:w="6720" w:space="720"/>
            <w:col w:w="1080" w:space="380"/>
            <w:col w:w="900"/>
          </w:cols>
          <w:pgMar w:left="1440" w:top="141" w:right="6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800"/>
          </w:cols>
          <w:pgMar w:left="1440" w:top="141" w:right="659" w:bottom="1440" w:gutter="0" w:footer="0" w:header="0"/>
          <w:type w:val="continuous"/>
        </w:sectPr>
      </w:pPr>
    </w:p>
    <w:bookmarkStart w:id="51" w:name="page52"/>
    <w:bookmarkEnd w:id="51"/>
    <w:p>
      <w:pPr>
        <w:ind w:right="3199" w:firstLine="902"/>
        <w:spacing w:after="0" w:line="244" w:lineRule="auto"/>
        <w:rPr>
          <w:sz w:val="20"/>
          <w:szCs w:val="20"/>
          <w:color w:val="auto"/>
        </w:rPr>
      </w:pPr>
      <w:r>
        <w:rPr>
          <w:rFonts w:ascii="Courier New" w:cs="Courier New" w:eastAsia="Courier New" w:hAnsi="Courier New"/>
          <w:sz w:val="15"/>
          <w:szCs w:val="15"/>
          <w:color w:val="auto"/>
        </w:rPr>
        <w:t>Net operating loss carryforwards in foreign jurisdictions were $5.2 million and $6.2 million at September 30, 2001 and 2000, respectively. The use of these acquired carryforwards is subject to limitations imposed by the tax laws of each applicable country.</w:t>
      </w:r>
    </w:p>
    <w:p>
      <w:pPr>
        <w:spacing w:after="0" w:line="176"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valuation allowance of $1.0 million at September 30, 2001 and September 30, 2000 is to provide for operating losses for which the benefits are not expected to be realized. Foreign net operating losses of $1.9 million can be carried forward indefinitely.</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Deferred taxes have not been provided on unremitted earnings of certain foreign subsidiaries and foreign corporate joint ventures that arose in fiscal years beginning on or before September 2001 as such earnings have been permanently reinvested.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FINANCIAL INSTRUMENTS</w:t>
      </w:r>
    </w:p>
    <w:p>
      <w:pPr>
        <w:spacing w:after="0" w:line="178" w:lineRule="exact"/>
        <w:rPr>
          <w:sz w:val="20"/>
          <w:szCs w:val="20"/>
          <w:color w:val="auto"/>
        </w:rPr>
      </w:pPr>
    </w:p>
    <w:p>
      <w:pPr>
        <w:ind w:right="3199" w:firstLine="902"/>
        <w:spacing w:after="0" w:line="243" w:lineRule="auto"/>
        <w:rPr>
          <w:sz w:val="20"/>
          <w:szCs w:val="20"/>
          <w:color w:val="auto"/>
        </w:rPr>
      </w:pPr>
      <w:r>
        <w:rPr>
          <w:rFonts w:ascii="Courier New" w:cs="Courier New" w:eastAsia="Courier New" w:hAnsi="Courier New"/>
          <w:sz w:val="15"/>
          <w:szCs w:val="15"/>
          <w:color w:val="auto"/>
        </w:rPr>
        <w:t>A description of the Company's financial instruments and the methods and assumptions used to estimate their fair values is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and 2000, Scotts had $330 million outstanding of 8 5/8% Senior Subordinated Notes due 2009. The fair value of these notes was estimated based on recent trading information. Variable rate debt outstanding at September 30, 2001 and 2000 consisted of revolving borrowings and term loans under the Company's credit facility and local bank borrowings for certain of the Company's foreign operations. The carrying amounts of these borrowings are considered to approximate their fair values.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and 2000, Scotts had outstanding five interest rate swaps with major financial institutions that effectively convert variable-rate debt to a fixed rate. One swap has a notional amount of 20.0 million British Pounds Sterling under a five-year term expiring in April 2002 whereby Scotts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Scotts enters into interest rate swap agreements as a means to hedge its interest rate exposure on debt instruments. In addition, the Company's Amended Credit Agreement requires that Scotts enter into hedge agreements to the extent necessary to provide that at least 50% of the aggregate principal amount of the 8 5/8% Senior Subordinated Notes due 2009 and term loan facilities subject to a fixed interest rate or interest rate protection for a period of not less than three years. Since the interest rate swaps have been designated as hedging instruments, their fair values are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LOCKS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8" w:right="1440" w:bottom="1440" w:gutter="0" w:footer="0" w:header="0"/>
        </w:sectPr>
      </w:pPr>
    </w:p>
    <w:bookmarkStart w:id="52" w:name="page53"/>
    <w:bookmarkEnd w:id="52"/>
    <w:p>
      <w:pPr>
        <w:ind w:right="4060" w:firstLine="902"/>
        <w:spacing w:after="0" w:line="243"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for the fiscal years ended September 30:</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522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20" w:type="dxa"/>
            <w:vAlign w:val="bottom"/>
          </w:tcPr>
          <w:p>
            <w:pPr>
              <w:spacing w:after="0"/>
              <w:rPr>
                <w:sz w:val="15"/>
                <w:szCs w:val="15"/>
                <w:color w:val="auto"/>
              </w:rPr>
            </w:pP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Carrying</w:t>
            </w:r>
          </w:p>
        </w:tc>
        <w:tc>
          <w:tcPr>
            <w:tcW w:w="24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Fair</w:t>
            </w:r>
          </w:p>
        </w:tc>
        <w:tc>
          <w:tcPr>
            <w:tcW w:w="42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Carrying</w:t>
            </w:r>
          </w:p>
        </w:tc>
        <w:tc>
          <w:tcPr>
            <w:tcW w:w="3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5220" w:type="dxa"/>
            <w:vAlign w:val="bottom"/>
          </w:tcPr>
          <w:p>
            <w:pPr>
              <w:spacing w:after="0"/>
              <w:rPr>
                <w:sz w:val="15"/>
                <w:szCs w:val="15"/>
                <w:color w:val="auto"/>
              </w:rPr>
            </w:pPr>
          </w:p>
        </w:tc>
        <w:tc>
          <w:tcPr>
            <w:tcW w:w="2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Amount</w:t>
            </w:r>
          </w:p>
        </w:tc>
        <w:tc>
          <w:tcPr>
            <w:tcW w:w="24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Value</w:t>
            </w:r>
          </w:p>
        </w:tc>
        <w:tc>
          <w:tcPr>
            <w:tcW w:w="4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c>
          <w:tcPr>
            <w:tcW w:w="3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5220" w:type="dxa"/>
            <w:vAlign w:val="bottom"/>
          </w:tcPr>
          <w:p>
            <w:pPr>
              <w:spacing w:after="0"/>
              <w:rPr>
                <w:sz w:val="15"/>
                <w:szCs w:val="15"/>
                <w:color w:val="auto"/>
              </w:rPr>
            </w:pPr>
          </w:p>
        </w:tc>
        <w:tc>
          <w:tcPr>
            <w:tcW w:w="2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millions)</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20"/>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Revolving and term loans under credit facility</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493.3</w:t>
            </w:r>
          </w:p>
        </w:tc>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493.3</w:t>
            </w:r>
          </w:p>
        </w:tc>
        <w:tc>
          <w:tcPr>
            <w:tcW w:w="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489.5</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489.5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Senior subordinated notes</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330.0</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320.5</w:t>
            </w:r>
          </w:p>
        </w:tc>
        <w:tc>
          <w:tcPr>
            <w:tcW w:w="42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330.0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319.2</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9.4</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w:t>
            </w:r>
          </w:p>
        </w:tc>
        <w:tc>
          <w:tcPr>
            <w:tcW w:w="42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Interest rate swap agreements</w:t>
            </w:r>
          </w:p>
        </w:tc>
        <w:tc>
          <w:tcPr>
            <w:tcW w:w="2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w:t>
            </w:r>
          </w:p>
        </w:tc>
        <w:tc>
          <w:tcPr>
            <w:tcW w:w="240" w:type="dxa"/>
            <w:vAlign w:val="bottom"/>
          </w:tcPr>
          <w:p>
            <w:pPr>
              <w:spacing w:after="0"/>
              <w:rPr>
                <w:sz w:val="15"/>
                <w:szCs w:val="15"/>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42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pacing w:after="0" w:line="351" w:lineRule="exact"/>
        <w:rPr>
          <w:sz w:val="20"/>
          <w:szCs w:val="20"/>
          <w:color w:val="auto"/>
        </w:rPr>
      </w:pPr>
    </w:p>
    <w:p>
      <w:pPr>
        <w:ind w:right="3960" w:firstLine="902"/>
        <w:spacing w:after="0" w:line="244" w:lineRule="auto"/>
        <w:rPr>
          <w:sz w:val="20"/>
          <w:szCs w:val="20"/>
          <w:color w:val="auto"/>
        </w:rPr>
      </w:pPr>
      <w:r>
        <w:rPr>
          <w:rFonts w:ascii="Courier New" w:cs="Courier New" w:eastAsia="Courier New" w:hAnsi="Courier New"/>
          <w:sz w:val="15"/>
          <w:szCs w:val="15"/>
          <w:color w:val="auto"/>
        </w:rPr>
        <w:t>Excluded from the fair value table above are the following items that are included in the Company's total debt balances at September 30, 2001 and 2000: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(in millions)</w:t>
            </w:r>
          </w:p>
        </w:tc>
      </w:tr>
      <w:tr>
        <w:trPr>
          <w:trHeight w:val="520"/>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Amounts paid to settle treasury locks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w w:val="97"/>
              </w:rPr>
              <w:t>(9.5)</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(10.8)</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Non-interest bearing notes</w:t>
            </w:r>
          </w:p>
        </w:tc>
        <w:tc>
          <w:tcPr>
            <w:tcW w:w="10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53.7</w:t>
            </w:r>
          </w:p>
        </w:tc>
        <w:tc>
          <w:tcPr>
            <w:tcW w:w="5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Capital lease obligations and other</w:t>
            </w:r>
          </w:p>
        </w:tc>
        <w:tc>
          <w:tcPr>
            <w:tcW w:w="10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520"/>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 fair value of the non-interest bearing notes is not considered</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determinable since there is no established market for notes with similar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characteristics and since they represent notes that were negotiated between the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Company and the seller as part of transactions to acquire businesses.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13.</w:t>
            </w: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OPERATING LEASES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 Company leases buildings, land and equipment under various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noncancellable lease agreements for periods of two to six years. The lease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agreements generally provide that the Company pay taxes, insurance and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maintenance expenses related to the leased assets. Certain lease agreements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contain purchase options. At September 30, 2001, future minimum lease payments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were as follows: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 millions)</w:t>
            </w:r>
          </w:p>
        </w:tc>
      </w:tr>
      <w:tr>
        <w:trPr>
          <w:trHeight w:val="347"/>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2003</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2004</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2005</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2006</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26.5</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Total minimum lease payments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65.8</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 Company also leases transportation and production equipment under</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various one-year operating leases, which provide for the extension of the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initial term on a monthly or annual basis. Total rental expenses for operating</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leases were $22.0 million, $17.8 million and $18.5 million for fiscal 2001, 2000</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and 1999,</w:t>
            </w: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respectively. The total to be received from sublease rentals in place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at September 30, 2001 is $0.6 million. The future minimum lease payments of $1.2</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million related to the prior World Headquarters office lease are included in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expense.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7080" w:type="dxa"/>
            <w:vAlign w:val="bottom"/>
          </w:tcPr>
          <w:p>
            <w:pPr>
              <w:ind w:left="2660"/>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80"/>
          </w:cols>
          <w:pgMar w:left="240" w:top="639" w:right="57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NOTE 14. COMMITMENTS</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Company has entered into the following purchase commitments:</w:t>
      </w:r>
    </w:p>
    <w:p>
      <w:pPr>
        <w:spacing w:after="0" w:line="178" w:lineRule="exact"/>
        <w:rPr>
          <w:sz w:val="20"/>
          <w:szCs w:val="20"/>
          <w:color w:val="auto"/>
        </w:rPr>
      </w:pPr>
    </w:p>
    <w:p>
      <w:pPr>
        <w:ind w:right="1260" w:firstLine="902"/>
        <w:spacing w:after="0" w:line="244" w:lineRule="auto"/>
        <w:rPr>
          <w:sz w:val="20"/>
          <w:szCs w:val="20"/>
          <w:color w:val="auto"/>
        </w:rPr>
      </w:pPr>
      <w:r>
        <w:rPr>
          <w:rFonts w:ascii="Courier New" w:cs="Courier New" w:eastAsia="Courier New" w:hAnsi="Courier New"/>
          <w:sz w:val="15"/>
          <w:szCs w:val="15"/>
          <w:color w:val="auto"/>
        </w:rPr>
        <w:t>SEED: The Company is obligated to make future purchases based on estimated yields and other market purchase commitments. At September 30, 2001, estimated annual seed purchase commitments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2006</w:t>
      </w:r>
    </w:p>
    <w:p>
      <w:pPr>
        <w:spacing w:after="0" w:line="351" w:lineRule="exact"/>
        <w:rPr>
          <w:sz w:val="20"/>
          <w:szCs w:val="20"/>
          <w:color w:val="auto"/>
        </w:rPr>
      </w:pPr>
    </w:p>
    <w:p>
      <w:pPr>
        <w:ind w:right="1340" w:firstLine="902"/>
        <w:spacing w:after="0" w:line="243" w:lineRule="auto"/>
        <w:rPr>
          <w:sz w:val="20"/>
          <w:szCs w:val="20"/>
          <w:color w:val="auto"/>
        </w:rPr>
      </w:pPr>
      <w:r>
        <w:rPr>
          <w:rFonts w:ascii="Courier New" w:cs="Courier New" w:eastAsia="Courier New" w:hAnsi="Courier New"/>
          <w:sz w:val="15"/>
          <w:szCs w:val="15"/>
          <w:color w:val="auto"/>
        </w:rPr>
        <w:t>The Company made purchases of $53.9 million and $31.2 million under this obligation in fiscal 2001 and 2000, respectively.</w:t>
      </w:r>
    </w:p>
    <w:p>
      <w:pPr>
        <w:spacing w:after="0" w:line="176"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PEAT: In March 2000, the Company entered in a contract to purchase peat over the next ten years. There is an option to extend the term of this agreement for a further period of ten years, on or before the eighth anniversary of this agreement. The minimum volume purchase obligations under the March 2000 contract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Cubic Meters</w:t>
            </w:r>
          </w:p>
        </w:tc>
      </w:tr>
      <w:tr>
        <w:trPr>
          <w:trHeight w:val="173"/>
        </w:trPr>
        <w:tc>
          <w:tcPr>
            <w:tcW w:w="2240" w:type="dxa"/>
            <w:vAlign w:val="bottom"/>
          </w:tcPr>
          <w:p>
            <w:pPr>
              <w:spacing w:after="0"/>
              <w:rPr>
                <w:sz w:val="15"/>
                <w:szCs w:val="15"/>
                <w:color w:val="auto"/>
              </w:rPr>
            </w:pP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1,046,000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1,067,000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1,088,000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1,110,000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1,132,000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2,830,000</w:t>
            </w:r>
          </w:p>
        </w:tc>
      </w:tr>
    </w:tbl>
    <w:p>
      <w:pPr>
        <w:spacing w:after="0" w:line="351"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176"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974,000 cubic meters of peat under this arrangement in fiscal 2001.</w:t>
      </w:r>
    </w:p>
    <w:p>
      <w:pPr>
        <w:spacing w:after="0" w:line="180" w:lineRule="exact"/>
        <w:rPr>
          <w:sz w:val="20"/>
          <w:szCs w:val="20"/>
          <w:color w:val="auto"/>
        </w:rPr>
      </w:pPr>
    </w:p>
    <w:p>
      <w:pPr>
        <w:ind w:right="1260" w:firstLine="811"/>
        <w:spacing w:after="0" w:line="244" w:lineRule="auto"/>
        <w:rPr>
          <w:sz w:val="20"/>
          <w:szCs w:val="20"/>
          <w:color w:val="auto"/>
        </w:rPr>
      </w:pPr>
      <w:r>
        <w:rPr>
          <w:rFonts w:ascii="Courier New" w:cs="Courier New" w:eastAsia="Courier New" w:hAnsi="Courier New"/>
          <w:sz w:val="15"/>
          <w:szCs w:val="15"/>
          <w:color w:val="auto"/>
        </w:rPr>
        <w:t>MEDIA ADVERTISING: As of September 30, 2001 the Company has committed to purchase $7.8 million of airtime for both national and regional television advertising in fiscal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CONTINGENCIES</w:t>
      </w:r>
    </w:p>
    <w:p>
      <w:pPr>
        <w:spacing w:after="0" w:line="178"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millions)</w:t>
      </w:r>
    </w:p>
    <w:p>
      <w:pPr>
        <w:spacing w:after="0" w:line="350" w:lineRule="exact"/>
        <w:rPr>
          <w:sz w:val="20"/>
          <w:szCs w:val="20"/>
          <w:color w:val="auto"/>
        </w:rPr>
      </w:pPr>
    </w:p>
    <w:p>
      <w:pPr>
        <w:ind w:left="1460" w:hanging="550"/>
        <w:spacing w:after="0"/>
        <w:tabs>
          <w:tab w:leader="none" w:pos="14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56.7</w:t>
      </w:r>
    </w:p>
    <w:p>
      <w:pPr>
        <w:spacing w:after="0" w:line="3" w:lineRule="exact"/>
        <w:rPr>
          <w:sz w:val="20"/>
          <w:szCs w:val="20"/>
          <w:color w:val="auto"/>
        </w:rPr>
      </w:pPr>
    </w:p>
    <w:p>
      <w:pPr>
        <w:ind w:left="1460" w:hanging="550"/>
        <w:spacing w:after="0"/>
        <w:tabs>
          <w:tab w:leader="none" w:pos="14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38.2</w:t>
      </w:r>
    </w:p>
    <w:p>
      <w:pPr>
        <w:spacing w:after="0" w:line="3" w:lineRule="exact"/>
        <w:rPr>
          <w:sz w:val="20"/>
          <w:szCs w:val="20"/>
          <w:color w:val="auto"/>
        </w:rPr>
      </w:pPr>
    </w:p>
    <w:p>
      <w:pPr>
        <w:ind w:left="1460" w:hanging="550"/>
        <w:spacing w:after="0"/>
        <w:tabs>
          <w:tab w:leader="none" w:pos="14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21.0</w:t>
      </w:r>
    </w:p>
    <w:p>
      <w:pPr>
        <w:spacing w:after="0" w:line="3" w:lineRule="exact"/>
        <w:rPr>
          <w:sz w:val="20"/>
          <w:szCs w:val="20"/>
          <w:color w:val="auto"/>
        </w:rPr>
      </w:pPr>
    </w:p>
    <w:p>
      <w:pPr>
        <w:ind w:left="1540" w:hanging="630"/>
        <w:spacing w:after="0"/>
        <w:tabs>
          <w:tab w:leader="none" w:pos="1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w:t>
      </w:r>
    </w:p>
    <w:p>
      <w:pPr>
        <w:spacing w:after="0" w:line="3" w:lineRule="exact"/>
        <w:rPr>
          <w:rFonts w:ascii="Courier New" w:cs="Courier New" w:eastAsia="Courier New" w:hAnsi="Courier New"/>
          <w:sz w:val="15"/>
          <w:szCs w:val="15"/>
          <w:color w:val="auto"/>
        </w:rPr>
      </w:pPr>
    </w:p>
    <w:p>
      <w:pPr>
        <w:ind w:left="1540" w:hanging="630"/>
        <w:spacing w:after="0"/>
        <w:tabs>
          <w:tab w:leader="none" w:pos="1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Approximate Value</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Based on Average Prices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millions)</w:t>
      </w:r>
    </w:p>
    <w:p>
      <w:pPr>
        <w:spacing w:after="0" w:line="350" w:lineRule="exact"/>
        <w:rPr>
          <w:sz w:val="20"/>
          <w:szCs w:val="20"/>
          <w:color w:val="auto"/>
        </w:rPr>
      </w:pPr>
    </w:p>
    <w:p>
      <w:pPr>
        <w:ind w:left="900" w:hanging="531"/>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11.3</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11.5</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11.7</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w:t>
      </w:r>
    </w:p>
    <w:p>
      <w:pPr>
        <w:sectPr>
          <w:pgSz w:w="11900" w:h="16838" w:orient="portrait"/>
          <w:cols w:equalWidth="0" w:num="2">
            <w:col w:w="8280" w:space="720"/>
            <w:col w:w="2080"/>
          </w:cols>
          <w:pgMar w:left="240" w:top="811" w:right="57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182"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Since receiving notice of the enforcement action in June 1997, we have continually assessed the potential costs to satisfactorily remediate the Marysville site and to pay any penalties sought by the state. Although the terms of the Consent Order have now been agreed to, the extent of any possible contamination and an appropriate remediation plan have yet to be determined. As of September 30, 2001,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regarding possible discontinuation of our peat harvesting operations in at our Lafayette, New Jersey facility. We are also addressing remediation concerns raised by the Environmental Agency of the United Kingdom with respect to emissions to air and groundwater at our Bramford (Suffolk), United Kingdom facility. We have reserved for our estimates of probable losses to be incurred in connection with each of these matters as of September 30, 2001, but we do not believe that either issue is material.</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in which case we believe we should be entitled to compensation and we believe we would have sufficient raw material supplies available to replace the peat produced in such areas.</w:t>
      </w:r>
    </w:p>
    <w:p>
      <w:pPr>
        <w:spacing w:after="0" w:line="181" w:lineRule="exact"/>
        <w:rPr>
          <w:sz w:val="20"/>
          <w:szCs w:val="20"/>
          <w:color w:val="auto"/>
        </w:rPr>
      </w:pPr>
    </w:p>
    <w:p>
      <w:pPr>
        <w:ind w:right="3459" w:firstLine="902"/>
        <w:spacing w:after="0" w:line="244"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w:t>
      </w:r>
    </w:p>
    <w:p>
      <w:pPr>
        <w:spacing w:after="0" w:line="175" w:lineRule="exact"/>
        <w:rPr>
          <w:sz w:val="20"/>
          <w:szCs w:val="20"/>
          <w:color w:val="auto"/>
        </w:rPr>
      </w:pPr>
    </w:p>
    <w:p>
      <w:pPr>
        <w:ind w:right="3019" w:firstLine="902"/>
        <w:spacing w:after="0" w:line="265" w:lineRule="auto"/>
        <w:rPr>
          <w:sz w:val="20"/>
          <w:szCs w:val="20"/>
          <w:color w:val="auto"/>
        </w:rPr>
      </w:pPr>
      <w:r>
        <w:rPr>
          <w:rFonts w:ascii="Courier New" w:cs="Courier New" w:eastAsia="Courier New" w:hAnsi="Courier New"/>
          <w:sz w:val="14"/>
          <w:szCs w:val="14"/>
          <w:color w:val="auto"/>
        </w:rPr>
        <w:t>At September 30, 2001, $7.0 million is accrued for the environmental matters described herein. The significant components of the accrual are: (i) costs for site remediation of $4.7 million; (ii) costs for asbestos abatement of $1.8 million; and (iii) fines and penalties of $0.5 million. The significant portion of the costs accrued as of September 30, 2001 are expected to be paid in fiscal 2002 and 2003; however, payments could be made for a period thereafter.</w:t>
      </w:r>
    </w:p>
    <w:p>
      <w:pPr>
        <w:spacing w:after="0" w:line="163"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We believe that the amounts accrued as of September 30, 2001 are adequate to cover known environmental exposures based on current facts and estimates of likely outcome. However, the adequacy of these accruals is based on several significant assumptions:</w:t>
      </w:r>
    </w:p>
    <w:p>
      <w:pPr>
        <w:spacing w:after="0" w:line="176" w:lineRule="exact"/>
        <w:rPr>
          <w:sz w:val="20"/>
          <w:szCs w:val="20"/>
          <w:color w:val="auto"/>
        </w:rPr>
      </w:pPr>
    </w:p>
    <w:p>
      <w:pPr>
        <w:ind w:left="1700" w:right="3379" w:hanging="806"/>
        <w:spacing w:after="0" w:line="243"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6" w:lineRule="exact"/>
        <w:rPr>
          <w:rFonts w:ascii="Courier New" w:cs="Courier New" w:eastAsia="Courier New" w:hAnsi="Courier New"/>
          <w:sz w:val="15"/>
          <w:szCs w:val="15"/>
          <w:color w:val="auto"/>
        </w:rPr>
      </w:pPr>
    </w:p>
    <w:p>
      <w:pPr>
        <w:ind w:left="1700" w:right="3739" w:hanging="806"/>
        <w:spacing w:after="0" w:line="243"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 and</w:t>
      </w:r>
    </w:p>
    <w:p>
      <w:pPr>
        <w:spacing w:after="0" w:line="176" w:lineRule="exact"/>
        <w:rPr>
          <w:rFonts w:ascii="Courier New" w:cs="Courier New" w:eastAsia="Courier New" w:hAnsi="Courier New"/>
          <w:sz w:val="15"/>
          <w:szCs w:val="15"/>
          <w:color w:val="auto"/>
        </w:rPr>
      </w:pPr>
    </w:p>
    <w:p>
      <w:pPr>
        <w:ind w:left="1700" w:right="3019" w:hanging="806"/>
        <w:spacing w:after="0" w:line="244"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8" w:right="1440" w:bottom="1440" w:gutter="0" w:footer="0" w:header="0"/>
        </w:sectPr>
      </w:pPr>
    </w:p>
    <w:bookmarkStart w:id="55" w:name="page56"/>
    <w:bookmarkEnd w:id="55"/>
    <w:p>
      <w:pPr>
        <w:ind w:left="1700" w:right="3019"/>
        <w:spacing w:after="0" w:line="243" w:lineRule="auto"/>
        <w:rPr>
          <w:sz w:val="20"/>
          <w:szCs w:val="20"/>
          <w:color w:val="auto"/>
        </w:rPr>
      </w:pPr>
      <w:r>
        <w:rPr>
          <w:rFonts w:ascii="Courier New" w:cs="Courier New" w:eastAsia="Courier New" w:hAnsi="Courier New"/>
          <w:sz w:val="15"/>
          <w:szCs w:val="15"/>
          <w:color w:val="auto"/>
        </w:rPr>
        <w:t>and only specific stream segments will require remediation as opposed to the entire stream.</w:t>
      </w:r>
    </w:p>
    <w:p>
      <w:pPr>
        <w:spacing w:after="0" w:line="176"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8" w:lineRule="exact"/>
        <w:rPr>
          <w:sz w:val="20"/>
          <w:szCs w:val="20"/>
          <w:color w:val="auto"/>
        </w:rPr>
      </w:pPr>
    </w:p>
    <w:p>
      <w:pPr>
        <w:ind w:right="3019" w:firstLine="902"/>
        <w:spacing w:after="0" w:line="263"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subsequently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contact by Monsanto. AgrEvo also contends that the Company's execution of various agreements with Monsanto, including the Roundup(R) marketing agreement, as well as the Company's subsequent actions, violated the purchase agreements between AgrEvo and the Company. AgrEvo is requesting unspecified damages as well as affirmative injunctive relief, and is seeking to have the court invalidate the Roundup(R) marketing agreement as violative of the federal antitrust laws.</w:t>
      </w:r>
    </w:p>
    <w:p>
      <w:pPr>
        <w:spacing w:after="0" w:line="16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If the above actions are determined adversely to the Company, the result could have a material adverse effect on our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 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Central Garden has asserted several causes of action, including breach of oral contract and fraudulent misrepresentation, and seeks damages in excess of $900 million.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alleges was improperly seized by the Company. These allegations are made without regard to the fact that the amounts sought from Central in litigation filed by the Company and Pharmacia are net of any such alleged credit. The Company believes all of Central Garden's counterclaims in Ohio are without merit and it intends to vigorously defend against them. Pharmacia (formerly Monsanto) also filed suit against Central Garden in Missouri state court, seeking unspecified damages allegedly due Pharmacia under a four-year alliance agreement between Pharmacia and Central Garden.</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8" w:right="1440" w:bottom="1440" w:gutter="0" w:footer="0" w:header="0"/>
        </w:sectPr>
      </w:pPr>
    </w:p>
    <w:bookmarkStart w:id="56" w:name="page57"/>
    <w:bookmarkEnd w:id="56"/>
    <w:p>
      <w:pPr>
        <w:ind w:right="3099" w:firstLine="902"/>
        <w:spacing w:after="0" w:line="244" w:lineRule="auto"/>
        <w:rPr>
          <w:sz w:val="20"/>
          <w:szCs w:val="20"/>
          <w:color w:val="auto"/>
        </w:rPr>
      </w:pPr>
      <w:r>
        <w:rPr>
          <w:rFonts w:ascii="Courier New" w:cs="Courier New" w:eastAsia="Courier New" w:hAnsi="Courier New"/>
          <w:sz w:val="15"/>
          <w:szCs w:val="15"/>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is set to conclude in December 2001. The trial date for the California federal action is set for July 15, 2002.</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of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Company believes that all of Central Garden's federal and state claims are entirely without merit and it intends to vigorously defend against them. If the above actions are determined adversely to the Company, the result could have a material adverse effect on the Company's results of operations, financial position and cash flows. The Company believes that it will prevail in the Central Garden matters and that any potential exposure that the Company may face cannot be reasonably estimated. Therefore, no accrual has been established related to these matters.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CONCENTRATIONS OF CREDIT RISK</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70% of the Company's accounts receivable was due from customers in North America. Approximately 82% of these receivables were generated from the Company's North American Consumer segment. The most significant concentration of receivables within this segment was from home centers, which accounted for 20%, followed by mass merchandisers at 12% of the Company's receivables balance at September 30, 2001. No other retail concentrations (e.g., independent hardware stores, nurseries, etc. in similar markets) accounted for more than 10% of the Company's accounts receivable balance at September 30, 2001.</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remaining 15% of North American accounts receivable was generated from customers of the Global Professional segment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2001 is due from distributors.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30% of accounts receivable generated outside of North America is due from retailers, distributors, nurseries and growers. No concentrations of customers or individual customers within this group account for more than 10% of the Company's accounts receivable balance at September 30, 2001.</w:t>
      </w:r>
    </w:p>
    <w:p>
      <w:pPr>
        <w:spacing w:after="0" w:line="176" w:lineRule="exact"/>
        <w:rPr>
          <w:sz w:val="20"/>
          <w:szCs w:val="20"/>
          <w:color w:val="auto"/>
        </w:rPr>
      </w:pPr>
    </w:p>
    <w:p>
      <w:pPr>
        <w:ind w:right="3379" w:firstLine="902"/>
        <w:spacing w:after="0" w:line="243" w:lineRule="auto"/>
        <w:rPr>
          <w:sz w:val="20"/>
          <w:szCs w:val="20"/>
          <w:color w:val="auto"/>
        </w:rPr>
      </w:pPr>
      <w:r>
        <w:rPr>
          <w:rFonts w:ascii="Courier New" w:cs="Courier New" w:eastAsia="Courier New" w:hAnsi="Courier New"/>
          <w:sz w:val="15"/>
          <w:szCs w:val="15"/>
          <w:color w:val="auto"/>
        </w:rPr>
        <w:t>At September 30, 2001, the Company's concentrations of credit risk were similar to those existing at September 30, 2000.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9" w:right="1440" w:bottom="1440" w:gutter="0" w:footer="0" w:header="0"/>
        </w:sectPr>
      </w:pPr>
    </w:p>
    <w:bookmarkStart w:id="57" w:name="page58"/>
    <w:bookmarkEnd w:id="57"/>
    <w:p>
      <w:pPr>
        <w:ind w:left="900"/>
        <w:spacing w:after="0"/>
        <w:rPr>
          <w:sz w:val="20"/>
          <w:szCs w:val="20"/>
          <w:color w:val="auto"/>
        </w:rPr>
      </w:pPr>
      <w:r>
        <w:rPr>
          <w:rFonts w:ascii="Courier New" w:cs="Courier New" w:eastAsia="Courier New" w:hAnsi="Courier New"/>
          <w:sz w:val="15"/>
          <w:szCs w:val="15"/>
          <w:color w:val="auto"/>
        </w:rPr>
        <w:t>The Company's two largest customers accounted for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20"/>
                <w:szCs w:val="20"/>
                <w:color w:val="auto"/>
              </w:rPr>
            </w:pPr>
            <w:r>
              <w:rPr>
                <w:rFonts w:ascii="Courier New" w:cs="Courier New" w:eastAsia="Courier New" w:hAnsi="Courier New"/>
                <w:sz w:val="15"/>
                <w:szCs w:val="15"/>
                <w:color w:val="auto"/>
              </w:rPr>
              <w:t>percentage of net sales in each respective period:</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67"/>
        </w:trPr>
        <w:tc>
          <w:tcPr>
            <w:tcW w:w="7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Largest</w:t>
            </w:r>
          </w:p>
        </w:tc>
        <w:tc>
          <w:tcPr>
            <w:tcW w:w="900" w:type="dxa"/>
            <w:vAlign w:val="bottom"/>
          </w:tcPr>
          <w:p>
            <w:pPr>
              <w:spacing w:after="0"/>
              <w:rPr>
                <w:sz w:val="24"/>
                <w:szCs w:val="24"/>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2nd Largest</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Customer</w:t>
            </w:r>
          </w:p>
        </w:tc>
        <w:tc>
          <w:tcPr>
            <w:tcW w:w="90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Customer</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11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694"/>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Sales to the Company's two largest customers are reported within</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Scotts' North American Consumer segment. No other customers accounted for more</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than 10% of fiscal 2001, 2000 or 1999 net sales.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NOTE 17. OTHER EXPENSE (INCOME)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75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Other expense (income) consisted of the following for the fiscal years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ended September 30:</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7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2001</w:t>
            </w:r>
          </w:p>
        </w:tc>
        <w:tc>
          <w:tcPr>
            <w:tcW w:w="620" w:type="dxa"/>
            <w:vAlign w:val="bottom"/>
          </w:tcPr>
          <w:p>
            <w:pPr>
              <w:spacing w:after="0"/>
              <w:rPr>
                <w:sz w:val="24"/>
                <w:szCs w:val="2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2000</w:t>
            </w:r>
          </w:p>
        </w:tc>
        <w:tc>
          <w:tcPr>
            <w:tcW w:w="380" w:type="dxa"/>
            <w:vAlign w:val="bottom"/>
          </w:tcPr>
          <w:p>
            <w:pPr>
              <w:spacing w:after="0"/>
              <w:rPr>
                <w:sz w:val="24"/>
                <w:szCs w:val="2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 millions)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20"/>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Royalty income................................................</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Legal and insurance settlements...............................</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Gain on sale of ProTurf@ business.............................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Asset valuation and write-off charges.........................</w:t>
            </w:r>
          </w:p>
        </w:tc>
        <w:tc>
          <w:tcPr>
            <w:tcW w:w="5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c>
          <w:tcPr>
            <w:tcW w:w="3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Foreign currency losses.......................................</w:t>
            </w:r>
          </w:p>
        </w:tc>
        <w:tc>
          <w:tcPr>
            <w:tcW w:w="5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c>
          <w:tcPr>
            <w:tcW w:w="6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3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Other, net....................................................</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7060" w:type="dxa"/>
            <w:vAlign w:val="bottom"/>
          </w:tcPr>
          <w:p>
            <w:pPr>
              <w:spacing w:after="0"/>
              <w:rPr>
                <w:sz w:val="15"/>
                <w:szCs w:val="15"/>
                <w:color w:val="auto"/>
              </w:rPr>
            </w:pP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7060" w:type="dxa"/>
            <w:vAlign w:val="bottom"/>
          </w:tcPr>
          <w:p>
            <w:pPr>
              <w:spacing w:after="0"/>
              <w:rPr>
                <w:sz w:val="15"/>
                <w:szCs w:val="15"/>
                <w:color w:val="auto"/>
              </w:rPr>
            </w:pP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NEW ACCOUNTING STANDARDS</w:t>
      </w:r>
    </w:p>
    <w:p>
      <w:pPr>
        <w:spacing w:after="0" w:line="178"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adopted the guidance in fiscal 2001 with no impact on fiscal 2001 results of operations.</w:t>
      </w:r>
    </w:p>
    <w:p>
      <w:pPr>
        <w:spacing w:after="0" w:line="178"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 as advertising, promotion, or selling expenses. The Company adopted the guidance in fiscal 2001 with no impact on fiscal 2001 results of operations.</w:t>
      </w:r>
    </w:p>
    <w:p>
      <w:pPr>
        <w:spacing w:after="0" w:line="178"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Company adopted the guidance in fiscal 2002 and has amended the consolidated financial statements as of September 30, 2001, 2000 and 1999 to reclassify promotional costs, in accordance with the consensus reached by the EITF on Issue 00-25.</w:t>
      </w:r>
    </w:p>
    <w:p>
      <w:pPr>
        <w:spacing w:after="0" w:line="180"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Accounting Standard No. 141, "Business Combinations". SFAS No. 141 requires that all business combinations initiated after June 30, 2001, be accounted for using the purchase accounting method and also established specific criteria for recognition of</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900"/>
          </w:cols>
          <w:pgMar w:left="240" w:top="811" w:right="759" w:bottom="1075" w:gutter="0" w:footer="0" w:header="0"/>
        </w:sectPr>
      </w:pPr>
    </w:p>
    <w:bookmarkStart w:id="58" w:name="page59"/>
    <w:bookmarkEnd w:id="58"/>
    <w:p>
      <w:pPr>
        <w:ind w:right="900"/>
        <w:spacing w:after="0" w:line="243" w:lineRule="auto"/>
        <w:rPr>
          <w:sz w:val="20"/>
          <w:szCs w:val="20"/>
          <w:color w:val="auto"/>
        </w:rPr>
      </w:pPr>
      <w:r>
        <w:rPr>
          <w:rFonts w:ascii="Courier New" w:cs="Courier New" w:eastAsia="Courier New" w:hAnsi="Courier New"/>
          <w:sz w:val="15"/>
          <w:szCs w:val="15"/>
          <w:color w:val="auto"/>
        </w:rPr>
        <w:t>intangible assets separately from goodwill. The acquisitions discussed in Note 5 herein were accounted for using the purchase method of accounting.</w:t>
      </w:r>
    </w:p>
    <w:p>
      <w:pPr>
        <w:spacing w:after="0" w:line="176" w:lineRule="exact"/>
        <w:rPr>
          <w:sz w:val="20"/>
          <w:szCs w:val="20"/>
          <w:color w:val="auto"/>
        </w:rPr>
      </w:pPr>
    </w:p>
    <w:p>
      <w:pPr>
        <w:ind w:right="900" w:firstLine="902"/>
        <w:spacing w:after="0" w:line="244" w:lineRule="auto"/>
        <w:rPr>
          <w:sz w:val="20"/>
          <w:szCs w:val="20"/>
          <w:color w:val="auto"/>
        </w:rPr>
      </w:pPr>
      <w:r>
        <w:rPr>
          <w:rFonts w:ascii="Courier New" w:cs="Courier New" w:eastAsia="Courier New" w:hAnsi="Courier New"/>
          <w:sz w:val="15"/>
          <w:szCs w:val="15"/>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Scotts adopted SFAS No. 142 beginning with the first quarter of fiscal 2002 and has amended its consolidated financial statements as of and for the fiscal years ended September 30, 2001, 2000 and 1999 to incorporate the transitional disclosures required for SFAS No. 142. In connection with the Company's transitional impairment testing of goodwill and indefinite-lived intangible assets, an impairment of $29.8 million ($18.5 million net of tax) was identified with respect to tradenames in our International Consumer businesses in Germany, France and the United Kingdom. This change was reflected as a cumulative effect of a change in accounting in the Company's first quarter 2002. The Company expects that the elimination of amortization of indefinite-lived assets will increase earnings per share in fiscal 2002 by $.50 to $.55.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Also in June 2001, the FASB issued Statement of Accounting Standard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No. 143, "Accounting for Asset Retirement Obligations". SFAS No. 143 addresses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accounting and reporting standards for legal obligations associated with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retirement of tangible long-lived assets. SFAS No. 143 is effective for</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financial</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statements issued for fiscal years beginning after June 15, 2002.</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Scotts is</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 the process of evaluating the impact of SFAS No. 143 on its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financial</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statements and will adopt the provisions of this statement in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first quarter of fiscal year 2003.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80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 August 2001, the FASB issued Statement of Accounting Standard No.</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144, "Accounting for the Impairment or Disposal of Long-Lived Assets". SFAS No.</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144 supersedes Financial Accounting Standard No. 121, "Accounting for Impairment</w:t>
            </w:r>
          </w:p>
        </w:tc>
        <w:tc>
          <w:tcPr>
            <w:tcW w:w="72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of Long-Lived Assets and for Long-Lived Assets to Be Disposed of" and Accounting</w:t>
            </w:r>
          </w:p>
        </w:tc>
        <w:tc>
          <w:tcPr>
            <w:tcW w:w="72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Principles Board Opinion No. 30, "Reporting the Results of Operations; Reporting</w:t>
            </w: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the Effects of Disposal of a Segment of a Business, and Extraordinary, Unusual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and Infrequent Occurring Events and Transactions". SFAS No. 144 addresses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accounting and reporting standards for the impairment or disposal of long-lived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assets. It is effective for financial statements issued for fiscal years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beginning</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after December 15, 2001. The Company is in the process of evaluating</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the impact of SFAS No. 144 on its financial statements and will adopt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provisions of this statement in the first quarter of fiscal year 2003.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 19.</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SUPPLEMENTAL CASH FLOW INFORMATION</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94"/>
        </w:trPr>
        <w:tc>
          <w:tcPr>
            <w:tcW w:w="8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8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80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Interest paid (net of amount capitalized)</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Income taxes paid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Dividends declared not paid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Businesses acquired: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Fair value of assets acquired, net of cash</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Liabilities assumed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3"/>
        </w:trPr>
        <w:tc>
          <w:tcPr>
            <w:tcW w:w="8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800" w:type="dxa"/>
            <w:vAlign w:val="bottom"/>
          </w:tcPr>
          <w:p>
            <w:pPr>
              <w:spacing w:after="0"/>
              <w:rPr>
                <w:sz w:val="15"/>
                <w:szCs w:val="15"/>
                <w:color w:val="auto"/>
              </w:rPr>
            </w:pPr>
          </w:p>
        </w:tc>
        <w:tc>
          <w:tcPr>
            <w:tcW w:w="6320" w:type="dxa"/>
            <w:vAlign w:val="bottom"/>
          </w:tcPr>
          <w:p>
            <w:pPr>
              <w:ind w:left="460"/>
              <w:spacing w:after="0"/>
              <w:rPr>
                <w:sz w:val="20"/>
                <w:szCs w:val="20"/>
                <w:color w:val="auto"/>
              </w:rPr>
            </w:pPr>
            <w:r>
              <w:rPr>
                <w:rFonts w:ascii="Courier New" w:cs="Courier New" w:eastAsia="Courier New" w:hAnsi="Courier New"/>
                <w:sz w:val="15"/>
                <w:szCs w:val="15"/>
                <w:color w:val="auto"/>
              </w:rPr>
              <w:t>Net assets acquired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Cash paid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Notes issued to seller</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Debt issued</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520"/>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NOTE 20. SEGMENT INFORMATION</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7"/>
        </w:trPr>
        <w:tc>
          <w:tcPr>
            <w:tcW w:w="8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Courier New" w:cs="Courier New" w:eastAsia="Courier New" w:hAnsi="Courier New"/>
                <w:sz w:val="15"/>
                <w:szCs w:val="15"/>
                <w:color w:val="auto"/>
              </w:rPr>
              <w:t>For fiscal 2001, the Company was divided into three reportable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segments--North American Consumer, Global Professional and International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Consumer. The North American Consumer segment consists of the Lawns, Gardens,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Growing Media, Ortho, Scotts LawnService(R) and Canada businesses. These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segments differ from those used in the prior year due to the sale of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Company's</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professional turfgrass business in May 2000 and the resulting change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in management reporting structure. For fiscal 2002 Scotts LawnService(R) is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reported as a separate reportable segment. These financial statements have been</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amended to present financial information for the segments as they are in fiscal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2002 for all periods presented.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80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The North American Consumer segment specializes in dry, granular</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slow-release lawn fertilizers, lawn fertilizer combination and lawn control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products,</w:t>
            </w:r>
          </w:p>
        </w:tc>
        <w:tc>
          <w:tcPr>
            <w:tcW w:w="6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grass seed, spreaders, water-soluble and controlled-release garden and</w:t>
            </w: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indoor plant foods, plant care products and potting soils, barks, mulches and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other growing media products and pesticides products. Products are marketed to</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4" w:lineRule="exact"/>
        <w:rPr>
          <w:sz w:val="20"/>
          <w:szCs w:val="20"/>
          <w:color w:val="auto"/>
        </w:rPr>
      </w:pPr>
    </w:p>
    <w:p>
      <w:pPr>
        <w:ind w:right="1080"/>
        <w:spacing w:after="0" w:line="243" w:lineRule="auto"/>
        <w:rPr>
          <w:sz w:val="20"/>
          <w:szCs w:val="20"/>
          <w:color w:val="auto"/>
        </w:rPr>
      </w:pPr>
      <w:r>
        <w:rPr>
          <w:rFonts w:ascii="Courier New" w:cs="Courier New" w:eastAsia="Courier New" w:hAnsi="Courier New"/>
          <w:sz w:val="15"/>
          <w:szCs w:val="15"/>
          <w:color w:val="auto"/>
        </w:rPr>
        <w:t>mass merchandisers, home improvement centers, large hardware chains, nurseries and gardens centers.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(in millions)</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20"/>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63.6</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50.3</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347"/>
        </w:trPr>
        <w:tc>
          <w:tcPr>
            <w:tcW w:w="28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691.2</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(149.3)</w:t>
            </w:r>
          </w:p>
        </w:tc>
      </w:tr>
      <w:tr>
        <w:trPr>
          <w:trHeight w:val="173"/>
        </w:trPr>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541.9</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w:t>
            </w:r>
          </w:p>
        </w:tc>
      </w:tr>
      <w:tr>
        <w:trPr>
          <w:trHeight w:val="173"/>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501.4</w:t>
            </w:r>
          </w:p>
        </w:tc>
      </w:tr>
    </w:tbl>
    <w:p>
      <w:pPr>
        <w:sectPr>
          <w:pgSz w:w="11900" w:h="16838" w:orient="portrait"/>
          <w:cols w:equalWidth="0" w:num="2">
            <w:col w:w="8100" w:space="360"/>
            <w:col w:w="2440"/>
          </w:cols>
          <w:pgMar w:left="240" w:top="638" w:right="759" w:bottom="728" w:gutter="0" w:footer="0" w:header="0"/>
        </w:sectPr>
      </w:pPr>
    </w:p>
    <w:bookmarkStart w:id="59" w:name="page60"/>
    <w:bookmarkEnd w:id="59"/>
    <w:p>
      <w:pPr>
        <w:ind w:right="3980" w:firstLine="902"/>
        <w:spacing w:after="0" w:line="244" w:lineRule="auto"/>
        <w:rPr>
          <w:sz w:val="20"/>
          <w:szCs w:val="20"/>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offer an exterior barrier pest control service.</w:t>
      </w:r>
    </w:p>
    <w:p>
      <w:pPr>
        <w:spacing w:after="0" w:line="177" w:lineRule="exact"/>
        <w:rPr>
          <w:sz w:val="20"/>
          <w:szCs w:val="20"/>
          <w:color w:val="auto"/>
        </w:rPr>
      </w:pPr>
    </w:p>
    <w:p>
      <w:pPr>
        <w:ind w:right="3980" w:firstLine="902"/>
        <w:spacing w:after="0" w:line="244" w:lineRule="auto"/>
        <w:rPr>
          <w:sz w:val="20"/>
          <w:szCs w:val="20"/>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 commercial nurseries and greenhouses and specialty crop growers. Prior to June 2000, this segment also included the Company's ProTurf(R) business, which was sold in May 2000.</w:t>
      </w:r>
    </w:p>
    <w:p>
      <w:pPr>
        <w:spacing w:after="0" w:line="178" w:lineRule="exact"/>
        <w:rPr>
          <w:sz w:val="20"/>
          <w:szCs w:val="20"/>
          <w:color w:val="auto"/>
        </w:rPr>
      </w:pPr>
    </w:p>
    <w:p>
      <w:pPr>
        <w:ind w:right="4060" w:firstLine="902"/>
        <w:spacing w:after="0" w:line="244" w:lineRule="auto"/>
        <w:rPr>
          <w:sz w:val="20"/>
          <w:szCs w:val="20"/>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5" w:lineRule="exact"/>
        <w:rPr>
          <w:sz w:val="20"/>
          <w:szCs w:val="20"/>
          <w:color w:val="auto"/>
        </w:rPr>
      </w:pPr>
    </w:p>
    <w:p>
      <w:pPr>
        <w:ind w:right="4060" w:firstLine="902"/>
        <w:spacing w:after="0" w:line="244"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Prior periods have been restated to conform to this basis of presentation.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N.A.</w:t>
            </w:r>
          </w:p>
        </w:tc>
        <w:tc>
          <w:tcPr>
            <w:tcW w:w="14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Scotts</w:t>
            </w:r>
          </w:p>
        </w:tc>
        <w:tc>
          <w:tcPr>
            <w:tcW w:w="18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Global</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International</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Consumer</w:t>
            </w:r>
          </w:p>
        </w:tc>
        <w:tc>
          <w:tcPr>
            <w:tcW w:w="248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Lawnservice(R) Professional</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Consumer</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Corporate</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20"/>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1,223.1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179.4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1,696.6</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1,189.5</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180.5</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264.8</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1,655.4</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1,079.5</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172.6</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284.5</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1,550.6</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245.3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(120.0)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144.1</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243.3</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26.4</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(54.2)</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237.4</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232.9</w:t>
            </w:r>
          </w:p>
        </w:tc>
        <w:tc>
          <w:tcPr>
            <w:tcW w:w="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29.2</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(75.4)</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221.8</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20.1%</w:t>
            </w:r>
          </w:p>
        </w:tc>
        <w:tc>
          <w:tcPr>
            <w:tcW w:w="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c>
          <w:tcPr>
            <w:tcW w:w="1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w:t>
            </w:r>
          </w:p>
        </w:tc>
        <w:tc>
          <w:tcPr>
            <w:tcW w:w="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21.6%</w:t>
            </w:r>
          </w:p>
        </w:tc>
        <w:tc>
          <w:tcPr>
            <w:tcW w:w="42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63.6</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56.2</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31.3</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21.1</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27.9</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722.8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29.2</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1,081.7</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687.3</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72.7</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263.4</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1,033.6</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1,172.1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397.9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1,843.0</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1,116.1</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173.8</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384.3</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82.5</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1,761.4</w:t>
            </w:r>
          </w:p>
        </w:tc>
      </w:tr>
      <w:tr>
        <w:trPr>
          <w:trHeight w:val="694"/>
        </w:trPr>
        <w:tc>
          <w:tcPr>
            <w:tcW w:w="3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nm--Not meaningful</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47"/>
        </w:trPr>
        <w:tc>
          <w:tcPr>
            <w:tcW w:w="7020" w:type="dxa"/>
            <w:vAlign w:val="bottom"/>
            <w:gridSpan w:val="6"/>
          </w:tcPr>
          <w:p>
            <w:pPr>
              <w:jc w:val="right"/>
              <w:ind w:right="185"/>
              <w:spacing w:after="0"/>
              <w:rPr>
                <w:sz w:val="20"/>
                <w:szCs w:val="20"/>
                <w:color w:val="auto"/>
              </w:rPr>
            </w:pPr>
            <w:r>
              <w:rPr>
                <w:rFonts w:ascii="Courier New" w:cs="Courier New" w:eastAsia="Courier New" w:hAnsi="Courier New"/>
                <w:sz w:val="15"/>
                <w:szCs w:val="15"/>
                <w:color w:val="auto"/>
              </w:rPr>
              <w:t>Income (loss) from operations reported for Scotts' four operating</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7200" w:type="dxa"/>
            <w:vAlign w:val="bottom"/>
            <w:gridSpan w:val="7"/>
          </w:tcPr>
          <w:p>
            <w:pPr>
              <w:spacing w:after="0"/>
              <w:rPr>
                <w:sz w:val="20"/>
                <w:szCs w:val="20"/>
                <w:color w:val="auto"/>
              </w:rPr>
            </w:pPr>
            <w:r>
              <w:rPr>
                <w:rFonts w:ascii="Courier New" w:cs="Courier New" w:eastAsia="Courier New" w:hAnsi="Courier New"/>
                <w:sz w:val="15"/>
                <w:szCs w:val="15"/>
                <w:color w:val="auto"/>
              </w:rPr>
              <w:t>segments represents earnings before amortization of intangible assets, interest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and taxes, since this is the measure of profitability used by management.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Accordingly, the Corporate operating loss for</w:t>
            </w: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fiscal years ended September</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30, 2001, 2000 and 1999 includes amortization</w:t>
            </w:r>
          </w:p>
        </w:tc>
        <w:tc>
          <w:tcPr>
            <w:tcW w:w="292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of certain intangible assets,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200" w:type="dxa"/>
            <w:vAlign w:val="bottom"/>
            <w:gridSpan w:val="7"/>
          </w:tcPr>
          <w:p>
            <w:pPr>
              <w:spacing w:after="0"/>
              <w:rPr>
                <w:sz w:val="20"/>
                <w:szCs w:val="20"/>
                <w:color w:val="auto"/>
              </w:rPr>
            </w:pPr>
            <w:r>
              <w:rPr>
                <w:rFonts w:ascii="Courier New" w:cs="Courier New" w:eastAsia="Courier New" w:hAnsi="Courier New"/>
                <w:sz w:val="15"/>
                <w:szCs w:val="15"/>
                <w:color w:val="auto"/>
              </w:rPr>
              <w:t>corporate general and administrative expenses, certain other income/expense not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allocated to the business segments and North America restructuring charges in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fiscal 2001. International restructuring</w:t>
            </w:r>
          </w:p>
        </w:tc>
        <w:tc>
          <w:tcPr>
            <w:tcW w:w="24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charges of approximately $</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10.4 million</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are included in International Consumer's</w:t>
            </w:r>
          </w:p>
        </w:tc>
        <w:tc>
          <w:tcPr>
            <w:tcW w:w="33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operating loss in fiscal 2001. Global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4" w:lineRule="exact"/>
        <w:rPr>
          <w:sz w:val="20"/>
          <w:szCs w:val="20"/>
          <w:color w:val="auto"/>
        </w:rPr>
      </w:pPr>
    </w:p>
    <w:p>
      <w:pPr>
        <w:ind w:right="4060"/>
        <w:spacing w:after="0" w:line="243" w:lineRule="auto"/>
        <w:rPr>
          <w:sz w:val="20"/>
          <w:szCs w:val="20"/>
          <w:color w:val="auto"/>
        </w:rPr>
      </w:pPr>
      <w:r>
        <w:rPr>
          <w:rFonts w:ascii="Courier New" w:cs="Courier New" w:eastAsia="Courier New" w:hAnsi="Courier New"/>
          <w:sz w:val="15"/>
          <w:szCs w:val="15"/>
          <w:color w:val="auto"/>
        </w:rPr>
        <w:t>Professional operating income in fiscal 2001 is net of restructuring charges of $2.9 million.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1180"/>
          </w:cols>
          <w:pgMar w:left="240" w:top="638" w:right="479" w:bottom="1440" w:gutter="0" w:footer="0" w:header="0"/>
        </w:sectPr>
      </w:pPr>
    </w:p>
    <w:bookmarkStart w:id="60" w:name="page61"/>
    <w:bookmarkEnd w:id="60"/>
    <w:p>
      <w:pPr>
        <w:ind w:right="3980" w:firstLine="902"/>
        <w:spacing w:after="0" w:line="244" w:lineRule="auto"/>
        <w:rPr>
          <w:sz w:val="20"/>
          <w:szCs w:val="20"/>
          <w:color w:val="auto"/>
        </w:rPr>
      </w:pPr>
      <w:r>
        <w:rPr>
          <w:rFonts w:ascii="Courier New" w:cs="Courier New" w:eastAsia="Courier New" w:hAnsi="Courier New"/>
          <w:sz w:val="15"/>
          <w:szCs w:val="15"/>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QUARTERLY CONSOLIDATED FINANCIAL INFORMATION (UNAUDITED)</w:t>
      </w:r>
    </w:p>
    <w:p>
      <w:pPr>
        <w:spacing w:after="0" w:line="178" w:lineRule="exact"/>
        <w:rPr>
          <w:sz w:val="20"/>
          <w:szCs w:val="20"/>
          <w:color w:val="auto"/>
        </w:rPr>
      </w:pPr>
    </w:p>
    <w:p>
      <w:pPr>
        <w:ind w:right="4340" w:firstLine="902"/>
        <w:spacing w:after="0" w:line="243"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2001 and 2000.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1st</w:t>
            </w:r>
          </w:p>
        </w:tc>
        <w:tc>
          <w:tcPr>
            <w:tcW w:w="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Qtr</w:t>
            </w:r>
          </w:p>
        </w:tc>
        <w:tc>
          <w:tcPr>
            <w:tcW w:w="220" w:type="dxa"/>
            <w:vAlign w:val="bottom"/>
          </w:tcPr>
          <w:p>
            <w:pPr>
              <w:spacing w:after="0"/>
              <w:rPr>
                <w:sz w:val="14"/>
                <w:szCs w:val="1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2nd Qtr</w:t>
            </w:r>
          </w:p>
        </w:tc>
        <w:tc>
          <w:tcPr>
            <w:tcW w:w="3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3rd Qtr</w:t>
            </w:r>
          </w:p>
        </w:tc>
        <w:tc>
          <w:tcPr>
            <w:tcW w:w="3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4th Qtr</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Full Year</w:t>
            </w:r>
          </w:p>
        </w:tc>
      </w:tr>
      <w:tr>
        <w:trPr>
          <w:trHeight w:val="173"/>
        </w:trPr>
        <w:tc>
          <w:tcPr>
            <w:tcW w:w="4540" w:type="dxa"/>
            <w:vAlign w:val="bottom"/>
          </w:tcPr>
          <w:p>
            <w:pPr>
              <w:spacing w:after="0"/>
              <w:rPr>
                <w:sz w:val="15"/>
                <w:szCs w:val="15"/>
                <w:color w:val="auto"/>
              </w:rPr>
            </w:pPr>
          </w:p>
        </w:tc>
        <w:tc>
          <w:tcPr>
            <w:tcW w:w="17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20"/>
        </w:trPr>
        <w:tc>
          <w:tcPr>
            <w:tcW w:w="454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598.6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237.5</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$ 1,696.6</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31.3</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292.0</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218.3</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597.2</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84.8</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45.4</w:t>
            </w:r>
          </w:p>
        </w:tc>
        <w:tc>
          <w:tcPr>
            <w:tcW w:w="3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28.2</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28.3</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and dilutive potential common</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shares used in diluted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30.3</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30.6</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694"/>
        </w:trPr>
        <w:tc>
          <w:tcPr>
            <w:tcW w:w="4540" w:type="dxa"/>
            <w:vAlign w:val="bottom"/>
          </w:tcPr>
          <w:p>
            <w:pPr>
              <w:spacing w:after="0"/>
              <w:rPr>
                <w:sz w:val="24"/>
                <w:szCs w:val="2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1st</w:t>
            </w:r>
          </w:p>
        </w:tc>
        <w:tc>
          <w:tcPr>
            <w:tcW w:w="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Qtr</w:t>
            </w:r>
          </w:p>
        </w:tc>
        <w:tc>
          <w:tcPr>
            <w:tcW w:w="220" w:type="dxa"/>
            <w:vAlign w:val="bottom"/>
          </w:tcPr>
          <w:p>
            <w:pPr>
              <w:spacing w:after="0"/>
              <w:rPr>
                <w:sz w:val="24"/>
                <w:szCs w:val="2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2nd Qtr</w:t>
            </w:r>
          </w:p>
        </w:tc>
        <w:tc>
          <w:tcPr>
            <w:tcW w:w="30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3rd Qtr</w:t>
            </w:r>
          </w:p>
        </w:tc>
        <w:tc>
          <w:tcPr>
            <w:tcW w:w="36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4th Qtr</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Full Year</w:t>
            </w:r>
          </w:p>
        </w:tc>
      </w:tr>
      <w:tr>
        <w:trPr>
          <w:trHeight w:val="173"/>
        </w:trPr>
        <w:tc>
          <w:tcPr>
            <w:tcW w:w="4540" w:type="dxa"/>
            <w:vAlign w:val="bottom"/>
          </w:tcPr>
          <w:p>
            <w:pPr>
              <w:spacing w:after="0"/>
              <w:rPr>
                <w:sz w:val="15"/>
                <w:szCs w:val="15"/>
                <w:color w:val="auto"/>
              </w:rPr>
            </w:pPr>
          </w:p>
        </w:tc>
        <w:tc>
          <w:tcPr>
            <w:tcW w:w="17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20"/>
        </w:trPr>
        <w:tc>
          <w:tcPr>
            <w:tcW w:w="454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672.3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562.9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$ 1,655.4</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264.7</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206.7</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63.4</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52.8</w:t>
            </w:r>
          </w:p>
        </w:tc>
        <w:tc>
          <w:tcPr>
            <w:tcW w:w="3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27.9</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27.9</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and dilutive potential common</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shares used in diluted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29.5</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bl>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Certain reclassifications have been made within interim periods.</w:t>
      </w:r>
    </w:p>
    <w:p>
      <w:pPr>
        <w:spacing w:after="0" w:line="178" w:lineRule="exact"/>
        <w:rPr>
          <w:sz w:val="20"/>
          <w:szCs w:val="20"/>
          <w:color w:val="auto"/>
        </w:rPr>
      </w:pPr>
    </w:p>
    <w:p>
      <w:pPr>
        <w:jc w:val="both"/>
        <w:ind w:right="3880" w:firstLine="811"/>
        <w:spacing w:after="0" w:line="244" w:lineRule="auto"/>
        <w:rPr>
          <w:sz w:val="20"/>
          <w:szCs w:val="20"/>
          <w:color w:val="auto"/>
        </w:rPr>
      </w:pPr>
      <w:r>
        <w:rPr>
          <w:rFonts w:ascii="Courier New" w:cs="Courier New" w:eastAsia="Courier New" w:hAnsi="Courier New"/>
          <w:sz w:val="15"/>
          <w:szCs w:val="15"/>
          <w:color w:val="auto"/>
        </w:rPr>
        <w:t>Common stock equivalents, such as stock options, are excluded from the diluted loss per share calculation in periods where there is a net loss because their effect is anti-dilutive.</w:t>
      </w:r>
    </w:p>
    <w:p>
      <w:pPr>
        <w:spacing w:after="0" w:line="175" w:lineRule="exact"/>
        <w:rPr>
          <w:sz w:val="20"/>
          <w:szCs w:val="20"/>
          <w:color w:val="auto"/>
        </w:rPr>
      </w:pPr>
    </w:p>
    <w:p>
      <w:pPr>
        <w:ind w:right="4160" w:firstLine="811"/>
        <w:spacing w:after="0" w:line="243" w:lineRule="auto"/>
        <w:rPr>
          <w:sz w:val="20"/>
          <w:szCs w:val="20"/>
          <w:color w:val="auto"/>
        </w:rPr>
      </w:pPr>
      <w:r>
        <w:rPr>
          <w:rFonts w:ascii="Courier New" w:cs="Courier New" w:eastAsia="Courier New" w:hAnsi="Courier New"/>
          <w:sz w:val="15"/>
          <w:szCs w:val="15"/>
          <w:color w:val="auto"/>
        </w:rPr>
        <w:t>Scotts' business is highly seasonal with approximately 75% of sales occurring in the second and third fiscal quarters combined.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SUBSEQUENT EVENT</w:t>
      </w:r>
    </w:p>
    <w:p>
      <w:pPr>
        <w:spacing w:after="0" w:line="178"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In December 2001, the Amended Credit Agreement was amended to redefine EBITDA, to eliminate the net worth covenant and to modify the covenants pertaining to interest coverage and leverage. The amendment also increases the amount that may be borrowed in optional currencies to $360 million from $258.8 million and amends how proceeds from future equity or subordinated debt offerings, if any, will be used towards mandatory prepayments of revolving credit facility borrowings.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1000"/>
          </w:cols>
          <w:pgMar w:left="240" w:top="638" w:right="659" w:bottom="1440" w:gutter="0" w:footer="0" w:header="0"/>
        </w:sectPr>
      </w:pPr>
    </w:p>
    <w:bookmarkStart w:id="61" w:name="page62"/>
    <w:bookmarkEnd w:id="61"/>
    <w:p>
      <w:pPr>
        <w:ind w:left="800" w:right="3999"/>
        <w:spacing w:after="0" w:line="243" w:lineRule="auto"/>
        <w:rPr>
          <w:sz w:val="20"/>
          <w:szCs w:val="20"/>
          <w:color w:val="auto"/>
        </w:rPr>
      </w:pPr>
      <w:r>
        <w:rPr>
          <w:rFonts w:ascii="Courier New" w:cs="Courier New" w:eastAsia="Courier New" w:hAnsi="Courier New"/>
          <w:sz w:val="15"/>
          <w:szCs w:val="15"/>
          <w:color w:val="auto"/>
        </w:rPr>
        <w:t>NOTE 23. FINANCIAL INFORMATION FOR SUBSIDIARY GUARANTORS AND NON-GUARANTORS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 January 1999, The Scotts Company issued $330 million of 8 5/8% Senior Subordinated Notes due 2009 to qualified institutional buyers under the provisions of Rule 144A of the Securities Act of 1933.</w:t>
      </w:r>
    </w:p>
    <w:p>
      <w:pPr>
        <w:spacing w:after="0" w:line="175"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following information presents consolidating Statements of Operations and Statements of Cash Flows for the three years ended September 30, 2001 and consolidated Balance Sheets as of September 30, 2001 and 2000. Separate 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9" w:right="1440" w:bottom="1440" w:gutter="0" w:footer="0" w:header="0"/>
        </w:sectPr>
      </w:pPr>
    </w:p>
    <w:bookmarkStart w:id="62" w:name="page63"/>
    <w:bookmarkEnd w:id="62"/>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94"/>
        </w:trPr>
        <w:tc>
          <w:tcPr>
            <w:tcW w:w="4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Guarantors Eliminations Consolidated</w:t>
            </w: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2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919.6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$ 396.8</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$1,696.6</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633.8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241.9</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1,092.1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283.3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162.4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151.5</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89.9</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Equity income in non-guarantors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61.7</w:t>
            </w:r>
          </w:p>
        </w:tc>
        <w:tc>
          <w:tcPr>
            <w:tcW w:w="9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w:t>
            </w: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128.2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78.4</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87.7</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142.5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(35.3)</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(20.3)</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(61.7)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15.5</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1080"/>
          </w:cols>
          <w:pgMar w:left="240" w:top="638" w:right="579" w:bottom="1440" w:gutter="0" w:footer="0" w:header="0"/>
        </w:sectPr>
      </w:pPr>
    </w:p>
    <w:bookmarkStart w:id="63" w:name="page64"/>
    <w:bookmarkEnd w:id="63"/>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CASH FLOWS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94"/>
        </w:trPr>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(20.3)</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Amortization</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Deferred taxes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Equity income in non-guarantors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Restructuring and other charges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Loss on sale of property</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acquired businesses: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Accounts receivable</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(68.5)</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Prepaid and other current assets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Accrued taxes and liabilities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Restructuring reserves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liabilities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net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operating activities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net of cash acquired</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Repayment of seller notes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(101.0)</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borrowings (repayments) under revolving and</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bank lines of credit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Intercompany financing</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5000" w:type="dxa"/>
            <w:vAlign w:val="bottom"/>
          </w:tcPr>
          <w:p>
            <w:pPr>
              <w:ind w:left="3500"/>
              <w:spacing w:after="0"/>
              <w:rPr>
                <w:sz w:val="20"/>
                <w:szCs w:val="20"/>
                <w:color w:val="auto"/>
              </w:rPr>
            </w:pPr>
            <w:r>
              <w:rPr>
                <w:rFonts w:ascii="Courier New" w:cs="Courier New" w:eastAsia="Courier New" w:hAnsi="Courier New"/>
                <w:sz w:val="15"/>
                <w:szCs w:val="15"/>
                <w:color w:val="auto"/>
              </w:rPr>
              <w:t>61</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180"/>
          </w:cols>
          <w:pgMar w:left="240" w:top="985" w:right="479" w:bottom="1440" w:gutter="0" w:footer="0" w:header="0"/>
        </w:sectPr>
      </w:pPr>
    </w:p>
    <w:bookmarkStart w:id="64" w:name="page65"/>
    <w:bookmarkEnd w:id="64"/>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BALANCE SHEET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OF SEPTEMBER 30,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2"/>
          </w:tcPr>
          <w:p>
            <w:pPr>
              <w:ind w:left="1700"/>
              <w:spacing w:after="0"/>
              <w:rPr>
                <w:sz w:val="20"/>
                <w:szCs w:val="20"/>
                <w:color w:val="auto"/>
              </w:rPr>
            </w:pPr>
            <w:r>
              <w:rPr>
                <w:rFonts w:ascii="Courier New" w:cs="Courier New" w:eastAsia="Courier New" w:hAnsi="Courier New"/>
                <w:sz w:val="15"/>
                <w:szCs w:val="15"/>
                <w:color w:val="auto"/>
                <w:w w:val="99"/>
              </w:rPr>
              <w:t>(IN MILLIONS, EXCEPT PER SHARE INFORMATION)</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Guarantors Eliminations Consolidated</w:t>
            </w: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 ------------ ------------</w:t>
            </w:r>
          </w:p>
        </w:tc>
      </w:tr>
      <w:tr>
        <w:trPr>
          <w:trHeight w:val="520"/>
        </w:trPr>
        <w:tc>
          <w:tcPr>
            <w:tcW w:w="532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14.7</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368.4</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694.2</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310.7</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478.6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263.7</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771.1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898.2</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(898.2)</w:t>
            </w: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215.6</w:t>
            </w:r>
          </w:p>
        </w:tc>
        <w:tc>
          <w:tcPr>
            <w:tcW w:w="1080" w:type="dxa"/>
            <w:vAlign w:val="bottom"/>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w:t>
            </w: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1,575.6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495.1</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1,843.0</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ind w:left="1980"/>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24.8</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55.3</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251.6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816.5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27.3</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w:t>
            </w: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1,043.2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438.1</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1,336.8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no par value, none issued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488.1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60.4</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(548.5)</w:t>
            </w: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$.01 stated value per share, issued 31.3</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shares in 2001</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stated value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(349.7)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2.6 shares issued</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(23.8)</w:t>
            </w:r>
          </w:p>
        </w:tc>
        <w:tc>
          <w:tcPr>
            <w:tcW w:w="1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815.0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57.0</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(898.2)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506.2</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$ 1,575.6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$ 495.1</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$1,843.0</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1080"/>
          </w:cols>
          <w:pgMar w:left="240" w:top="811" w:right="579" w:bottom="1440" w:gutter="0" w:footer="0" w:header="0"/>
        </w:sectPr>
      </w:pPr>
    </w:p>
    <w:bookmarkStart w:id="65" w:name="page66"/>
    <w:bookmarkEnd w:id="65"/>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4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280" w:type="dxa"/>
            <w:vAlign w:val="bottom"/>
          </w:tcPr>
          <w:p>
            <w:pPr>
              <w:spacing w:after="0"/>
              <w:rPr>
                <w:sz w:val="24"/>
                <w:szCs w:val="2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Non-</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Guarantors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862.7</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398.8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393.9</w:t>
            </w:r>
          </w:p>
        </w:tc>
        <w:tc>
          <w:tcPr>
            <w:tcW w:w="12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$1,655.4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260.2</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233.0</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1,052.4</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138.6</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160.9</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25.9</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75.3</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285.5</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Equity income in non-guarantors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w:t>
            </w:r>
          </w:p>
        </w:tc>
        <w:tc>
          <w:tcPr>
            <w:tcW w:w="10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126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77.6</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88.9</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116.3</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33.9</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73.1</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4860" w:type="dxa"/>
            <w:vAlign w:val="bottom"/>
          </w:tcPr>
          <w:p>
            <w:pPr>
              <w:ind w:left="3500"/>
              <w:spacing w:after="0"/>
              <w:rPr>
                <w:sz w:val="20"/>
                <w:szCs w:val="20"/>
                <w:color w:val="auto"/>
              </w:rPr>
            </w:pPr>
            <w:r>
              <w:rPr>
                <w:rFonts w:ascii="Courier New" w:cs="Courier New" w:eastAsia="Courier New" w:hAnsi="Courier New"/>
                <w:sz w:val="15"/>
                <w:szCs w:val="15"/>
                <w:color w:val="auto"/>
              </w:rPr>
              <w:t>63</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80"/>
          </w:cols>
          <w:pgMar w:left="240" w:top="638" w:right="479" w:bottom="1440" w:gutter="0" w:footer="0" w:header="0"/>
        </w:sectPr>
      </w:pPr>
    </w:p>
    <w:bookmarkStart w:id="66" w:name="page67"/>
    <w:bookmarkEnd w:id="66"/>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CASH FLOWS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4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240" w:type="dxa"/>
            <w:vAlign w:val="bottom"/>
          </w:tcPr>
          <w:p>
            <w:pPr>
              <w:spacing w:after="0"/>
              <w:rPr>
                <w:sz w:val="24"/>
                <w:szCs w:val="2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4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Amortization</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Deferred taxes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Equity income in non-guarantors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Loss on sale of fixed assets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business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net of acquired businesses: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Accounts receivable</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48.3</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Prepaid and other current assets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Accrued taxes and other liabilities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Other liabilities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50.7</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171.5</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(53.2)</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non-guarantors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Repayments of seller notes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Net (repayments) borrowings under revolving and</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bank lines of credit</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 Stock</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Intercompany financing</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(45.8)</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(78.2)</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4960" w:type="dxa"/>
            <w:vAlign w:val="bottom"/>
          </w:tcPr>
          <w:p>
            <w:pPr>
              <w:ind w:left="3500"/>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180"/>
          </w:cols>
          <w:pgMar w:left="240" w:top="811" w:right="479" w:bottom="1440" w:gutter="0" w:footer="0" w:header="0"/>
        </w:sectPr>
      </w:pPr>
    </w:p>
    <w:bookmarkStart w:id="67" w:name="page68"/>
    <w:bookmarkEnd w:id="67"/>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BALANCE SHEET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OF SEPTEMBER 30,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2"/>
          </w:tcPr>
          <w:p>
            <w:pPr>
              <w:ind w:left="1700"/>
              <w:spacing w:after="0"/>
              <w:rPr>
                <w:sz w:val="20"/>
                <w:szCs w:val="20"/>
                <w:color w:val="auto"/>
              </w:rPr>
            </w:pPr>
            <w:r>
              <w:rPr>
                <w:rFonts w:ascii="Courier New" w:cs="Courier New" w:eastAsia="Courier New" w:hAnsi="Courier New"/>
                <w:sz w:val="15"/>
                <w:szCs w:val="15"/>
                <w:color w:val="auto"/>
                <w:w w:val="99"/>
              </w:rPr>
              <w:t>(IN MILLIONS, EXCEPT PER SHARE INFORMATION)</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5320" w:type="dxa"/>
            <w:vAlign w:val="bottom"/>
          </w:tcPr>
          <w:p>
            <w:pPr>
              <w:jc w:val="center"/>
              <w:ind w:left="1785"/>
              <w:spacing w:after="0"/>
              <w:rPr>
                <w:sz w:val="20"/>
                <w:szCs w:val="20"/>
                <w:color w:val="auto"/>
              </w:rPr>
            </w:pPr>
            <w:r>
              <w:rPr>
                <w:rFonts w:ascii="Courier New" w:cs="Courier New" w:eastAsia="Courier New" w:hAnsi="Courier New"/>
                <w:sz w:val="15"/>
                <w:szCs w:val="15"/>
                <w:color w:val="auto"/>
                <w:w w:val="99"/>
              </w:rPr>
              <w:t>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17.6</w:t>
            </w:r>
          </w:p>
        </w:tc>
        <w:tc>
          <w:tcPr>
            <w:tcW w:w="13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70.1</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377.1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168.4</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244.1</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836.5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246.5</w:t>
            </w:r>
          </w:p>
        </w:tc>
        <w:tc>
          <w:tcPr>
            <w:tcW w:w="1080" w:type="dxa"/>
            <w:vAlign w:val="bottom"/>
          </w:tcPr>
          <w:p>
            <w:pPr>
              <w:spacing w:after="0"/>
              <w:rPr>
                <w:sz w:val="15"/>
                <w:szCs w:val="15"/>
                <w:color w:val="auto"/>
              </w:rPr>
            </w:pP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1,552.7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462.4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1,761.4</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center"/>
              <w:ind w:left="1805"/>
              <w:spacing w:after="0"/>
              <w:rPr>
                <w:sz w:val="20"/>
                <w:szCs w:val="20"/>
                <w:color w:val="auto"/>
              </w:rPr>
            </w:pPr>
            <w:r>
              <w:rPr>
                <w:rFonts w:ascii="Courier New" w:cs="Courier New" w:eastAsia="Courier New" w:hAnsi="Courier New"/>
                <w:sz w:val="15"/>
                <w:szCs w:val="15"/>
                <w:color w:val="auto"/>
                <w:w w:val="99"/>
              </w:rPr>
              <w:t>LIABILITIES AND SHAREHOLDERS' EQUITY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48.7</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38.3</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555.2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253.5</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813.4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238.3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1,055.2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1,283.5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Preferred shares, no par value, none issued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488.7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59.8</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(548.5)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Common shares, no par value share, $.01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stated value per share, 31.3 shares issued in 2000</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 in excess of stated value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40.7</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Treasury stock at cost, 3.4 shares issued</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w:t>
            </w:r>
          </w:p>
        </w:tc>
        <w:tc>
          <w:tcPr>
            <w:tcW w:w="13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733.9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83.0</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477.9</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$ 1,552.7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$ 462.4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(1,083.0)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$1,761.4</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5320" w:type="dxa"/>
            <w:vAlign w:val="bottom"/>
          </w:tcPr>
          <w:p>
            <w:pPr>
              <w:jc w:val="center"/>
              <w:ind w:left="1785"/>
              <w:spacing w:after="0"/>
              <w:rPr>
                <w:sz w:val="20"/>
                <w:szCs w:val="20"/>
                <w:color w:val="auto"/>
              </w:rPr>
            </w:pPr>
            <w:r>
              <w:rPr>
                <w:rFonts w:ascii="Courier New" w:cs="Courier New" w:eastAsia="Courier New" w:hAnsi="Courier New"/>
                <w:sz w:val="15"/>
                <w:szCs w:val="15"/>
                <w:color w:val="auto"/>
                <w:w w:val="99"/>
              </w:rPr>
              <w:t>65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80"/>
          </w:cols>
          <w:pgMar w:left="240" w:top="811" w:right="479" w:bottom="1440" w:gutter="0" w:footer="0" w:header="0"/>
        </w:sectPr>
      </w:pPr>
    </w:p>
    <w:bookmarkStart w:id="68" w:name="page69"/>
    <w:bookmarkEnd w:id="68"/>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67"/>
        </w:trPr>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454.4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$ 399.8</w:t>
            </w:r>
          </w:p>
        </w:tc>
        <w:tc>
          <w:tcPr>
            <w:tcW w:w="132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$1,550.6</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225.3</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987.3</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174.5</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39.1</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89.2</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285.5</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Equity income in non-guarantors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w:t>
            </w: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net of income tax benefit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4.0</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63.2</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214"/>
        </w:trPr>
        <w:tc>
          <w:tcPr>
            <w:tcW w:w="5000" w:type="dxa"/>
            <w:vAlign w:val="bottom"/>
          </w:tcPr>
          <w:p>
            <w:pPr>
              <w:ind w:left="3500"/>
              <w:spacing w:after="0"/>
              <w:rPr>
                <w:sz w:val="20"/>
                <w:szCs w:val="20"/>
                <w:color w:val="auto"/>
              </w:rPr>
            </w:pPr>
            <w:r>
              <w:rPr>
                <w:rFonts w:ascii="Courier New" w:cs="Courier New" w:eastAsia="Courier New" w:hAnsi="Courier New"/>
                <w:sz w:val="15"/>
                <w:szCs w:val="15"/>
                <w:color w:val="auto"/>
              </w:rPr>
              <w:t>66</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80"/>
          </w:cols>
          <w:pgMar w:left="240" w:top="638" w:right="479" w:bottom="1440" w:gutter="0" w:footer="0" w:header="0"/>
        </w:sectPr>
      </w:pPr>
    </w:p>
    <w:bookmarkStart w:id="69" w:name="page70"/>
    <w:bookmarkEnd w:id="69"/>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STATEMENT OF CASH FLOWS</w:t>
      </w:r>
    </w:p>
    <w:p>
      <w:pPr>
        <w:spacing w:after="0" w:line="3"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8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Deferred taxes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Equity income in non-guarantors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Extraordinary loss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Loss on sale of property</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Changes in assets and liabilities, net of acquired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businesses: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Prepaid and other current assets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Accrued taxes and other liabilities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26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w:t>
            </w:r>
          </w:p>
        </w:tc>
        <w:tc>
          <w:tcPr>
            <w:tcW w:w="260" w:type="dxa"/>
            <w:vAlign w:val="bottom"/>
          </w:tcPr>
          <w:p>
            <w:pPr>
              <w:spacing w:after="0"/>
              <w:rPr>
                <w:sz w:val="24"/>
                <w:szCs w:val="2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120.2</w:t>
            </w:r>
          </w:p>
        </w:tc>
        <w:tc>
          <w:tcPr>
            <w:tcW w:w="18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(20.8)</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(48.1)</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net of cash acquired</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(156.1)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(398.2)</w:t>
            </w:r>
          </w:p>
        </w:tc>
        <w:tc>
          <w:tcPr>
            <w:tcW w:w="26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(167.5)</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(571.6)</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under revolving and bank lines of credit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Repayment of outstanding balance on old credit facility</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Issuance of 8 5/8% Senior Subordinated Notes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9 7/8%</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Senior Subordinated Notes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Settlement of interest rate locks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Financing and issuance fees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76.7</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(109.1)</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(109.1)</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1180"/>
          </w:cols>
          <w:pgMar w:left="240" w:top="811" w:right="479"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NOTE 24. INTANGIBLE ASSETS, NET</w:t>
      </w:r>
    </w:p>
    <w:p>
      <w:pPr>
        <w:spacing w:after="0" w:line="178" w:lineRule="exact"/>
        <w:rPr>
          <w:sz w:val="20"/>
          <w:szCs w:val="20"/>
          <w:color w:val="auto"/>
        </w:rPr>
      </w:pPr>
    </w:p>
    <w:p>
      <w:pPr>
        <w:ind w:right="3800" w:firstLine="811"/>
        <w:spacing w:after="0" w:line="244" w:lineRule="auto"/>
        <w:rPr>
          <w:sz w:val="20"/>
          <w:szCs w:val="20"/>
          <w:color w:val="auto"/>
        </w:rPr>
      </w:pPr>
      <w:r>
        <w:rPr>
          <w:rFonts w:ascii="Courier New" w:cs="Courier New" w:eastAsia="Courier New" w:hAnsi="Courier New"/>
          <w:sz w:val="15"/>
          <w:szCs w:val="15"/>
          <w:color w:val="auto"/>
        </w:rPr>
        <w:t>In June 2001, the FASB issued Statement of Accounting Standard No. 142, "Goodwill and Other Intangible Assets". Scotts adopted SFAS No. 142 effective October 1, 2001. In accordance with this standard, goodwill and certain other intangible assets, primarily trademarks, have been classified as indefinite-lived assets no longer subject to amortization. Indefinite-lived assets are subject to impairment testing at least annually.</w:t>
      </w:r>
    </w:p>
    <w:p>
      <w:pPr>
        <w:spacing w:after="0" w:line="177" w:lineRule="exact"/>
        <w:rPr>
          <w:sz w:val="20"/>
          <w:szCs w:val="20"/>
          <w:color w:val="auto"/>
        </w:rPr>
      </w:pPr>
    </w:p>
    <w:p>
      <w:pPr>
        <w:ind w:right="4060" w:firstLine="811"/>
        <w:spacing w:after="0" w:line="244" w:lineRule="auto"/>
        <w:rPr>
          <w:sz w:val="20"/>
          <w:szCs w:val="20"/>
          <w:color w:val="auto"/>
        </w:rPr>
      </w:pPr>
      <w:r>
        <w:rPr>
          <w:rFonts w:ascii="Courier New" w:cs="Courier New" w:eastAsia="Courier New" w:hAnsi="Courier New"/>
          <w:sz w:val="15"/>
          <w:szCs w:val="15"/>
          <w:color w:val="auto"/>
        </w:rPr>
        <w:t>The following table presents a reconciliation of income available to common shareholders as reported to adjusted income available to common shareholders and related earnings per share data as if the provision of Statement 142 related to the non-amortization of indefinite-lived intangible assets had been adopted as of the beginning of the earliest period presented.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Year Ended September 30,</w:t>
            </w:r>
          </w:p>
        </w:tc>
        <w:tc>
          <w:tcPr>
            <w:tcW w:w="860" w:type="dxa"/>
            <w:vAlign w:val="bottom"/>
          </w:tcPr>
          <w:p>
            <w:pPr>
              <w:spacing w:after="0"/>
              <w:rPr>
                <w:sz w:val="14"/>
                <w:szCs w:val="14"/>
                <w:color w:val="auto"/>
              </w:rPr>
            </w:pPr>
          </w:p>
        </w:tc>
      </w:tr>
      <w:tr>
        <w:trPr>
          <w:trHeight w:val="173"/>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6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(in millions, except per share data)</w:t>
            </w:r>
          </w:p>
        </w:tc>
      </w:tr>
      <w:tr>
        <w:trPr>
          <w:trHeight w:val="52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AVAILABLE TO COMMON SHAREHOLDERS:</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before extraordinary loss</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Class A Convertible Preferred Stock dividend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available to common shareholders before</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300" w:type="dxa"/>
            <w:vAlign w:val="bottom"/>
          </w:tcPr>
          <w:p>
            <w:pPr>
              <w:ind w:left="1080"/>
              <w:spacing w:after="0"/>
              <w:rPr>
                <w:sz w:val="20"/>
                <w:szCs w:val="20"/>
                <w:color w:val="auto"/>
              </w:rPr>
            </w:pPr>
            <w:r>
              <w:rPr>
                <w:rFonts w:ascii="Courier New" w:cs="Courier New" w:eastAsia="Courier New" w:hAnsi="Courier New"/>
                <w:sz w:val="15"/>
                <w:szCs w:val="15"/>
                <w:color w:val="auto"/>
              </w:rPr>
              <w:t>extraordinary loss as reported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Tradename amortization</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Taxes</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before extraordinary loss as adjusted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83.4</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Extraordinary loss, net of tax</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available to common shareholders as adjusted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83.4</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w:t>
            </w:r>
          </w:p>
        </w:tc>
      </w:tr>
      <w:tr>
        <w:trPr>
          <w:trHeight w:val="347"/>
        </w:trPr>
        <w:tc>
          <w:tcPr>
            <w:tcW w:w="63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Reported before extraordinary item</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2.39</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0.39</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0.40</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Tradename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0.36</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0.34</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0.47</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Taxes</w:t>
            </w:r>
          </w:p>
        </w:tc>
        <w:tc>
          <w:tcPr>
            <w:tcW w:w="104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3"/>
        </w:trPr>
        <w:tc>
          <w:tcPr>
            <w:tcW w:w="6300" w:type="dxa"/>
            <w:vAlign w:val="bottom"/>
          </w:tcPr>
          <w:p>
            <w:pPr>
              <w:spacing w:after="0"/>
              <w:rPr>
                <w:sz w:val="15"/>
                <w:szCs w:val="15"/>
                <w:color w:val="auto"/>
              </w:rPr>
            </w:pPr>
          </w:p>
        </w:tc>
        <w:tc>
          <w:tcPr>
            <w:tcW w:w="21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before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w:t>
            </w:r>
          </w:p>
        </w:tc>
      </w:tr>
      <w:tr>
        <w:trPr>
          <w:trHeight w:val="347"/>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Extraordinary loss, net of tax</w:t>
            </w:r>
          </w:p>
        </w:tc>
        <w:tc>
          <w:tcPr>
            <w:tcW w:w="104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after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r>
      <w:tr>
        <w:trPr>
          <w:trHeight w:val="347"/>
        </w:trPr>
        <w:tc>
          <w:tcPr>
            <w:tcW w:w="63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Reported before extraordinary item</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0.37</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Tradename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0.33</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0.32</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0.28</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Taxes</w:t>
            </w:r>
          </w:p>
        </w:tc>
        <w:tc>
          <w:tcPr>
            <w:tcW w:w="104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3"/>
        </w:trPr>
        <w:tc>
          <w:tcPr>
            <w:tcW w:w="6300" w:type="dxa"/>
            <w:vAlign w:val="bottom"/>
          </w:tcPr>
          <w:p>
            <w:pPr>
              <w:spacing w:after="0"/>
              <w:rPr>
                <w:sz w:val="15"/>
                <w:szCs w:val="15"/>
                <w:color w:val="auto"/>
              </w:rPr>
            </w:pPr>
          </w:p>
        </w:tc>
        <w:tc>
          <w:tcPr>
            <w:tcW w:w="21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before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Extraordinary loss, net of tax</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after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1000"/>
          </w:cols>
          <w:pgMar w:left="240" w:top="638" w:right="659"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NOTE 25. REVISIONS TO FINANCIAL STATEMENTS</w:t>
      </w:r>
    </w:p>
    <w:p>
      <w:pPr>
        <w:spacing w:after="0" w:line="351"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Subsequent to the issuance of the Company's financial statements for the year ended September 30, 2001, the Company reissued its financial statements for filing on a Form 8-K filed with the Securities and Exchange Commission on June 24, 2002. The Form 8-K contained the Items from the Company's Form 10-K for the year ended September 30, 2001 that were being revised to reflect retroactive income statement classification and disclosure changes required upon the adoption of EITF 00-25, Vendor Income Statement Characterization of Consideration Paid to a Reseller of the Vendor's Products in the quarter ended December 29, 2001. The reclassifications related to EITF 00-25 resulted in certain promotion costs being reclassified to a reduction in net sales.</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Subsequent to the reissuance of the Company's financial statements on June 24, 2002, the Company determined that additional revisions needed to be made to the reissued financial statements for the years ended September 30, 2000 and September 30, 1999 to reflect certain additional cooperative advertising costs as reductions to net sales. The effect of these revisions did not impact net income, income from operations or cash flows for any period presented. The effect of the revision was to decrease net sales by $9.8 million and to decrease advertising expense by $9.8 million for the year ended September 30, 2000 and to decrease net sales by $26.0 million and to decrease advertising expense by $26.0 million for the year ended September 30, 1999. These revisions are the result of certain costs being previously classified as other than cooperative advertising.</w:t>
      </w:r>
    </w:p>
    <w:p>
      <w:pPr>
        <w:spacing w:after="0" w:line="35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addition to the reclassifications related to EITF 00-25, the Company has elected to make additional reclassifications of internal marketing costs previously reported as advertising and promotion to selling, general and administrative to achieve the Company's objective of reporting only external media costs as advertising expenses. The effect of these additional reclassifications was to decrease advertising expense by $6.9 million, $9.3 million and $4.3 million for the years ended September 30, 2001, 2000, and 1999, respectively with an offsetting adjustment to selling, general, administrative expenses.</w:t>
      </w:r>
    </w:p>
    <w:p>
      <w:pPr>
        <w:spacing w:after="0" w:line="179"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The accompanying financial statements have been revised to reflect these additional reclassifications.</w:t>
      </w:r>
    </w:p>
    <w:p>
      <w:pPr>
        <w:spacing w:after="0" w:line="176" w:lineRule="exact"/>
        <w:rPr>
          <w:sz w:val="20"/>
          <w:szCs w:val="20"/>
          <w:color w:val="auto"/>
        </w:rPr>
      </w:pPr>
    </w:p>
    <w:p>
      <w:pPr>
        <w:ind w:right="3379" w:firstLine="811"/>
        <w:spacing w:after="0" w:line="278" w:lineRule="auto"/>
        <w:rPr>
          <w:sz w:val="20"/>
          <w:szCs w:val="20"/>
          <w:color w:val="auto"/>
        </w:rPr>
      </w:pPr>
      <w:r>
        <w:rPr>
          <w:rFonts w:ascii="Courier New" w:cs="Courier New" w:eastAsia="Courier New" w:hAnsi="Courier New"/>
          <w:sz w:val="14"/>
          <w:szCs w:val="14"/>
          <w:color w:val="auto"/>
        </w:rPr>
        <w:t>The effect of these reclassifications on the Company's consolidated financial statements as originally reported is summarized below:</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YEAR ENDED</w:t>
            </w:r>
          </w:p>
        </w:tc>
        <w:tc>
          <w:tcPr>
            <w:tcW w:w="1340" w:type="dxa"/>
            <w:vAlign w:val="bottom"/>
          </w:tcPr>
          <w:p>
            <w:pPr>
              <w:spacing w:after="0"/>
              <w:rPr>
                <w:sz w:val="14"/>
                <w:szCs w:val="14"/>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rPr>
              <w:t>SEPTEMBER 30, 2001</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(in millions)</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RECLASSIFICATIONS</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AS REPORTED</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MADE FOR FORM 8-K</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AS REPORTED</w:t>
            </w:r>
          </w:p>
        </w:tc>
      </w:tr>
      <w:tr>
        <w:trPr>
          <w:trHeight w:val="173"/>
        </w:trPr>
        <w:tc>
          <w:tcPr>
            <w:tcW w:w="23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IN FORM 10-K</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AND THIS FORM 8-K/A</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IN FORM 8-K/A</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$1,747.7</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$1,696.6</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651.4</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597.2</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151.0</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expenses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317.2</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324.1</w:t>
            </w:r>
          </w:p>
        </w:tc>
      </w:tr>
      <w:tr>
        <w:trPr>
          <w:trHeight w:val="867"/>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YEAR ENDED</w:t>
            </w:r>
          </w:p>
        </w:tc>
        <w:tc>
          <w:tcPr>
            <w:tcW w:w="1340" w:type="dxa"/>
            <w:vAlign w:val="bottom"/>
          </w:tcPr>
          <w:p>
            <w:pPr>
              <w:spacing w:after="0"/>
              <w:rPr>
                <w:sz w:val="24"/>
                <w:szCs w:val="24"/>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rPr>
              <w:t>SEPTEMBER 30, 2000</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(in millions)</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RECLASSIFICATIONS</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AS REPORTED</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MADE FOR FORM 8-K</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AS REPORTED</w:t>
            </w:r>
          </w:p>
        </w:tc>
      </w:tr>
      <w:tr>
        <w:trPr>
          <w:trHeight w:val="173"/>
        </w:trPr>
        <w:tc>
          <w:tcPr>
            <w:tcW w:w="23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IN FORM 10-K</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AND THIS FORM 8-K/A</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IN FORM 8-K/A</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$1,709.0</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$1,655.4</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658.5</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153.8</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expenses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302.7</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312.0</w:t>
            </w:r>
          </w:p>
        </w:tc>
      </w:tr>
      <w:tr>
        <w:trPr>
          <w:trHeight w:val="867"/>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YEAR ENDED</w:t>
            </w:r>
          </w:p>
        </w:tc>
        <w:tc>
          <w:tcPr>
            <w:tcW w:w="1340" w:type="dxa"/>
            <w:vAlign w:val="bottom"/>
          </w:tcPr>
          <w:p>
            <w:pPr>
              <w:spacing w:after="0"/>
              <w:rPr>
                <w:sz w:val="24"/>
                <w:szCs w:val="24"/>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rPr>
              <w:t>SEPTEMBER 30, 1999</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(in millions)</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RECLASSIFICATIONS</w:t>
            </w:r>
          </w:p>
        </w:tc>
        <w:tc>
          <w:tcPr>
            <w:tcW w:w="13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AS REPORTED</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MADE FOR FORM 8-K</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AS REPORTED</w:t>
            </w:r>
          </w:p>
        </w:tc>
      </w:tr>
      <w:tr>
        <w:trPr>
          <w:trHeight w:val="173"/>
        </w:trPr>
        <w:tc>
          <w:tcPr>
            <w:tcW w:w="238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IN FORM 10-K</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AND THIS FORM 8-K/A</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IN FORM 8-K/A</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$1,602.5</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$1,550.6</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615.2</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563.3</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143.2</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expenses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285.5</w:t>
            </w:r>
          </w:p>
        </w:tc>
      </w:tr>
    </w:tbl>
    <w:p>
      <w:pPr>
        <w:sectPr>
          <w:pgSz w:w="11900" w:h="16838" w:orient="portrait"/>
          <w:cols w:equalWidth="0" w:num="1">
            <w:col w:w="10219"/>
          </w:cols>
          <w:pgMar w:left="240" w:top="638" w:right="1440" w:bottom="35" w:gutter="0" w:footer="0" w:header="0"/>
        </w:sectPr>
      </w:pPr>
    </w:p>
    <w:bookmarkStart w:id="72" w:name="page73"/>
    <w:bookmarkEnd w:id="72"/>
    <w:p>
      <w:pPr>
        <w:ind w:left="23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9019"/>
          </w:cols>
          <w:pgMar w:left="1440" w:top="488" w:right="1440" w:bottom="1440" w:gutter="0" w:footer="0" w:header="0"/>
        </w:sectPr>
      </w:pPr>
    </w:p>
    <w:bookmarkStart w:id="73" w:name="page74"/>
    <w:bookmarkEnd w:id="73"/>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S-3 (No. 333-98239) and Form S-8 (File Nos. 333-35942,</w:t>
      </w:r>
    </w:p>
    <w:p>
      <w:pPr>
        <w:spacing w:after="0" w:line="3"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333-47073, 333-60056, 333-06061, 333-27561, 333-72715, and 333-76697) of The Scotts Company of our report dated October 29, 2001, except for Note 22, as to which the date is December 12, 2001, and paragraph 5 of Note 18, as to which the date is June 5, 2002, and Note 25 and Note 20, as to which the date is September 10, 2002 relating to the financial statements, which appears in this Form 8-K/A.</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13, 2002</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3"/>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6"/>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lvl w:ilvl="1">
      <w:lvlJc w:val="left"/>
      <w:lvlText w:val="(%2)"/>
      <w:numFmt w:val="lowerLetter"/>
      <w:start w:val="2"/>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2019-12-20T02:06:48Z</dcterms:created>
  <dcterms:modified xsi:type="dcterms:W3CDTF">2019-12-20T02:06:48Z</dcterms:modified>
</cp:coreProperties>
</file>