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9" w:lineRule="exact"/>
        <w:rPr>
          <w:sz w:val="24"/>
          <w:szCs w:val="24"/>
          <w:color w:val="auto"/>
        </w:rPr>
      </w:pPr>
    </w:p>
    <w:p>
      <w:pPr>
        <w:ind w:left="580" w:hanging="457"/>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For the fiscal year ended September 30, 2012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57" w:lineRule="exact"/>
        <w:rPr>
          <w:sz w:val="24"/>
          <w:szCs w:val="24"/>
          <w:color w:val="auto"/>
        </w:rPr>
      </w:pPr>
    </w:p>
    <w:p>
      <w:pPr>
        <w:ind w:left="580" w:hanging="457"/>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300" w:type="dxa"/>
            <w:vAlign w:val="bottom"/>
            <w:gridSpan w:val="2"/>
          </w:tcPr>
          <w:p>
            <w:pPr>
              <w:ind w:left="100"/>
              <w:spacing w:after="0"/>
              <w:rPr>
                <w:sz w:val="20"/>
                <w:szCs w:val="20"/>
                <w:color w:val="auto"/>
              </w:rPr>
            </w:pPr>
            <w:r>
              <w:rPr>
                <w:rFonts w:ascii="Arial" w:cs="Arial" w:eastAsia="Arial" w:hAnsi="Arial"/>
                <w:sz w:val="16"/>
                <w:szCs w:val="16"/>
                <w:b w:val="1"/>
                <w:bCs w:val="1"/>
                <w:color w:val="auto"/>
                <w:w w:val="96"/>
              </w:rPr>
              <w:t>For the transition period from</w:t>
            </w:r>
          </w:p>
        </w:tc>
        <w:tc>
          <w:tcPr>
            <w:tcW w:w="1740" w:type="dxa"/>
            <w:vAlign w:val="bottom"/>
            <w:gridSpan w:val="2"/>
          </w:tcPr>
          <w:p>
            <w:pPr>
              <w:ind w:left="780"/>
              <w:spacing w:after="0"/>
              <w:rPr>
                <w:sz w:val="20"/>
                <w:szCs w:val="20"/>
                <w:color w:val="auto"/>
              </w:rPr>
            </w:pPr>
            <w:r>
              <w:rPr>
                <w:rFonts w:ascii="Arial" w:cs="Arial" w:eastAsia="Arial" w:hAnsi="Arial"/>
                <w:sz w:val="16"/>
                <w:szCs w:val="16"/>
                <w:b w:val="1"/>
                <w:bCs w:val="1"/>
                <w:color w:val="auto"/>
              </w:rPr>
              <w:t>to</w:t>
            </w:r>
          </w:p>
        </w:tc>
        <w:tc>
          <w:tcPr>
            <w:tcW w:w="3720" w:type="dxa"/>
            <w:vAlign w:val="bottom"/>
            <w:gridSpan w:val="2"/>
            <w:vMerge w:val="restart"/>
          </w:tcPr>
          <w:p>
            <w:pPr>
              <w:jc w:val="center"/>
              <w:ind w:right="962"/>
              <w:spacing w:after="0"/>
              <w:rPr>
                <w:sz w:val="20"/>
                <w:szCs w:val="20"/>
                <w:color w:val="auto"/>
              </w:rPr>
            </w:pPr>
            <w:r>
              <w:rPr>
                <w:rFonts w:ascii="Arial" w:cs="Arial" w:eastAsia="Arial" w:hAnsi="Arial"/>
                <w:sz w:val="16"/>
                <w:szCs w:val="16"/>
                <w:b w:val="1"/>
                <w:bCs w:val="1"/>
                <w:color w:val="auto"/>
                <w:w w:val="91"/>
              </w:rPr>
              <w:t>Commission file number 1-11593</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00" w:type="dxa"/>
            <w:vAlign w:val="bottom"/>
            <w:gridSpan w:val="5"/>
          </w:tcPr>
          <w:p>
            <w:pPr>
              <w:jc w:val="right"/>
              <w:ind w:right="481"/>
              <w:spacing w:after="0" w:line="171" w:lineRule="exact"/>
              <w:rPr>
                <w:sz w:val="20"/>
                <w:szCs w:val="20"/>
                <w:color w:val="auto"/>
              </w:rPr>
            </w:pPr>
            <w:r>
              <w:rPr>
                <w:rFonts w:ascii="Arial" w:cs="Arial" w:eastAsia="Arial" w:hAnsi="Arial"/>
                <w:sz w:val="16"/>
                <w:szCs w:val="16"/>
                <w:color w:val="auto"/>
              </w:rPr>
              <w:t>______________________________________________________________</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4"/>
          </w:tcPr>
          <w:p>
            <w:pPr>
              <w:jc w:val="center"/>
              <w:ind w:left="583"/>
              <w:spacing w:after="0"/>
              <w:rPr>
                <w:sz w:val="20"/>
                <w:szCs w:val="20"/>
                <w:color w:val="auto"/>
              </w:rPr>
            </w:pPr>
            <w:r>
              <w:rPr>
                <w:rFonts w:ascii="Arial" w:cs="Arial" w:eastAsia="Arial" w:hAnsi="Arial"/>
                <w:sz w:val="32"/>
                <w:szCs w:val="32"/>
                <w:b w:val="1"/>
                <w:bCs w:val="1"/>
                <w:color w:val="auto"/>
                <w:w w:val="93"/>
              </w:rPr>
              <w:t>The Scotts Miracle-Gro Company</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20" w:type="dxa"/>
            <w:vAlign w:val="bottom"/>
            <w:gridSpan w:val="3"/>
          </w:tcPr>
          <w:p>
            <w:pPr>
              <w:jc w:val="center"/>
              <w:ind w:right="82"/>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2"/>
          </w:tcPr>
          <w:p>
            <w:pPr>
              <w:jc w:val="center"/>
              <w:ind w:right="1119"/>
              <w:spacing w:after="0"/>
              <w:rPr>
                <w:sz w:val="20"/>
                <w:szCs w:val="20"/>
                <w:color w:val="auto"/>
              </w:rPr>
            </w:pPr>
            <w:r>
              <w:rPr>
                <w:rFonts w:ascii="Arial" w:cs="Arial" w:eastAsia="Arial" w:hAnsi="Arial"/>
                <w:sz w:val="16"/>
                <w:szCs w:val="16"/>
                <w:b w:val="1"/>
                <w:bCs w:val="1"/>
                <w:color w:val="auto"/>
                <w:w w:val="93"/>
              </w:rPr>
              <w:t>Ohio</w:t>
            </w:r>
          </w:p>
        </w:tc>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w w:val="93"/>
              </w:rPr>
              <w:t>31-1414921</w:t>
            </w:r>
          </w:p>
        </w:tc>
        <w:tc>
          <w:tcPr>
            <w:tcW w:w="0" w:type="dxa"/>
            <w:vAlign w:val="bottom"/>
          </w:tcPr>
          <w:p>
            <w:pPr>
              <w:spacing w:after="0"/>
              <w:rPr>
                <w:sz w:val="1"/>
                <w:szCs w:val="1"/>
                <w:color w:val="auto"/>
              </w:rPr>
            </w:pPr>
          </w:p>
        </w:tc>
      </w:tr>
      <w:tr>
        <w:trPr>
          <w:trHeight w:val="186"/>
        </w:trPr>
        <w:tc>
          <w:tcPr>
            <w:tcW w:w="4040" w:type="dxa"/>
            <w:vAlign w:val="bottom"/>
            <w:gridSpan w:val="4"/>
          </w:tcPr>
          <w:p>
            <w:pPr>
              <w:jc w:val="center"/>
              <w:ind w:left="1001"/>
              <w:spacing w:after="0"/>
              <w:rPr>
                <w:sz w:val="20"/>
                <w:szCs w:val="20"/>
                <w:color w:val="auto"/>
              </w:rPr>
            </w:pPr>
            <w:r>
              <w:rPr>
                <w:rFonts w:ascii="Arial" w:cs="Arial" w:eastAsia="Arial" w:hAnsi="Arial"/>
                <w:sz w:val="14"/>
                <w:szCs w:val="14"/>
                <w:b w:val="1"/>
                <w:bCs w:val="1"/>
                <w:color w:val="auto"/>
                <w:w w:val="93"/>
              </w:rPr>
              <w:t>(State or other jurisdiction of</w:t>
            </w:r>
          </w:p>
        </w:tc>
        <w:tc>
          <w:tcPr>
            <w:tcW w:w="274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40" w:type="dxa"/>
            <w:vAlign w:val="bottom"/>
            <w:gridSpan w:val="4"/>
          </w:tcPr>
          <w:p>
            <w:pPr>
              <w:jc w:val="center"/>
              <w:ind w:left="1001"/>
              <w:spacing w:after="0"/>
              <w:rPr>
                <w:sz w:val="20"/>
                <w:szCs w:val="20"/>
                <w:color w:val="auto"/>
              </w:rPr>
            </w:pPr>
            <w:r>
              <w:rPr>
                <w:rFonts w:ascii="Arial" w:cs="Arial" w:eastAsia="Arial" w:hAnsi="Arial"/>
                <w:sz w:val="14"/>
                <w:szCs w:val="14"/>
                <w:b w:val="1"/>
                <w:bCs w:val="1"/>
                <w:color w:val="auto"/>
                <w:w w:val="94"/>
              </w:rPr>
              <w:t>incorporation or organization)</w:t>
            </w:r>
          </w:p>
        </w:tc>
        <w:tc>
          <w:tcPr>
            <w:tcW w:w="274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3"/>
        </w:trPr>
        <w:tc>
          <w:tcPr>
            <w:tcW w:w="4040" w:type="dxa"/>
            <w:vAlign w:val="bottom"/>
            <w:gridSpan w:val="4"/>
          </w:tcPr>
          <w:p>
            <w:pPr>
              <w:jc w:val="center"/>
              <w:ind w:left="1021"/>
              <w:spacing w:after="0"/>
              <w:rPr>
                <w:sz w:val="20"/>
                <w:szCs w:val="20"/>
                <w:color w:val="auto"/>
              </w:rPr>
            </w:pPr>
            <w:r>
              <w:rPr>
                <w:rFonts w:ascii="Arial" w:cs="Arial" w:eastAsia="Arial" w:hAnsi="Arial"/>
                <w:sz w:val="16"/>
                <w:szCs w:val="16"/>
                <w:b w:val="1"/>
                <w:bCs w:val="1"/>
                <w:color w:val="auto"/>
                <w:w w:val="88"/>
              </w:rPr>
              <w:t>14111 Scottslawn Road,</w:t>
            </w:r>
          </w:p>
        </w:tc>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40" w:type="dxa"/>
            <w:vAlign w:val="bottom"/>
            <w:gridSpan w:val="4"/>
          </w:tcPr>
          <w:p>
            <w:pPr>
              <w:jc w:val="center"/>
              <w:ind w:left="1001"/>
              <w:spacing w:after="0"/>
              <w:rPr>
                <w:sz w:val="20"/>
                <w:szCs w:val="20"/>
                <w:color w:val="auto"/>
              </w:rPr>
            </w:pPr>
            <w:r>
              <w:rPr>
                <w:rFonts w:ascii="Arial" w:cs="Arial" w:eastAsia="Arial" w:hAnsi="Arial"/>
                <w:sz w:val="16"/>
                <w:szCs w:val="16"/>
                <w:b w:val="1"/>
                <w:bCs w:val="1"/>
                <w:color w:val="auto"/>
                <w:w w:val="94"/>
              </w:rPr>
              <w:t>Marysville, Ohio</w:t>
            </w:r>
          </w:p>
        </w:tc>
        <w:tc>
          <w:tcPr>
            <w:tcW w:w="2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43041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40" w:type="dxa"/>
            <w:vAlign w:val="bottom"/>
            <w:gridSpan w:val="4"/>
          </w:tcPr>
          <w:p>
            <w:pPr>
              <w:jc w:val="center"/>
              <w:ind w:left="10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2"/>
          </w:tcPr>
          <w:p>
            <w:pPr>
              <w:jc w:val="center"/>
              <w:ind w:right="91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20" w:type="dxa"/>
            <w:vAlign w:val="bottom"/>
            <w:gridSpan w:val="3"/>
          </w:tcPr>
          <w:p>
            <w:pPr>
              <w:jc w:val="center"/>
              <w:ind w:right="62"/>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40" w:type="dxa"/>
            <w:vAlign w:val="bottom"/>
          </w:tcPr>
          <w:p>
            <w:pPr>
              <w:jc w:val="center"/>
              <w:ind w:right="1"/>
              <w:spacing w:after="0"/>
              <w:rPr>
                <w:sz w:val="20"/>
                <w:szCs w:val="20"/>
                <w:color w:val="auto"/>
              </w:rPr>
            </w:pPr>
            <w:r>
              <w:rPr>
                <w:rFonts w:ascii="Arial" w:cs="Arial" w:eastAsia="Arial" w:hAnsi="Arial"/>
                <w:sz w:val="16"/>
                <w:szCs w:val="16"/>
                <w:b w:val="1"/>
                <w:bCs w:val="1"/>
                <w:color w:val="auto"/>
                <w:w w:val="90"/>
              </w:rPr>
              <w:t>937-644-0011</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20" w:type="dxa"/>
            <w:vAlign w:val="bottom"/>
            <w:gridSpan w:val="3"/>
          </w:tcPr>
          <w:p>
            <w:pPr>
              <w:jc w:val="center"/>
              <w:ind w:right="6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980" w:type="dxa"/>
            <w:vAlign w:val="bottom"/>
          </w:tcPr>
          <w:p>
            <w:pPr>
              <w:spacing w:after="0"/>
              <w:rPr>
                <w:sz w:val="24"/>
                <w:szCs w:val="24"/>
                <w:color w:val="auto"/>
              </w:rPr>
            </w:pPr>
          </w:p>
        </w:tc>
        <w:tc>
          <w:tcPr>
            <w:tcW w:w="2060" w:type="dxa"/>
            <w:vAlign w:val="bottom"/>
            <w:gridSpan w:val="3"/>
          </w:tcPr>
          <w:p>
            <w:pPr>
              <w:jc w:val="center"/>
              <w:ind w:right="819"/>
              <w:spacing w:after="0"/>
              <w:rPr>
                <w:sz w:val="20"/>
                <w:szCs w:val="20"/>
                <w:color w:val="auto"/>
              </w:rPr>
            </w:pPr>
            <w:r>
              <w:rPr>
                <w:rFonts w:ascii="Arial" w:cs="Arial" w:eastAsia="Arial" w:hAnsi="Arial"/>
                <w:sz w:val="14"/>
                <w:szCs w:val="14"/>
                <w:b w:val="1"/>
                <w:bCs w:val="1"/>
                <w:color w:val="auto"/>
                <w:w w:val="93"/>
              </w:rPr>
              <w:t>Title of Each Class</w:t>
            </w:r>
          </w:p>
        </w:tc>
        <w:tc>
          <w:tcPr>
            <w:tcW w:w="5560" w:type="dxa"/>
            <w:vAlign w:val="bottom"/>
            <w:gridSpan w:val="4"/>
          </w:tcPr>
          <w:p>
            <w:pPr>
              <w:jc w:val="center"/>
              <w:ind w:left="2661"/>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40" w:type="dxa"/>
            <w:vAlign w:val="bottom"/>
            <w:gridSpan w:val="4"/>
          </w:tcPr>
          <w:p>
            <w:pPr>
              <w:jc w:val="center"/>
              <w:ind w:left="1021"/>
              <w:spacing w:after="0"/>
              <w:rPr>
                <w:sz w:val="20"/>
                <w:szCs w:val="20"/>
                <w:color w:val="auto"/>
              </w:rPr>
            </w:pPr>
            <w:r>
              <w:rPr>
                <w:rFonts w:ascii="Arial" w:cs="Arial" w:eastAsia="Arial" w:hAnsi="Arial"/>
                <w:sz w:val="18"/>
                <w:szCs w:val="18"/>
                <w:color w:val="auto"/>
                <w:w w:val="90"/>
              </w:rPr>
              <w:t>Common Shares, without par value</w:t>
            </w:r>
          </w:p>
        </w:tc>
        <w:tc>
          <w:tcPr>
            <w:tcW w:w="2740" w:type="dxa"/>
            <w:vAlign w:val="bottom"/>
          </w:tcPr>
          <w:p>
            <w:pPr>
              <w:spacing w:after="0"/>
              <w:rPr>
                <w:sz w:val="22"/>
                <w:szCs w:val="22"/>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20" w:type="dxa"/>
            <w:vAlign w:val="bottom"/>
            <w:gridSpan w:val="3"/>
          </w:tcPr>
          <w:p>
            <w:pPr>
              <w:jc w:val="center"/>
              <w:ind w:right="62"/>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20" w:type="dxa"/>
            <w:vAlign w:val="bottom"/>
            <w:gridSpan w:val="2"/>
          </w:tcPr>
          <w:p>
            <w:pPr>
              <w:jc w:val="center"/>
              <w:ind w:right="962"/>
              <w:spacing w:after="0"/>
              <w:rPr>
                <w:sz w:val="20"/>
                <w:szCs w:val="20"/>
                <w:color w:val="auto"/>
              </w:rPr>
            </w:pPr>
            <w:r>
              <w:rPr>
                <w:rFonts w:ascii="Arial" w:cs="Arial" w:eastAsia="Arial" w:hAnsi="Arial"/>
                <w:sz w:val="16"/>
                <w:szCs w:val="16"/>
                <w:b w:val="1"/>
                <w:bCs w:val="1"/>
                <w:color w:val="auto"/>
                <w:w w:val="89"/>
              </w:rPr>
              <w:t>None</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00" w:type="dxa"/>
            <w:vAlign w:val="bottom"/>
            <w:gridSpan w:val="5"/>
          </w:tcPr>
          <w:p>
            <w:pPr>
              <w:jc w:val="center"/>
              <w:spacing w:after="0"/>
              <w:rPr>
                <w:sz w:val="20"/>
                <w:szCs w:val="20"/>
                <w:color w:val="auto"/>
              </w:rPr>
            </w:pPr>
            <w:r>
              <w:rPr>
                <w:rFonts w:ascii="Arial" w:cs="Arial" w:eastAsia="Arial" w:hAnsi="Arial"/>
                <w:sz w:val="16"/>
                <w:szCs w:val="16"/>
                <w:color w:val="auto"/>
                <w:w w:val="91"/>
              </w:rPr>
              <w:t>______________________________________________________________</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tcPr>
          <w:p>
            <w:pPr>
              <w:jc w:val="right"/>
              <w:ind w:right="61"/>
              <w:spacing w:after="0" w:line="184" w:lineRule="exact"/>
              <w:rPr>
                <w:sz w:val="20"/>
                <w:szCs w:val="20"/>
                <w:color w:val="auto"/>
              </w:rPr>
            </w:pPr>
            <w:r>
              <w:rPr>
                <w:rFonts w:ascii="Arial" w:cs="Arial" w:eastAsia="Arial" w:hAnsi="Arial"/>
                <w:sz w:val="16"/>
                <w:szCs w:val="16"/>
                <w:color w:val="auto"/>
                <w:w w:val="99"/>
              </w:rPr>
              <w:t xml:space="preserve">Yes </w:t>
            </w:r>
            <w:r>
              <w:rPr>
                <w:rFonts w:ascii="MS PGothic" w:cs="MS PGothic" w:eastAsia="MS PGothic" w:hAnsi="MS PGothic"/>
                <w:sz w:val="16"/>
                <w:szCs w:val="16"/>
                <w:color w:val="auto"/>
                <w:w w:val="99"/>
              </w:rPr>
              <w:t>☑</w:t>
            </w:r>
          </w:p>
        </w:tc>
        <w:tc>
          <w:tcPr>
            <w:tcW w:w="12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97"/>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200" w:type="dxa"/>
            <w:vAlign w:val="bottom"/>
          </w:tcPr>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194"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2" w:lineRule="exact"/>
        <w:rPr>
          <w:sz w:val="24"/>
          <w:szCs w:val="24"/>
          <w:color w:val="auto"/>
        </w:rPr>
      </w:pPr>
    </w:p>
    <w:p>
      <w:pPr>
        <w:ind w:right="20" w:firstLine="324"/>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5" w:right="239" w:bottom="1440" w:gutter="0" w:footer="0" w:header="0"/>
        </w:sectPr>
      </w:pPr>
    </w:p>
    <w:p>
      <w:pPr>
        <w:spacing w:after="0" w:line="13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220" w:space="720"/>
            <w:col w:w="3900" w:space="720"/>
            <w:col w:w="2880" w:space="720"/>
            <w:col w:w="260"/>
          </w:cols>
          <w:pgMar w:left="240" w:top="225" w:right="239" w:bottom="1440" w:gutter="0" w:footer="0" w:header="0"/>
          <w:type w:val="continuous"/>
        </w:sectPr>
      </w:pPr>
    </w:p>
    <w:p>
      <w:pPr>
        <w:spacing w:after="0" w:line="30" w:lineRule="exact"/>
        <w:rPr>
          <w:sz w:val="24"/>
          <w:szCs w:val="24"/>
          <w:color w:val="auto"/>
        </w:rPr>
      </w:pPr>
    </w:p>
    <w:p>
      <w:pPr>
        <w:ind w:left="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700"/>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2220" w:space="720"/>
            <w:col w:w="3900" w:space="720"/>
            <w:col w:w="2880" w:space="720"/>
            <w:col w:w="260"/>
          </w:cols>
          <w:pgMar w:left="240" w:top="225"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7" w:lineRule="exact"/>
        <w:rPr>
          <w:sz w:val="24"/>
          <w:szCs w:val="24"/>
          <w:color w:val="auto"/>
        </w:rPr>
      </w:pPr>
    </w:p>
    <w:p>
      <w:pPr>
        <w:sectPr>
          <w:pgSz w:w="11900" w:h="16838" w:orient="portrait"/>
          <w:cols w:equalWidth="0" w:num="5">
            <w:col w:w="7020" w:space="160"/>
            <w:col w:w="220" w:space="80"/>
            <w:col w:w="160" w:space="160"/>
            <w:col w:w="200" w:space="80"/>
            <w:col w:w="3340"/>
          </w:cols>
          <w:pgMar w:left="240" w:top="225" w:right="239" w:bottom="1440" w:gutter="0" w:footer="0" w:header="0"/>
          <w:type w:val="continuous"/>
        </w:sectPr>
      </w:pPr>
    </w:p>
    <w:p>
      <w:pPr>
        <w:ind w:right="20" w:firstLine="324"/>
        <w:spacing w:after="0" w:line="275" w:lineRule="auto"/>
        <w:rPr>
          <w:sz w:val="20"/>
          <w:szCs w:val="20"/>
          <w:color w:val="auto"/>
        </w:rPr>
      </w:pPr>
      <w:r>
        <w:rPr>
          <w:rFonts w:ascii="Arial" w:cs="Arial" w:eastAsia="Arial" w:hAnsi="Arial"/>
          <w:sz w:val="16"/>
          <w:szCs w:val="16"/>
          <w:color w:val="auto"/>
        </w:rPr>
        <w:t>The aggregate market value of Common Shares (the only common equity of the registrant) held by non-affiliates as of March 31, 2012 (the last business day of the most recently completed second quarter) was approximately $2,271,305,320.</w:t>
      </w:r>
    </w:p>
    <w:p>
      <w:pPr>
        <w:spacing w:after="0" w:line="6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61,357,418 Common Shares of the registrant outstanding as of November 13, 2012.</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right="540"/>
        <w:spacing w:after="0" w:line="275" w:lineRule="auto"/>
        <w:rPr>
          <w:sz w:val="20"/>
          <w:szCs w:val="20"/>
          <w:color w:val="auto"/>
        </w:rPr>
      </w:pPr>
      <w:r>
        <w:rPr>
          <w:rFonts w:ascii="Arial" w:cs="Arial" w:eastAsia="Arial" w:hAnsi="Arial"/>
          <w:sz w:val="16"/>
          <w:szCs w:val="16"/>
          <w:color w:val="auto"/>
        </w:rPr>
        <w:t>Portions of the definitive Proxy Statement for the registrant's 2013 Annual Meeting of Shareholders are incorporated by reference into Part III of this Annual Report on Form 10-K.</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Scotts Miracle-Gro Company (“Scotts Miracle-Gro”) is hereby filing this Amendment No. 1 on Form 10-K/A (this “Amendment No. 1”) to its Annual Report on Form 10-K for the fiscal year ended September 30, 2012 (the “Original Form 10-K”), which was filed with the Securities and Exchange Commission on November 20, 2012, to clarify that the extra materials filed with the Original Form 10-K after the last exhibit of the Original Form 10-K, that are stylized as a Form 10-Q and that have the file name “do not file to bring forward to q.htm” were filed inadvertently and are not part of the Original Form 10-K and should not be relied upon for any purpose.</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Rule 12b-15 under the Securities Exchange Act of 1934, as amended, this Amendment No. 1 also contains new certifications pursuant to Section 302 of the Sarbanes-Oxley Act of 2002, which are attached hereto under Item 15 of Part IV hereof. No other changes have been made to Item 15, other than to disclose that certain exhibits which were filed with the Original Form 10-K are incorporated by reference into this Amendment No. 1 from the Original Form 10-K. Because no financial statements have been included in this Amendment No. 1 and this Amendment No. 1 does not contain or amend any disclosure with respect to Items 307 and 308 of Regulation S-K, paragraphs 3, 4, and 5 of the certifications have been omitted.</w:t>
      </w:r>
    </w:p>
    <w:p>
      <w:pPr>
        <w:spacing w:after="0" w:line="15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Except as described above, no other changes have been made to the Original Form 10-K, and Amendment No. 1 does not modify, amend or update in any way any of the financial or other information contained in the Original Form 10-K. This Amendment No. 1 does not reflect events that may have occurred subsequent to the filing date of the Original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225"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The response to this portion of Item 15 was submitted as a separate section of the Original Form 10-K. Reference is made to the “Index to Consolidated Financial Statements and Financial Statement Schedules” on page 48 of the Original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The exhibits listed on the “Index to Exhibits” beginning on page 4 of this Amendment No. 1 are filed or furnished with this Amendment No. 1 or incorporated herein by reference as noted in the “Index to Exhibits.”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w:t>
      </w:r>
    </w:p>
    <w:p>
      <w:pPr>
        <w:spacing w:after="0" w:line="22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The financial statement schedule filed with the Original Form 10-K was submitted in a separate section of the Original Form 10-K. For a description of such financial statement schedules, see “Index to Consolidated Financial Statements and Financial Statement Schedules” on page 48 of the Original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10-K/A (Amendment No. 1)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720" w:val="left"/>
          <w:tab w:leader="none" w:pos="6520" w:val="left"/>
        </w:tabs>
        <w:rPr>
          <w:sz w:val="20"/>
          <w:szCs w:val="20"/>
          <w:color w:val="auto"/>
        </w:rPr>
      </w:pPr>
      <w:r>
        <w:rPr>
          <w:rFonts w:ascii="Arial" w:cs="Arial" w:eastAsia="Arial" w:hAnsi="Arial"/>
          <w:sz w:val="18"/>
          <w:szCs w:val="18"/>
          <w:color w:val="auto"/>
        </w:rPr>
        <w:t>Dated: November 21,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Printed Name: David C. Evans</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 and Executive Vice President,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Strategy and Business Development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3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8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3.1(a)</w:t>
            </w:r>
          </w:p>
        </w:tc>
        <w:tc>
          <w:tcPr>
            <w:tcW w:w="4880" w:type="dxa"/>
            <w:vAlign w:val="bottom"/>
          </w:tcPr>
          <w:p>
            <w:pPr>
              <w:ind w:left="20"/>
              <w:spacing w:after="0"/>
              <w:rPr>
                <w:sz w:val="20"/>
                <w:szCs w:val="20"/>
                <w:color w:val="auto"/>
              </w:rPr>
            </w:pPr>
            <w:r>
              <w:rPr>
                <w:rFonts w:ascii="Arial" w:cs="Arial" w:eastAsia="Arial" w:hAnsi="Arial"/>
                <w:sz w:val="18"/>
                <w:szCs w:val="18"/>
                <w:color w:val="auto"/>
              </w:rPr>
              <w:t>Initial  Articles  of  Incorporation  of  The  Scotts  Miracle-Gro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4"/>
              </w:rPr>
              <w:t>Company as filed with the Ohio Secretary of State on November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22, 2004</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880" w:type="dxa"/>
            <w:vAlign w:val="bottom"/>
          </w:tcPr>
          <w:p>
            <w:pPr>
              <w:ind w:left="20"/>
              <w:spacing w:after="0"/>
              <w:rPr>
                <w:sz w:val="20"/>
                <w:szCs w:val="20"/>
                <w:color w:val="auto"/>
              </w:rPr>
            </w:pPr>
            <w:r>
              <w:rPr>
                <w:rFonts w:ascii="Arial" w:cs="Arial" w:eastAsia="Arial" w:hAnsi="Arial"/>
                <w:sz w:val="18"/>
                <w:szCs w:val="18"/>
                <w:color w:val="auto"/>
              </w:rPr>
              <w:t>Certificate  of  Amendment  by  Shareholders  to  Articles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7"/>
              </w:rPr>
              <w:t>Incorporation of The Scotts Miracle-Gro Company as filed with</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the Ohio Secretary of State on March 18, 2005</w:t>
            </w:r>
          </w:p>
        </w:tc>
        <w:tc>
          <w:tcPr>
            <w:tcW w:w="0" w:type="dxa"/>
            <w:vAlign w:val="bottom"/>
          </w:tcPr>
          <w:p>
            <w:pPr>
              <w:spacing w:after="0"/>
              <w:rPr>
                <w:sz w:val="1"/>
                <w:szCs w:val="1"/>
                <w:color w:val="auto"/>
              </w:rPr>
            </w:pPr>
          </w:p>
        </w:tc>
      </w:tr>
      <w:tr>
        <w:trPr>
          <w:trHeight w:val="392"/>
        </w:trPr>
        <w:tc>
          <w:tcPr>
            <w:tcW w:w="136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Code of Regulations of The Scotts Miracle-Gro Company</w:t>
            </w:r>
          </w:p>
        </w:tc>
        <w:tc>
          <w:tcPr>
            <w:tcW w:w="0" w:type="dxa"/>
            <w:vAlign w:val="bottom"/>
          </w:tcPr>
          <w:p>
            <w:pPr>
              <w:spacing w:after="0"/>
              <w:rPr>
                <w:sz w:val="1"/>
                <w:szCs w:val="1"/>
                <w:color w:val="auto"/>
              </w:rPr>
            </w:pPr>
          </w:p>
        </w:tc>
      </w:tr>
      <w:tr>
        <w:trPr>
          <w:trHeight w:val="81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880" w:type="dxa"/>
            <w:vAlign w:val="bottom"/>
          </w:tcPr>
          <w:p>
            <w:pPr>
              <w:ind w:left="20"/>
              <w:spacing w:after="0"/>
              <w:rPr>
                <w:sz w:val="20"/>
                <w:szCs w:val="20"/>
                <w:color w:val="auto"/>
              </w:rPr>
            </w:pPr>
            <w:r>
              <w:rPr>
                <w:rFonts w:ascii="Arial" w:cs="Arial" w:eastAsia="Arial" w:hAnsi="Arial"/>
                <w:sz w:val="18"/>
                <w:szCs w:val="18"/>
                <w:color w:val="auto"/>
                <w:w w:val="91"/>
              </w:rPr>
              <w:t>Indenture, dated January 14, 2010, among The Scotts Miracle-Gro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Company, the guarantors from time to time party thereto and U.S.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Bank National Association, as trustee</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880" w:type="dxa"/>
            <w:vAlign w:val="bottom"/>
          </w:tcPr>
          <w:p>
            <w:pPr>
              <w:ind w:left="20"/>
              <w:spacing w:after="0"/>
              <w:rPr>
                <w:sz w:val="20"/>
                <w:szCs w:val="20"/>
                <w:color w:val="auto"/>
              </w:rPr>
            </w:pPr>
            <w:r>
              <w:rPr>
                <w:rFonts w:ascii="Arial" w:cs="Arial" w:eastAsia="Arial" w:hAnsi="Arial"/>
                <w:sz w:val="18"/>
                <w:szCs w:val="18"/>
                <w:color w:val="auto"/>
                <w:w w:val="91"/>
              </w:rPr>
              <w:t>First Supplemental Indenture, dated January 14, 2010, among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6"/>
              </w:rPr>
              <w:t>Scotts Miracle-Gro Company, the subsidiary guarantors named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therein and U.S. Bank National Association, as trustee</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880" w:type="dxa"/>
            <w:vAlign w:val="bottom"/>
          </w:tcPr>
          <w:p>
            <w:pPr>
              <w:ind w:left="20"/>
              <w:spacing w:after="0"/>
              <w:rPr>
                <w:sz w:val="20"/>
                <w:szCs w:val="20"/>
                <w:color w:val="auto"/>
              </w:rPr>
            </w:pPr>
            <w:r>
              <w:rPr>
                <w:rFonts w:ascii="Arial" w:cs="Arial" w:eastAsia="Arial" w:hAnsi="Arial"/>
                <w:sz w:val="18"/>
                <w:szCs w:val="18"/>
                <w:color w:val="auto"/>
                <w:w w:val="93"/>
              </w:rPr>
              <w:t>Second  Supplemental  Indenture,  dated  September  28,  2011,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among  The  Scotts  Miracle-Gro  Company,  the  subsidiary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guarantors named therein and U.S. Bank National Association, as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4.1(d)</w:t>
            </w:r>
          </w:p>
        </w:tc>
        <w:tc>
          <w:tcPr>
            <w:tcW w:w="4880" w:type="dxa"/>
            <w:vAlign w:val="bottom"/>
          </w:tcPr>
          <w:p>
            <w:pPr>
              <w:ind w:left="20"/>
              <w:spacing w:after="0"/>
              <w:rPr>
                <w:sz w:val="20"/>
                <w:szCs w:val="20"/>
                <w:color w:val="auto"/>
              </w:rPr>
            </w:pPr>
            <w:r>
              <w:rPr>
                <w:rFonts w:ascii="Arial" w:cs="Arial" w:eastAsia="Arial" w:hAnsi="Arial"/>
                <w:sz w:val="18"/>
                <w:szCs w:val="18"/>
                <w:color w:val="auto"/>
              </w:rPr>
              <w:t>Form of 7.25% Senior Notes due 2018</w:t>
            </w:r>
          </w:p>
        </w:tc>
        <w:tc>
          <w:tcPr>
            <w:tcW w:w="0" w:type="dxa"/>
            <w:vAlign w:val="bottom"/>
          </w:tcPr>
          <w:p>
            <w:pPr>
              <w:spacing w:after="0"/>
              <w:rPr>
                <w:sz w:val="1"/>
                <w:szCs w:val="1"/>
                <w:color w:val="auto"/>
              </w:rPr>
            </w:pPr>
          </w:p>
        </w:tc>
      </w:tr>
      <w:tr>
        <w:trPr>
          <w:trHeight w:val="81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4.2(a)</w:t>
            </w:r>
          </w:p>
        </w:tc>
        <w:tc>
          <w:tcPr>
            <w:tcW w:w="4880" w:type="dxa"/>
            <w:vAlign w:val="bottom"/>
          </w:tcPr>
          <w:p>
            <w:pPr>
              <w:ind w:left="20"/>
              <w:spacing w:after="0"/>
              <w:rPr>
                <w:sz w:val="20"/>
                <w:szCs w:val="20"/>
                <w:color w:val="auto"/>
              </w:rPr>
            </w:pPr>
            <w:r>
              <w:rPr>
                <w:rFonts w:ascii="Arial" w:cs="Arial" w:eastAsia="Arial" w:hAnsi="Arial"/>
                <w:sz w:val="18"/>
                <w:szCs w:val="18"/>
                <w:color w:val="auto"/>
                <w:w w:val="97"/>
              </w:rPr>
              <w:t>Indenture, dated as of December 16, 2010, by and among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Scotts Miracle-Gro Company, the Guarantors (as defined therein)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and U.S. Bank National Association, as trustee</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880" w:type="dxa"/>
            <w:vAlign w:val="bottom"/>
          </w:tcPr>
          <w:p>
            <w:pPr>
              <w:ind w:left="20"/>
              <w:spacing w:after="0"/>
              <w:rPr>
                <w:sz w:val="20"/>
                <w:szCs w:val="20"/>
                <w:color w:val="auto"/>
              </w:rPr>
            </w:pPr>
            <w:r>
              <w:rPr>
                <w:rFonts w:ascii="Arial" w:cs="Arial" w:eastAsia="Arial" w:hAnsi="Arial"/>
                <w:sz w:val="18"/>
                <w:szCs w:val="18"/>
                <w:color w:val="auto"/>
                <w:w w:val="91"/>
              </w:rPr>
              <w:t>First Supplemental Indenture, dated as of September 28, 2011, by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and among The Scotts Miracle-Gro Company, the Guarantors (as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4.2(c)</w:t>
            </w:r>
          </w:p>
        </w:tc>
        <w:tc>
          <w:tcPr>
            <w:tcW w:w="4880" w:type="dxa"/>
            <w:vAlign w:val="bottom"/>
          </w:tcPr>
          <w:p>
            <w:pPr>
              <w:ind w:left="20"/>
              <w:spacing w:after="0"/>
              <w:rPr>
                <w:sz w:val="20"/>
                <w:szCs w:val="20"/>
                <w:color w:val="auto"/>
              </w:rPr>
            </w:pPr>
            <w:r>
              <w:rPr>
                <w:rFonts w:ascii="Arial" w:cs="Arial" w:eastAsia="Arial" w:hAnsi="Arial"/>
                <w:sz w:val="18"/>
                <w:szCs w:val="18"/>
                <w:color w:val="auto"/>
              </w:rPr>
              <w:t>Form of 6.625% Senior Notes due 2020</w:t>
            </w:r>
          </w:p>
        </w:tc>
        <w:tc>
          <w:tcPr>
            <w:tcW w:w="0" w:type="dxa"/>
            <w:vAlign w:val="bottom"/>
          </w:tcPr>
          <w:p>
            <w:pPr>
              <w:spacing w:after="0"/>
              <w:rPr>
                <w:sz w:val="1"/>
                <w:szCs w:val="1"/>
                <w:color w:val="auto"/>
              </w:rPr>
            </w:pPr>
          </w:p>
        </w:tc>
      </w:tr>
      <w:tr>
        <w:trPr>
          <w:trHeight w:val="81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4.2(d)</w:t>
            </w:r>
          </w:p>
        </w:tc>
        <w:tc>
          <w:tcPr>
            <w:tcW w:w="4880" w:type="dxa"/>
            <w:vAlign w:val="bottom"/>
          </w:tcPr>
          <w:p>
            <w:pPr>
              <w:ind w:left="20"/>
              <w:spacing w:after="0"/>
              <w:rPr>
                <w:sz w:val="20"/>
                <w:szCs w:val="20"/>
                <w:color w:val="auto"/>
              </w:rPr>
            </w:pPr>
            <w:r>
              <w:rPr>
                <w:rFonts w:ascii="Arial" w:cs="Arial" w:eastAsia="Arial" w:hAnsi="Arial"/>
                <w:sz w:val="18"/>
                <w:szCs w:val="18"/>
                <w:color w:val="auto"/>
                <w:w w:val="94"/>
              </w:rPr>
              <w:t>Registration Rights Agreement, dated as of December 16, 2010,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4"/>
              </w:rPr>
              <w:t>by and among The Scotts Miracle-Gro Company, the guarantors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8"/>
              </w:rPr>
              <w:t>named  therein  and  Merrill  Lynch,  Pierce,  Fenner  &amp;  Smith</w:t>
            </w:r>
          </w:p>
        </w:tc>
        <w:tc>
          <w:tcPr>
            <w:tcW w:w="0" w:type="dxa"/>
            <w:vAlign w:val="bottom"/>
          </w:tcPr>
          <w:p>
            <w:pPr>
              <w:spacing w:after="0"/>
              <w:rPr>
                <w:sz w:val="1"/>
                <w:szCs w:val="1"/>
                <w:color w:val="auto"/>
              </w:rPr>
            </w:pPr>
          </w:p>
        </w:tc>
      </w:tr>
    </w:tbl>
    <w:p>
      <w:pPr>
        <w:ind w:left="1520" w:right="20"/>
        <w:spacing w:after="0" w:line="261" w:lineRule="auto"/>
        <w:rPr>
          <w:sz w:val="20"/>
          <w:szCs w:val="20"/>
          <w:color w:val="auto"/>
        </w:rPr>
      </w:pPr>
      <w:r>
        <w:rPr>
          <w:rFonts w:ascii="Arial" w:cs="Arial" w:eastAsia="Arial" w:hAnsi="Arial"/>
          <w:sz w:val="18"/>
          <w:szCs w:val="18"/>
          <w:color w:val="auto"/>
        </w:rPr>
        <w:t>Incorporated, as representative of the several initial purchasers named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3112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filed March 24, 2005 (File No. 1-11593) [Exhibit 3.1]</w:t>
      </w:r>
    </w:p>
    <w:p>
      <w:pPr>
        <w:spacing w:after="0" w:line="1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4.2]</w:t>
      </w:r>
    </w:p>
    <w:p>
      <w:pPr>
        <w:spacing w:after="0" w:line="3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4.1(c)]</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[Included in Exhibit 4.2]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4.1]</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4.2(b)]</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[Included in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4.3]</w:t>
      </w:r>
    </w:p>
    <w:p>
      <w:pPr>
        <w:spacing w:after="0" w:line="572" w:lineRule="exact"/>
        <w:rPr>
          <w:sz w:val="20"/>
          <w:szCs w:val="20"/>
          <w:color w:val="auto"/>
        </w:rPr>
      </w:pPr>
    </w:p>
    <w:p>
      <w:pPr>
        <w:sectPr>
          <w:pgSz w:w="11900" w:h="16838" w:orient="portrait"/>
          <w:cols w:equalWidth="0" w:num="2">
            <w:col w:w="6380" w:space="16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4.3</w:t>
            </w:r>
          </w:p>
        </w:tc>
        <w:tc>
          <w:tcPr>
            <w:tcW w:w="5460" w:type="dxa"/>
            <w:vAlign w:val="bottom"/>
          </w:tcPr>
          <w:p>
            <w:pPr>
              <w:ind w:left="620"/>
              <w:spacing w:after="0"/>
              <w:rPr>
                <w:sz w:val="20"/>
                <w:szCs w:val="20"/>
                <w:color w:val="auto"/>
              </w:rPr>
            </w:pPr>
            <w:r>
              <w:rPr>
                <w:rFonts w:ascii="Arial" w:cs="Arial" w:eastAsia="Arial" w:hAnsi="Arial"/>
                <w:sz w:val="18"/>
                <w:szCs w:val="18"/>
                <w:color w:val="auto"/>
                <w:w w:val="94"/>
              </w:rPr>
              <w:t>Agreement  to  furnish  copies  of  instruments  and  agreements</w:t>
            </w:r>
          </w:p>
        </w:tc>
      </w:tr>
      <w:tr>
        <w:trPr>
          <w:trHeight w:val="230"/>
        </w:trPr>
        <w:tc>
          <w:tcPr>
            <w:tcW w:w="860" w:type="dxa"/>
            <w:vAlign w:val="bottom"/>
          </w:tcPr>
          <w:p>
            <w:pPr>
              <w:spacing w:after="0"/>
              <w:rPr>
                <w:sz w:val="20"/>
                <w:szCs w:val="20"/>
                <w:color w:val="auto"/>
              </w:rPr>
            </w:pPr>
          </w:p>
        </w:tc>
        <w:tc>
          <w:tcPr>
            <w:tcW w:w="5460" w:type="dxa"/>
            <w:vAlign w:val="bottom"/>
          </w:tcPr>
          <w:p>
            <w:pPr>
              <w:ind w:left="620"/>
              <w:spacing w:after="0"/>
              <w:rPr>
                <w:sz w:val="20"/>
                <w:szCs w:val="20"/>
                <w:color w:val="auto"/>
              </w:rPr>
            </w:pPr>
            <w:r>
              <w:rPr>
                <w:rFonts w:ascii="Arial" w:cs="Arial" w:eastAsia="Arial" w:hAnsi="Arial"/>
                <w:sz w:val="18"/>
                <w:szCs w:val="18"/>
                <w:color w:val="auto"/>
              </w:rPr>
              <w:t>defining rights of holders of long-term debt</w:t>
            </w:r>
          </w:p>
        </w:tc>
      </w:tr>
    </w:tbl>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Incorporated herein by reference to the Registrant's Annual Report on Form 10-K for the fiscal year ended September 30, 2012 (which was filed on November 20, 2012) (File No. 1-11593) [Exhibit 4.3)]</w:t>
      </w:r>
    </w:p>
    <w:p>
      <w:pPr>
        <w:spacing w:after="0" w:line="200"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1" w:right="259" w:bottom="144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10.1(a)</w:t>
            </w:r>
          </w:p>
        </w:tc>
        <w:tc>
          <w:tcPr>
            <w:tcW w:w="5320" w:type="dxa"/>
            <w:vAlign w:val="bottom"/>
          </w:tcPr>
          <w:p>
            <w:pPr>
              <w:ind w:left="480"/>
              <w:spacing w:after="0"/>
              <w:rPr>
                <w:sz w:val="20"/>
                <w:szCs w:val="20"/>
                <w:color w:val="auto"/>
              </w:rPr>
            </w:pPr>
            <w:r>
              <w:rPr>
                <w:rFonts w:ascii="Arial" w:cs="Arial" w:eastAsia="Arial" w:hAnsi="Arial"/>
                <w:sz w:val="18"/>
                <w:szCs w:val="18"/>
                <w:color w:val="auto"/>
                <w:w w:val="89"/>
              </w:rPr>
              <w:t>Amended and Restated Agreement and Plan of Merger, dated as of</w:t>
            </w:r>
          </w:p>
        </w:tc>
      </w:tr>
      <w:tr>
        <w:trPr>
          <w:trHeight w:val="216"/>
        </w:trPr>
        <w:tc>
          <w:tcPr>
            <w:tcW w:w="1000" w:type="dxa"/>
            <w:vAlign w:val="bottom"/>
          </w:tcPr>
          <w:p>
            <w:pPr>
              <w:spacing w:after="0"/>
              <w:rPr>
                <w:sz w:val="18"/>
                <w:szCs w:val="18"/>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3"/>
              </w:rPr>
              <w:t>May 19, 1995, among Stern’s Miracle-Gro Products, Inc., Stern’s</w:t>
            </w:r>
          </w:p>
        </w:tc>
      </w:tr>
      <w:tr>
        <w:trPr>
          <w:trHeight w:val="230"/>
        </w:trPr>
        <w:tc>
          <w:tcPr>
            <w:tcW w:w="100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9"/>
              </w:rPr>
              <w:t>Nurseries, Inc., Miracle-Gro Lawn Products Inc., Miracle-Gro</w:t>
            </w:r>
          </w:p>
        </w:tc>
      </w:tr>
    </w:tbl>
    <w:p>
      <w:pPr>
        <w:jc w:val="both"/>
        <w:ind w:left="1520"/>
        <w:spacing w:after="0" w:line="254" w:lineRule="auto"/>
        <w:rPr>
          <w:sz w:val="20"/>
          <w:szCs w:val="20"/>
          <w:color w:val="auto"/>
        </w:rPr>
      </w:pPr>
      <w:r>
        <w:rPr>
          <w:rFonts w:ascii="Arial" w:cs="Arial" w:eastAsia="Arial" w:hAnsi="Arial"/>
          <w:sz w:val="18"/>
          <w:szCs w:val="18"/>
          <w:color w:val="auto"/>
        </w:rPr>
        <w:t>Products Limited, Hagedorn Partnership, L.P., the general partners of Hagedorn Partnership, L.P., Horace Hagedorn, Community Funds, Inc., and John Kenlon, The Scotts Company and ZYX Corporation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(File No. 0-19768) [Exhibit 2(b)]</w:t>
      </w:r>
    </w:p>
    <w:p>
      <w:pPr>
        <w:spacing w:after="0" w:line="1004" w:lineRule="exact"/>
        <w:rPr>
          <w:sz w:val="20"/>
          <w:szCs w:val="20"/>
          <w:color w:val="auto"/>
        </w:rPr>
      </w:pPr>
    </w:p>
    <w:p>
      <w:pPr>
        <w:sectPr>
          <w:pgSz w:w="11900" w:h="16838" w:orient="portrait"/>
          <w:cols w:equalWidth="0" w:num="2">
            <w:col w:w="6360" w:space="180"/>
            <w:col w:w="4860"/>
          </w:cols>
          <w:pgMar w:left="240" w:top="503" w:right="259" w:bottom="1440" w:gutter="0" w:footer="0" w:header="0"/>
        </w:sect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5320" w:type="dxa"/>
            <w:vAlign w:val="bottom"/>
          </w:tcPr>
          <w:p>
            <w:pPr>
              <w:ind w:left="480"/>
              <w:spacing w:after="0"/>
              <w:rPr>
                <w:sz w:val="20"/>
                <w:szCs w:val="20"/>
                <w:color w:val="auto"/>
              </w:rPr>
            </w:pPr>
            <w:r>
              <w:rPr>
                <w:rFonts w:ascii="Arial" w:cs="Arial" w:eastAsia="Arial" w:hAnsi="Arial"/>
                <w:sz w:val="18"/>
                <w:szCs w:val="18"/>
                <w:color w:val="auto"/>
                <w:w w:val="92"/>
              </w:rPr>
              <w:t>First Amendment to Amended and Restated Agreement and Plan</w:t>
            </w:r>
          </w:p>
        </w:tc>
      </w:tr>
      <w:tr>
        <w:trPr>
          <w:trHeight w:val="216"/>
        </w:trPr>
        <w:tc>
          <w:tcPr>
            <w:tcW w:w="1000" w:type="dxa"/>
            <w:vAlign w:val="bottom"/>
          </w:tcPr>
          <w:p>
            <w:pPr>
              <w:spacing w:after="0"/>
              <w:rPr>
                <w:sz w:val="18"/>
                <w:szCs w:val="18"/>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4"/>
              </w:rPr>
              <w:t>of Merger, made and entered into as of October 1, 1999, among</w:t>
            </w:r>
          </w:p>
        </w:tc>
      </w:tr>
      <w:tr>
        <w:trPr>
          <w:trHeight w:val="230"/>
        </w:trPr>
        <w:tc>
          <w:tcPr>
            <w:tcW w:w="100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4"/>
              </w:rPr>
              <w:t>The  Scotts  Company,  Scotts’  Miracle-Gro  Products,  Inc.  (as</w:t>
            </w:r>
          </w:p>
        </w:tc>
      </w:tr>
    </w:tbl>
    <w:p>
      <w:pPr>
        <w:jc w:val="both"/>
        <w:ind w:left="1520"/>
        <w:spacing w:after="0" w:line="252" w:lineRule="auto"/>
        <w:rPr>
          <w:sz w:val="20"/>
          <w:szCs w:val="20"/>
          <w:color w:val="auto"/>
        </w:rPr>
      </w:pPr>
      <w:r>
        <w:rPr>
          <w:rFonts w:ascii="Arial" w:cs="Arial" w:eastAsia="Arial" w:hAnsi="Arial"/>
          <w:sz w:val="18"/>
          <w:szCs w:val="18"/>
          <w:color w:val="auto"/>
        </w:rPr>
        <w:t>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(File No. 1-13292) [Exhibit 2]</w:t>
      </w:r>
    </w:p>
    <w:p>
      <w:pPr>
        <w:spacing w:after="0" w:line="1437"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10.2</w:t>
            </w:r>
          </w:p>
        </w:tc>
        <w:tc>
          <w:tcPr>
            <w:tcW w:w="5420" w:type="dxa"/>
            <w:vAlign w:val="bottom"/>
          </w:tcPr>
          <w:p>
            <w:pPr>
              <w:ind w:left="580"/>
              <w:spacing w:after="0"/>
              <w:rPr>
                <w:sz w:val="20"/>
                <w:szCs w:val="20"/>
                <w:color w:val="auto"/>
              </w:rPr>
            </w:pPr>
            <w:r>
              <w:rPr>
                <w:rFonts w:ascii="Arial" w:cs="Arial" w:eastAsia="Arial" w:hAnsi="Arial"/>
                <w:sz w:val="18"/>
                <w:szCs w:val="18"/>
                <w:color w:val="auto"/>
                <w:w w:val="88"/>
              </w:rPr>
              <w:t>Second Amended and Restated Credit Agreement, dated as of June</w:t>
            </w:r>
          </w:p>
        </w:tc>
      </w:tr>
      <w:tr>
        <w:trPr>
          <w:trHeight w:val="216"/>
        </w:trPr>
        <w:tc>
          <w:tcPr>
            <w:tcW w:w="900" w:type="dxa"/>
            <w:vAlign w:val="bottom"/>
          </w:tcPr>
          <w:p>
            <w:pPr>
              <w:spacing w:after="0"/>
              <w:rPr>
                <w:sz w:val="18"/>
                <w:szCs w:val="18"/>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w w:val="92"/>
              </w:rPr>
              <w:t>30, 2011, by and among The Scotts Miracle-Gro Company as the</w:t>
            </w:r>
          </w:p>
        </w:tc>
      </w:tr>
      <w:tr>
        <w:trPr>
          <w:trHeight w:val="216"/>
        </w:trPr>
        <w:tc>
          <w:tcPr>
            <w:tcW w:w="900" w:type="dxa"/>
            <w:vAlign w:val="bottom"/>
          </w:tcPr>
          <w:p>
            <w:pPr>
              <w:spacing w:after="0"/>
              <w:rPr>
                <w:sz w:val="18"/>
                <w:szCs w:val="18"/>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w w:val="96"/>
              </w:rPr>
              <w:t>“Borrower” the Subsidiary Borrowers (as defined in the Second</w:t>
            </w:r>
          </w:p>
        </w:tc>
      </w:tr>
      <w:tr>
        <w:trPr>
          <w:trHeight w:val="230"/>
        </w:trPr>
        <w:tc>
          <w:tcPr>
            <w:tcW w:w="900" w:type="dxa"/>
            <w:vAlign w:val="bottom"/>
          </w:tcPr>
          <w:p>
            <w:pPr>
              <w:spacing w:after="0"/>
              <w:rPr>
                <w:sz w:val="20"/>
                <w:szCs w:val="20"/>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w w:val="91"/>
              </w:rPr>
              <w:t>Amended and Restated Credit Agreement); the several banks and</w:t>
            </w:r>
          </w:p>
        </w:tc>
      </w:tr>
    </w:tbl>
    <w:p>
      <w:pPr>
        <w:jc w:val="both"/>
        <w:ind w:left="1520"/>
        <w:spacing w:after="0" w:line="252" w:lineRule="auto"/>
        <w:rPr>
          <w:sz w:val="20"/>
          <w:szCs w:val="20"/>
          <w:color w:val="auto"/>
        </w:rPr>
      </w:pPr>
      <w:r>
        <w:rPr>
          <w:rFonts w:ascii="Arial" w:cs="Arial" w:eastAsia="Arial" w:hAnsi="Arial"/>
          <w:sz w:val="18"/>
          <w:szCs w:val="18"/>
          <w:color w:val="auto"/>
        </w:rPr>
        <w:t>other financial institutions from time to time parties to the Second Amended and Restated Credit Agreement (the “Lenders”); Bank of America, N.A., as Syndication Agent; Cobank, ACB, BNP Paribas, Credit Agricole Corporate and Investment Bank, Rabobank Nederland, Citizens Bank of Pennsylvania, The Bank of Nova Scotia and Wells Fargo Bank, N.A., as Documentation Agents; and JPMorgan Chase Bank, N.A., as Administrative Agent</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4.1]</w:t>
      </w:r>
    </w:p>
    <w:p>
      <w:pPr>
        <w:spacing w:after="0" w:line="2243"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10.3</w:t>
            </w:r>
          </w:p>
        </w:tc>
        <w:tc>
          <w:tcPr>
            <w:tcW w:w="3260" w:type="dxa"/>
            <w:vAlign w:val="bottom"/>
          </w:tcPr>
          <w:p>
            <w:pPr>
              <w:ind w:left="580"/>
              <w:spacing w:after="0"/>
              <w:rPr>
                <w:sz w:val="20"/>
                <w:szCs w:val="20"/>
                <w:color w:val="auto"/>
              </w:rPr>
            </w:pPr>
            <w:r>
              <w:rPr>
                <w:rFonts w:ascii="Arial" w:cs="Arial" w:eastAsia="Arial" w:hAnsi="Arial"/>
                <w:sz w:val="18"/>
                <w:szCs w:val="18"/>
                <w:color w:val="auto"/>
                <w:w w:val="98"/>
              </w:rPr>
              <w:t>Second  Amended  and  Restated</w:t>
            </w:r>
          </w:p>
        </w:tc>
        <w:tc>
          <w:tcPr>
            <w:tcW w:w="2160" w:type="dxa"/>
            <w:vAlign w:val="bottom"/>
          </w:tcPr>
          <w:p>
            <w:pPr>
              <w:jc w:val="right"/>
              <w:spacing w:after="0"/>
              <w:rPr>
                <w:sz w:val="20"/>
                <w:szCs w:val="20"/>
                <w:color w:val="auto"/>
              </w:rPr>
            </w:pPr>
            <w:r>
              <w:rPr>
                <w:rFonts w:ascii="Arial" w:cs="Arial" w:eastAsia="Arial" w:hAnsi="Arial"/>
                <w:sz w:val="18"/>
                <w:szCs w:val="18"/>
                <w:color w:val="auto"/>
              </w:rPr>
              <w:t>Guarantee  and  Collateral</w:t>
            </w:r>
          </w:p>
        </w:tc>
      </w:tr>
      <w:tr>
        <w:trPr>
          <w:trHeight w:val="216"/>
        </w:trPr>
        <w:tc>
          <w:tcPr>
            <w:tcW w:w="900" w:type="dxa"/>
            <w:vAlign w:val="bottom"/>
          </w:tcPr>
          <w:p>
            <w:pPr>
              <w:spacing w:after="0"/>
              <w:rPr>
                <w:sz w:val="18"/>
                <w:szCs w:val="18"/>
                <w:color w:val="auto"/>
              </w:rPr>
            </w:pPr>
          </w:p>
        </w:tc>
        <w:tc>
          <w:tcPr>
            <w:tcW w:w="3260" w:type="dxa"/>
            <w:vAlign w:val="bottom"/>
          </w:tcPr>
          <w:p>
            <w:pPr>
              <w:ind w:left="580"/>
              <w:spacing w:after="0"/>
              <w:rPr>
                <w:sz w:val="20"/>
                <w:szCs w:val="20"/>
                <w:color w:val="auto"/>
              </w:rPr>
            </w:pPr>
            <w:r>
              <w:rPr>
                <w:rFonts w:ascii="Arial" w:cs="Arial" w:eastAsia="Arial" w:hAnsi="Arial"/>
                <w:sz w:val="18"/>
                <w:szCs w:val="18"/>
                <w:color w:val="auto"/>
              </w:rPr>
              <w:t>Agreement, dated as of June 30,</w:t>
            </w:r>
          </w:p>
        </w:tc>
        <w:tc>
          <w:tcPr>
            <w:tcW w:w="2160" w:type="dxa"/>
            <w:vAlign w:val="bottom"/>
          </w:tcPr>
          <w:p>
            <w:pPr>
              <w:jc w:val="right"/>
              <w:spacing w:after="0"/>
              <w:rPr>
                <w:sz w:val="20"/>
                <w:szCs w:val="20"/>
                <w:color w:val="auto"/>
              </w:rPr>
            </w:pPr>
            <w:r>
              <w:rPr>
                <w:rFonts w:ascii="Arial" w:cs="Arial" w:eastAsia="Arial" w:hAnsi="Arial"/>
                <w:sz w:val="18"/>
                <w:szCs w:val="18"/>
                <w:color w:val="auto"/>
              </w:rPr>
              <w:t>2011, made by The Scotts</w:t>
            </w:r>
          </w:p>
        </w:tc>
      </w:tr>
      <w:tr>
        <w:trPr>
          <w:trHeight w:val="216"/>
        </w:trPr>
        <w:tc>
          <w:tcPr>
            <w:tcW w:w="900" w:type="dxa"/>
            <w:vAlign w:val="bottom"/>
          </w:tcPr>
          <w:p>
            <w:pPr>
              <w:spacing w:after="0"/>
              <w:rPr>
                <w:sz w:val="18"/>
                <w:szCs w:val="18"/>
                <w:color w:val="auto"/>
              </w:rPr>
            </w:pP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Miracle-Gro Company, each domestic Subsidiary Borrower under</w:t>
            </w:r>
          </w:p>
        </w:tc>
      </w:tr>
      <w:tr>
        <w:trPr>
          <w:trHeight w:val="230"/>
        </w:trPr>
        <w:tc>
          <w:tcPr>
            <w:tcW w:w="900" w:type="dxa"/>
            <w:vAlign w:val="bottom"/>
          </w:tcPr>
          <w:p>
            <w:pPr>
              <w:spacing w:after="0"/>
              <w:rPr>
                <w:sz w:val="20"/>
                <w:szCs w:val="20"/>
                <w:color w:val="auto"/>
              </w:rPr>
            </w:pP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the Second Amended and Restated Credit Agreement, and certain</w:t>
            </w:r>
          </w:p>
        </w:tc>
      </w:tr>
    </w:tbl>
    <w:p>
      <w:pPr>
        <w:ind w:left="1520"/>
        <w:spacing w:after="0" w:line="261" w:lineRule="auto"/>
        <w:rPr>
          <w:sz w:val="20"/>
          <w:szCs w:val="20"/>
          <w:color w:val="auto"/>
        </w:rPr>
      </w:pPr>
      <w:r>
        <w:rPr>
          <w:rFonts w:ascii="Arial" w:cs="Arial" w:eastAsia="Arial" w:hAnsi="Arial"/>
          <w:sz w:val="18"/>
          <w:szCs w:val="18"/>
          <w:color w:val="auto"/>
        </w:rPr>
        <w:t>of its and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4.2]</w:t>
      </w:r>
    </w:p>
    <w:p>
      <w:pPr>
        <w:spacing w:after="0" w:line="947"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10.4(a)†</w:t>
            </w: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The Scotts Miracle-Gro Company Amended and Restated 1996</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Stock Option Plan (effective as of October 30, 2007)</w:t>
            </w:r>
          </w:p>
        </w:tc>
      </w:tr>
      <w:tr>
        <w:trPr>
          <w:trHeight w:val="593"/>
        </w:trPr>
        <w:tc>
          <w:tcPr>
            <w:tcW w:w="1120" w:type="dxa"/>
            <w:vAlign w:val="bottom"/>
          </w:tcPr>
          <w:p>
            <w:pPr>
              <w:spacing w:after="0"/>
              <w:rPr>
                <w:sz w:val="20"/>
                <w:szCs w:val="20"/>
                <w:color w:val="auto"/>
              </w:rPr>
            </w:pPr>
            <w:r>
              <w:rPr>
                <w:rFonts w:ascii="Arial" w:cs="Arial" w:eastAsia="Arial" w:hAnsi="Arial"/>
                <w:sz w:val="18"/>
                <w:szCs w:val="18"/>
                <w:color w:val="auto"/>
              </w:rPr>
              <w:t>10.4(b)†</w:t>
            </w:r>
          </w:p>
        </w:tc>
        <w:tc>
          <w:tcPr>
            <w:tcW w:w="5240" w:type="dxa"/>
            <w:vAlign w:val="bottom"/>
          </w:tcPr>
          <w:p>
            <w:pPr>
              <w:ind w:left="400"/>
              <w:spacing w:after="0"/>
              <w:rPr>
                <w:sz w:val="20"/>
                <w:szCs w:val="20"/>
                <w:color w:val="auto"/>
              </w:rPr>
            </w:pPr>
            <w:r>
              <w:rPr>
                <w:rFonts w:ascii="Arial" w:cs="Arial" w:eastAsia="Arial" w:hAnsi="Arial"/>
                <w:sz w:val="18"/>
                <w:szCs w:val="18"/>
                <w:color w:val="auto"/>
                <w:w w:val="99"/>
              </w:rPr>
              <w:t>Specimen form of Stock Option Agreement for Non-Qualified</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3"/>
              </w:rPr>
              <w:t>Stock Options granted to employees under The Scotts Company</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1996 Stock Option Plan (now known as The Scotts Miracle-Gro</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Company Amended and Restated 1996 Stock Option Plan)</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10.5(a)†</w:t>
            </w: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The Scotts Miracle-Gro Company Amended and Restated 2003</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Stock  Option  and  Incentive  Equity  Plan  (effective  as  of</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October 30, 2007)</w:t>
            </w:r>
          </w:p>
        </w:tc>
      </w:tr>
      <w:tr>
        <w:trPr>
          <w:trHeight w:val="377"/>
        </w:trPr>
        <w:tc>
          <w:tcPr>
            <w:tcW w:w="1120" w:type="dxa"/>
            <w:vAlign w:val="bottom"/>
          </w:tcPr>
          <w:p>
            <w:pPr>
              <w:ind w:left="40"/>
              <w:spacing w:after="0"/>
              <w:rPr>
                <w:sz w:val="20"/>
                <w:szCs w:val="20"/>
                <w:color w:val="auto"/>
              </w:rPr>
            </w:pPr>
            <w:r>
              <w:rPr>
                <w:rFonts w:ascii="Arial" w:cs="Arial" w:eastAsia="Arial" w:hAnsi="Arial"/>
                <w:sz w:val="18"/>
                <w:szCs w:val="18"/>
                <w:color w:val="auto"/>
              </w:rPr>
              <w:t>10.5(b)(i)</w:t>
            </w:r>
          </w:p>
        </w:tc>
        <w:tc>
          <w:tcPr>
            <w:tcW w:w="5240" w:type="dxa"/>
            <w:vAlign w:val="bottom"/>
          </w:tcPr>
          <w:p>
            <w:pPr>
              <w:ind w:left="400"/>
              <w:spacing w:after="0"/>
              <w:rPr>
                <w:sz w:val="20"/>
                <w:szCs w:val="20"/>
                <w:color w:val="auto"/>
              </w:rPr>
            </w:pPr>
            <w:r>
              <w:rPr>
                <w:rFonts w:ascii="Arial" w:cs="Arial" w:eastAsia="Arial" w:hAnsi="Arial"/>
                <w:sz w:val="18"/>
                <w:szCs w:val="18"/>
                <w:color w:val="auto"/>
                <w:w w:val="96"/>
              </w:rPr>
              <w:t>Specimen  form  of  Award  Agreement  for  Directors  used  to</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evidence grants of Nonqualified Stock Options made under The</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Scotts Company 2003 Stock Option and Incentive Equity Plan</w:t>
            </w:r>
          </w:p>
        </w:tc>
      </w:tr>
    </w:tbl>
    <w:p>
      <w:pPr>
        <w:jc w:val="both"/>
        <w:ind w:left="1520" w:right="20"/>
        <w:spacing w:after="0" w:line="255" w:lineRule="auto"/>
        <w:rPr>
          <w:sz w:val="20"/>
          <w:szCs w:val="20"/>
          <w:color w:val="auto"/>
        </w:rPr>
      </w:pPr>
      <w:r>
        <w:rPr>
          <w:rFonts w:ascii="Arial" w:cs="Arial" w:eastAsia="Arial" w:hAnsi="Arial"/>
          <w:sz w:val="18"/>
          <w:szCs w:val="18"/>
          <w:color w:val="auto"/>
        </w:rPr>
        <w:t>(now known as The Scotts Miracle-Gro Company Amended and Restated 2003 Stock Option and Incentive Equity Plan) [2003 version]</w:t>
      </w:r>
    </w:p>
    <w:p>
      <w:pPr>
        <w:spacing w:after="0" w:line="3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10(d)(4)]</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10.7]</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10(j)(3)]</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10.9]</w:t>
      </w:r>
    </w:p>
    <w:p>
      <w:pPr>
        <w:sectPr>
          <w:pgSz w:w="11900" w:h="16838" w:orient="portrait"/>
          <w:cols w:equalWidth="0" w:num="2">
            <w:col w:w="6360" w:space="180"/>
            <w:col w:w="4860"/>
          </w:cols>
          <w:pgMar w:left="240" w:top="503" w:right="259" w:bottom="1440" w:gutter="0" w:footer="0" w:header="0"/>
          <w:type w:val="continuous"/>
        </w:sectPr>
      </w:pPr>
    </w:p>
    <w:bookmarkStart w:id="5" w:name="page6"/>
    <w:bookmarkEnd w:id="5"/>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10.5(b)(ii)</w:t>
            </w:r>
          </w:p>
        </w:tc>
        <w:tc>
          <w:tcPr>
            <w:tcW w:w="5180" w:type="dxa"/>
            <w:vAlign w:val="bottom"/>
          </w:tcPr>
          <w:p>
            <w:pPr>
              <w:ind w:left="360"/>
              <w:spacing w:after="0"/>
              <w:rPr>
                <w:sz w:val="20"/>
                <w:szCs w:val="20"/>
                <w:color w:val="auto"/>
              </w:rPr>
            </w:pPr>
            <w:r>
              <w:rPr>
                <w:rFonts w:ascii="Arial" w:cs="Arial" w:eastAsia="Arial" w:hAnsi="Arial"/>
                <w:sz w:val="18"/>
                <w:szCs w:val="18"/>
                <w:color w:val="auto"/>
                <w:w w:val="96"/>
              </w:rPr>
              <w:t>Specimen  form  of  Award  Agreement  for  Directors  used  to</w:t>
            </w:r>
          </w:p>
        </w:tc>
      </w:tr>
      <w:tr>
        <w:trPr>
          <w:trHeight w:val="216"/>
        </w:trPr>
        <w:tc>
          <w:tcPr>
            <w:tcW w:w="11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4"/>
              </w:rPr>
              <w:t>evidence grants of Nonqualified Stock Options made under The</w:t>
            </w:r>
          </w:p>
        </w:tc>
      </w:tr>
      <w:tr>
        <w:trPr>
          <w:trHeight w:val="230"/>
        </w:trPr>
        <w:tc>
          <w:tcPr>
            <w:tcW w:w="112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6"/>
              </w:rPr>
              <w:t>Scotts Miracle-Gro Company 2003 Stock Option and Incentive</w:t>
            </w:r>
          </w:p>
        </w:tc>
      </w:tr>
    </w:tbl>
    <w:p>
      <w:pPr>
        <w:jc w:val="both"/>
        <w:ind w:left="1520"/>
        <w:spacing w:after="0" w:line="255" w:lineRule="auto"/>
        <w:rPr>
          <w:sz w:val="20"/>
          <w:szCs w:val="20"/>
          <w:color w:val="auto"/>
        </w:rPr>
      </w:pPr>
      <w:r>
        <w:rPr>
          <w:rFonts w:ascii="Arial" w:cs="Arial" w:eastAsia="Arial" w:hAnsi="Arial"/>
          <w:sz w:val="18"/>
          <w:szCs w:val="18"/>
          <w:color w:val="auto"/>
        </w:rPr>
        <w:t>Equity Plan (now known as The Scotts Miracle-Gro Company Amended and Restated 2003 Stock Option and Incentive Equity Plan) [post-2003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10(v)]</w:t>
      </w:r>
    </w:p>
    <w:p>
      <w:pPr>
        <w:spacing w:after="0" w:line="789" w:lineRule="exact"/>
        <w:rPr>
          <w:sz w:val="20"/>
          <w:szCs w:val="20"/>
          <w:color w:val="auto"/>
        </w:rPr>
      </w:pPr>
    </w:p>
    <w:p>
      <w:pPr>
        <w:sectPr>
          <w:pgSz w:w="11900" w:h="16838" w:orient="portrait"/>
          <w:cols w:equalWidth="0" w:num="2">
            <w:col w:w="6360" w:space="180"/>
            <w:col w:w="4860"/>
          </w:cols>
          <w:pgMar w:left="240" w:top="503"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10.5(c)(i)†</w:t>
            </w:r>
          </w:p>
        </w:tc>
        <w:tc>
          <w:tcPr>
            <w:tcW w:w="5180" w:type="dxa"/>
            <w:vAlign w:val="bottom"/>
          </w:tcPr>
          <w:p>
            <w:pPr>
              <w:ind w:left="360"/>
              <w:spacing w:after="0"/>
              <w:rPr>
                <w:sz w:val="20"/>
                <w:szCs w:val="20"/>
                <w:color w:val="auto"/>
              </w:rPr>
            </w:pPr>
            <w:r>
              <w:rPr>
                <w:rFonts w:ascii="Arial" w:cs="Arial" w:eastAsia="Arial" w:hAnsi="Arial"/>
                <w:sz w:val="18"/>
                <w:szCs w:val="18"/>
                <w:color w:val="auto"/>
                <w:w w:val="98"/>
              </w:rPr>
              <w:t>Specimen form of Award Agreement for Nondirectors used to</w:t>
            </w:r>
          </w:p>
        </w:tc>
      </w:tr>
      <w:tr>
        <w:trPr>
          <w:trHeight w:val="216"/>
        </w:trPr>
        <w:tc>
          <w:tcPr>
            <w:tcW w:w="116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5"/>
              </w:rPr>
              <w:t>evidence grants of Incentive Stock Options, Nonqualified Stock</w:t>
            </w:r>
          </w:p>
        </w:tc>
      </w:tr>
      <w:tr>
        <w:trPr>
          <w:trHeight w:val="216"/>
        </w:trPr>
        <w:tc>
          <w:tcPr>
            <w:tcW w:w="116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9"/>
              </w:rPr>
              <w:t>Options,  Stock  Appreciation  Rights,  Restricted  Stock  and</w:t>
            </w:r>
          </w:p>
        </w:tc>
      </w:tr>
      <w:tr>
        <w:trPr>
          <w:trHeight w:val="230"/>
        </w:trPr>
        <w:tc>
          <w:tcPr>
            <w:tcW w:w="116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1"/>
              </w:rPr>
              <w:t>Performance Stock made under The Scotts Company 2003 Stock</w:t>
            </w:r>
          </w:p>
        </w:tc>
      </w:tr>
    </w:tbl>
    <w:p>
      <w:pPr>
        <w:jc w:val="both"/>
        <w:ind w:left="1520"/>
        <w:spacing w:after="0" w:line="302" w:lineRule="auto"/>
        <w:rPr>
          <w:sz w:val="20"/>
          <w:szCs w:val="20"/>
          <w:color w:val="auto"/>
        </w:rPr>
      </w:pPr>
      <w:r>
        <w:rPr>
          <w:rFonts w:ascii="Arial" w:cs="Arial" w:eastAsia="Arial" w:hAnsi="Arial"/>
          <w:sz w:val="16"/>
          <w:szCs w:val="16"/>
          <w:color w:val="auto"/>
        </w:rPr>
        <w:t>Option and Incentive Equity Plan (now known as The Scotts Miracle-Gro Company Amended and Restated 2003 Stock Option and Incentive Equity Plan) [pre-December 1, 2004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10.8]</w:t>
      </w:r>
    </w:p>
    <w:p>
      <w:pPr>
        <w:spacing w:after="0" w:line="1005"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10.5(c)(ii)†</w:t>
      </w:r>
      <w:r>
        <w:rPr>
          <w:sz w:val="20"/>
          <w:szCs w:val="20"/>
          <w:color w:val="auto"/>
        </w:rPr>
        <w:tab/>
      </w:r>
      <w:r>
        <w:rPr>
          <w:rFonts w:ascii="Arial" w:cs="Arial" w:eastAsia="Arial" w:hAnsi="Arial"/>
          <w:sz w:val="17"/>
          <w:szCs w:val="17"/>
          <w:color w:val="auto"/>
        </w:rPr>
        <w:t>Specimen form of Award Agreement for Nondirectors used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evidence grants of Incentive Stock Options, Nonqualified Stock</w:t>
      </w:r>
    </w:p>
    <w:p>
      <w:pPr>
        <w:spacing w:after="0" w:line="21" w:lineRule="exact"/>
        <w:rPr>
          <w:sz w:val="20"/>
          <w:szCs w:val="20"/>
          <w:color w:val="auto"/>
        </w:rPr>
      </w:pPr>
    </w:p>
    <w:p>
      <w:pPr>
        <w:ind w:left="1520"/>
        <w:spacing w:after="0"/>
        <w:tabs>
          <w:tab w:leader="none" w:pos="2280" w:val="left"/>
          <w:tab w:leader="none" w:pos="2840" w:val="left"/>
          <w:tab w:leader="none" w:pos="3940" w:val="left"/>
          <w:tab w:leader="none" w:pos="4620" w:val="left"/>
          <w:tab w:leader="none" w:pos="5500" w:val="left"/>
          <w:tab w:leader="none" w:pos="6060" w:val="left"/>
        </w:tabs>
        <w:rPr>
          <w:sz w:val="20"/>
          <w:szCs w:val="20"/>
          <w:color w:val="auto"/>
        </w:rPr>
      </w:pPr>
      <w:r>
        <w:rPr>
          <w:rFonts w:ascii="Arial" w:cs="Arial" w:eastAsia="Arial" w:hAnsi="Arial"/>
          <w:sz w:val="18"/>
          <w:szCs w:val="18"/>
          <w:color w:val="auto"/>
        </w:rPr>
        <w:t>Options,</w:t>
        <w:tab/>
        <w:t>Stock</w:t>
        <w:tab/>
        <w:t>Appreciation</w:t>
        <w:tab/>
        <w:t>Rights,</w:t>
        <w:tab/>
        <w:t>Restricted</w:t>
        <w:tab/>
        <w:t>Stock</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Performance Shares made under The Scotts Miracle-Gro Company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2003 Stock Option and Incentive Equity Plan (now known as The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Scotts Miracle-Gro Company Amended and Restated 2003 Stock</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Option and Incentive Equity Plan) [effective December 1, 2004]</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10(u)]</w:t>
      </w:r>
    </w:p>
    <w:p>
      <w:pPr>
        <w:spacing w:after="0" w:line="1005"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10.6(a)(i)†</w:t>
            </w:r>
          </w:p>
        </w:tc>
        <w:tc>
          <w:tcPr>
            <w:tcW w:w="5180" w:type="dxa"/>
            <w:vAlign w:val="bottom"/>
          </w:tcPr>
          <w:p>
            <w:pPr>
              <w:ind w:left="340"/>
              <w:spacing w:after="0"/>
              <w:rPr>
                <w:sz w:val="20"/>
                <w:szCs w:val="20"/>
                <w:color w:val="auto"/>
              </w:rPr>
            </w:pPr>
            <w:r>
              <w:rPr>
                <w:rFonts w:ascii="Arial" w:cs="Arial" w:eastAsia="Arial" w:hAnsi="Arial"/>
                <w:sz w:val="18"/>
                <w:szCs w:val="18"/>
                <w:color w:val="auto"/>
                <w:w w:val="95"/>
              </w:rPr>
              <w:t>The Scotts Miracle-Gro Company Amended and Restated 2006</w:t>
            </w:r>
          </w:p>
        </w:tc>
      </w:tr>
      <w:tr>
        <w:trPr>
          <w:trHeight w:val="230"/>
        </w:trPr>
        <w:tc>
          <w:tcPr>
            <w:tcW w:w="118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Long-Term Incentive Plan (effective as of October 30, 2007)</w:t>
            </w:r>
          </w:p>
        </w:tc>
      </w:tr>
      <w:tr>
        <w:trPr>
          <w:trHeight w:val="593"/>
        </w:trPr>
        <w:tc>
          <w:tcPr>
            <w:tcW w:w="1180" w:type="dxa"/>
            <w:vAlign w:val="bottom"/>
          </w:tcPr>
          <w:p>
            <w:pPr>
              <w:spacing w:after="0"/>
              <w:rPr>
                <w:sz w:val="20"/>
                <w:szCs w:val="20"/>
                <w:color w:val="auto"/>
              </w:rPr>
            </w:pPr>
            <w:r>
              <w:rPr>
                <w:rFonts w:ascii="Arial" w:cs="Arial" w:eastAsia="Arial" w:hAnsi="Arial"/>
                <w:sz w:val="18"/>
                <w:szCs w:val="18"/>
                <w:color w:val="auto"/>
              </w:rPr>
              <w:t>10.6(a)(ii)†</w:t>
            </w:r>
          </w:p>
        </w:tc>
        <w:tc>
          <w:tcPr>
            <w:tcW w:w="5180" w:type="dxa"/>
            <w:vAlign w:val="bottom"/>
          </w:tcPr>
          <w:p>
            <w:pPr>
              <w:ind w:left="340"/>
              <w:spacing w:after="0"/>
              <w:rPr>
                <w:sz w:val="20"/>
                <w:szCs w:val="20"/>
                <w:color w:val="auto"/>
              </w:rPr>
            </w:pPr>
            <w:r>
              <w:rPr>
                <w:rFonts w:ascii="Arial" w:cs="Arial" w:eastAsia="Arial" w:hAnsi="Arial"/>
                <w:sz w:val="18"/>
                <w:szCs w:val="18"/>
                <w:color w:val="auto"/>
                <w:w w:val="94"/>
              </w:rPr>
              <w:t>First Amendment to The Scotts Miracle-Gro Company Amended</w:t>
            </w:r>
          </w:p>
        </w:tc>
      </w:tr>
      <w:tr>
        <w:trPr>
          <w:trHeight w:val="216"/>
        </w:trPr>
        <w:tc>
          <w:tcPr>
            <w:tcW w:w="118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9"/>
              </w:rPr>
              <w:t>and Restated 2006 Long-Term Incentive Plan (effective as of</w:t>
            </w:r>
          </w:p>
        </w:tc>
      </w:tr>
      <w:tr>
        <w:trPr>
          <w:trHeight w:val="230"/>
        </w:trPr>
        <w:tc>
          <w:tcPr>
            <w:tcW w:w="118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January 20, 2010)</w:t>
            </w:r>
          </w:p>
        </w:tc>
      </w:tr>
      <w:tr>
        <w:trPr>
          <w:trHeight w:val="377"/>
        </w:trPr>
        <w:tc>
          <w:tcPr>
            <w:tcW w:w="1180" w:type="dxa"/>
            <w:vAlign w:val="bottom"/>
          </w:tcPr>
          <w:p>
            <w:pPr>
              <w:ind w:left="40"/>
              <w:spacing w:after="0"/>
              <w:rPr>
                <w:sz w:val="20"/>
                <w:szCs w:val="20"/>
                <w:color w:val="auto"/>
              </w:rPr>
            </w:pPr>
            <w:r>
              <w:rPr>
                <w:rFonts w:ascii="Arial" w:cs="Arial" w:eastAsia="Arial" w:hAnsi="Arial"/>
                <w:sz w:val="18"/>
                <w:szCs w:val="18"/>
                <w:color w:val="auto"/>
              </w:rPr>
              <w:t>10.6(b)</w:t>
            </w:r>
          </w:p>
        </w:tc>
        <w:tc>
          <w:tcPr>
            <w:tcW w:w="5180" w:type="dxa"/>
            <w:vAlign w:val="bottom"/>
          </w:tcPr>
          <w:p>
            <w:pPr>
              <w:ind w:left="340"/>
              <w:spacing w:after="0"/>
              <w:rPr>
                <w:sz w:val="20"/>
                <w:szCs w:val="20"/>
                <w:color w:val="auto"/>
              </w:rPr>
            </w:pPr>
            <w:r>
              <w:rPr>
                <w:rFonts w:ascii="Arial" w:cs="Arial" w:eastAsia="Arial" w:hAnsi="Arial"/>
                <w:sz w:val="18"/>
                <w:szCs w:val="18"/>
                <w:color w:val="auto"/>
                <w:w w:val="94"/>
              </w:rPr>
              <w:t>Specimen form of Award Agreement for Nonemployee Directors</w:t>
            </w:r>
          </w:p>
        </w:tc>
      </w:tr>
      <w:tr>
        <w:trPr>
          <w:trHeight w:val="216"/>
        </w:trPr>
        <w:tc>
          <w:tcPr>
            <w:tcW w:w="118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5"/>
              </w:rPr>
              <w:t>used  to  evidence  grants  of  Time-Based  Nonqualified  Stock</w:t>
            </w:r>
          </w:p>
        </w:tc>
      </w:tr>
      <w:tr>
        <w:trPr>
          <w:trHeight w:val="230"/>
        </w:trPr>
        <w:tc>
          <w:tcPr>
            <w:tcW w:w="118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Options which may be made under The Scotts Miracle-Gro</w:t>
            </w:r>
          </w:p>
        </w:tc>
      </w:tr>
    </w:tbl>
    <w:p>
      <w:pPr>
        <w:jc w:val="both"/>
        <w:ind w:left="1520" w:right="20"/>
        <w:spacing w:after="0" w:line="255" w:lineRule="auto"/>
        <w:rPr>
          <w:sz w:val="20"/>
          <w:szCs w:val="20"/>
          <w:color w:val="auto"/>
        </w:rPr>
      </w:pPr>
      <w:r>
        <w:rPr>
          <w:rFonts w:ascii="Arial" w:cs="Arial" w:eastAsia="Arial" w:hAnsi="Arial"/>
          <w:sz w:val="18"/>
          <w:szCs w:val="18"/>
          <w:color w:val="auto"/>
        </w:rPr>
        <w:t>Company 2006 Long-Term Incentive Plan (now known as The Scotts Miracle-Gro Company Amended and Restated 2006 Long-Term Incentive Plan)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10(r)(2)]</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3, 2010 (File No. 1-11593) [Exhibit 10.1]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1-11593) [Exhibit 10.3]</w:t>
      </w:r>
    </w:p>
    <w:p>
      <w:pPr>
        <w:spacing w:after="0" w:line="789"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10.6(c)(i)</w:t>
            </w:r>
          </w:p>
        </w:tc>
        <w:tc>
          <w:tcPr>
            <w:tcW w:w="5240" w:type="dxa"/>
            <w:vAlign w:val="bottom"/>
          </w:tcPr>
          <w:p>
            <w:pPr>
              <w:ind w:left="40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0"/>
              </w:rPr>
              <w:t>to evidence grants of Deferred Stock Units made under The Scotts</w:t>
            </w:r>
          </w:p>
        </w:tc>
      </w:tr>
      <w:tr>
        <w:trPr>
          <w:trHeight w:val="230"/>
        </w:trPr>
        <w:tc>
          <w:tcPr>
            <w:tcW w:w="108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4"/>
              </w:rPr>
              <w:t>Miracle-Gro Company Amended and Restated 2006 Long-Term</w:t>
            </w:r>
          </w:p>
        </w:tc>
      </w:tr>
    </w:tbl>
    <w:p>
      <w:pPr>
        <w:ind w:left="1520" w:right="20"/>
        <w:spacing w:after="0" w:line="261" w:lineRule="auto"/>
        <w:rPr>
          <w:sz w:val="20"/>
          <w:szCs w:val="20"/>
          <w:color w:val="auto"/>
        </w:rPr>
      </w:pPr>
      <w:r>
        <w:rPr>
          <w:rFonts w:ascii="Arial" w:cs="Arial" w:eastAsia="Arial" w:hAnsi="Arial"/>
          <w:sz w:val="18"/>
          <w:szCs w:val="18"/>
          <w:color w:val="auto"/>
        </w:rPr>
        <w:t>Incentive Plan (February 4, 2008 through January 22, 2009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1-11593) [Exhibit 10(m)]</w:t>
      </w:r>
    </w:p>
    <w:p>
      <w:pPr>
        <w:spacing w:after="0" w:line="788"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10.6(c)(ii)</w:t>
            </w:r>
          </w:p>
        </w:tc>
        <w:tc>
          <w:tcPr>
            <w:tcW w:w="5200" w:type="dxa"/>
            <w:vAlign w:val="bottom"/>
          </w:tcPr>
          <w:p>
            <w:pPr>
              <w:ind w:left="38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3"/>
              </w:rPr>
              <w:t>under The Scotts Miracle-Gro Company Amended and Restated</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5"/>
              </w:rPr>
              <w:t>2006  Long-Term  Incentive  Plan  (January  23,  2009  through</w:t>
            </w:r>
          </w:p>
        </w:tc>
      </w:tr>
      <w:tr>
        <w:trPr>
          <w:trHeight w:val="230"/>
        </w:trPr>
        <w:tc>
          <w:tcPr>
            <w:tcW w:w="1100" w:type="dxa"/>
            <w:vAlign w:val="bottom"/>
          </w:tcPr>
          <w:p>
            <w:pPr>
              <w:spacing w:after="0"/>
              <w:rPr>
                <w:sz w:val="20"/>
                <w:szCs w:val="20"/>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January 19, 2012)</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2009 (File No. 1-11593) [Exhibit 10.1]</w:t>
      </w:r>
    </w:p>
    <w:p>
      <w:pPr>
        <w:spacing w:after="0" w:line="788" w:lineRule="exact"/>
        <w:rPr>
          <w:sz w:val="20"/>
          <w:szCs w:val="20"/>
          <w:color w:val="auto"/>
        </w:rPr>
      </w:pPr>
    </w:p>
    <w:p>
      <w:pPr>
        <w:sectPr>
          <w:pgSz w:w="11900" w:h="16838" w:orient="portrait"/>
          <w:cols w:equalWidth="0" w:num="2">
            <w:col w:w="6340" w:space="200"/>
            <w:col w:w="4860"/>
          </w:cols>
          <w:pgMar w:left="240" w:top="503"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10.6(c)(iii)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Nonemployee Directors (with Related Dividend Equivalents) used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to evidence grants of Deferred Stock Units which may be made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under The Scotts Miracle-Gro Company Amended and Restated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2006 Long-Term Incentive Plan (post-January 19, 2012 version)</w:t>
      </w:r>
    </w:p>
    <w:p>
      <w:pPr>
        <w:spacing w:after="0" w:line="200" w:lineRule="exact"/>
        <w:rPr>
          <w:sz w:val="20"/>
          <w:szCs w:val="20"/>
          <w:color w:val="auto"/>
        </w:rPr>
      </w:pP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10.4]</w:t>
      </w:r>
    </w:p>
    <w:p>
      <w:pPr>
        <w:sectPr>
          <w:pgSz w:w="11900" w:h="16838" w:orient="portrait"/>
          <w:cols w:equalWidth="0" w:num="2">
            <w:col w:w="6340" w:space="200"/>
            <w:col w:w="4860"/>
          </w:cols>
          <w:pgMar w:left="240" w:top="503" w:right="259" w:bottom="1440" w:gutter="0" w:footer="0" w:header="0"/>
          <w:type w:val="continuous"/>
        </w:sectPr>
      </w:pPr>
    </w:p>
    <w:bookmarkStart w:id="6" w:name="page7"/>
    <w:bookmarkEnd w:id="6"/>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10.6(c)(iv)</w:t>
            </w:r>
          </w:p>
        </w:tc>
        <w:tc>
          <w:tcPr>
            <w:tcW w:w="518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30"/>
        </w:trPr>
        <w:tc>
          <w:tcPr>
            <w:tcW w:w="112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bl>
    <w:p>
      <w:pPr>
        <w:jc w:val="both"/>
        <w:ind w:left="1520"/>
        <w:spacing w:after="0" w:line="254" w:lineRule="auto"/>
        <w:rPr>
          <w:sz w:val="20"/>
          <w:szCs w:val="20"/>
          <w:color w:val="auto"/>
        </w:rPr>
      </w:pPr>
      <w:r>
        <w:rPr>
          <w:rFonts w:ascii="Arial" w:cs="Arial" w:eastAsia="Arial" w:hAnsi="Arial"/>
          <w:sz w:val="18"/>
          <w:szCs w:val="18"/>
          <w:color w:val="auto"/>
        </w:rPr>
        <w:t>to evidence grants of Deferred Stock Units made on January 20, 2012 to Adam Hanft and William G. Jurgensen under The Scotts Miracle-Gro Company Amended and Restated Long-Term Incentive Plan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10.5]</w:t>
      </w:r>
    </w:p>
    <w:p>
      <w:pPr>
        <w:spacing w:after="0" w:line="802" w:lineRule="exact"/>
        <w:rPr>
          <w:sz w:val="20"/>
          <w:szCs w:val="20"/>
          <w:color w:val="auto"/>
        </w:rPr>
      </w:pPr>
    </w:p>
    <w:p>
      <w:pPr>
        <w:sectPr>
          <w:pgSz w:w="11900" w:h="16838" w:orient="portrait"/>
          <w:cols w:equalWidth="0" w:num="2">
            <w:col w:w="6360" w:space="180"/>
            <w:col w:w="4860"/>
          </w:cols>
          <w:pgMar w:left="240" w:top="503" w:right="259" w:bottom="1440" w:gutter="0" w:footer="0" w:header="0"/>
        </w:sect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10.6(d)(i)</w:t>
            </w:r>
          </w:p>
        </w:tc>
        <w:tc>
          <w:tcPr>
            <w:tcW w:w="5220" w:type="dxa"/>
            <w:vAlign w:val="bottom"/>
          </w:tcPr>
          <w:p>
            <w:pPr>
              <w:ind w:left="40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30"/>
        </w:trPr>
        <w:tc>
          <w:tcPr>
            <w:tcW w:w="108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2"/>
              </w:rPr>
              <w:t>Nonemployee Directors (with Related Dividend Equivalents) used</w:t>
            </w:r>
          </w:p>
        </w:tc>
      </w:tr>
    </w:tbl>
    <w:p>
      <w:pPr>
        <w:jc w:val="both"/>
        <w:ind w:left="1520"/>
        <w:spacing w:after="0" w:line="254" w:lineRule="auto"/>
        <w:rPr>
          <w:sz w:val="20"/>
          <w:szCs w:val="20"/>
          <w:color w:val="auto"/>
        </w:rPr>
      </w:pPr>
      <w:r>
        <w:rPr>
          <w:rFonts w:ascii="Arial" w:cs="Arial" w:eastAsia="Arial" w:hAnsi="Arial"/>
          <w:sz w:val="18"/>
          <w:szCs w:val="18"/>
          <w:color w:val="auto"/>
        </w:rPr>
        <w:t>to evidence grants of Deferred Stock Units made under The Scotts Miracle-Gro Company Amended and Restated 2006 Long-Term Incentive Plan (Deferral of Cash Retainer — January 22, 2010 through January 20, 2011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10.1]</w:t>
      </w:r>
    </w:p>
    <w:p>
      <w:pPr>
        <w:spacing w:after="0" w:line="788"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10.6(d)(ii)</w:t>
            </w:r>
          </w:p>
        </w:tc>
        <w:tc>
          <w:tcPr>
            <w:tcW w:w="518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30"/>
        </w:trPr>
        <w:tc>
          <w:tcPr>
            <w:tcW w:w="112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5"/>
              </w:rPr>
              <w:t>to evidence grants of Deferred Stock Units which may be made</w:t>
            </w:r>
          </w:p>
        </w:tc>
      </w:tr>
    </w:tbl>
    <w:p>
      <w:pPr>
        <w:jc w:val="both"/>
        <w:ind w:left="1520"/>
        <w:spacing w:after="0" w:line="255" w:lineRule="auto"/>
        <w:rPr>
          <w:sz w:val="20"/>
          <w:szCs w:val="20"/>
          <w:color w:val="auto"/>
        </w:rPr>
      </w:pPr>
      <w:r>
        <w:rPr>
          <w:rFonts w:ascii="Arial" w:cs="Arial" w:eastAsia="Arial" w:hAnsi="Arial"/>
          <w:sz w:val="18"/>
          <w:szCs w:val="18"/>
          <w:color w:val="auto"/>
        </w:rPr>
        <w:t>under The Scotts Miracle-Gro Company Amended and Restated 2006 Long-Term Incentive Plan (Deferral of Cash Retainer — January 21, 2011 through January 19, 2012)</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10.4]</w:t>
      </w:r>
    </w:p>
    <w:p>
      <w:pPr>
        <w:spacing w:after="0" w:line="789" w:lineRule="exact"/>
        <w:rPr>
          <w:sz w:val="20"/>
          <w:szCs w:val="20"/>
          <w:color w:val="auto"/>
        </w:rPr>
      </w:pPr>
    </w:p>
    <w:p>
      <w:pPr>
        <w:sectPr>
          <w:pgSz w:w="11900" w:h="16838" w:orient="portrait"/>
          <w:cols w:equalWidth="0" w:num="2">
            <w:col w:w="6340" w:space="200"/>
            <w:col w:w="4860"/>
          </w:cols>
          <w:pgMar w:left="240" w:top="503"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10.6(d)(iii)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Nonemployee Directors (with Related Dividend Equivalents) used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to evidence grants of Deferred Stock Units which may be made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under The Scotts Miracle-Gro Company Amended and Restated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2006 Long-Term Incentive Plan (Deferral of Cash Retainer - post-</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10.6]</w:t>
      </w:r>
    </w:p>
    <w:p>
      <w:pPr>
        <w:spacing w:after="0" w:line="802" w:lineRule="exact"/>
        <w:rPr>
          <w:sz w:val="20"/>
          <w:szCs w:val="20"/>
          <w:color w:val="auto"/>
        </w:rPr>
      </w:pPr>
    </w:p>
    <w:p>
      <w:pPr>
        <w:sectPr>
          <w:pgSz w:w="11900" w:h="16838" w:orient="portrait"/>
          <w:cols w:equalWidth="0" w:num="2">
            <w:col w:w="6340" w:space="200"/>
            <w:col w:w="4860"/>
          </w:cols>
          <w:pgMar w:left="24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10.6(e)†</w:t>
            </w:r>
          </w:p>
        </w:tc>
        <w:tc>
          <w:tcPr>
            <w:tcW w:w="5300" w:type="dxa"/>
            <w:vAlign w:val="bottom"/>
          </w:tcPr>
          <w:p>
            <w:pPr>
              <w:ind w:left="460"/>
              <w:spacing w:after="0"/>
              <w:rPr>
                <w:sz w:val="20"/>
                <w:szCs w:val="20"/>
                <w:color w:val="auto"/>
              </w:rPr>
            </w:pPr>
            <w:r>
              <w:rPr>
                <w:rFonts w:ascii="Arial" w:cs="Arial" w:eastAsia="Arial" w:hAnsi="Arial"/>
                <w:sz w:val="18"/>
                <w:szCs w:val="18"/>
                <w:color w:val="auto"/>
                <w:w w:val="95"/>
              </w:rPr>
              <w:t>Specimen form of Award Agreement used to evidence grants of</w:t>
            </w:r>
          </w:p>
        </w:tc>
      </w:tr>
      <w:tr>
        <w:trPr>
          <w:trHeight w:val="230"/>
        </w:trPr>
        <w:tc>
          <w:tcPr>
            <w:tcW w:w="106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4"/>
              </w:rPr>
              <w:t>Restricted Stock Units, Performance Shares, Nonqualified Stock</w:t>
            </w:r>
          </w:p>
        </w:tc>
      </w:tr>
    </w:tbl>
    <w:p>
      <w:pPr>
        <w:jc w:val="both"/>
        <w:ind w:left="1520" w:right="20"/>
        <w:spacing w:after="0" w:line="271" w:lineRule="auto"/>
        <w:rPr>
          <w:sz w:val="20"/>
          <w:szCs w:val="20"/>
          <w:color w:val="auto"/>
        </w:rPr>
      </w:pPr>
      <w:r>
        <w:rPr>
          <w:rFonts w:ascii="Arial" w:cs="Arial" w:eastAsia="Arial" w:hAnsi="Arial"/>
          <w:sz w:val="17"/>
          <w:szCs w:val="17"/>
          <w:color w:val="auto"/>
        </w:rPr>
        <w:t>Options, Incentive Stock Options, Restricted Stock and Stock Appreciation Rights made under The Scotts Miracle-Gro Company 2006 Long-Term Incentive Plan (now known as The Scotts Miracle-Gro Company Amended and Restated 2006 Long-Term Incentive Plan) [pre-October 30, 2007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1-11593) [Exhibit 10(b)]</w:t>
      </w:r>
    </w:p>
    <w:p>
      <w:pPr>
        <w:spacing w:after="0" w:line="1005"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10.6(f)(i)†</w:t>
            </w:r>
          </w:p>
        </w:tc>
        <w:tc>
          <w:tcPr>
            <w:tcW w:w="5200" w:type="dxa"/>
            <w:vAlign w:val="bottom"/>
          </w:tcPr>
          <w:p>
            <w:pPr>
              <w:ind w:left="380"/>
              <w:spacing w:after="0"/>
              <w:rPr>
                <w:sz w:val="20"/>
                <w:szCs w:val="20"/>
                <w:color w:val="auto"/>
              </w:rPr>
            </w:pPr>
            <w:r>
              <w:rPr>
                <w:rFonts w:ascii="Arial" w:cs="Arial" w:eastAsia="Arial" w:hAnsi="Arial"/>
                <w:sz w:val="18"/>
                <w:szCs w:val="18"/>
                <w:color w:val="auto"/>
                <w:w w:val="98"/>
              </w:rPr>
              <w:t>Specimen form of Restricted Stock Unit Award Agreement for</w:t>
            </w:r>
          </w:p>
        </w:tc>
      </w:tr>
      <w:tr>
        <w:trPr>
          <w:trHeight w:val="230"/>
        </w:trPr>
        <w:tc>
          <w:tcPr>
            <w:tcW w:w="1140" w:type="dxa"/>
            <w:vAlign w:val="bottom"/>
          </w:tcPr>
          <w:p>
            <w:pPr>
              <w:spacing w:after="0"/>
              <w:rPr>
                <w:sz w:val="20"/>
                <w:szCs w:val="20"/>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2"/>
              </w:rPr>
              <w:t>Employees (with Related Dividend Equivalents) used to evidence</w:t>
            </w:r>
          </w:p>
        </w:tc>
      </w:tr>
    </w:tbl>
    <w:p>
      <w:pPr>
        <w:jc w:val="both"/>
        <w:ind w:left="1520"/>
        <w:spacing w:after="0" w:line="254" w:lineRule="auto"/>
        <w:rPr>
          <w:sz w:val="20"/>
          <w:szCs w:val="20"/>
          <w:color w:val="auto"/>
        </w:rPr>
      </w:pPr>
      <w:r>
        <w:rPr>
          <w:rFonts w:ascii="Arial" w:cs="Arial" w:eastAsia="Arial" w:hAnsi="Arial"/>
          <w:sz w:val="18"/>
          <w:szCs w:val="18"/>
          <w:color w:val="auto"/>
        </w:rPr>
        <w:t>grants of Restricted Stock Units which may be made under The Scotts Miracle-Gro Company Amended and Restated 2006 Long-Term Incentive Plan (January 20, 2010 through January 19, 2012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10.2]</w:t>
      </w:r>
    </w:p>
    <w:p>
      <w:pPr>
        <w:spacing w:after="0" w:line="788"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10.6(f)(ii)</w:t>
      </w:r>
      <w:r>
        <w:rPr>
          <w:rFonts w:ascii="Arial" w:cs="Arial" w:eastAsia="Arial" w:hAnsi="Arial"/>
          <w:sz w:val="18"/>
          <w:szCs w:val="18"/>
          <w:color w:val="auto"/>
          <w:vertAlign w:val="superscript"/>
        </w:rPr>
        <w:t>†</w:t>
      </w:r>
      <w:r>
        <w:rPr>
          <w:sz w:val="20"/>
          <w:szCs w:val="20"/>
          <w:color w:val="auto"/>
        </w:rPr>
        <w:tab/>
      </w:r>
      <w:r>
        <w:rPr>
          <w:rFonts w:ascii="Arial" w:cs="Arial" w:eastAsia="Arial" w:hAnsi="Arial"/>
          <w:sz w:val="17"/>
          <w:szCs w:val="17"/>
          <w:color w:val="auto"/>
        </w:rPr>
        <w:t>Specimen form of Restricted Stock Unit Award Agreement for</w:t>
      </w:r>
    </w:p>
    <w:p>
      <w:pPr>
        <w:spacing w:after="0" w:line="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grants of Restricted Stock Units which may be made under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Miracle-Gro Company Amended and Restated 2006 Long-</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Term Incentive Plan (post-January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10.2]</w:t>
      </w:r>
    </w:p>
    <w:p>
      <w:pPr>
        <w:spacing w:after="0" w:line="586" w:lineRule="exact"/>
        <w:rPr>
          <w:sz w:val="20"/>
          <w:szCs w:val="20"/>
          <w:color w:val="auto"/>
        </w:rPr>
      </w:pPr>
    </w:p>
    <w:p>
      <w:pPr>
        <w:sectPr>
          <w:pgSz w:w="11900" w:h="16838" w:orient="portrait"/>
          <w:cols w:equalWidth="0" w:num="2">
            <w:col w:w="6340" w:space="200"/>
            <w:col w:w="4860"/>
          </w:cols>
          <w:pgMar w:left="24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10.6(g)(i)†</w:t>
            </w:r>
          </w:p>
        </w:tc>
        <w:tc>
          <w:tcPr>
            <w:tcW w:w="5180" w:type="dxa"/>
            <w:vAlign w:val="bottom"/>
          </w:tcPr>
          <w:p>
            <w:pPr>
              <w:ind w:left="360"/>
              <w:spacing w:after="0"/>
              <w:rPr>
                <w:sz w:val="20"/>
                <w:szCs w:val="20"/>
                <w:color w:val="auto"/>
              </w:rPr>
            </w:pPr>
            <w:r>
              <w:rPr>
                <w:rFonts w:ascii="Arial" w:cs="Arial" w:eastAsia="Arial" w:hAnsi="Arial"/>
                <w:sz w:val="18"/>
                <w:szCs w:val="18"/>
                <w:color w:val="auto"/>
                <w:w w:val="96"/>
              </w:rPr>
              <w:t>Specimen  form  of  Performance  Unit  Award  Agreement  for</w:t>
            </w:r>
          </w:p>
        </w:tc>
      </w:tr>
      <w:tr>
        <w:trPr>
          <w:trHeight w:val="230"/>
        </w:trPr>
        <w:tc>
          <w:tcPr>
            <w:tcW w:w="116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2"/>
              </w:rPr>
              <w:t>Employees (with Related Dividend Equivalents) used to evidence</w:t>
            </w:r>
          </w:p>
        </w:tc>
      </w:tr>
    </w:tbl>
    <w:p>
      <w:pPr>
        <w:jc w:val="both"/>
        <w:ind w:left="1520"/>
        <w:spacing w:after="0" w:line="254" w:lineRule="auto"/>
        <w:rPr>
          <w:sz w:val="20"/>
          <w:szCs w:val="20"/>
          <w:color w:val="auto"/>
        </w:rPr>
      </w:pPr>
      <w:r>
        <w:rPr>
          <w:rFonts w:ascii="Arial" w:cs="Arial" w:eastAsia="Arial" w:hAnsi="Arial"/>
          <w:sz w:val="18"/>
          <w:szCs w:val="18"/>
          <w:color w:val="auto"/>
        </w:rPr>
        <w:t>grants of Performance Units which may be made under The Scotts Miracle-Gro Company Amended and Restated 2006 Long-Term Incentive Plan (January 21, 2011 through January 19, 2012 version)</w:t>
      </w: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26, 2011 (File No. 1-11593) [Exhibit 10.1]</w:t>
      </w:r>
    </w:p>
    <w:p>
      <w:pPr>
        <w:sectPr>
          <w:pgSz w:w="11900" w:h="16838" w:orient="portrait"/>
          <w:cols w:equalWidth="0" w:num="2">
            <w:col w:w="6360" w:space="180"/>
            <w:col w:w="4860"/>
          </w:cols>
          <w:pgMar w:left="240" w:top="503" w:right="259" w:bottom="1440" w:gutter="0" w:footer="0" w:header="0"/>
          <w:type w:val="continuous"/>
        </w:sectPr>
      </w:pPr>
    </w:p>
    <w:bookmarkStart w:id="7" w:name="page8"/>
    <w:bookmarkEnd w:id="7"/>
    <w:p>
      <w:pPr>
        <w:spacing w:after="0"/>
        <w:tabs>
          <w:tab w:leader="none" w:pos="1500" w:val="left"/>
        </w:tabs>
        <w:rPr>
          <w:sz w:val="20"/>
          <w:szCs w:val="20"/>
          <w:color w:val="auto"/>
        </w:rPr>
      </w:pPr>
      <w:r>
        <w:rPr>
          <w:rFonts w:ascii="Arial" w:cs="Arial" w:eastAsia="Arial" w:hAnsi="Arial"/>
          <w:sz w:val="18"/>
          <w:szCs w:val="18"/>
          <w:color w:val="auto"/>
        </w:rPr>
        <w:t>10.6(g)(ii)</w:t>
      </w:r>
      <w:r>
        <w:rPr>
          <w:rFonts w:ascii="Arial" w:cs="Arial" w:eastAsia="Arial" w:hAnsi="Arial"/>
          <w:sz w:val="18"/>
          <w:szCs w:val="18"/>
          <w:color w:val="auto"/>
          <w:vertAlign w:val="superscript"/>
        </w:rPr>
        <w:t>†</w:t>
      </w:r>
      <w:r>
        <w:rPr>
          <w:sz w:val="20"/>
          <w:szCs w:val="20"/>
          <w:color w:val="auto"/>
        </w:rPr>
        <w:tab/>
      </w:r>
      <w:r>
        <w:rPr>
          <w:rFonts w:ascii="Arial" w:cs="Arial" w:eastAsia="Arial" w:hAnsi="Arial"/>
          <w:sz w:val="17"/>
          <w:szCs w:val="17"/>
          <w:color w:val="auto"/>
        </w:rPr>
        <w:t>Specimen  form  of  Performance  Unit  Award  Agreement  for</w:t>
      </w:r>
    </w:p>
    <w:p>
      <w:pPr>
        <w:spacing w:after="0" w:line="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grants of Performance Units which may be made under The Scotts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Miracle-Gro Company Amended and Restated 2006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 (post-January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10.1]</w:t>
      </w:r>
    </w:p>
    <w:p>
      <w:pPr>
        <w:spacing w:after="0" w:line="602" w:lineRule="exact"/>
        <w:rPr>
          <w:sz w:val="20"/>
          <w:szCs w:val="20"/>
          <w:color w:val="auto"/>
        </w:rPr>
      </w:pPr>
    </w:p>
    <w:p>
      <w:pPr>
        <w:sectPr>
          <w:pgSz w:w="11900" w:h="16838" w:orient="portrait"/>
          <w:cols w:equalWidth="0" w:num="2">
            <w:col w:w="6340" w:space="200"/>
            <w:col w:w="4860"/>
          </w:cols>
          <w:pgMar w:left="240" w:top="503" w:right="259" w:bottom="144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10.6(h)(i)†</w:t>
            </w: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Specimen form of Nonqualified Stock Option Award Agreement</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9"/>
              </w:rPr>
              <w:t>for Employees used to evidence grants of Nonqualified Stock</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Options made under The Scotts Miracle-Gro Company 2006</w:t>
            </w:r>
          </w:p>
        </w:tc>
      </w:tr>
      <w:tr>
        <w:trPr>
          <w:trHeight w:val="230"/>
        </w:trPr>
        <w:tc>
          <w:tcPr>
            <w:tcW w:w="116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Long-Term Incentive Plan (now known as The Scotts Miracle-Gro</w:t>
            </w:r>
          </w:p>
        </w:tc>
      </w:tr>
    </w:tbl>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[October 30, 2007 through October 8, 2008 version]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10(t)(3)]</w:t>
      </w:r>
    </w:p>
    <w:p>
      <w:pPr>
        <w:spacing w:after="0" w:line="788"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and Restated 2006 Long-Term Incentive Plan (October 9, 2008</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through January 19, 2010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10.7(f)(ii)]</w:t>
      </w:r>
    </w:p>
    <w:p>
      <w:pPr>
        <w:spacing w:after="0" w:line="572"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Options which may be made under The Scotts Miracle-Gro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20, 2010 through January 19, 2012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10.4]</w:t>
      </w:r>
    </w:p>
    <w:p>
      <w:pPr>
        <w:spacing w:after="0" w:line="572"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10.6(h)(iv)</w:t>
      </w:r>
      <w:r>
        <w:rPr>
          <w:rFonts w:ascii="Arial" w:cs="Arial" w:eastAsia="Arial" w:hAnsi="Arial"/>
          <w:sz w:val="18"/>
          <w:szCs w:val="18"/>
          <w:color w:val="auto"/>
          <w:vertAlign w:val="superscript"/>
        </w:rPr>
        <w:t>†</w:t>
      </w:r>
      <w:r>
        <w:rPr>
          <w:sz w:val="20"/>
          <w:szCs w:val="20"/>
          <w:color w:val="auto"/>
        </w:rPr>
        <w:tab/>
      </w:r>
      <w:r>
        <w:rPr>
          <w:rFonts w:ascii="Arial" w:cs="Arial" w:eastAsia="Arial" w:hAnsi="Arial"/>
          <w:sz w:val="17"/>
          <w:szCs w:val="17"/>
          <w:color w:val="auto"/>
        </w:rPr>
        <w:t>Specimen form of Nonqualified Stock Option Award Agreement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Options which may be made under The Scotts Miracle-Gro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(post-January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10.3]</w:t>
      </w:r>
    </w:p>
    <w:p>
      <w:pPr>
        <w:spacing w:after="0" w:line="602"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line="11" w:lineRule="exact"/>
        <w:rPr>
          <w:sz w:val="20"/>
          <w:szCs w:val="20"/>
          <w:color w:val="auto"/>
        </w:rPr>
      </w:pPr>
    </w:p>
    <w:p>
      <w:pPr>
        <w:spacing w:after="0"/>
        <w:tabs>
          <w:tab w:leader="none" w:pos="1500" w:val="left"/>
          <w:tab w:leader="none" w:pos="2020" w:val="left"/>
          <w:tab w:leader="none" w:pos="2720" w:val="left"/>
          <w:tab w:leader="none" w:pos="3660" w:val="left"/>
          <w:tab w:leader="none" w:pos="4260" w:val="left"/>
          <w:tab w:leader="none" w:pos="5200" w:val="left"/>
          <w:tab w:leader="none" w:pos="5700" w:val="left"/>
        </w:tabs>
        <w:rPr>
          <w:sz w:val="20"/>
          <w:szCs w:val="20"/>
          <w:color w:val="auto"/>
        </w:rPr>
      </w:pPr>
      <w:r>
        <w:rPr>
          <w:rFonts w:ascii="Arial" w:cs="Arial" w:eastAsia="Arial" w:hAnsi="Arial"/>
          <w:sz w:val="18"/>
          <w:szCs w:val="18"/>
          <w:color w:val="auto"/>
        </w:rPr>
        <w:t>10.7(a)(i)†</w:t>
      </w:r>
      <w:r>
        <w:rPr>
          <w:sz w:val="20"/>
          <w:szCs w:val="20"/>
          <w:color w:val="auto"/>
        </w:rPr>
        <w:tab/>
      </w:r>
      <w:r>
        <w:rPr>
          <w:rFonts w:ascii="Arial" w:cs="Arial" w:eastAsia="Arial" w:hAnsi="Arial"/>
          <w:sz w:val="18"/>
          <w:szCs w:val="18"/>
          <w:color w:val="auto"/>
        </w:rPr>
        <w:t>The</w:t>
        <w:tab/>
        <w:t>Scotts</w:t>
        <w:tab/>
        <w:t>Company</w:t>
        <w:tab/>
        <w:t>LLC</w:t>
        <w:tab/>
        <w:t>Amended</w:t>
        <w:tab/>
        <w:t>and</w:t>
      </w:r>
      <w:r>
        <w:rPr>
          <w:sz w:val="20"/>
          <w:szCs w:val="20"/>
          <w:color w:val="auto"/>
        </w:rPr>
        <w:tab/>
      </w:r>
      <w:r>
        <w:rPr>
          <w:rFonts w:ascii="Arial" w:cs="Arial" w:eastAsia="Arial" w:hAnsi="Arial"/>
          <w:sz w:val="15"/>
          <w:szCs w:val="15"/>
          <w:color w:val="auto"/>
        </w:rPr>
        <w:t>Restated</w:t>
      </w:r>
    </w:p>
    <w:p>
      <w:pPr>
        <w:spacing w:after="0" w:line="23" w:lineRule="exact"/>
        <w:rPr>
          <w:sz w:val="20"/>
          <w:szCs w:val="20"/>
          <w:color w:val="auto"/>
        </w:rPr>
      </w:pPr>
    </w:p>
    <w:p>
      <w:pPr>
        <w:ind w:left="1520" w:right="20"/>
        <w:spacing w:after="0" w:line="261" w:lineRule="auto"/>
        <w:rPr>
          <w:sz w:val="20"/>
          <w:szCs w:val="20"/>
          <w:color w:val="auto"/>
        </w:rPr>
      </w:pPr>
      <w:r>
        <w:rPr>
          <w:rFonts w:ascii="Arial" w:cs="Arial" w:eastAsia="Arial" w:hAnsi="Arial"/>
          <w:sz w:val="18"/>
          <w:szCs w:val="18"/>
          <w:color w:val="auto"/>
        </w:rPr>
        <w:t>Executive/Management Incentive Plan (approved on November 7, 2007 and effective as of October 30, 2007)</w:t>
      </w:r>
    </w:p>
    <w:p>
      <w:pPr>
        <w:spacing w:after="0" w:line="14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10.7(a)(ii)†</w:t>
      </w:r>
      <w:r>
        <w:rPr>
          <w:sz w:val="20"/>
          <w:szCs w:val="20"/>
          <w:color w:val="auto"/>
        </w:rPr>
        <w:tab/>
      </w:r>
      <w:r>
        <w:rPr>
          <w:rFonts w:ascii="Arial" w:cs="Arial" w:eastAsia="Arial" w:hAnsi="Arial"/>
          <w:sz w:val="16"/>
          <w:szCs w:val="16"/>
          <w:color w:val="auto"/>
        </w:rPr>
        <w:t>Amendment to The Scotts Company LLC Amended and Restated</w:t>
      </w:r>
    </w:p>
    <w:p>
      <w:pPr>
        <w:spacing w:after="0" w:line="23" w:lineRule="exact"/>
        <w:rPr>
          <w:sz w:val="20"/>
          <w:szCs w:val="20"/>
          <w:color w:val="auto"/>
        </w:rPr>
      </w:pPr>
    </w:p>
    <w:p>
      <w:pPr>
        <w:ind w:left="1520"/>
        <w:spacing w:after="0"/>
        <w:tabs>
          <w:tab w:leader="none" w:pos="3440" w:val="left"/>
          <w:tab w:leader="none" w:pos="4340" w:val="left"/>
          <w:tab w:leader="none" w:pos="4880" w:val="left"/>
          <w:tab w:leader="none" w:pos="5800" w:val="left"/>
          <w:tab w:leader="none" w:pos="6180" w:val="left"/>
        </w:tabs>
        <w:rPr>
          <w:sz w:val="20"/>
          <w:szCs w:val="20"/>
          <w:color w:val="auto"/>
        </w:rPr>
      </w:pPr>
      <w:r>
        <w:rPr>
          <w:rFonts w:ascii="Arial" w:cs="Arial" w:eastAsia="Arial" w:hAnsi="Arial"/>
          <w:sz w:val="18"/>
          <w:szCs w:val="18"/>
          <w:color w:val="auto"/>
        </w:rPr>
        <w:t>Executive/Management</w:t>
        <w:tab/>
        <w:t>Incentive</w:t>
        <w:tab/>
        <w:t>Plan</w:t>
        <w:tab/>
        <w:t>(effective</w:t>
        <w:tab/>
        <w:t>as</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November 5, 2008) [amended the name of the plan to be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Amended and Restated Executive Incentive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Plan]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10(b)(2)]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November 12, 2008 (File No. 1-11593) [Exhibit 10.2]</w:t>
      </w:r>
    </w:p>
    <w:p>
      <w:pPr>
        <w:spacing w:after="0" w:line="572"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10.7(b)(i)†</w:t>
            </w:r>
          </w:p>
        </w:tc>
        <w:tc>
          <w:tcPr>
            <w:tcW w:w="1640" w:type="dxa"/>
            <w:vAlign w:val="bottom"/>
          </w:tcPr>
          <w:p>
            <w:pPr>
              <w:ind w:left="360"/>
              <w:spacing w:after="0"/>
              <w:rPr>
                <w:sz w:val="20"/>
                <w:szCs w:val="20"/>
                <w:color w:val="auto"/>
              </w:rPr>
            </w:pPr>
            <w:r>
              <w:rPr>
                <w:rFonts w:ascii="Arial" w:cs="Arial" w:eastAsia="Arial" w:hAnsi="Arial"/>
                <w:sz w:val="18"/>
                <w:szCs w:val="18"/>
                <w:color w:val="auto"/>
              </w:rPr>
              <w:t>Specimen form</w:t>
            </w:r>
          </w:p>
        </w:tc>
        <w:tc>
          <w:tcPr>
            <w:tcW w:w="3540" w:type="dxa"/>
            <w:vAlign w:val="bottom"/>
          </w:tcPr>
          <w:p>
            <w:pPr>
              <w:jc w:val="right"/>
              <w:spacing w:after="0"/>
              <w:rPr>
                <w:sz w:val="20"/>
                <w:szCs w:val="20"/>
                <w:color w:val="auto"/>
              </w:rPr>
            </w:pPr>
            <w:r>
              <w:rPr>
                <w:rFonts w:ascii="Arial" w:cs="Arial" w:eastAsia="Arial" w:hAnsi="Arial"/>
                <w:sz w:val="18"/>
                <w:szCs w:val="18"/>
                <w:color w:val="auto"/>
                <w:w w:val="98"/>
              </w:rPr>
              <w:t>of Employee Confidentiality, Noncompetition,</w:t>
            </w:r>
          </w:p>
        </w:tc>
      </w:tr>
      <w:tr>
        <w:trPr>
          <w:trHeight w:val="216"/>
        </w:trPr>
        <w:tc>
          <w:tcPr>
            <w:tcW w:w="1160" w:type="dxa"/>
            <w:vAlign w:val="bottom"/>
          </w:tcPr>
          <w:p>
            <w:pPr>
              <w:spacing w:after="0"/>
              <w:rPr>
                <w:sz w:val="18"/>
                <w:szCs w:val="18"/>
                <w:color w:val="auto"/>
              </w:rPr>
            </w:pP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Nonsolicitation Agreement for employees participating in The</w:t>
            </w:r>
          </w:p>
        </w:tc>
      </w:tr>
      <w:tr>
        <w:trPr>
          <w:trHeight w:val="230"/>
        </w:trPr>
        <w:tc>
          <w:tcPr>
            <w:tcW w:w="1160" w:type="dxa"/>
            <w:vAlign w:val="bottom"/>
          </w:tcPr>
          <w:p>
            <w:pPr>
              <w:spacing w:after="0"/>
              <w:rPr>
                <w:sz w:val="20"/>
                <w:szCs w:val="20"/>
                <w:color w:val="auto"/>
              </w:rPr>
            </w:pPr>
          </w:p>
        </w:tc>
        <w:tc>
          <w:tcPr>
            <w:tcW w:w="1640" w:type="dxa"/>
            <w:vAlign w:val="bottom"/>
          </w:tcPr>
          <w:p>
            <w:pPr>
              <w:ind w:left="360"/>
              <w:spacing w:after="0"/>
              <w:rPr>
                <w:sz w:val="20"/>
                <w:szCs w:val="20"/>
                <w:color w:val="auto"/>
              </w:rPr>
            </w:pPr>
            <w:r>
              <w:rPr>
                <w:rFonts w:ascii="Arial" w:cs="Arial" w:eastAsia="Arial" w:hAnsi="Arial"/>
                <w:sz w:val="18"/>
                <w:szCs w:val="18"/>
                <w:color w:val="auto"/>
                <w:w w:val="91"/>
              </w:rPr>
              <w:t>Scotts  Company</w:t>
            </w:r>
          </w:p>
        </w:tc>
        <w:tc>
          <w:tcPr>
            <w:tcW w:w="3540" w:type="dxa"/>
            <w:vAlign w:val="bottom"/>
          </w:tcPr>
          <w:p>
            <w:pPr>
              <w:jc w:val="right"/>
              <w:spacing w:after="0"/>
              <w:rPr>
                <w:sz w:val="20"/>
                <w:szCs w:val="20"/>
                <w:color w:val="auto"/>
              </w:rPr>
            </w:pPr>
            <w:r>
              <w:rPr>
                <w:rFonts w:ascii="Arial" w:cs="Arial" w:eastAsia="Arial" w:hAnsi="Arial"/>
                <w:sz w:val="18"/>
                <w:szCs w:val="18"/>
                <w:color w:val="auto"/>
                <w:w w:val="96"/>
              </w:rPr>
              <w:t>Executive/Management  Incentive  Plan  (now</w:t>
            </w:r>
          </w:p>
        </w:tc>
      </w:tr>
    </w:tbl>
    <w:p>
      <w:pPr>
        <w:ind w:left="1520"/>
        <w:spacing w:after="0" w:line="261" w:lineRule="auto"/>
        <w:rPr>
          <w:sz w:val="20"/>
          <w:szCs w:val="20"/>
          <w:color w:val="auto"/>
        </w:rPr>
      </w:pPr>
      <w:r>
        <w:rPr>
          <w:rFonts w:ascii="Arial" w:cs="Arial" w:eastAsia="Arial" w:hAnsi="Arial"/>
          <w:sz w:val="18"/>
          <w:szCs w:val="18"/>
          <w:color w:val="auto"/>
        </w:rPr>
        <w:t>known as The Scotts Company LLC Amended and Restated Executive Incentive Plan) [2005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10.2(b)(i)]</w:t>
      </w:r>
    </w:p>
    <w:p>
      <w:pPr>
        <w:spacing w:after="0" w:line="572" w:lineRule="exact"/>
        <w:rPr>
          <w:sz w:val="20"/>
          <w:szCs w:val="20"/>
          <w:color w:val="auto"/>
        </w:rPr>
      </w:pPr>
    </w:p>
    <w:p>
      <w:pPr>
        <w:sectPr>
          <w:pgSz w:w="11900" w:h="16838" w:orient="portrait"/>
          <w:cols w:equalWidth="0" w:num="2">
            <w:col w:w="6340" w:space="200"/>
            <w:col w:w="4860"/>
          </w:cols>
          <w:pgMar w:left="240" w:top="503"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10.7(b)(ii)†</w:t>
      </w:r>
      <w:r>
        <w:rPr>
          <w:sz w:val="20"/>
          <w:szCs w:val="20"/>
          <w:color w:val="auto"/>
        </w:rPr>
        <w:tab/>
      </w:r>
      <w:r>
        <w:rPr>
          <w:rFonts w:ascii="Arial" w:cs="Arial" w:eastAsia="Arial" w:hAnsi="Arial"/>
          <w:sz w:val="17"/>
          <w:szCs w:val="17"/>
          <w:color w:val="auto"/>
        </w:rPr>
        <w:t>Specimen form of Employee Confidentiality, Noncompetition,</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Nonsolicitation Agreement for employees participating in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Executive/Management Incentive Plan (now</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known as The Scotts Company LLC Amended and Restated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Executive Incentive Plan) [post-2005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1-11593) [Exhibit 10.1]</w:t>
      </w:r>
    </w:p>
    <w:p>
      <w:pPr>
        <w:spacing w:after="0" w:line="572"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10.7(c)†</w:t>
            </w:r>
          </w:p>
        </w:tc>
        <w:tc>
          <w:tcPr>
            <w:tcW w:w="5280" w:type="dxa"/>
            <w:vAlign w:val="bottom"/>
          </w:tcPr>
          <w:p>
            <w:pPr>
              <w:ind w:left="460"/>
              <w:spacing w:after="0"/>
              <w:rPr>
                <w:sz w:val="20"/>
                <w:szCs w:val="20"/>
                <w:color w:val="auto"/>
              </w:rPr>
            </w:pPr>
            <w:r>
              <w:rPr>
                <w:rFonts w:ascii="Arial" w:cs="Arial" w:eastAsia="Arial" w:hAnsi="Arial"/>
                <w:sz w:val="18"/>
                <w:szCs w:val="18"/>
                <w:color w:val="auto"/>
                <w:w w:val="94"/>
              </w:rPr>
              <w:t>Executive Officers of The Scotts Miracle-Gro Company who are</w:t>
            </w:r>
          </w:p>
        </w:tc>
      </w:tr>
      <w:tr>
        <w:trPr>
          <w:trHeight w:val="230"/>
        </w:trPr>
        <w:tc>
          <w:tcPr>
            <w:tcW w:w="1060" w:type="dxa"/>
            <w:vAlign w:val="bottom"/>
          </w:tcPr>
          <w:p>
            <w:pPr>
              <w:spacing w:after="0"/>
              <w:rPr>
                <w:sz w:val="20"/>
                <w:szCs w:val="20"/>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rPr>
              <w:t>parties to form of Employee Confidentiality, Noncompetition,</w:t>
            </w:r>
          </w:p>
        </w:tc>
      </w:tr>
    </w:tbl>
    <w:p>
      <w:pPr>
        <w:jc w:val="both"/>
        <w:ind w:left="1520"/>
        <w:spacing w:after="0" w:line="255" w:lineRule="auto"/>
        <w:rPr>
          <w:sz w:val="20"/>
          <w:szCs w:val="20"/>
          <w:color w:val="auto"/>
        </w:rPr>
      </w:pPr>
      <w:r>
        <w:rPr>
          <w:rFonts w:ascii="Arial" w:cs="Arial" w:eastAsia="Arial" w:hAnsi="Arial"/>
          <w:sz w:val="18"/>
          <w:szCs w:val="18"/>
          <w:color w:val="auto"/>
        </w:rPr>
        <w:t>Nonsolicitation Agreement for employees participating in The Scotts Company LLC Amended and Restated Executive Incentive Plan</w:t>
      </w:r>
    </w:p>
    <w:p>
      <w:pPr>
        <w:spacing w:after="0" w:line="3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2012 (which was filed on November 20, 2012) (File No. 1-11593) [Exhibit 10.7(c)]</w:t>
      </w:r>
    </w:p>
    <w:p>
      <w:pPr>
        <w:sectPr>
          <w:pgSz w:w="11900" w:h="16838" w:orient="portrait"/>
          <w:cols w:equalWidth="0" w:num="2">
            <w:col w:w="6360" w:space="180"/>
            <w:col w:w="4860"/>
          </w:cols>
          <w:pgMar w:left="240" w:top="503" w:right="2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10.8(a)†</w:t>
            </w:r>
          </w:p>
        </w:tc>
        <w:tc>
          <w:tcPr>
            <w:tcW w:w="5240" w:type="dxa"/>
            <w:vAlign w:val="bottom"/>
          </w:tcPr>
          <w:p>
            <w:pPr>
              <w:ind w:left="400"/>
              <w:spacing w:after="0"/>
              <w:rPr>
                <w:sz w:val="20"/>
                <w:szCs w:val="20"/>
                <w:color w:val="auto"/>
              </w:rPr>
            </w:pPr>
            <w:r>
              <w:rPr>
                <w:rFonts w:ascii="Arial" w:cs="Arial" w:eastAsia="Arial" w:hAnsi="Arial"/>
                <w:sz w:val="18"/>
                <w:szCs w:val="18"/>
                <w:color w:val="auto"/>
                <w:w w:val="98"/>
              </w:rPr>
              <w:t>The  Scotts  Company  LLC  Executive  Retirement  Plan,  As</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89"/>
              </w:rPr>
              <w:t>Amended and Restated as of January 1, 2011 (executed December</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22, 2010)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10.8(b)†</w:t>
            </w:r>
          </w:p>
        </w:tc>
        <w:tc>
          <w:tcPr>
            <w:tcW w:w="5240" w:type="dxa"/>
            <w:vAlign w:val="bottom"/>
          </w:tcPr>
          <w:p>
            <w:pPr>
              <w:ind w:left="400"/>
              <w:spacing w:after="0"/>
              <w:rPr>
                <w:sz w:val="20"/>
                <w:szCs w:val="20"/>
                <w:color w:val="auto"/>
              </w:rPr>
            </w:pPr>
            <w:r>
              <w:rPr>
                <w:rFonts w:ascii="Arial" w:cs="Arial" w:eastAsia="Arial" w:hAnsi="Arial"/>
                <w:sz w:val="18"/>
                <w:szCs w:val="18"/>
                <w:color w:val="auto"/>
                <w:w w:val="94"/>
              </w:rPr>
              <w:t>Form of Executive Retirement Plan Retention Award Agreement</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4"/>
              </w:rPr>
              <w:t>between The Scotts Company LLC and each of David C. Evans,</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Barry W. Sanders, Denise S. Stump and Vincent C. Brockman</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(entered into on November 4, 2008)</w:t>
            </w:r>
          </w:p>
        </w:tc>
      </w:tr>
      <w:tr>
        <w:trPr>
          <w:trHeight w:val="377"/>
        </w:trPr>
        <w:tc>
          <w:tcPr>
            <w:tcW w:w="1120" w:type="dxa"/>
            <w:vAlign w:val="bottom"/>
          </w:tcPr>
          <w:p>
            <w:pPr>
              <w:ind w:left="40"/>
              <w:spacing w:after="0"/>
              <w:rPr>
                <w:sz w:val="20"/>
                <w:szCs w:val="20"/>
                <w:color w:val="auto"/>
              </w:rPr>
            </w:pPr>
            <w:r>
              <w:rPr>
                <w:rFonts w:ascii="Arial" w:cs="Arial" w:eastAsia="Arial" w:hAnsi="Arial"/>
                <w:sz w:val="18"/>
                <w:szCs w:val="18"/>
                <w:color w:val="auto"/>
              </w:rPr>
              <w:t>10.9</w:t>
            </w: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Summary of Compensation for Nonemployee Directors of The</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Scotts Miracle-Gro Company (effective as of January 22, 2010)</w:t>
            </w:r>
          </w:p>
        </w:tc>
      </w:tr>
      <w:tr>
        <w:trPr>
          <w:trHeight w:val="593"/>
        </w:trPr>
        <w:tc>
          <w:tcPr>
            <w:tcW w:w="1120" w:type="dxa"/>
            <w:vAlign w:val="bottom"/>
          </w:tcPr>
          <w:p>
            <w:pPr>
              <w:spacing w:after="0"/>
              <w:rPr>
                <w:sz w:val="20"/>
                <w:szCs w:val="20"/>
                <w:color w:val="auto"/>
              </w:rPr>
            </w:pPr>
            <w:r>
              <w:rPr>
                <w:rFonts w:ascii="Arial" w:cs="Arial" w:eastAsia="Arial" w:hAnsi="Arial"/>
                <w:sz w:val="18"/>
                <w:szCs w:val="18"/>
                <w:color w:val="auto"/>
              </w:rPr>
              <w:t>10.10(a)†</w:t>
            </w: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Employment Agreement, dated as of May 19, 1995, between The</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Scotts Company and James Hagedorn</w:t>
            </w:r>
          </w:p>
        </w:tc>
      </w:tr>
      <w:tr>
        <w:trPr>
          <w:trHeight w:val="593"/>
        </w:trPr>
        <w:tc>
          <w:tcPr>
            <w:tcW w:w="1120" w:type="dxa"/>
            <w:vAlign w:val="bottom"/>
          </w:tcPr>
          <w:p>
            <w:pPr>
              <w:spacing w:after="0"/>
              <w:rPr>
                <w:sz w:val="20"/>
                <w:szCs w:val="20"/>
                <w:color w:val="auto"/>
              </w:rPr>
            </w:pPr>
            <w:r>
              <w:rPr>
                <w:rFonts w:ascii="Arial" w:cs="Arial" w:eastAsia="Arial" w:hAnsi="Arial"/>
                <w:sz w:val="18"/>
                <w:szCs w:val="18"/>
                <w:color w:val="auto"/>
              </w:rPr>
              <w:t>10.10(b)†</w:t>
            </w:r>
          </w:p>
        </w:tc>
        <w:tc>
          <w:tcPr>
            <w:tcW w:w="5240" w:type="dxa"/>
            <w:vAlign w:val="bottom"/>
          </w:tcPr>
          <w:p>
            <w:pPr>
              <w:ind w:left="400"/>
              <w:spacing w:after="0"/>
              <w:rPr>
                <w:sz w:val="20"/>
                <w:szCs w:val="20"/>
                <w:color w:val="auto"/>
              </w:rPr>
            </w:pPr>
            <w:r>
              <w:rPr>
                <w:rFonts w:ascii="Arial" w:cs="Arial" w:eastAsia="Arial" w:hAnsi="Arial"/>
                <w:sz w:val="18"/>
                <w:szCs w:val="18"/>
                <w:color w:val="auto"/>
              </w:rPr>
              <w:t>Amendments to Employment Agreement by and among The</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9"/>
              </w:rPr>
              <w:t>Scotts Miracle-Gro Company, The Scotts Company LLC and</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6"/>
              </w:rPr>
              <w:t>James Hagedorn, effective as of October 1, 2008 (executed by</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Mr. Hagedorn on December 22, 2008 and on behalf of The Scotts</w:t>
            </w:r>
          </w:p>
        </w:tc>
      </w:tr>
    </w:tbl>
    <w:p>
      <w:pPr>
        <w:jc w:val="both"/>
        <w:ind w:left="1520"/>
        <w:spacing w:after="0" w:line="255" w:lineRule="auto"/>
        <w:rPr>
          <w:sz w:val="20"/>
          <w:szCs w:val="20"/>
          <w:color w:val="auto"/>
        </w:rPr>
      </w:pPr>
      <w:r>
        <w:rPr>
          <w:rFonts w:ascii="Arial" w:cs="Arial" w:eastAsia="Arial" w:hAnsi="Arial"/>
          <w:sz w:val="18"/>
          <w:szCs w:val="18"/>
          <w:color w:val="auto"/>
        </w:rPr>
        <w:t>Miracle-Gro Company and The Scotts Company LLC by Denise Stump on December 22, 2008 and Vincent C. Brockman on December 30, 2008)</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1-11593) [Exhibit 10.2]</w:t>
      </w:r>
    </w:p>
    <w:p>
      <w:pPr>
        <w:spacing w:after="0" w:line="3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3, 2010 (File No. 1-11593) [Exhibit 10.7]</w:t>
      </w:r>
    </w:p>
    <w:p>
      <w:pPr>
        <w:spacing w:after="0" w:line="14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Incorporated herein by reference to the Annual Report on Form 10-K of The Scotts Company, an Ohio corporation, for the fiscal year ended September 30, 1995 (File No. 1-11593) [Exhibit 10(p)]</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27, 2008 (File No. 1-11593) [Exhibit 10.16]</w:t>
      </w:r>
    </w:p>
    <w:p>
      <w:pPr>
        <w:spacing w:after="0" w:line="1005" w:lineRule="exact"/>
        <w:rPr>
          <w:sz w:val="20"/>
          <w:szCs w:val="20"/>
          <w:color w:val="auto"/>
        </w:rPr>
      </w:pPr>
    </w:p>
    <w:p>
      <w:pPr>
        <w:sectPr>
          <w:pgSz w:w="11900" w:h="16838" w:orient="portrait"/>
          <w:cols w:equalWidth="0" w:num="2">
            <w:col w:w="6360" w:space="180"/>
            <w:col w:w="4860"/>
          </w:cols>
          <w:pgMar w:left="240" w:top="503"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10.11(a)†</w:t>
            </w: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The Scotts Company LLC Executive Severance Plan, adopted on</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May 4, 2011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10.11(b)†</w:t>
            </w: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Form  of  Tier  1  Participation  Agreement  under  The  Scotts</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10.11(c)†</w:t>
            </w: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Executive Officers of The Scotts Miracle-Gro Company who are</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1"/>
              </w:rPr>
              <w:t>parties to form of Tier 1 Participation Agreement under The Scotts</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r>
    </w:tbl>
    <w:p>
      <w:pPr>
        <w:spacing w:after="0" w:line="20" w:lineRule="exact"/>
        <w:rPr>
          <w:sz w:val="20"/>
          <w:szCs w:val="20"/>
          <w:color w:val="auto"/>
        </w:rPr>
      </w:pPr>
      <w:r>
        <w:rPr>
          <w:sz w:val="20"/>
          <w:szCs w:val="20"/>
          <w:color w:val="auto"/>
        </w:rPr>
        <w:br w:type="column"/>
      </w:r>
    </w:p>
    <w:p>
      <w:pPr>
        <w:jc w:val="both"/>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May 10, 2011 (File No. 1-11593) [Exhibit 10.1]</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May 10, 2011 (File No. 1-11593) [Exhibit 10.2]</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2012 (which was filed on November 20, 2012) (File No. 1-11593) [Exhibit 10.11(c)]</w:t>
      </w:r>
    </w:p>
    <w:p>
      <w:pPr>
        <w:spacing w:after="0" w:line="200"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10.12(a)</w:t>
            </w: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Amended  and  Restated  Exclusive  Agency  and  Marketing</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Agreement,  effective  as  of  September  30,  1998,  between</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Monsanto Company and The Scotts Company LLC (as successor</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to The Scotts Company)</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10.12(b)</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10, 2005,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Scotts Company LLC (as successor to The Scotts Company)</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10.12(c)</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28, 2008,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Scotts Company LLC</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5280" w:type="dxa"/>
            <w:vAlign w:val="bottom"/>
          </w:tcPr>
          <w:p>
            <w:pPr>
              <w:ind w:left="440"/>
              <w:spacing w:after="0"/>
              <w:rPr>
                <w:sz w:val="20"/>
                <w:szCs w:val="20"/>
                <w:color w:val="auto"/>
              </w:rPr>
            </w:pPr>
            <w:r>
              <w:rPr>
                <w:rFonts w:ascii="Arial" w:cs="Arial" w:eastAsia="Arial" w:hAnsi="Arial"/>
                <w:sz w:val="18"/>
                <w:szCs w:val="18"/>
                <w:color w:val="auto"/>
                <w:w w:val="90"/>
              </w:rPr>
              <w:t>Purchase Agreement, dated as of December 13, 2010, among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Scotts Miracle-Gro Company, the subsidiary guarantors named</w:t>
            </w:r>
          </w:p>
        </w:tc>
      </w:tr>
    </w:tbl>
    <w:p>
      <w:pPr>
        <w:ind w:left="1520" w:right="20"/>
        <w:spacing w:after="0" w:line="323" w:lineRule="auto"/>
        <w:rPr>
          <w:sz w:val="20"/>
          <w:szCs w:val="20"/>
          <w:color w:val="auto"/>
        </w:rPr>
      </w:pPr>
      <w:r>
        <w:rPr>
          <w:rFonts w:ascii="Arial" w:cs="Arial" w:eastAsia="Arial" w:hAnsi="Arial"/>
          <w:sz w:val="16"/>
          <w:szCs w:val="16"/>
          <w:color w:val="auto"/>
        </w:rPr>
        <w:t>therein and Merrill Lynch, Pierce, Fenner &amp; Smith Incorporated, as representative of the several initial purchasers named therein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10(x)]</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 No. 1-11593) [Exhibit 10.17(b)]</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10.18(b)]</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10.1]</w:t>
      </w:r>
    </w:p>
    <w:p>
      <w:pPr>
        <w:spacing w:after="0" w:line="458" w:lineRule="exact"/>
        <w:rPr>
          <w:sz w:val="20"/>
          <w:szCs w:val="20"/>
          <w:color w:val="auto"/>
        </w:rPr>
      </w:pPr>
    </w:p>
    <w:p>
      <w:pPr>
        <w:sectPr>
          <w:pgSz w:w="11900" w:h="16838" w:orient="portrait"/>
          <w:cols w:equalWidth="0" w:num="2">
            <w:col w:w="6360" w:space="180"/>
            <w:col w:w="4860"/>
          </w:cols>
          <w:pgMar w:left="240" w:top="503" w:right="25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503"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10.14</w:t>
            </w:r>
          </w:p>
        </w:tc>
        <w:tc>
          <w:tcPr>
            <w:tcW w:w="5380" w:type="dxa"/>
            <w:vAlign w:val="bottom"/>
          </w:tcPr>
          <w:p>
            <w:pPr>
              <w:ind w:left="540"/>
              <w:spacing w:after="0"/>
              <w:rPr>
                <w:sz w:val="20"/>
                <w:szCs w:val="20"/>
                <w:color w:val="auto"/>
              </w:rPr>
            </w:pPr>
            <w:r>
              <w:rPr>
                <w:rFonts w:ascii="Arial" w:cs="Arial" w:eastAsia="Arial" w:hAnsi="Arial"/>
                <w:sz w:val="18"/>
                <w:szCs w:val="18"/>
                <w:color w:val="auto"/>
                <w:w w:val="96"/>
              </w:rPr>
              <w:t>Share and Business Sale Agreement, dated as of February 23,</w:t>
            </w:r>
          </w:p>
        </w:tc>
      </w:tr>
      <w:tr>
        <w:trPr>
          <w:trHeight w:val="216"/>
        </w:trPr>
        <w:tc>
          <w:tcPr>
            <w:tcW w:w="940" w:type="dxa"/>
            <w:vAlign w:val="bottom"/>
          </w:tcPr>
          <w:p>
            <w:pPr>
              <w:spacing w:after="0"/>
              <w:rPr>
                <w:sz w:val="18"/>
                <w:szCs w:val="18"/>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1"/>
              </w:rPr>
              <w:t>2011, by and among The Scotts Company LLC, as Seller, each of</w:t>
            </w:r>
          </w:p>
        </w:tc>
      </w:tr>
      <w:tr>
        <w:trPr>
          <w:trHeight w:val="216"/>
        </w:trPr>
        <w:tc>
          <w:tcPr>
            <w:tcW w:w="940" w:type="dxa"/>
            <w:vAlign w:val="bottom"/>
          </w:tcPr>
          <w:p>
            <w:pPr>
              <w:spacing w:after="0"/>
              <w:rPr>
                <w:sz w:val="18"/>
                <w:szCs w:val="18"/>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1"/>
              </w:rPr>
              <w:t>the Share Sellers and Business Sellers (as defined therein), Israel</w:t>
            </w:r>
          </w:p>
        </w:tc>
      </w:tr>
      <w:tr>
        <w:trPr>
          <w:trHeight w:val="230"/>
        </w:trPr>
        <w:tc>
          <w:tcPr>
            <w:tcW w:w="940" w:type="dxa"/>
            <w:vAlign w:val="bottom"/>
          </w:tcPr>
          <w:p>
            <w:pPr>
              <w:spacing w:after="0"/>
              <w:rPr>
                <w:sz w:val="20"/>
                <w:szCs w:val="20"/>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2"/>
              </w:rPr>
              <w:t>Chemicals Ltd., as Purchaser, each of the Share Purchasers and</w:t>
            </w:r>
          </w:p>
        </w:tc>
      </w:tr>
    </w:tbl>
    <w:p>
      <w:pPr>
        <w:ind w:left="1480" w:right="20"/>
        <w:spacing w:after="0" w:line="261" w:lineRule="auto"/>
        <w:rPr>
          <w:sz w:val="20"/>
          <w:szCs w:val="20"/>
          <w:color w:val="auto"/>
        </w:rPr>
      </w:pPr>
      <w:r>
        <w:rPr>
          <w:rFonts w:ascii="Arial" w:cs="Arial" w:eastAsia="Arial" w:hAnsi="Arial"/>
          <w:sz w:val="18"/>
          <w:szCs w:val="18"/>
          <w:color w:val="auto"/>
        </w:rPr>
        <w:t>Business Purchasers (as defined therein) and The Scotts Miracle-Gro Company, as Seller Guarantor</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1, 2011 (File No. 1-11593) [Exhibit 10.1]</w:t>
      </w:r>
    </w:p>
    <w:p>
      <w:pPr>
        <w:spacing w:after="0" w:line="788" w:lineRule="exact"/>
        <w:rPr>
          <w:sz w:val="20"/>
          <w:szCs w:val="20"/>
          <w:color w:val="auto"/>
        </w:rPr>
      </w:pPr>
    </w:p>
    <w:p>
      <w:pPr>
        <w:sectPr>
          <w:pgSz w:w="11900" w:h="16838" w:orient="portrait"/>
          <w:cols w:equalWidth="0" w:num="2">
            <w:col w:w="6320" w:space="180"/>
            <w:col w:w="4860"/>
          </w:cols>
          <w:pgMar w:left="280" w:top="503"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10.15</w:t>
            </w:r>
          </w:p>
        </w:tc>
        <w:tc>
          <w:tcPr>
            <w:tcW w:w="3500" w:type="dxa"/>
            <w:vAlign w:val="bottom"/>
          </w:tcPr>
          <w:p>
            <w:pPr>
              <w:ind w:left="540"/>
              <w:spacing w:after="0"/>
              <w:rPr>
                <w:sz w:val="20"/>
                <w:szCs w:val="20"/>
                <w:color w:val="auto"/>
              </w:rPr>
            </w:pPr>
            <w:r>
              <w:rPr>
                <w:rFonts w:ascii="Arial" w:cs="Arial" w:eastAsia="Arial" w:hAnsi="Arial"/>
                <w:sz w:val="18"/>
                <w:szCs w:val="18"/>
                <w:color w:val="auto"/>
                <w:w w:val="95"/>
              </w:rPr>
              <w:t>Master Accounts Receivable Purchase</w:t>
            </w:r>
          </w:p>
        </w:tc>
        <w:tc>
          <w:tcPr>
            <w:tcW w:w="940" w:type="dxa"/>
            <w:vAlign w:val="bottom"/>
          </w:tcPr>
          <w:p>
            <w:pPr>
              <w:ind w:left="60"/>
              <w:spacing w:after="0"/>
              <w:rPr>
                <w:sz w:val="20"/>
                <w:szCs w:val="20"/>
                <w:color w:val="auto"/>
              </w:rPr>
            </w:pPr>
            <w:r>
              <w:rPr>
                <w:rFonts w:ascii="Arial" w:cs="Arial" w:eastAsia="Arial" w:hAnsi="Arial"/>
                <w:sz w:val="18"/>
                <w:szCs w:val="18"/>
                <w:color w:val="auto"/>
                <w:w w:val="92"/>
              </w:rPr>
              <w:t>Agreement,</w:t>
            </w:r>
          </w:p>
        </w:tc>
        <w:tc>
          <w:tcPr>
            <w:tcW w:w="940" w:type="dxa"/>
            <w:vAlign w:val="bottom"/>
          </w:tcPr>
          <w:p>
            <w:pPr>
              <w:jc w:val="right"/>
              <w:spacing w:after="0"/>
              <w:rPr>
                <w:sz w:val="20"/>
                <w:szCs w:val="20"/>
                <w:color w:val="auto"/>
              </w:rPr>
            </w:pPr>
            <w:r>
              <w:rPr>
                <w:rFonts w:ascii="Arial" w:cs="Arial" w:eastAsia="Arial" w:hAnsi="Arial"/>
                <w:sz w:val="18"/>
                <w:szCs w:val="18"/>
                <w:color w:val="auto"/>
              </w:rPr>
              <w:t>dated as of</w:t>
            </w:r>
          </w:p>
        </w:tc>
      </w:tr>
      <w:tr>
        <w:trPr>
          <w:trHeight w:val="230"/>
        </w:trPr>
        <w:tc>
          <w:tcPr>
            <w:tcW w:w="940" w:type="dxa"/>
            <w:vAlign w:val="bottom"/>
          </w:tcPr>
          <w:p>
            <w:pPr>
              <w:spacing w:after="0"/>
              <w:rPr>
                <w:sz w:val="20"/>
                <w:szCs w:val="20"/>
                <w:color w:val="auto"/>
              </w:rPr>
            </w:pPr>
          </w:p>
        </w:tc>
        <w:tc>
          <w:tcPr>
            <w:tcW w:w="3500" w:type="dxa"/>
            <w:vAlign w:val="bottom"/>
          </w:tcPr>
          <w:p>
            <w:pPr>
              <w:ind w:left="540"/>
              <w:spacing w:after="0"/>
              <w:rPr>
                <w:sz w:val="20"/>
                <w:szCs w:val="20"/>
                <w:color w:val="auto"/>
              </w:rPr>
            </w:pPr>
            <w:r>
              <w:rPr>
                <w:rFonts w:ascii="Arial" w:cs="Arial" w:eastAsia="Arial" w:hAnsi="Arial"/>
                <w:sz w:val="18"/>
                <w:szCs w:val="18"/>
                <w:color w:val="auto"/>
              </w:rPr>
              <w:t>September 21, 2011, by and among</w:t>
            </w:r>
          </w:p>
        </w:tc>
        <w:tc>
          <w:tcPr>
            <w:tcW w:w="940" w:type="dxa"/>
            <w:vAlign w:val="bottom"/>
          </w:tcPr>
          <w:p>
            <w:pPr>
              <w:ind w:left="20"/>
              <w:spacing w:after="0"/>
              <w:rPr>
                <w:sz w:val="20"/>
                <w:szCs w:val="20"/>
                <w:color w:val="auto"/>
              </w:rPr>
            </w:pPr>
            <w:r>
              <w:rPr>
                <w:rFonts w:ascii="Arial" w:cs="Arial" w:eastAsia="Arial" w:hAnsi="Arial"/>
                <w:sz w:val="18"/>
                <w:szCs w:val="18"/>
                <w:color w:val="auto"/>
              </w:rPr>
              <w:t>The Scotts</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Miracle-Gro</w:t>
            </w:r>
          </w:p>
        </w:tc>
      </w:tr>
    </w:tbl>
    <w:p>
      <w:pPr>
        <w:jc w:val="both"/>
        <w:ind w:left="1480"/>
        <w:spacing w:after="0" w:line="254" w:lineRule="auto"/>
        <w:rPr>
          <w:sz w:val="20"/>
          <w:szCs w:val="20"/>
          <w:color w:val="auto"/>
        </w:rPr>
      </w:pPr>
      <w:r>
        <w:rPr>
          <w:rFonts w:ascii="Arial" w:cs="Arial" w:eastAsia="Arial" w:hAnsi="Arial"/>
          <w:sz w:val="18"/>
          <w:szCs w:val="18"/>
          <w:color w:val="auto"/>
        </w:rPr>
        <w:t>Company, The Scotts Company LLC, The Bank of Nova Scotia, Suntrust Bank, Mizuho Corporate Bank, Ltd. and Crédit Agricole Corporate &amp; Investment Bank, as Administrative Agent and as a Bank</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September 21, 2011 (File No. 1-11593) [Exhibit 10.1]</w:t>
      </w:r>
    </w:p>
    <w:p>
      <w:pPr>
        <w:spacing w:after="0" w:line="788" w:lineRule="exact"/>
        <w:rPr>
          <w:sz w:val="20"/>
          <w:szCs w:val="20"/>
          <w:color w:val="auto"/>
        </w:rPr>
      </w:pPr>
    </w:p>
    <w:p>
      <w:pPr>
        <w:sectPr>
          <w:pgSz w:w="11900" w:h="16838" w:orient="portrait"/>
          <w:cols w:equalWidth="0" w:num="2">
            <w:col w:w="6320" w:space="180"/>
            <w:col w:w="4860"/>
          </w:cols>
          <w:pgMar w:left="280" w:top="50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5180" w:type="dxa"/>
            <w:vAlign w:val="bottom"/>
          </w:tcPr>
          <w:p>
            <w:pPr>
              <w:ind w:left="340"/>
              <w:spacing w:after="0"/>
              <w:rPr>
                <w:sz w:val="20"/>
                <w:szCs w:val="20"/>
                <w:color w:val="auto"/>
              </w:rPr>
            </w:pPr>
            <w:r>
              <w:rPr>
                <w:rFonts w:ascii="Arial" w:cs="Arial" w:eastAsia="Arial" w:hAnsi="Arial"/>
                <w:sz w:val="18"/>
                <w:szCs w:val="18"/>
                <w:color w:val="auto"/>
                <w:w w:val="96"/>
              </w:rPr>
              <w:t>Master Accounts Receivable Purchase Agreement, dated as of</w:t>
            </w:r>
          </w:p>
        </w:tc>
      </w:tr>
      <w:tr>
        <w:trPr>
          <w:trHeight w:val="216"/>
        </w:trPr>
        <w:tc>
          <w:tcPr>
            <w:tcW w:w="114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November 15, 2012, by and among The Scotts Miracle-Gro</w:t>
            </w:r>
          </w:p>
        </w:tc>
      </w:tr>
      <w:tr>
        <w:trPr>
          <w:trHeight w:val="216"/>
        </w:trPr>
        <w:tc>
          <w:tcPr>
            <w:tcW w:w="114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5"/>
              </w:rPr>
              <w:t>Company, The Scotts Company LLC, The Bank of Nova Scotia,</w:t>
            </w:r>
          </w:p>
        </w:tc>
      </w:tr>
      <w:tr>
        <w:trPr>
          <w:trHeight w:val="216"/>
        </w:trPr>
        <w:tc>
          <w:tcPr>
            <w:tcW w:w="114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2"/>
              </w:rPr>
              <w:t>Suntrust Bank, RB Receivables LLC and Mizuho Corporate Bank,</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Ltd., as Administrative Agent and as a Bank</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12</w:t>
            </w:r>
          </w:p>
        </w:tc>
        <w:tc>
          <w:tcPr>
            <w:tcW w:w="518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1026"/>
        </w:trPr>
        <w:tc>
          <w:tcPr>
            <w:tcW w:w="1140" w:type="dxa"/>
            <w:vAlign w:val="bottom"/>
          </w:tcPr>
          <w:p>
            <w:pPr>
              <w:spacing w:after="0"/>
              <w:rPr>
                <w:sz w:val="20"/>
                <w:szCs w:val="20"/>
                <w:color w:val="auto"/>
              </w:rPr>
            </w:pPr>
            <w:r>
              <w:rPr>
                <w:rFonts w:ascii="Arial" w:cs="Arial" w:eastAsia="Arial" w:hAnsi="Arial"/>
                <w:sz w:val="18"/>
                <w:szCs w:val="18"/>
                <w:color w:val="auto"/>
              </w:rPr>
              <w:t>14</w:t>
            </w:r>
          </w:p>
        </w:tc>
        <w:tc>
          <w:tcPr>
            <w:tcW w:w="5180" w:type="dxa"/>
            <w:vAlign w:val="bottom"/>
          </w:tcPr>
          <w:p>
            <w:pPr>
              <w:ind w:left="340"/>
              <w:spacing w:after="0"/>
              <w:rPr>
                <w:sz w:val="20"/>
                <w:szCs w:val="20"/>
                <w:color w:val="auto"/>
              </w:rPr>
            </w:pPr>
            <w:r>
              <w:rPr>
                <w:rFonts w:ascii="Arial" w:cs="Arial" w:eastAsia="Arial" w:hAnsi="Arial"/>
                <w:sz w:val="18"/>
                <w:szCs w:val="18"/>
                <w:color w:val="auto"/>
                <w:w w:val="95"/>
              </w:rPr>
              <w:t>The Scotts Miracle-Gro Company Code of Business Conduct &amp;</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Ethics (as revised effective January 18, 2012)</w:t>
            </w:r>
          </w:p>
        </w:tc>
      </w:tr>
      <w:tr>
        <w:trPr>
          <w:trHeight w:val="608"/>
        </w:trPr>
        <w:tc>
          <w:tcPr>
            <w:tcW w:w="1140" w:type="dxa"/>
            <w:vAlign w:val="bottom"/>
          </w:tcPr>
          <w:p>
            <w:pPr>
              <w:spacing w:after="0"/>
              <w:rPr>
                <w:sz w:val="20"/>
                <w:szCs w:val="20"/>
                <w:color w:val="auto"/>
              </w:rPr>
            </w:pPr>
            <w:r>
              <w:rPr>
                <w:rFonts w:ascii="Arial" w:cs="Arial" w:eastAsia="Arial" w:hAnsi="Arial"/>
                <w:sz w:val="18"/>
                <w:szCs w:val="18"/>
                <w:color w:val="auto"/>
              </w:rPr>
              <w:t>21</w:t>
            </w:r>
          </w:p>
        </w:tc>
        <w:tc>
          <w:tcPr>
            <w:tcW w:w="5180" w:type="dxa"/>
            <w:vAlign w:val="bottom"/>
          </w:tcPr>
          <w:p>
            <w:pPr>
              <w:ind w:left="340"/>
              <w:spacing w:after="0"/>
              <w:rPr>
                <w:sz w:val="20"/>
                <w:szCs w:val="20"/>
                <w:color w:val="auto"/>
              </w:rPr>
            </w:pPr>
            <w:r>
              <w:rPr>
                <w:rFonts w:ascii="Arial" w:cs="Arial" w:eastAsia="Arial" w:hAnsi="Arial"/>
                <w:sz w:val="18"/>
                <w:szCs w:val="18"/>
                <w:color w:val="auto"/>
              </w:rPr>
              <w:t>Subsidiaries of The Scotts Miracle-Gro Company</w:t>
            </w:r>
          </w:p>
        </w:tc>
      </w:tr>
      <w:tr>
        <w:trPr>
          <w:trHeight w:val="1026"/>
        </w:trPr>
        <w:tc>
          <w:tcPr>
            <w:tcW w:w="1140" w:type="dxa"/>
            <w:vAlign w:val="bottom"/>
          </w:tcPr>
          <w:p>
            <w:pPr>
              <w:spacing w:after="0"/>
              <w:rPr>
                <w:sz w:val="20"/>
                <w:szCs w:val="20"/>
                <w:color w:val="auto"/>
              </w:rPr>
            </w:pPr>
            <w:r>
              <w:rPr>
                <w:rFonts w:ascii="Arial" w:cs="Arial" w:eastAsia="Arial" w:hAnsi="Arial"/>
                <w:sz w:val="18"/>
                <w:szCs w:val="18"/>
                <w:color w:val="auto"/>
              </w:rPr>
              <w:t>23</w:t>
            </w:r>
          </w:p>
        </w:tc>
        <w:tc>
          <w:tcPr>
            <w:tcW w:w="5180" w:type="dxa"/>
            <w:vAlign w:val="bottom"/>
          </w:tcPr>
          <w:p>
            <w:pPr>
              <w:ind w:left="340"/>
              <w:spacing w:after="0"/>
              <w:rPr>
                <w:sz w:val="20"/>
                <w:szCs w:val="20"/>
                <w:color w:val="auto"/>
              </w:rPr>
            </w:pPr>
            <w:r>
              <w:rPr>
                <w:rFonts w:ascii="Arial" w:cs="Arial" w:eastAsia="Arial" w:hAnsi="Arial"/>
                <w:sz w:val="18"/>
                <w:szCs w:val="18"/>
                <w:color w:val="auto"/>
                <w:w w:val="97"/>
              </w:rPr>
              <w:t>Consent of Independent Registered Public Accounting Firm —</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Deloitte &amp; Touche LLP</w:t>
            </w:r>
          </w:p>
        </w:tc>
      </w:tr>
      <w:tr>
        <w:trPr>
          <w:trHeight w:val="810"/>
        </w:trPr>
        <w:tc>
          <w:tcPr>
            <w:tcW w:w="1140" w:type="dxa"/>
            <w:vAlign w:val="bottom"/>
          </w:tcPr>
          <w:p>
            <w:pPr>
              <w:spacing w:after="0"/>
              <w:rPr>
                <w:sz w:val="20"/>
                <w:szCs w:val="20"/>
                <w:color w:val="auto"/>
              </w:rPr>
            </w:pPr>
            <w:r>
              <w:rPr>
                <w:rFonts w:ascii="Arial" w:cs="Arial" w:eastAsia="Arial" w:hAnsi="Arial"/>
                <w:sz w:val="18"/>
                <w:szCs w:val="18"/>
                <w:color w:val="auto"/>
              </w:rPr>
              <w:t>24</w:t>
            </w:r>
          </w:p>
        </w:tc>
        <w:tc>
          <w:tcPr>
            <w:tcW w:w="5180" w:type="dxa"/>
            <w:vAlign w:val="bottom"/>
          </w:tcPr>
          <w:p>
            <w:pPr>
              <w:ind w:left="340"/>
              <w:spacing w:after="0"/>
              <w:rPr>
                <w:sz w:val="20"/>
                <w:szCs w:val="20"/>
                <w:color w:val="auto"/>
              </w:rPr>
            </w:pPr>
            <w:r>
              <w:rPr>
                <w:rFonts w:ascii="Arial" w:cs="Arial" w:eastAsia="Arial" w:hAnsi="Arial"/>
                <w:sz w:val="18"/>
                <w:szCs w:val="18"/>
                <w:color w:val="auto"/>
                <w:w w:val="98"/>
              </w:rPr>
              <w:t>Powers of Attorney of Executive Officers and Directors of The</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Scotts Miracle-Gro Company</w:t>
            </w:r>
          </w:p>
        </w:tc>
      </w:tr>
      <w:tr>
        <w:trPr>
          <w:trHeight w:val="810"/>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5180" w:type="dxa"/>
            <w:vAlign w:val="bottom"/>
          </w:tcPr>
          <w:p>
            <w:pPr>
              <w:ind w:left="340"/>
              <w:spacing w:after="0"/>
              <w:rPr>
                <w:sz w:val="20"/>
                <w:szCs w:val="20"/>
                <w:color w:val="auto"/>
              </w:rPr>
            </w:pPr>
            <w:r>
              <w:rPr>
                <w:rFonts w:ascii="Arial" w:cs="Arial" w:eastAsia="Arial" w:hAnsi="Arial"/>
                <w:sz w:val="18"/>
                <w:szCs w:val="18"/>
                <w:color w:val="auto"/>
                <w:w w:val="97"/>
              </w:rPr>
              <w:t>Rule  13a-14(a)/15d-14(a)  Certifications  (Principal  Executive</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Officer)</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5180" w:type="dxa"/>
            <w:vAlign w:val="bottom"/>
          </w:tcPr>
          <w:p>
            <w:pPr>
              <w:ind w:left="340"/>
              <w:spacing w:after="0"/>
              <w:rPr>
                <w:sz w:val="20"/>
                <w:szCs w:val="20"/>
                <w:color w:val="auto"/>
              </w:rPr>
            </w:pPr>
            <w:r>
              <w:rPr>
                <w:rFonts w:ascii="Arial" w:cs="Arial" w:eastAsia="Arial" w:hAnsi="Arial"/>
                <w:sz w:val="18"/>
                <w:szCs w:val="18"/>
                <w:color w:val="auto"/>
                <w:w w:val="98"/>
              </w:rPr>
              <w:t>Rule  13a-14(a)/15d-14(a)  Certifications  (Principal  Financial</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Officer)</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5180" w:type="dxa"/>
            <w:vAlign w:val="bottom"/>
          </w:tcPr>
          <w:p>
            <w:pPr>
              <w:ind w:left="340"/>
              <w:spacing w:after="0"/>
              <w:rPr>
                <w:sz w:val="20"/>
                <w:szCs w:val="20"/>
                <w:color w:val="auto"/>
              </w:rPr>
            </w:pPr>
            <w:r>
              <w:rPr>
                <w:rFonts w:ascii="Arial" w:cs="Arial" w:eastAsia="Arial" w:hAnsi="Arial"/>
                <w:sz w:val="18"/>
                <w:szCs w:val="18"/>
                <w:color w:val="auto"/>
                <w:w w:val="96"/>
              </w:rPr>
              <w:t>Section  1350  Certifications  (Principal  Executive  Officer  and</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82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18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bl>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2012 (which was filed on November 20, 2012) (File No. 1-11593) [Exhibit 10.16]</w:t>
      </w:r>
    </w:p>
    <w:p>
      <w:pPr>
        <w:spacing w:after="0" w:line="3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Incorporated herein by reference to the Registrant's Annual Report on Form 10-K for the fiscal year ended September 30, 2012 (which was filed on November 20, 2012) (File No. 1-11593) [Exhibit 12]</w:t>
      </w: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24, 2012 (File No. 1-11593) [Exhibit 14.1]</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Incorporated herein by reference to the Registrant's Annual Report on Form 10-K for the fiscal year ended September 30, 2012 (which was filed on November 20, 2012) (File No. 1-11593) [Exhibit 21]</w:t>
      </w:r>
    </w:p>
    <w:p>
      <w:pPr>
        <w:spacing w:after="0" w:line="32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Incorporated herein by reference to the Registrant's Annual Report on Form 10-K for the fiscal year ended September 30, 2012 (which was filed on November 20, 2012) (File No. 1-11593) [Exhibit 23]</w:t>
      </w:r>
    </w:p>
    <w:p>
      <w:pPr>
        <w:spacing w:after="0" w:line="32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Incorporated herein by reference to the Registrant's Annual Report on Form 10-K for the fiscal year ended September 30, 2012 (which was filed on November 20, 2012) (File No. 1-11593) [Exhibit 24]</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Incorporated herein by reference to the Registrant's Annual Report on Form 10-K for the fiscal year ended September 30, 2012 (which was filed on November 20, 2012) (File No. 1-11593) [Exhibit 32]</w:t>
      </w: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2012 (which was filed on November 20, 2012) (File No. 1-11593) [Exhibit 101.INS]</w:t>
      </w:r>
    </w:p>
    <w:p>
      <w:pPr>
        <w:spacing w:after="0" w:line="200" w:lineRule="exact"/>
        <w:rPr>
          <w:sz w:val="20"/>
          <w:szCs w:val="20"/>
          <w:color w:val="auto"/>
        </w:rPr>
      </w:pPr>
    </w:p>
    <w:p>
      <w:pPr>
        <w:sectPr>
          <w:pgSz w:w="11900" w:h="16838" w:orient="portrait"/>
          <w:cols w:equalWidth="0" w:num="2">
            <w:col w:w="6320" w:space="180"/>
            <w:col w:w="4860"/>
          </w:cols>
          <w:pgMar w:left="280" w:top="503" w:right="259" w:bottom="1440" w:gutter="0" w:footer="0" w:header="0"/>
          <w:type w:val="continuous"/>
        </w:sect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80" w:top="503" w:right="259" w:bottom="1440" w:gutter="0" w:footer="0" w:header="0"/>
          <w:type w:val="continuous"/>
        </w:sectPr>
      </w:pPr>
    </w:p>
    <w:bookmarkStart w:id="10" w:name="page11"/>
    <w:bookmarkEnd w:id="10"/>
    <w:tbl>
      <w:tblPr>
        <w:tblLayout w:type="fixed"/>
        <w:tblInd w:w="5"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680" w:type="dxa"/>
            <w:vAlign w:val="bottom"/>
          </w:tcPr>
          <w:p>
            <w:pPr>
              <w:ind w:left="320"/>
              <w:spacing w:after="0"/>
              <w:rPr>
                <w:sz w:val="20"/>
                <w:szCs w:val="20"/>
                <w:color w:val="auto"/>
              </w:rPr>
            </w:pPr>
            <w:r>
              <w:rPr>
                <w:rFonts w:ascii="Arial" w:cs="Arial" w:eastAsia="Arial" w:hAnsi="Arial"/>
                <w:sz w:val="18"/>
                <w:szCs w:val="18"/>
                <w:color w:val="auto"/>
              </w:rPr>
              <w:t>XBRL Taxonomy Extension Schema</w:t>
            </w:r>
          </w:p>
        </w:tc>
        <w:tc>
          <w:tcPr>
            <w:tcW w:w="5520" w:type="dxa"/>
            <w:vAlign w:val="bottom"/>
          </w:tcPr>
          <w:p>
            <w:pPr>
              <w:ind w:left="660"/>
              <w:spacing w:after="0"/>
              <w:rPr>
                <w:sz w:val="20"/>
                <w:szCs w:val="20"/>
                <w:color w:val="auto"/>
              </w:rPr>
            </w:pPr>
            <w:r>
              <w:rPr>
                <w:rFonts w:ascii="Arial" w:cs="Arial" w:eastAsia="Arial" w:hAnsi="Arial"/>
                <w:sz w:val="18"/>
                <w:szCs w:val="18"/>
                <w:color w:val="auto"/>
                <w:w w:val="91"/>
              </w:rPr>
              <w:t>Incorporated herein by reference to the Registrant's Annual Report</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w w:val="90"/>
              </w:rPr>
              <w:t>on Form 10-K for the fiscal year ended September 30, 2012 (which</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was filed on November 20, 2012) (File No. 1-11593) [Exhibit</w:t>
            </w:r>
          </w:p>
        </w:tc>
      </w:tr>
      <w:tr>
        <w:trPr>
          <w:trHeight w:val="230"/>
        </w:trPr>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101.SCH]</w:t>
            </w:r>
          </w:p>
        </w:tc>
      </w:tr>
      <w:tr>
        <w:trPr>
          <w:trHeight w:val="59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68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w:t>
            </w:r>
          </w:p>
        </w:tc>
        <w:tc>
          <w:tcPr>
            <w:tcW w:w="5520" w:type="dxa"/>
            <w:vAlign w:val="bottom"/>
          </w:tcPr>
          <w:p>
            <w:pPr>
              <w:ind w:left="660"/>
              <w:spacing w:after="0"/>
              <w:rPr>
                <w:sz w:val="20"/>
                <w:szCs w:val="20"/>
                <w:color w:val="auto"/>
              </w:rPr>
            </w:pPr>
            <w:r>
              <w:rPr>
                <w:rFonts w:ascii="Arial" w:cs="Arial" w:eastAsia="Arial" w:hAnsi="Arial"/>
                <w:sz w:val="18"/>
                <w:szCs w:val="18"/>
                <w:color w:val="auto"/>
                <w:w w:val="91"/>
              </w:rPr>
              <w:t>Incorporated herein by reference to the Registrant's Annual Report</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w w:val="90"/>
              </w:rPr>
              <w:t>on Form 10-K for the fiscal year ended September 30, 2012 (which</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was filed on November 20, 2012) (File No. 1-11593) [Exhibit</w:t>
            </w:r>
          </w:p>
        </w:tc>
      </w:tr>
      <w:tr>
        <w:trPr>
          <w:trHeight w:val="230"/>
        </w:trPr>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101.CAL]</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68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w:t>
            </w:r>
          </w:p>
        </w:tc>
        <w:tc>
          <w:tcPr>
            <w:tcW w:w="5520" w:type="dxa"/>
            <w:vAlign w:val="bottom"/>
          </w:tcPr>
          <w:p>
            <w:pPr>
              <w:ind w:left="660"/>
              <w:spacing w:after="0"/>
              <w:rPr>
                <w:sz w:val="20"/>
                <w:szCs w:val="20"/>
                <w:color w:val="auto"/>
              </w:rPr>
            </w:pPr>
            <w:r>
              <w:rPr>
                <w:rFonts w:ascii="Arial" w:cs="Arial" w:eastAsia="Arial" w:hAnsi="Arial"/>
                <w:sz w:val="18"/>
                <w:szCs w:val="18"/>
                <w:color w:val="auto"/>
                <w:w w:val="91"/>
              </w:rPr>
              <w:t>Incorporated herein by reference to the Registrant's Annual Report</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w w:val="90"/>
              </w:rPr>
              <w:t>on Form 10-K for the fiscal year ended September 30, 2012 (which</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was filed on November 20, 2012) (File No. 1-11593) [Exhibit</w:t>
            </w:r>
          </w:p>
        </w:tc>
      </w:tr>
      <w:tr>
        <w:trPr>
          <w:trHeight w:val="230"/>
        </w:trPr>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101.DEF]</w:t>
            </w:r>
          </w:p>
        </w:tc>
      </w:tr>
      <w:tr>
        <w:trPr>
          <w:trHeight w:val="59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680" w:type="dxa"/>
            <w:vAlign w:val="bottom"/>
          </w:tcPr>
          <w:p>
            <w:pPr>
              <w:ind w:left="320"/>
              <w:spacing w:after="0"/>
              <w:rPr>
                <w:sz w:val="20"/>
                <w:szCs w:val="20"/>
                <w:color w:val="auto"/>
              </w:rPr>
            </w:pPr>
            <w:r>
              <w:rPr>
                <w:rFonts w:ascii="Arial" w:cs="Arial" w:eastAsia="Arial" w:hAnsi="Arial"/>
                <w:sz w:val="18"/>
                <w:szCs w:val="18"/>
                <w:color w:val="auto"/>
              </w:rPr>
              <w:t>XBRL Taxonomy Extension Label Linkbase</w:t>
            </w:r>
          </w:p>
        </w:tc>
        <w:tc>
          <w:tcPr>
            <w:tcW w:w="5520" w:type="dxa"/>
            <w:vAlign w:val="bottom"/>
          </w:tcPr>
          <w:p>
            <w:pPr>
              <w:ind w:left="660"/>
              <w:spacing w:after="0"/>
              <w:rPr>
                <w:sz w:val="20"/>
                <w:szCs w:val="20"/>
                <w:color w:val="auto"/>
              </w:rPr>
            </w:pPr>
            <w:r>
              <w:rPr>
                <w:rFonts w:ascii="Arial" w:cs="Arial" w:eastAsia="Arial" w:hAnsi="Arial"/>
                <w:sz w:val="18"/>
                <w:szCs w:val="18"/>
                <w:color w:val="auto"/>
                <w:w w:val="91"/>
              </w:rPr>
              <w:t>Incorporated herein by reference to the Registrant's Annual Report</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w w:val="90"/>
              </w:rPr>
              <w:t>on Form 10-K for the fiscal year ended September 30, 2012 (which</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was filed on November 20, 2012) (File No. 1-11593) [Exhibit</w:t>
            </w:r>
          </w:p>
        </w:tc>
      </w:tr>
      <w:tr>
        <w:trPr>
          <w:trHeight w:val="230"/>
        </w:trPr>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101.LAB]</w:t>
            </w:r>
          </w:p>
        </w:tc>
      </w:tr>
      <w:tr>
        <w:trPr>
          <w:trHeight w:val="59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68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w:t>
            </w:r>
          </w:p>
        </w:tc>
        <w:tc>
          <w:tcPr>
            <w:tcW w:w="5520" w:type="dxa"/>
            <w:vAlign w:val="bottom"/>
          </w:tcPr>
          <w:p>
            <w:pPr>
              <w:ind w:left="660"/>
              <w:spacing w:after="0"/>
              <w:rPr>
                <w:sz w:val="20"/>
                <w:szCs w:val="20"/>
                <w:color w:val="auto"/>
              </w:rPr>
            </w:pPr>
            <w:r>
              <w:rPr>
                <w:rFonts w:ascii="Arial" w:cs="Arial" w:eastAsia="Arial" w:hAnsi="Arial"/>
                <w:sz w:val="18"/>
                <w:szCs w:val="18"/>
                <w:color w:val="auto"/>
                <w:w w:val="91"/>
              </w:rPr>
              <w:t>Incorporated herein by reference to the Registrant's Annual Report</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w w:val="90"/>
              </w:rPr>
              <w:t>on Form 10-K for the fiscal year ended September 30, 2012 (which</w:t>
            </w: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was filed on November 20, 2012) (File No. 1-11593) [Exhibit</w:t>
            </w:r>
          </w:p>
        </w:tc>
      </w:tr>
      <w:tr>
        <w:trPr>
          <w:trHeight w:val="230"/>
        </w:trPr>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520" w:type="dxa"/>
            <w:vAlign w:val="bottom"/>
          </w:tcPr>
          <w:p>
            <w:pPr>
              <w:ind w:left="660"/>
              <w:spacing w:after="0"/>
              <w:rPr>
                <w:sz w:val="20"/>
                <w:szCs w:val="20"/>
                <w:color w:val="auto"/>
              </w:rPr>
            </w:pPr>
            <w:r>
              <w:rPr>
                <w:rFonts w:ascii="Arial" w:cs="Arial" w:eastAsia="Arial" w:hAnsi="Arial"/>
                <w:sz w:val="18"/>
                <w:szCs w:val="18"/>
                <w:color w:val="auto"/>
              </w:rPr>
              <w:t>101.PRE]</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jc w:val="both"/>
        <w:ind w:left="685" w:right="20" w:hanging="685"/>
        <w:spacing w:after="0" w:line="264" w:lineRule="auto"/>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9" w:lineRule="exact"/>
        <w:rPr>
          <w:sz w:val="20"/>
          <w:szCs w:val="20"/>
          <w:color w:val="auto"/>
        </w:rPr>
      </w:pPr>
    </w:p>
    <w:p>
      <w:pPr>
        <w:ind w:left="685" w:hanging="685"/>
        <w:spacing w:after="0"/>
        <w:tabs>
          <w:tab w:leader="none" w:pos="685" w:val="left"/>
        </w:tabs>
        <w:numPr>
          <w:ilvl w:val="0"/>
          <w:numId w:val="6"/>
        </w:numPr>
        <w:rPr>
          <w:rFonts w:ascii="Arial" w:cs="Arial" w:eastAsia="Arial" w:hAnsi="Arial"/>
          <w:sz w:val="13"/>
          <w:szCs w:val="13"/>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9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5"/>
          </w:cols>
          <w:pgMar w:left="275" w:top="503"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right="8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The Scotts Miracle-Gro Company for the fiscal year ended September 30, 2012; and</w:t>
      </w:r>
    </w:p>
    <w:p>
      <w:pPr>
        <w:spacing w:after="0" w:line="6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51" w:lineRule="exact"/>
        <w:rPr>
          <w:sz w:val="20"/>
          <w:szCs w:val="20"/>
          <w:color w:val="auto"/>
        </w:rPr>
      </w:pPr>
    </w:p>
    <w:p>
      <w:pPr>
        <w:ind w:left="360"/>
        <w:spacing w:after="0"/>
        <w:tabs>
          <w:tab w:leader="none" w:pos="4020" w:val="left"/>
          <w:tab w:leader="none" w:pos="4880" w:val="left"/>
        </w:tabs>
        <w:rPr>
          <w:sz w:val="20"/>
          <w:szCs w:val="20"/>
          <w:color w:val="auto"/>
        </w:rPr>
      </w:pPr>
      <w:r>
        <w:rPr>
          <w:rFonts w:ascii="Arial" w:cs="Arial" w:eastAsia="Arial" w:hAnsi="Arial"/>
          <w:sz w:val="18"/>
          <w:szCs w:val="18"/>
          <w:color w:val="auto"/>
        </w:rPr>
        <w:t>Date: November 21,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31750</wp:posOffset>
            </wp:positionV>
            <wp:extent cx="3961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1067"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660" w:right="8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The Scotts Miracle-Gro Company for the fiscal year ended September 30, 2012; and</w:t>
      </w:r>
    </w:p>
    <w:p>
      <w:pPr>
        <w:spacing w:after="0" w:line="6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46" w:lineRule="exact"/>
        <w:rPr>
          <w:sz w:val="20"/>
          <w:szCs w:val="20"/>
          <w:color w:val="auto"/>
        </w:rPr>
      </w:pPr>
    </w:p>
    <w:p>
      <w:pPr>
        <w:ind w:left="420"/>
        <w:spacing w:after="0"/>
        <w:tabs>
          <w:tab w:leader="none" w:pos="3400" w:val="left"/>
          <w:tab w:leader="none" w:pos="4240" w:val="left"/>
        </w:tabs>
        <w:rPr>
          <w:sz w:val="20"/>
          <w:szCs w:val="20"/>
          <w:color w:val="auto"/>
        </w:rPr>
      </w:pPr>
      <w:r>
        <w:rPr>
          <w:rFonts w:ascii="Arial" w:cs="Arial" w:eastAsia="Arial" w:hAnsi="Arial"/>
          <w:sz w:val="18"/>
          <w:szCs w:val="18"/>
          <w:color w:val="auto"/>
        </w:rPr>
        <w:t>Date: November 21,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4313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5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Printed Name: David C. Evans</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Title: Chief Financial Officer and Executive Vice President,</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Strategy and Business Development</w:t>
      </w:r>
    </w:p>
    <w:sectPr>
      <w:pgSz w:w="11900" w:h="16838" w:orient="portrait"/>
      <w:cols w:equalWidth="0" w:num="1">
        <w:col w:w="11420"/>
      </w:cols>
      <w:pgMar w:left="240" w:top="10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2019-12-09T09:32:23Z</dcterms:created>
  <dcterms:modified xsi:type="dcterms:W3CDTF">2019-12-09T09:32:23Z</dcterms:modified>
</cp:coreProperties>
</file>