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FORM 10-Q/A</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1800" w:hanging="423"/>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 the quarterly period ended December 30, 1995</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580" w:hanging="203"/>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Commission file number 1-11593</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SCOTTS COMPANY</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257" w:right="1440" w:bottom="0"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600" w:space="720"/>
            <w:col w:w="5899"/>
          </w:cols>
          <w:pgMar w:left="240" w:top="1257" w:right="1440" w:bottom="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14111 Scottslawn Road</w:t>
      </w:r>
    </w:p>
    <w:p>
      <w:pPr>
        <w:ind w:left="2960"/>
        <w:spacing w:after="0" w:line="238" w:lineRule="auto"/>
        <w:rPr>
          <w:sz w:val="20"/>
          <w:szCs w:val="20"/>
          <w:color w:val="auto"/>
        </w:rPr>
      </w:pPr>
      <w:r>
        <w:rPr>
          <w:rFonts w:ascii="Courier New" w:cs="Courier New" w:eastAsia="Courier New" w:hAnsi="Courier New"/>
          <w:sz w:val="18"/>
          <w:szCs w:val="18"/>
          <w:color w:val="auto"/>
        </w:rPr>
        <w:t>Marysville, Ohio 43041</w:t>
      </w:r>
    </w:p>
    <w:p>
      <w:pPr>
        <w:ind w:left="2000"/>
        <w:spacing w:after="0"/>
        <w:rPr>
          <w:sz w:val="20"/>
          <w:szCs w:val="20"/>
          <w:color w:val="auto"/>
        </w:rPr>
      </w:pPr>
      <w:r>
        <w:rPr>
          <w:rFonts w:ascii="Courier New" w:cs="Courier New" w:eastAsia="Courier New" w:hAnsi="Courier New"/>
          <w:sz w:val="18"/>
          <w:szCs w:val="18"/>
          <w:color w:val="auto"/>
        </w:rPr>
        <w:t>(Address of principal executive offices)</w:t>
      </w:r>
    </w:p>
    <w:p>
      <w:pPr>
        <w:ind w:left="3580"/>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(513) 644-0011</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No Change</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(Former name, former address and former fiscal</w:t>
      </w:r>
    </w:p>
    <w:p>
      <w:pPr>
        <w:jc w:val="center"/>
        <w:ind w:right="1999"/>
        <w:spacing w:after="0"/>
        <w:rPr>
          <w:sz w:val="20"/>
          <w:szCs w:val="20"/>
          <w:color w:val="auto"/>
        </w:rPr>
      </w:pPr>
      <w:r>
        <w:rPr>
          <w:rFonts w:ascii="Courier New" w:cs="Courier New" w:eastAsia="Courier New" w:hAnsi="Courier New"/>
          <w:sz w:val="18"/>
          <w:szCs w:val="18"/>
          <w:color w:val="auto"/>
        </w:rPr>
        <w:t>year, if changed since last report.)</w:t>
      </w:r>
    </w:p>
    <w:p>
      <w:pPr>
        <w:spacing w:after="0" w:line="206" w:lineRule="exact"/>
        <w:rPr>
          <w:sz w:val="24"/>
          <w:szCs w:val="24"/>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440"/>
        <w:spacing w:after="0"/>
        <w:tabs>
          <w:tab w:leader="none" w:pos="6100" w:val="left"/>
        </w:tabs>
        <w:rPr>
          <w:sz w:val="20"/>
          <w:szCs w:val="20"/>
          <w:color w:val="auto"/>
        </w:rPr>
      </w:pPr>
      <w:r>
        <w:rPr>
          <w:rFonts w:ascii="Courier New" w:cs="Courier New" w:eastAsia="Courier New" w:hAnsi="Courier New"/>
          <w:sz w:val="18"/>
          <w:szCs w:val="18"/>
          <w:color w:val="auto"/>
        </w:rPr>
        <w:t>Yes __X__</w:t>
      </w:r>
      <w:r>
        <w:rPr>
          <w:sz w:val="20"/>
          <w:szCs w:val="20"/>
          <w:color w:val="auto"/>
        </w:rPr>
        <w:tab/>
      </w:r>
      <w:r>
        <w:rPr>
          <w:rFonts w:ascii="Courier New" w:cs="Courier New" w:eastAsia="Courier New" w:hAnsi="Courier New"/>
          <w:sz w:val="16"/>
          <w:szCs w:val="16"/>
          <w:color w:val="auto"/>
        </w:rPr>
        <w:t>No</w:t>
      </w:r>
    </w:p>
    <w:p>
      <w:pPr>
        <w:spacing w:after="0" w:line="207" w:lineRule="exact"/>
        <w:rPr>
          <w:sz w:val="24"/>
          <w:szCs w:val="24"/>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1257" w:right="1440" w:bottom="0" w:gutter="0" w:footer="0" w:header="0"/>
          <w:type w:val="continuous"/>
        </w:sect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18,931,509</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Shares, voting, no par value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February</w:t>
      </w:r>
    </w:p>
    <w:p>
      <w:pPr>
        <w:ind w:left="840"/>
        <w:spacing w:after="0" w:line="238" w:lineRule="auto"/>
        <w:rPr>
          <w:sz w:val="20"/>
          <w:szCs w:val="20"/>
          <w:color w:val="auto"/>
        </w:rPr>
      </w:pPr>
      <w:r>
        <w:rPr>
          <w:rFonts w:ascii="Courier New" w:cs="Courier New" w:eastAsia="Courier New" w:hAnsi="Courier New"/>
          <w:sz w:val="18"/>
          <w:szCs w:val="18"/>
          <w:color w:val="auto"/>
        </w:rPr>
        <w:t>23, 1996</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4"/>
          <w:szCs w:val="24"/>
          <w:color w:val="auto"/>
        </w:rPr>
      </w:pPr>
    </w:p>
    <w:p>
      <w:pPr>
        <w:sectPr>
          <w:pgSz w:w="11900" w:h="16838" w:orient="portrait"/>
          <w:cols w:equalWidth="0" w:num="2">
            <w:col w:w="4120" w:space="320"/>
            <w:col w:w="5779"/>
          </w:cols>
          <w:pgMar w:left="240" w:top="1257" w:right="1440" w:bottom="0" w:gutter="0" w:footer="0" w:header="0"/>
          <w:type w:val="continuous"/>
        </w:sectPr>
      </w:pPr>
    </w:p>
    <w:p>
      <w:pPr>
        <w:spacing w:after="0" w:line="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Page 1 of 18 pages</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Exhibit Index at page 16</w:t>
      </w:r>
    </w:p>
    <w:p>
      <w:pPr>
        <w:spacing w:after="0" w:line="200" w:lineRule="exact"/>
        <w:rPr>
          <w:sz w:val="24"/>
          <w:szCs w:val="24"/>
          <w:color w:val="auto"/>
        </w:rPr>
      </w:pPr>
    </w:p>
    <w:p>
      <w:pPr>
        <w:spacing w:after="0" w:line="37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9" w:lineRule="exact"/>
        <w:rPr>
          <w:sz w:val="24"/>
          <w:szCs w:val="24"/>
          <w:color w:val="auto"/>
        </w:rPr>
      </w:pPr>
    </w:p>
    <w:p>
      <w:pPr>
        <w:ind w:left="6960"/>
        <w:spacing w:after="0"/>
        <w:rPr>
          <w:sz w:val="20"/>
          <w:szCs w:val="20"/>
          <w:color w:val="auto"/>
        </w:rPr>
      </w:pPr>
      <w:r>
        <w:rPr>
          <w:rFonts w:ascii="Courier New" w:cs="Courier New" w:eastAsia="Courier New" w:hAnsi="Courier New"/>
          <w:sz w:val="16"/>
          <w:szCs w:val="16"/>
          <w:color w:val="auto"/>
        </w:rPr>
        <w:t>PAGE NO.</w:t>
      </w:r>
    </w:p>
    <w:p>
      <w:pPr>
        <w:spacing w:after="0" w:line="218" w:lineRule="exact"/>
        <w:rPr>
          <w:sz w:val="24"/>
          <w:szCs w:val="24"/>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Part</w:t>
        <w:tab/>
        <w:t>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ind w:left="860"/>
        <w:spacing w:after="0" w:line="238" w:lineRule="auto"/>
        <w:rPr>
          <w:sz w:val="20"/>
          <w:szCs w:val="20"/>
          <w:color w:val="auto"/>
        </w:rPr>
      </w:pPr>
      <w:r>
        <w:rPr>
          <w:rFonts w:ascii="Courier New" w:cs="Courier New" w:eastAsia="Courier New" w:hAnsi="Courier New"/>
          <w:sz w:val="18"/>
          <w:szCs w:val="18"/>
          <w:color w:val="auto"/>
        </w:rPr>
        <w:t>Consolidated Statements of Income - Three month periods ended</w:t>
      </w:r>
    </w:p>
    <w:p>
      <w:pPr>
        <w:ind w:left="860"/>
        <w:spacing w:after="0"/>
        <w:tabs>
          <w:tab w:leader="dot" w:pos="7260" w:val="left"/>
        </w:tabs>
        <w:rPr>
          <w:sz w:val="20"/>
          <w:szCs w:val="20"/>
          <w:color w:val="auto"/>
        </w:rPr>
      </w:pPr>
      <w:r>
        <w:rPr>
          <w:rFonts w:ascii="Courier New" w:cs="Courier New" w:eastAsia="Courier New" w:hAnsi="Courier New"/>
          <w:sz w:val="18"/>
          <w:szCs w:val="18"/>
          <w:color w:val="auto"/>
        </w:rPr>
        <w:t>December 31, 1994 and December 30, 1995</w:t>
      </w:r>
      <w:r>
        <w:rPr>
          <w:sz w:val="20"/>
          <w:szCs w:val="20"/>
          <w:color w:val="auto"/>
        </w:rPr>
        <w:tab/>
      </w:r>
      <w:r>
        <w:rPr>
          <w:rFonts w:ascii="Courier New" w:cs="Courier New" w:eastAsia="Courier New" w:hAnsi="Courier New"/>
          <w:sz w:val="16"/>
          <w:szCs w:val="16"/>
          <w:color w:val="auto"/>
        </w:rPr>
        <w:t>3</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Consolidated Statements of Cash Flows - Three month periods</w:t>
      </w:r>
    </w:p>
    <w:p>
      <w:pPr>
        <w:ind w:left="860"/>
        <w:spacing w:after="0"/>
        <w:tabs>
          <w:tab w:leader="dot" w:pos="7260" w:val="left"/>
        </w:tabs>
        <w:rPr>
          <w:sz w:val="20"/>
          <w:szCs w:val="20"/>
          <w:color w:val="auto"/>
        </w:rPr>
      </w:pPr>
      <w:r>
        <w:rPr>
          <w:rFonts w:ascii="Courier New" w:cs="Courier New" w:eastAsia="Courier New" w:hAnsi="Courier New"/>
          <w:sz w:val="18"/>
          <w:szCs w:val="18"/>
          <w:color w:val="auto"/>
        </w:rPr>
        <w:t>ended December 31, 1994 and December 30, 1995</w:t>
      </w:r>
      <w:r>
        <w:rPr>
          <w:sz w:val="20"/>
          <w:szCs w:val="20"/>
          <w:color w:val="auto"/>
        </w:rPr>
        <w:tab/>
      </w:r>
      <w:r>
        <w:rPr>
          <w:rFonts w:ascii="Courier New" w:cs="Courier New" w:eastAsia="Courier New" w:hAnsi="Courier New"/>
          <w:sz w:val="16"/>
          <w:szCs w:val="16"/>
          <w:color w:val="auto"/>
        </w:rPr>
        <w:t>4</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Consolidated Balance Sheets -</w:t>
      </w:r>
    </w:p>
    <w:p>
      <w:pPr>
        <w:sectPr>
          <w:pgSz w:w="11900" w:h="16838" w:orient="portrait"/>
          <w:cols w:equalWidth="0" w:num="1">
            <w:col w:w="10219"/>
          </w:cols>
          <w:pgMar w:left="240" w:top="125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280" w:type="dxa"/>
            <w:vAlign w:val="bottom"/>
            <w:gridSpan w:val="3"/>
          </w:tcPr>
          <w:p>
            <w:pPr>
              <w:ind w:left="860"/>
              <w:spacing w:after="0"/>
              <w:rPr>
                <w:sz w:val="20"/>
                <w:szCs w:val="20"/>
                <w:color w:val="auto"/>
              </w:rPr>
            </w:pPr>
            <w:r>
              <w:rPr>
                <w:rFonts w:ascii="Courier New" w:cs="Courier New" w:eastAsia="Courier New" w:hAnsi="Courier New"/>
                <w:sz w:val="18"/>
                <w:szCs w:val="18"/>
                <w:color w:val="auto"/>
              </w:rPr>
              <w:t>December 31, 1994, December 30, 1995 and September</w:t>
            </w:r>
          </w:p>
        </w:tc>
        <w:tc>
          <w:tcPr>
            <w:tcW w:w="520" w:type="dxa"/>
            <w:vAlign w:val="bottom"/>
          </w:tcPr>
          <w:p>
            <w:pPr>
              <w:spacing w:after="0"/>
              <w:rPr>
                <w:sz w:val="17"/>
                <w:szCs w:val="17"/>
                <w:color w:val="auto"/>
              </w:rPr>
            </w:pPr>
          </w:p>
        </w:tc>
      </w:tr>
      <w:tr>
        <w:trPr>
          <w:trHeight w:val="203"/>
        </w:trPr>
        <w:tc>
          <w:tcPr>
            <w:tcW w:w="11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86"/>
              </w:rPr>
              <w:t>30,</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1995 ....................................................</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72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Notes to Consolidated Financial Statements ..................</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6-10</w:t>
            </w:r>
          </w:p>
        </w:tc>
      </w:tr>
      <w:tr>
        <w:trPr>
          <w:trHeight w:val="405"/>
        </w:trPr>
        <w:tc>
          <w:tcPr>
            <w:tcW w:w="72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Item 2.  Management's Discussion and Analysis of</w:t>
            </w:r>
          </w:p>
        </w:tc>
        <w:tc>
          <w:tcPr>
            <w:tcW w:w="520" w:type="dxa"/>
            <w:vAlign w:val="bottom"/>
          </w:tcPr>
          <w:p>
            <w:pPr>
              <w:spacing w:after="0"/>
              <w:rPr>
                <w:sz w:val="24"/>
                <w:szCs w:val="24"/>
                <w:color w:val="auto"/>
              </w:rPr>
            </w:pPr>
          </w:p>
        </w:tc>
      </w:tr>
      <w:tr>
        <w:trPr>
          <w:trHeight w:val="203"/>
        </w:trPr>
        <w:tc>
          <w:tcPr>
            <w:tcW w:w="7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Financial Condition and Results of Operations ...............</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11-13</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220" w:type="dxa"/>
            <w:vAlign w:val="bottom"/>
            <w:gridSpan w:val="2"/>
          </w:tcPr>
          <w:p>
            <w:pPr>
              <w:jc w:val="right"/>
              <w:ind w:right="4332"/>
              <w:spacing w:after="0"/>
              <w:rPr>
                <w:sz w:val="20"/>
                <w:szCs w:val="20"/>
                <w:color w:val="auto"/>
              </w:rPr>
            </w:pPr>
            <w:r>
              <w:rPr>
                <w:rFonts w:ascii="Courier New" w:cs="Courier New" w:eastAsia="Courier New" w:hAnsi="Courier New"/>
                <w:sz w:val="18"/>
                <w:szCs w:val="18"/>
                <w:color w:val="auto"/>
                <w:w w:val="96"/>
              </w:rPr>
              <w:t>Other Information</w:t>
            </w:r>
          </w:p>
        </w:tc>
        <w:tc>
          <w:tcPr>
            <w:tcW w:w="520" w:type="dxa"/>
            <w:vAlign w:val="bottom"/>
          </w:tcPr>
          <w:p>
            <w:pPr>
              <w:spacing w:after="0"/>
              <w:rPr>
                <w:sz w:val="24"/>
                <w:szCs w:val="24"/>
                <w:color w:val="auto"/>
              </w:rPr>
            </w:pPr>
          </w:p>
        </w:tc>
      </w:tr>
      <w:tr>
        <w:trPr>
          <w:trHeight w:val="405"/>
        </w:trPr>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Item 6.</w:t>
            </w:r>
          </w:p>
        </w:tc>
        <w:tc>
          <w:tcPr>
            <w:tcW w:w="100" w:type="dxa"/>
            <w:vAlign w:val="bottom"/>
          </w:tcPr>
          <w:p>
            <w:pPr>
              <w:spacing w:after="0"/>
              <w:rPr>
                <w:sz w:val="24"/>
                <w:szCs w:val="24"/>
                <w:color w:val="auto"/>
              </w:rPr>
            </w:pP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7"/>
              </w:rPr>
              <w:t>Exhibits and Reports on Form 8-K .........................</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14</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100" w:type="dxa"/>
            <w:vAlign w:val="bottom"/>
          </w:tcPr>
          <w:p>
            <w:pPr>
              <w:spacing w:after="0"/>
              <w:rPr>
                <w:sz w:val="24"/>
                <w:szCs w:val="24"/>
                <w:color w:val="auto"/>
              </w:rPr>
            </w:pP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15</w:t>
            </w:r>
          </w:p>
        </w:tc>
      </w:tr>
      <w:tr>
        <w:trPr>
          <w:trHeight w:val="608"/>
        </w:trPr>
        <w:tc>
          <w:tcPr>
            <w:tcW w:w="72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Exhibit Index .......................................................</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16</w:t>
            </w:r>
          </w:p>
        </w:tc>
      </w:tr>
      <w:tr>
        <w:trPr>
          <w:trHeight w:val="405"/>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Page 2</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8"/>
          <w:szCs w:val="18"/>
          <w:color w:val="auto"/>
        </w:rPr>
        <w:t>PART I - FINANCIAL INFORMATION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ITEM 1. FINANCIAL STATEMENTS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2120"/>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270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20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 31</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December 30</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0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200" w:type="dxa"/>
            <w:vAlign w:val="bottom"/>
          </w:tcPr>
          <w:p>
            <w:pPr>
              <w:spacing w:after="0"/>
              <w:rPr>
                <w:sz w:val="17"/>
                <w:szCs w:val="17"/>
                <w:color w:val="auto"/>
              </w:rPr>
            </w:pPr>
          </w:p>
        </w:tc>
        <w:tc>
          <w:tcPr>
            <w:tcW w:w="2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Net sales ....................</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$ 98,019</w:t>
            </w:r>
          </w:p>
        </w:tc>
        <w:tc>
          <w:tcPr>
            <w:tcW w:w="13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$ 117,928</w:t>
            </w:r>
          </w:p>
        </w:tc>
      </w:tr>
      <w:tr>
        <w:trPr>
          <w:trHeight w:val="203"/>
        </w:trPr>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Cost of sales ................</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53,520</w:t>
            </w:r>
          </w:p>
        </w:tc>
        <w:tc>
          <w:tcPr>
            <w:tcW w:w="3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64,714</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Gross profit .................</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44,499</w:t>
            </w:r>
          </w:p>
        </w:tc>
        <w:tc>
          <w:tcPr>
            <w:tcW w:w="3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53,214</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Marketing ....................</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22,397</w:t>
            </w:r>
          </w:p>
        </w:tc>
        <w:tc>
          <w:tcPr>
            <w:tcW w:w="3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27,590</w:t>
            </w:r>
          </w:p>
        </w:tc>
      </w:tr>
      <w:tr>
        <w:trPr>
          <w:trHeight w:val="203"/>
        </w:trPr>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Distribution .................</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14,540</w:t>
            </w:r>
          </w:p>
        </w:tc>
        <w:tc>
          <w:tcPr>
            <w:tcW w:w="3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16,465</w:t>
            </w:r>
          </w:p>
        </w:tc>
      </w:tr>
      <w:tr>
        <w:trPr>
          <w:trHeight w:val="203"/>
        </w:trPr>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General and administrative ...</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5,967</w:t>
            </w:r>
          </w:p>
        </w:tc>
        <w:tc>
          <w:tcPr>
            <w:tcW w:w="3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8,057</w:t>
            </w:r>
          </w:p>
        </w:tc>
      </w:tr>
      <w:tr>
        <w:trPr>
          <w:trHeight w:val="203"/>
        </w:trPr>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Research and development .....</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2,765</w:t>
            </w:r>
          </w:p>
        </w:tc>
        <w:tc>
          <w:tcPr>
            <w:tcW w:w="3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2,663</w:t>
            </w:r>
          </w:p>
        </w:tc>
      </w:tr>
      <w:tr>
        <w:trPr>
          <w:trHeight w:val="203"/>
        </w:trPr>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Other expenses, net ..........</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995</w:t>
            </w:r>
          </w:p>
        </w:tc>
        <w:tc>
          <w:tcPr>
            <w:tcW w:w="3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4,469</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Loss from operations .........</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(2,165)</w:t>
            </w:r>
          </w:p>
        </w:tc>
        <w:tc>
          <w:tcPr>
            <w:tcW w:w="3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(6,030)</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Interest expense .............</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5,694</w:t>
            </w:r>
          </w:p>
        </w:tc>
        <w:tc>
          <w:tcPr>
            <w:tcW w:w="3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6,601</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Loss before income tax benefit</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(7,859)</w:t>
            </w:r>
          </w:p>
        </w:tc>
        <w:tc>
          <w:tcPr>
            <w:tcW w:w="3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(12,631)</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Income tax benefit ...........</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(3,261)</w:t>
            </w:r>
          </w:p>
        </w:tc>
        <w:tc>
          <w:tcPr>
            <w:tcW w:w="3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(5,457)</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Net loss .....................</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(4,598)</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(7,174)</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Net loss per common share ....</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(.25)</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(.51)</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Common shares used in net loss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 common share computation</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18,667</w:t>
            </w:r>
          </w:p>
        </w:tc>
        <w:tc>
          <w:tcPr>
            <w:tcW w:w="3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18,689</w:t>
            </w:r>
          </w:p>
        </w:tc>
      </w:tr>
      <w:tr>
        <w:trPr>
          <w:trHeight w:val="203"/>
        </w:trPr>
        <w:tc>
          <w:tcPr>
            <w:tcW w:w="3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5740" w:type="dxa"/>
            <w:vAlign w:val="bottom"/>
          </w:tcPr>
          <w:p>
            <w:pPr>
              <w:jc w:val="right"/>
              <w:ind w:right="792"/>
              <w:spacing w:after="0" w:line="202" w:lineRule="exact"/>
              <w:rPr>
                <w:sz w:val="20"/>
                <w:szCs w:val="20"/>
                <w:color w:val="auto"/>
              </w:rPr>
            </w:pPr>
            <w:r>
              <w:rPr>
                <w:rFonts w:ascii="Courier New" w:cs="Courier New" w:eastAsia="Courier New" w:hAnsi="Courier New"/>
                <w:sz w:val="18"/>
                <w:szCs w:val="18"/>
                <w:color w:val="auto"/>
              </w:rPr>
              <w:t>(in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5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740" w:type="dxa"/>
            <w:vAlign w:val="bottom"/>
          </w:tcPr>
          <w:p>
            <w:pPr>
              <w:spacing w:after="0"/>
              <w:rPr>
                <w:sz w:val="17"/>
                <w:szCs w:val="17"/>
                <w:color w:val="auto"/>
              </w:rPr>
            </w:pPr>
          </w:p>
        </w:tc>
        <w:tc>
          <w:tcPr>
            <w:tcW w:w="2700" w:type="dxa"/>
            <w:vAlign w:val="bottom"/>
            <w:gridSpan w:val="4"/>
          </w:tcPr>
          <w:p>
            <w:pPr>
              <w:ind w:left="280"/>
              <w:spacing w:after="0" w:line="203" w:lineRule="exact"/>
              <w:rPr>
                <w:sz w:val="20"/>
                <w:szCs w:val="20"/>
                <w:color w:val="auto"/>
              </w:rPr>
            </w:pPr>
            <w:r>
              <w:rPr>
                <w:rFonts w:ascii="Courier New" w:cs="Courier New" w:eastAsia="Courier New" w:hAnsi="Courier New"/>
                <w:sz w:val="18"/>
                <w:szCs w:val="18"/>
                <w:color w:val="auto"/>
                <w:w w:val="96"/>
              </w:rPr>
              <w:t>December 31 December 30</w:t>
            </w:r>
          </w:p>
        </w:tc>
      </w:tr>
      <w:tr>
        <w:trPr>
          <w:trHeight w:val="203"/>
        </w:trPr>
        <w:tc>
          <w:tcPr>
            <w:tcW w:w="5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1994</w:t>
            </w:r>
          </w:p>
        </w:tc>
        <w:tc>
          <w:tcPr>
            <w:tcW w:w="38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loss .........................................</w:t>
            </w: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(4,598)</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(7,174)</w:t>
            </w:r>
          </w:p>
        </w:tc>
      </w:tr>
      <w:tr>
        <w:trPr>
          <w:trHeight w:val="203"/>
        </w:trPr>
        <w:tc>
          <w:tcPr>
            <w:tcW w:w="574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Adjustments to reconcile net loss to net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ind w:right="1632"/>
              <w:spacing w:after="0" w:line="203" w:lineRule="exact"/>
              <w:rPr>
                <w:sz w:val="20"/>
                <w:szCs w:val="20"/>
                <w:color w:val="auto"/>
              </w:rPr>
            </w:pPr>
            <w:r>
              <w:rPr>
                <w:rFonts w:ascii="Courier New" w:cs="Courier New" w:eastAsia="Courier New" w:hAnsi="Courier New"/>
                <w:sz w:val="18"/>
                <w:szCs w:val="18"/>
                <w:color w:val="auto"/>
              </w:rPr>
              <w:t>cash used in operating activities: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Depreciation and amortization ................</w:t>
            </w:r>
          </w:p>
        </w:tc>
        <w:tc>
          <w:tcPr>
            <w:tcW w:w="3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5,801</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7,280</w:t>
            </w: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Equity in income of unconsolidated ...........</w:t>
            </w:r>
          </w:p>
        </w:tc>
        <w:tc>
          <w:tcPr>
            <w:tcW w:w="3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5740" w:type="dxa"/>
            <w:vAlign w:val="bottom"/>
          </w:tcPr>
          <w:p>
            <w:pPr>
              <w:jc w:val="right"/>
              <w:ind w:right="3752"/>
              <w:spacing w:after="0" w:line="203" w:lineRule="exact"/>
              <w:rPr>
                <w:sz w:val="20"/>
                <w:szCs w:val="20"/>
                <w:color w:val="auto"/>
              </w:rPr>
            </w:pPr>
            <w:r>
              <w:rPr>
                <w:rFonts w:ascii="Courier New" w:cs="Courier New" w:eastAsia="Courier New" w:hAnsi="Courier New"/>
                <w:sz w:val="18"/>
                <w:szCs w:val="18"/>
                <w:color w:val="auto"/>
              </w:rPr>
              <w:t>business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Postretirement benefits ......................</w:t>
            </w:r>
          </w:p>
        </w:tc>
        <w:tc>
          <w:tcPr>
            <w:tcW w:w="3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166</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5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increase in certain components of</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working capital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(45,543)</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(81,432)</w:t>
            </w:r>
          </w:p>
        </w:tc>
      </w:tr>
      <w:tr>
        <w:trPr>
          <w:trHeight w:val="203"/>
        </w:trPr>
        <w:tc>
          <w:tcPr>
            <w:tcW w:w="5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increase in other assets and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liabilities and other adjustments ........</w:t>
            </w:r>
          </w:p>
        </w:tc>
        <w:tc>
          <w:tcPr>
            <w:tcW w:w="3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354</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cash used in operating .............</w:t>
            </w:r>
          </w:p>
        </w:tc>
        <w:tc>
          <w:tcPr>
            <w:tcW w:w="3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(43,820)</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(81,181)</w:t>
            </w: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activities ..........................</w:t>
            </w:r>
          </w:p>
        </w:tc>
        <w:tc>
          <w:tcPr>
            <w:tcW w:w="3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Investment in plant and equipment, net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(5,012)</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(3,593)</w:t>
            </w: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Investment in affiliate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w:t>
            </w:r>
          </w:p>
        </w:tc>
        <w:tc>
          <w:tcPr>
            <w:tcW w:w="38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cash used in investing .............</w:t>
            </w:r>
          </w:p>
        </w:tc>
        <w:tc>
          <w:tcPr>
            <w:tcW w:w="3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(5,262)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(3,593)</w:t>
            </w: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activities ..........................</w:t>
            </w:r>
          </w:p>
        </w:tc>
        <w:tc>
          <w:tcPr>
            <w:tcW w:w="3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Payments on term and other debt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(727)</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w:t>
            </w: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Revolving lines of credit and bank line of .......</w:t>
            </w:r>
          </w:p>
        </w:tc>
        <w:tc>
          <w:tcPr>
            <w:tcW w:w="3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44,646</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88,474</w:t>
            </w:r>
          </w:p>
        </w:tc>
      </w:tr>
      <w:tr>
        <w:trPr>
          <w:trHeight w:val="203"/>
        </w:trPr>
        <w:tc>
          <w:tcPr>
            <w:tcW w:w="5740" w:type="dxa"/>
            <w:vAlign w:val="bottom"/>
          </w:tcPr>
          <w:p>
            <w:pPr>
              <w:jc w:val="right"/>
              <w:ind w:right="3952"/>
              <w:spacing w:after="0" w:line="203" w:lineRule="exact"/>
              <w:rPr>
                <w:sz w:val="20"/>
                <w:szCs w:val="20"/>
                <w:color w:val="auto"/>
              </w:rPr>
            </w:pPr>
            <w:r>
              <w:rPr>
                <w:rFonts w:ascii="Courier New" w:cs="Courier New" w:eastAsia="Courier New" w:hAnsi="Courier New"/>
                <w:sz w:val="18"/>
                <w:szCs w:val="18"/>
                <w:color w:val="auto"/>
              </w:rPr>
              <w:t>credit, net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Dividends on preferred stock .....................</w:t>
            </w:r>
          </w:p>
        </w:tc>
        <w:tc>
          <w:tcPr>
            <w:tcW w:w="3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(2,436)</w:t>
            </w:r>
          </w:p>
        </w:tc>
      </w:tr>
      <w:tr>
        <w:trPr>
          <w:trHeight w:val="203"/>
        </w:trPr>
        <w:tc>
          <w:tcPr>
            <w:tcW w:w="5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Net cash provided by financing</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activities .........................</w:t>
            </w:r>
          </w:p>
        </w:tc>
        <w:tc>
          <w:tcPr>
            <w:tcW w:w="3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43,919</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85,856</w:t>
            </w:r>
          </w:p>
        </w:tc>
      </w:tr>
      <w:tr>
        <w:trPr>
          <w:trHeight w:val="405"/>
        </w:trPr>
        <w:tc>
          <w:tcPr>
            <w:tcW w:w="57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Effect of exchange rate changes on cash ............</w:t>
            </w:r>
          </w:p>
        </w:tc>
        <w:tc>
          <w:tcPr>
            <w:tcW w:w="3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(207)</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Net increase (decrease) in cash ....................</w:t>
            </w:r>
          </w:p>
        </w:tc>
        <w:tc>
          <w:tcPr>
            <w:tcW w:w="3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(5,285)</w:t>
            </w:r>
          </w:p>
        </w:tc>
        <w:tc>
          <w:tcPr>
            <w:tcW w:w="3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875</w:t>
            </w:r>
          </w:p>
        </w:tc>
      </w:tr>
      <w:tr>
        <w:trPr>
          <w:trHeight w:val="405"/>
        </w:trPr>
        <w:tc>
          <w:tcPr>
            <w:tcW w:w="57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at beginning of period ........................</w:t>
            </w:r>
          </w:p>
        </w:tc>
        <w:tc>
          <w:tcPr>
            <w:tcW w:w="3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10,695</w:t>
            </w:r>
          </w:p>
        </w:tc>
        <w:tc>
          <w:tcPr>
            <w:tcW w:w="3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7,028</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at end of period ..............................</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5,410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7,903</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paid, net of amount capitalized .........</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2,082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5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890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4860" w:type="dxa"/>
            <w:vAlign w:val="bottom"/>
            <w:gridSpan w:val="2"/>
          </w:tcPr>
          <w:p>
            <w:pPr>
              <w:jc w:val="center"/>
              <w:ind w:left="3292"/>
              <w:spacing w:after="0" w:line="202" w:lineRule="exact"/>
              <w:rPr>
                <w:sz w:val="20"/>
                <w:szCs w:val="20"/>
                <w:color w:val="auto"/>
              </w:rPr>
            </w:pPr>
            <w:r>
              <w:rPr>
                <w:rFonts w:ascii="Courier New" w:cs="Courier New" w:eastAsia="Courier New" w:hAnsi="Courier New"/>
                <w:sz w:val="18"/>
                <w:szCs w:val="18"/>
                <w:color w:val="auto"/>
                <w:w w:val="97"/>
              </w:rPr>
              <w:t>(in thousands)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440" w:type="dxa"/>
            <w:vAlign w:val="bottom"/>
          </w:tcPr>
          <w:p>
            <w:pPr>
              <w:jc w:val="center"/>
              <w:ind w:left="3712"/>
              <w:spacing w:after="0"/>
              <w:rPr>
                <w:sz w:val="20"/>
                <w:szCs w:val="20"/>
                <w:color w:val="auto"/>
              </w:rPr>
            </w:pPr>
            <w:r>
              <w:rPr>
                <w:rFonts w:ascii="Courier New" w:cs="Courier New" w:eastAsia="Courier New" w:hAnsi="Courier New"/>
                <w:sz w:val="18"/>
                <w:szCs w:val="18"/>
                <w:color w:val="auto"/>
                <w:w w:val="98"/>
              </w:rPr>
              <w:t>ASSETS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440" w:type="dxa"/>
            <w:vAlign w:val="bottom"/>
          </w:tcPr>
          <w:p>
            <w:pPr>
              <w:spacing w:after="0"/>
              <w:rPr>
                <w:sz w:val="24"/>
                <w:szCs w:val="24"/>
                <w:color w:val="auto"/>
              </w:rPr>
            </w:pPr>
          </w:p>
        </w:tc>
        <w:tc>
          <w:tcPr>
            <w:tcW w:w="13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5"/>
              </w:rPr>
              <w:t>December 31</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30</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1994</w:t>
            </w:r>
          </w:p>
        </w:tc>
        <w:tc>
          <w:tcPr>
            <w:tcW w:w="13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1995</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and cash equivalents .............</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5,410</w:t>
            </w:r>
          </w:p>
        </w:tc>
        <w:tc>
          <w:tcPr>
            <w:tcW w:w="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7,903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7,028</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$3,213, $3,381 and $3,406,</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respectively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128,454</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196,373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176,525</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Inventories, net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145,095</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184,629</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143,953</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Prepaid and other assets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17,240</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22,637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23,354</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296,199</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411,542</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350,860</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Property, plant and equipment, net ......</w:t>
            </w:r>
          </w:p>
        </w:tc>
        <w:tc>
          <w:tcPr>
            <w:tcW w:w="4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141,556</w:t>
            </w:r>
          </w:p>
        </w:tc>
        <w:tc>
          <w:tcPr>
            <w:tcW w:w="44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147,787</w:t>
            </w:r>
          </w:p>
        </w:tc>
        <w:tc>
          <w:tcPr>
            <w:tcW w:w="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148,754</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Trademarks, net .........................</w:t>
            </w:r>
          </w:p>
        </w:tc>
        <w:tc>
          <w:tcPr>
            <w:tcW w:w="42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88,688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89,250</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intangibles, net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27,485</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23,513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24,421</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103,926</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178,794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179,988</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assets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4,957</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15,883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15,772</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Total Assets .........................</w:t>
            </w:r>
          </w:p>
        </w:tc>
        <w:tc>
          <w:tcPr>
            <w:tcW w:w="13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$ 574,123</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$ 866,207</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$ 809,045</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gridSpan w:val="4"/>
          </w:tcPr>
          <w:p>
            <w:pPr>
              <w:jc w:val="center"/>
              <w:ind w:left="1972"/>
              <w:spacing w:after="0"/>
              <w:rPr>
                <w:sz w:val="20"/>
                <w:szCs w:val="20"/>
                <w:color w:val="auto"/>
              </w:rPr>
            </w:pPr>
            <w:r>
              <w:rPr>
                <w:rFonts w:ascii="Courier New" w:cs="Courier New" w:eastAsia="Courier New" w:hAnsi="Courier New"/>
                <w:sz w:val="18"/>
                <w:szCs w:val="18"/>
                <w:color w:val="auto"/>
                <w:w w:val="97"/>
              </w:rPr>
              <w:t>LIABILITIES AND SHAREHOLDERS' EQUITY</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Revolving credit line .................</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68,062</w:t>
            </w:r>
          </w:p>
        </w:tc>
        <w:tc>
          <w:tcPr>
            <w:tcW w:w="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Current portion of term debt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5,540</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53,565</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54,414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63,207</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current liabilities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24,000</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36,485</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41,409</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taxes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11,065</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11,058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18,728</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162,232</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138,445</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123,862</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Term debt, less current portion .........</w:t>
            </w:r>
          </w:p>
        </w:tc>
        <w:tc>
          <w:tcPr>
            <w:tcW w:w="4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217,618</w:t>
            </w:r>
          </w:p>
        </w:tc>
        <w:tc>
          <w:tcPr>
            <w:tcW w:w="44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324,368</w:t>
            </w:r>
          </w:p>
        </w:tc>
        <w:tc>
          <w:tcPr>
            <w:tcW w:w="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272,025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 other</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than pensions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27,180</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27,204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27,159</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liabilities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3,492</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5,152</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5,209</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Total Liabilities ....................</w:t>
            </w:r>
          </w:p>
        </w:tc>
        <w:tc>
          <w:tcPr>
            <w:tcW w:w="4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410,522</w:t>
            </w:r>
          </w:p>
        </w:tc>
        <w:tc>
          <w:tcPr>
            <w:tcW w:w="44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495,169</w:t>
            </w:r>
          </w:p>
        </w:tc>
        <w:tc>
          <w:tcPr>
            <w:tcW w:w="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428,255</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Class A Convertible Preferred Stock, ..</w:t>
            </w:r>
          </w:p>
        </w:tc>
        <w:tc>
          <w:tcPr>
            <w:tcW w:w="42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177,255</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177,255</w:t>
            </w:r>
          </w:p>
        </w:tc>
      </w:tr>
      <w:tr>
        <w:trPr>
          <w:trHeight w:val="203"/>
        </w:trPr>
        <w:tc>
          <w:tcPr>
            <w:tcW w:w="444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no par value</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Common Shares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211</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in excess of par value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193,418</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207,557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207,551</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9,277</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23,062</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32,672</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Cumulative translation gain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2,136</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4,082</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Treasury stock, 2,415 shares in 1994</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 2,388 shares ...................</w:t>
            </w:r>
          </w:p>
        </w:tc>
        <w:tc>
          <w:tcPr>
            <w:tcW w:w="4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(41,441)</w:t>
            </w:r>
          </w:p>
        </w:tc>
        <w:tc>
          <w:tcPr>
            <w:tcW w:w="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(40,981)</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(40,981)</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1995 at cost</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Shareholders' Equity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163,601</w:t>
            </w:r>
          </w:p>
        </w:tc>
        <w:tc>
          <w:tcPr>
            <w:tcW w:w="4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371,038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380,790</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Total Liabilities and Shareholders'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Equity ............................</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$ 574,123</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$ 866,207</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$ 809,045</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919" w:right="1440" w:bottom="0" w:gutter="0" w:footer="0" w:header="0"/>
        </w:sectPr>
      </w:pPr>
    </w:p>
    <w:bookmarkStart w:id="5" w:name="page6"/>
    <w:bookmarkEnd w:id="5"/>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 w:hanging="412"/>
        <w:spacing w:after="0"/>
        <w:tabs>
          <w:tab w:leader="none" w:pos="41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Scotts Company ("Scotts") and its wholly owned subsidiaries, Hyponex Corporation ("Hyponex"), Republic Tool and Manufacturing Corp. ("Republic"), Scotts-Sierra Horticultural Products Company ("Sierra") and Scotts' Miracle-Gro Products, Inc. ("Miracle-Gro"), (collectively, the "Company"), are engaged in the manufacture and sale of lawn care and garden products. All material intercompany transactions have been eliminated.</w:t>
      </w:r>
    </w:p>
    <w:p>
      <w:pPr>
        <w:spacing w:after="0" w:line="211" w:lineRule="exact"/>
        <w:rPr>
          <w:rFonts w:ascii="Courier New" w:cs="Courier New" w:eastAsia="Courier New" w:hAnsi="Courier New"/>
          <w:sz w:val="18"/>
          <w:szCs w:val="18"/>
          <w:color w:val="auto"/>
        </w:rPr>
      </w:pPr>
    </w:p>
    <w:p>
      <w:pPr>
        <w:jc w:val="both"/>
        <w:ind w:left="412"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balance sheets as of December 31, 1994 and December 30, 1995, the related consolidated statements of income for the three month periods ended December 31, 1994 and December 30, 1995 and the related consolidated statements of cash flows for the three month periods ended December 31, 1994 and December 30, 1995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Scotts' fiscal 1995 Annual Report on Form 10-K/A.</w:t>
      </w:r>
    </w:p>
    <w:p>
      <w:pPr>
        <w:spacing w:after="0" w:line="207"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for the three month period ended December 31, 1994 have been revised to reflect a change in the timing of expense recognition related to a promotional allowance offered to retail customers introduced for the first time in fiscal 1995. The impact of this revision was on timing of marketing promotional expense recognition in the first three quarters of Scotts' 1995 fiscal year and did not impact the full fiscal year results of operations.</w:t>
      </w:r>
    </w:p>
    <w:p>
      <w:pPr>
        <w:spacing w:after="0" w:line="205"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RESTATEMENT</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1996, the Company restated its earnings for the year ended September 30, 1995 for the understatement of accrued liabilities related to promotional allowances provided to retail customers. Accordingly the consolidated balance sheets at September 30, 1995 and December 30, 1995 have been adjusted to reflect the restatement.</w:t>
      </w:r>
    </w:p>
    <w:p>
      <w:pPr>
        <w:spacing w:after="0" w:line="208" w:lineRule="exact"/>
        <w:rPr>
          <w:rFonts w:ascii="Courier New" w:cs="Courier New" w:eastAsia="Courier New" w:hAnsi="Courier New"/>
          <w:sz w:val="18"/>
          <w:szCs w:val="18"/>
          <w:color w:val="auto"/>
        </w:rPr>
      </w:pPr>
    </w:p>
    <w:p>
      <w:pPr>
        <w:ind w:left="412" w:right="8319" w:hanging="412"/>
        <w:spacing w:after="0" w:line="290" w:lineRule="auto"/>
        <w:tabs>
          <w:tab w:leader="none" w:pos="4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69"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of $6,101, $6,189 and $6,711, consisted of:</w:t>
      </w:r>
    </w:p>
    <w:p>
      <w:pPr>
        <w:spacing w:after="0" w:line="218"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December 31</w:t>
            </w:r>
          </w:p>
        </w:tc>
        <w:tc>
          <w:tcPr>
            <w:tcW w:w="380" w:type="dxa"/>
            <w:vAlign w:val="bottom"/>
          </w:tcPr>
          <w:p>
            <w:pPr>
              <w:spacing w:after="0"/>
              <w:rPr>
                <w:sz w:val="17"/>
                <w:szCs w:val="17"/>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December 30</w:t>
            </w:r>
          </w:p>
        </w:tc>
        <w:tc>
          <w:tcPr>
            <w:tcW w:w="1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3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85,314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112,981</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71,431</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5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59,781</w:t>
            </w:r>
          </w:p>
        </w:tc>
        <w:tc>
          <w:tcPr>
            <w:tcW w:w="3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71,648</w:t>
            </w:r>
          </w:p>
        </w:tc>
        <w:tc>
          <w:tcPr>
            <w:tcW w:w="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72,522</w:t>
            </w:r>
          </w:p>
        </w:tc>
      </w:tr>
      <w:tr>
        <w:trPr>
          <w:trHeight w:val="203"/>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145,095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184,629</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143,953</w:t>
            </w:r>
          </w:p>
        </w:tc>
      </w:tr>
      <w:tr>
        <w:trPr>
          <w:trHeight w:val="203"/>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1"/>
          </w:cols>
          <w:pgMar w:left="248" w:top="919" w:right="1440" w:bottom="1440" w:gutter="0" w:footer="0" w:header="0"/>
        </w:sectPr>
      </w:pPr>
    </w:p>
    <w:bookmarkStart w:id="6" w:name="page7"/>
    <w:bookmarkEnd w:id="6"/>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 w:hanging="412"/>
        <w:spacing w:after="0"/>
        <w:tabs>
          <w:tab w:leader="none" w:pos="41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May 19, 1995, the Company completed the merger transactions with Stern's Miracle-Gro Products, Inc. and affiliated companies (the "Miracle-Gro Companies"). The ultimate surviving corporation is now known as Scotts' Miracle-Gro Products, Inc. (all further references will be made as "Miracle-Gro"). Miracle-Gro is engaged in the marketing and distribution of plant foods and lawn and garden products primarily in the United States, Canada and Europe.</w:t>
      </w:r>
    </w:p>
    <w:p>
      <w:pPr>
        <w:sectPr>
          <w:pgSz w:w="11900" w:h="16838" w:orient="portrait"/>
          <w:cols w:equalWidth="0" w:num="1">
            <w:col w:w="10211"/>
          </w:cols>
          <w:pgMar w:left="248" w:top="717" w:right="1440" w:bottom="1440" w:gutter="0" w:footer="0" w:header="0"/>
        </w:sectPr>
      </w:pPr>
    </w:p>
    <w:p>
      <w:pPr>
        <w:spacing w:after="0" w:line="211" w:lineRule="exact"/>
        <w:rPr>
          <w:sz w:val="20"/>
          <w:szCs w:val="20"/>
          <w:color w:val="auto"/>
        </w:rPr>
      </w:pPr>
    </w:p>
    <w:p>
      <w:pPr>
        <w:ind w:left="412"/>
        <w:spacing w:after="0" w:line="235" w:lineRule="auto"/>
        <w:rPr>
          <w:sz w:val="20"/>
          <w:szCs w:val="20"/>
          <w:color w:val="auto"/>
        </w:rPr>
      </w:pPr>
      <w:r>
        <w:rPr>
          <w:rFonts w:ascii="Courier New" w:cs="Courier New" w:eastAsia="Courier New" w:hAnsi="Courier New"/>
          <w:sz w:val="18"/>
          <w:szCs w:val="18"/>
          <w:color w:val="auto"/>
        </w:rPr>
        <w:t>The following pro forma results Miracle-Gro Companies acquisition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of operations as if it had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give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occurred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ind w:right="1999"/>
        <w:spacing w:after="0"/>
        <w:tabs>
          <w:tab w:leader="none" w:pos="720" w:val="left"/>
          <w:tab w:leader="none" w:pos="300" w:val="left"/>
        </w:tabs>
        <w:rPr>
          <w:sz w:val="20"/>
          <w:szCs w:val="20"/>
          <w:color w:val="auto"/>
        </w:rPr>
      </w:pPr>
      <w:r>
        <w:rPr>
          <w:rFonts w:ascii="Courier New" w:cs="Courier New" w:eastAsia="Courier New" w:hAnsi="Courier New"/>
          <w:sz w:val="18"/>
          <w:szCs w:val="18"/>
          <w:color w:val="auto"/>
        </w:rPr>
        <w:t>effect</w:t>
        <w:tab/>
        <w:t>to</w:t>
      </w:r>
      <w:r>
        <w:rPr>
          <w:sz w:val="20"/>
          <w:szCs w:val="20"/>
          <w:color w:val="auto"/>
        </w:rPr>
        <w:tab/>
      </w:r>
      <w:r>
        <w:rPr>
          <w:rFonts w:ascii="Courier New" w:cs="Courier New" w:eastAsia="Courier New" w:hAnsi="Courier New"/>
          <w:sz w:val="16"/>
          <w:szCs w:val="16"/>
          <w:color w:val="auto"/>
        </w:rPr>
        <w:t>the</w:t>
      </w:r>
    </w:p>
    <w:p>
      <w:pPr>
        <w:jc w:val="right"/>
        <w:ind w:right="1999"/>
        <w:spacing w:after="0" w:line="238" w:lineRule="auto"/>
        <w:rPr>
          <w:sz w:val="20"/>
          <w:szCs w:val="20"/>
          <w:color w:val="auto"/>
        </w:rPr>
      </w:pPr>
      <w:r>
        <w:rPr>
          <w:rFonts w:ascii="Courier New" w:cs="Courier New" w:eastAsia="Courier New" w:hAnsi="Courier New"/>
          <w:sz w:val="18"/>
          <w:szCs w:val="18"/>
          <w:color w:val="auto"/>
        </w:rPr>
        <w:t>on October 1,</w:t>
      </w:r>
    </w:p>
    <w:p>
      <w:pPr>
        <w:spacing w:after="0" w:line="1" w:lineRule="exact"/>
        <w:rPr>
          <w:sz w:val="20"/>
          <w:szCs w:val="20"/>
          <w:color w:val="auto"/>
        </w:rPr>
      </w:pPr>
    </w:p>
    <w:p>
      <w:pPr>
        <w:sectPr>
          <w:pgSz w:w="11900" w:h="16838" w:orient="portrait"/>
          <w:cols w:equalWidth="0" w:num="4">
            <w:col w:w="4112" w:space="200"/>
            <w:col w:w="1480" w:space="0"/>
            <w:col w:w="840" w:space="0"/>
            <w:col w:w="3579"/>
          </w:cols>
          <w:pgMar w:left="248" w:top="717" w:right="1440" w:bottom="1440" w:gutter="0" w:footer="0" w:header="0"/>
          <w:type w:val="continuous"/>
        </w:sectPr>
      </w:pPr>
    </w:p>
    <w:p>
      <w:pPr>
        <w:ind w:left="412"/>
        <w:spacing w:after="0"/>
        <w:rPr>
          <w:sz w:val="20"/>
          <w:szCs w:val="20"/>
          <w:color w:val="auto"/>
        </w:rPr>
      </w:pPr>
      <w:r>
        <w:rPr>
          <w:rFonts w:ascii="Courier New" w:cs="Courier New" w:eastAsia="Courier New" w:hAnsi="Courier New"/>
          <w:sz w:val="18"/>
          <w:szCs w:val="18"/>
          <w:color w:val="auto"/>
        </w:rPr>
        <w:t>1993.</w:t>
      </w:r>
    </w:p>
    <w:p>
      <w:pPr>
        <w:spacing w:after="0" w:line="200"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7" w:lineRule="exact"/>
        <w:rPr>
          <w:sz w:val="20"/>
          <w:szCs w:val="20"/>
          <w:color w:val="auto"/>
        </w:rPr>
      </w:pPr>
    </w:p>
    <w:p>
      <w:pPr>
        <w:ind w:left="4432"/>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4432"/>
        <w:spacing w:after="0"/>
        <w:rPr>
          <w:sz w:val="20"/>
          <w:szCs w:val="20"/>
          <w:color w:val="auto"/>
        </w:rPr>
      </w:pPr>
      <w:r>
        <w:rPr>
          <w:rFonts w:ascii="Courier New" w:cs="Courier New" w:eastAsia="Courier New" w:hAnsi="Courier New"/>
          <w:sz w:val="18"/>
          <w:szCs w:val="18"/>
          <w:color w:val="auto"/>
        </w:rPr>
        <w:t>December 31, 1994</w:t>
      </w:r>
    </w:p>
    <w:p>
      <w:pPr>
        <w:spacing w:after="0" w:line="201"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Net sales .......................... $ 109,906</w:t>
      </w:r>
    </w:p>
    <w:p>
      <w:pPr>
        <w:jc w:val="right"/>
        <w:ind w:right="441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52"/>
        <w:spacing w:after="0"/>
        <w:tabs>
          <w:tab w:leader="none" w:pos="5132" w:val="left"/>
        </w:tabs>
        <w:rPr>
          <w:sz w:val="20"/>
          <w:szCs w:val="20"/>
          <w:color w:val="auto"/>
        </w:rPr>
      </w:pPr>
      <w:r>
        <w:rPr>
          <w:rFonts w:ascii="Courier New" w:cs="Courier New" w:eastAsia="Courier New" w:hAnsi="Courier New"/>
          <w:sz w:val="18"/>
          <w:szCs w:val="18"/>
          <w:color w:val="auto"/>
        </w:rPr>
        <w:t>Net loss ........................... $</w:t>
      </w:r>
      <w:r>
        <w:rPr>
          <w:sz w:val="20"/>
          <w:szCs w:val="20"/>
          <w:color w:val="auto"/>
        </w:rPr>
        <w:tab/>
      </w:r>
      <w:r>
        <w:rPr>
          <w:rFonts w:ascii="Courier New" w:cs="Courier New" w:eastAsia="Courier New" w:hAnsi="Courier New"/>
          <w:sz w:val="16"/>
          <w:szCs w:val="16"/>
          <w:color w:val="auto"/>
        </w:rPr>
        <w:t>(3,769)</w:t>
      </w:r>
    </w:p>
    <w:p>
      <w:pPr>
        <w:ind w:left="4852"/>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52"/>
        <w:spacing w:after="0"/>
        <w:tabs>
          <w:tab w:leader="none" w:pos="5252" w:val="left"/>
        </w:tabs>
        <w:rPr>
          <w:sz w:val="20"/>
          <w:szCs w:val="20"/>
          <w:color w:val="auto"/>
        </w:rPr>
      </w:pPr>
      <w:r>
        <w:rPr>
          <w:rFonts w:ascii="Courier New" w:cs="Courier New" w:eastAsia="Courier New" w:hAnsi="Courier New"/>
          <w:sz w:val="18"/>
          <w:szCs w:val="18"/>
          <w:color w:val="auto"/>
        </w:rPr>
        <w:t>Net loss per common share .......... $</w:t>
      </w:r>
      <w:r>
        <w:rPr>
          <w:sz w:val="20"/>
          <w:szCs w:val="20"/>
          <w:color w:val="auto"/>
        </w:rPr>
        <w:tab/>
      </w:r>
      <w:r>
        <w:rPr>
          <w:rFonts w:ascii="Courier New" w:cs="Courier New" w:eastAsia="Courier New" w:hAnsi="Courier New"/>
          <w:sz w:val="16"/>
          <w:szCs w:val="16"/>
          <w:color w:val="auto"/>
        </w:rPr>
        <w:t>(0.33)</w:t>
      </w:r>
    </w:p>
    <w:p>
      <w:pPr>
        <w:ind w:left="4852"/>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1"/>
          </w:cols>
          <w:pgMar w:left="248" w:top="717" w:right="1440" w:bottom="1440" w:gutter="0" w:footer="0" w:header="0"/>
          <w:type w:val="continuous"/>
        </w:sectPr>
      </w:pPr>
    </w:p>
    <w:p>
      <w:pPr>
        <w:spacing w:after="0" w:line="207" w:lineRule="exact"/>
        <w:rPr>
          <w:sz w:val="20"/>
          <w:szCs w:val="20"/>
          <w:color w:val="auto"/>
        </w:rPr>
      </w:pPr>
    </w:p>
    <w:p>
      <w:pPr>
        <w:jc w:val="both"/>
        <w:ind w:left="412" w:right="1999"/>
        <w:spacing w:after="0" w:line="271" w:lineRule="auto"/>
        <w:rPr>
          <w:sz w:val="20"/>
          <w:szCs w:val="20"/>
          <w:color w:val="auto"/>
        </w:rPr>
      </w:pPr>
      <w:r>
        <w:rPr>
          <w:rFonts w:ascii="Courier New" w:cs="Courier New" w:eastAsia="Courier New" w:hAnsi="Courier New"/>
          <w:sz w:val="16"/>
          <w:szCs w:val="16"/>
          <w:color w:val="auto"/>
        </w:rPr>
        <w:t>For purposes of computing net loss per common share, Scotts' Class A Convertible Preferred Stock is considered a common stock equivalent. Pro forma primary net loss per common per share for the three months ended December 31, 1994 is calculated using the weighted average common shares outstanding for Scotts of 18,667,064. The computation of pro forma primary net loss per common share assumed reduction of earnings for preferred dividends and no conversion of the Class A Convertible Preferred Stock.</w:t>
      </w:r>
    </w:p>
    <w:p>
      <w:pPr>
        <w:spacing w:after="0" w:line="188" w:lineRule="exact"/>
        <w:rPr>
          <w:sz w:val="20"/>
          <w:szCs w:val="20"/>
          <w:color w:val="auto"/>
        </w:rPr>
      </w:pPr>
    </w:p>
    <w:p>
      <w:pPr>
        <w:jc w:val="both"/>
        <w:ind w:left="412" w:right="1999"/>
        <w:spacing w:after="0" w:line="237" w:lineRule="auto"/>
        <w:rPr>
          <w:sz w:val="20"/>
          <w:szCs w:val="20"/>
          <w:color w:val="auto"/>
        </w:rPr>
      </w:pPr>
      <w:r>
        <w:rPr>
          <w:rFonts w:ascii="Courier New" w:cs="Courier New" w:eastAsia="Courier New" w:hAnsi="Courier New"/>
          <w:sz w:val="18"/>
          <w:szCs w:val="18"/>
          <w:color w:val="auto"/>
        </w:rPr>
        <w:t>The pro forma information provided does not purport to be indicative of actual results of operations if the merger transactions with the Miracle-Gro Companies had occurred as of October 1, 1993, and is not intended to be indicative of future results or trends.</w:t>
      </w:r>
    </w:p>
    <w:p>
      <w:pPr>
        <w:spacing w:after="0" w:line="202" w:lineRule="exact"/>
        <w:rPr>
          <w:sz w:val="20"/>
          <w:szCs w:val="20"/>
          <w:color w:val="auto"/>
        </w:rPr>
      </w:pPr>
    </w:p>
    <w:p>
      <w:pPr>
        <w:ind w:left="412" w:hanging="412"/>
        <w:spacing w:after="0"/>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INSTRUMENTS</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enters into forward foreign exchange contracts and purchased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211"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gain deferred totaled $6,000 at December 30, 1995.</w:t>
      </w:r>
    </w:p>
    <w:p>
      <w:pPr>
        <w:spacing w:after="0" w:line="204"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1"/>
          </w:cols>
          <w:pgMar w:left="248" w:top="717" w:right="1440" w:bottom="1440" w:gutter="0" w:footer="0" w:header="0"/>
          <w:type w:val="continuous"/>
        </w:sectPr>
      </w:pPr>
    </w:p>
    <w:bookmarkStart w:id="7" w:name="page8"/>
    <w:bookmarkEnd w:id="7"/>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both"/>
        <w:ind w:left="412" w:right="1999"/>
        <w:spacing w:after="0" w:line="237" w:lineRule="auto"/>
        <w:rPr>
          <w:sz w:val="20"/>
          <w:szCs w:val="20"/>
          <w:color w:val="auto"/>
        </w:rPr>
      </w:pPr>
      <w:r>
        <w:rPr>
          <w:rFonts w:ascii="Courier New" w:cs="Courier New" w:eastAsia="Courier New" w:hAnsi="Courier New"/>
          <w:sz w:val="18"/>
          <w:szCs w:val="18"/>
          <w:color w:val="auto"/>
        </w:rPr>
        <w:t>At December 30, 1995, the Company's European operations had foreign exchange risk in various European currencies tied to the Dutch Guilder. These currencies are the Australian Dollar, Belgian Franc, German Mark, Spanish Peseta, Italian Lira, French Franc, British Pound and the U. S. Dollar. The Company's U. S. operations have foreign exchange rate risk in the Canadian Dollar, the Dutch Guilder and the British Pound which are tied to the U. S. Dollar. As of December 30, 1995, the Company had outstanding forward foreign exchange contracts with a contract value of approximately $35.4 million and outstanding purchased currency options with a contract value of approximately $14.8 million. These contracts have maturity dates ranging from January 3, 1996 to October 2, 1996.</w:t>
      </w:r>
    </w:p>
    <w:p>
      <w:pPr>
        <w:spacing w:after="0" w:line="210" w:lineRule="exact"/>
        <w:rPr>
          <w:sz w:val="20"/>
          <w:szCs w:val="20"/>
          <w:color w:val="auto"/>
        </w:rPr>
      </w:pPr>
    </w:p>
    <w:p>
      <w:pPr>
        <w:ind w:left="412" w:hanging="412"/>
        <w:spacing w:after="0"/>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ISSUES</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1995, the Financial Accounting Standards Board issued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205"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EXPENSE</w:t>
      </w:r>
    </w:p>
    <w:p>
      <w:pPr>
        <w:spacing w:after="0" w:line="201"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Other expenses consisted of the following for the three months ended:</w:t>
      </w:r>
    </w:p>
    <w:p>
      <w:pPr>
        <w:spacing w:after="0" w:line="201" w:lineRule="exact"/>
        <w:rPr>
          <w:sz w:val="20"/>
          <w:szCs w:val="20"/>
          <w:color w:val="auto"/>
        </w:rPr>
      </w:pPr>
    </w:p>
    <w:tbl>
      <w:tblPr>
        <w:tblLayout w:type="fixed"/>
        <w:tblInd w:w="1272"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58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8"/>
              </w:rPr>
              <w:t>December 31,</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December 30,</w:t>
            </w:r>
          </w:p>
        </w:tc>
      </w:tr>
      <w:tr>
        <w:trPr>
          <w:trHeight w:val="203"/>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60" w:type="dxa"/>
            <w:vAlign w:val="bottom"/>
          </w:tcPr>
          <w:p>
            <w:pPr>
              <w:spacing w:after="0"/>
              <w:rPr>
                <w:sz w:val="20"/>
                <w:szCs w:val="20"/>
                <w:color w:val="auto"/>
              </w:rPr>
            </w:pPr>
            <w:r>
              <w:rPr>
                <w:rFonts w:ascii="Courier New" w:cs="Courier New" w:eastAsia="Courier New" w:hAnsi="Courier New"/>
                <w:sz w:val="18"/>
                <w:szCs w:val="18"/>
                <w:color w:val="auto"/>
              </w:rPr>
              <w:t>Foreign currency loss</w:t>
            </w:r>
          </w:p>
        </w:tc>
        <w:tc>
          <w:tcPr>
            <w:tcW w:w="480" w:type="dxa"/>
            <w:vAlign w:val="bottom"/>
          </w:tcPr>
          <w:p>
            <w:pPr>
              <w:ind w:left="28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362</w:t>
            </w:r>
          </w:p>
        </w:tc>
        <w:tc>
          <w:tcPr>
            <w:tcW w:w="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180</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Facility closings</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504</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853</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2,172</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Personnel reduction</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1,600</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charge</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Royalty income</w:t>
            </w:r>
          </w:p>
        </w:tc>
        <w:tc>
          <w:tcPr>
            <w:tcW w:w="48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(140)</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income of</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unconsolidated</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businesses</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(80)</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46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480" w:type="dxa"/>
            <w:vAlign w:val="bottom"/>
          </w:tcPr>
          <w:p>
            <w:pPr>
              <w:ind w:left="28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995</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4,469</w:t>
            </w:r>
          </w:p>
        </w:tc>
      </w:tr>
      <w:tr>
        <w:trPr>
          <w:trHeight w:val="203"/>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412" w:hanging="412"/>
        <w:spacing w:after="0"/>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COMMON SHARE</w:t>
      </w:r>
    </w:p>
    <w:p>
      <w:pPr>
        <w:spacing w:after="0" w:line="206" w:lineRule="exact"/>
        <w:rPr>
          <w:rFonts w:ascii="Courier New" w:cs="Courier New" w:eastAsia="Courier New" w:hAnsi="Courier New"/>
          <w:sz w:val="18"/>
          <w:szCs w:val="18"/>
          <w:color w:val="auto"/>
        </w:rPr>
      </w:pPr>
    </w:p>
    <w:p>
      <w:pPr>
        <w:jc w:val="both"/>
        <w:ind w:left="41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common share is based on the weighted average number of common shares and common share equivalents (stock options, convertible preferred stock and warrants) outstanding each period.</w:t>
      </w:r>
    </w:p>
    <w:p>
      <w:pPr>
        <w:spacing w:after="0" w:line="200" w:lineRule="exact"/>
        <w:rPr>
          <w:sz w:val="20"/>
          <w:szCs w:val="20"/>
          <w:color w:val="auto"/>
        </w:rPr>
      </w:pPr>
    </w:p>
    <w:p>
      <w:pPr>
        <w:spacing w:after="0" w:line="206"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1"/>
          </w:cols>
          <w:pgMar w:left="248" w:top="717" w:right="1440"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8"/>
          <w:szCs w:val="18"/>
          <w:color w:val="auto"/>
        </w:rPr>
        <w:t>THE SCOTTS COMPANY AND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following table presents information necessary to calculate net loss per common share.</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6"/>
          <w:szCs w:val="16"/>
          <w:color w:val="auto"/>
        </w:rPr>
        <w:t>(in thousands)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THREE MONTHS ENDED</w:t>
      </w:r>
    </w:p>
    <w:p>
      <w:pPr>
        <w:spacing w:after="0"/>
        <w:tabs>
          <w:tab w:leader="none" w:pos="156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30,</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spacing w:after="0" w:line="200" w:lineRule="exact"/>
        <w:rPr>
          <w:sz w:val="20"/>
          <w:szCs w:val="20"/>
          <w:color w:val="auto"/>
        </w:rPr>
      </w:pPr>
    </w:p>
    <w:p>
      <w:pPr>
        <w:sectPr>
          <w:pgSz w:w="11900" w:h="16838" w:orient="portrait"/>
          <w:cols w:equalWidth="0" w:num="2">
            <w:col w:w="3600" w:space="720"/>
            <w:col w:w="5899"/>
          </w:cols>
          <w:pgMar w:left="240" w:top="919"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8"/>
          <w:szCs w:val="18"/>
          <w:color w:val="auto"/>
        </w:rPr>
        <w:t>Net loss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Preferred stock dividend</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(4,598)</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(7,174)</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(2,436)</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3">
            <w:col w:w="3900" w:space="420"/>
            <w:col w:w="1160" w:space="220"/>
            <w:col w:w="4519"/>
          </w:cols>
          <w:pgMar w:left="240" w:top="919"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6"/>
          <w:szCs w:val="16"/>
          <w:color w:val="auto"/>
        </w:rPr>
        <w:t>Net loss applicable to</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common shares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(4,598)</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9,610)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4">
            <w:col w:w="3600" w:space="720"/>
            <w:col w:w="1160" w:space="220"/>
            <w:col w:w="200" w:space="120"/>
            <w:col w:w="4199"/>
          </w:cols>
          <w:pgMar w:left="240" w:top="919"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6"/>
          <w:szCs w:val="16"/>
          <w:color w:val="auto"/>
        </w:rPr>
        <w:t>Common shares outstanding: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Weighted average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18,667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18,689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3">
            <w:col w:w="3920" w:space="720"/>
            <w:col w:w="740" w:space="640"/>
            <w:col w:w="4199"/>
          </w:cols>
          <w:pgMar w:left="240" w:top="919"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6"/>
          <w:szCs w:val="16"/>
          <w:color w:val="auto"/>
        </w:rPr>
        <w:t>outstanding</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Net loss per common share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(.25)</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(.51)</w:t>
      </w:r>
    </w:p>
    <w:p>
      <w:pPr>
        <w:jc w:val="right"/>
        <w:ind w:right="335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020" w:space="300"/>
            <w:col w:w="1060" w:space="420"/>
            <w:col w:w="4419"/>
          </w:cols>
          <w:pgMar w:left="240" w:top="919" w:right="1440" w:bottom="1440" w:gutter="0" w:footer="0" w:header="0"/>
          <w:type w:val="continuous"/>
        </w:sectPr>
      </w:pPr>
    </w:p>
    <w:p>
      <w:pPr>
        <w:spacing w:after="0" w:line="209" w:lineRule="exact"/>
        <w:rPr>
          <w:sz w:val="20"/>
          <w:szCs w:val="20"/>
          <w:color w:val="auto"/>
        </w:rPr>
      </w:pPr>
    </w:p>
    <w:p>
      <w:pPr>
        <w:jc w:val="both"/>
        <w:ind w:left="420" w:right="1999"/>
        <w:spacing w:after="0" w:line="236" w:lineRule="auto"/>
        <w:rPr>
          <w:sz w:val="20"/>
          <w:szCs w:val="20"/>
          <w:color w:val="auto"/>
        </w:rPr>
      </w:pPr>
      <w:r>
        <w:rPr>
          <w:rFonts w:ascii="Courier New" w:cs="Courier New" w:eastAsia="Courier New" w:hAnsi="Courier New"/>
          <w:sz w:val="18"/>
          <w:szCs w:val="18"/>
          <w:color w:val="auto"/>
        </w:rPr>
        <w:t>Fully diluted net loss per common share is considered to be the same as primary net loss per common share as it was not materially different from primary net loss per common share.</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6" w:lineRule="exact"/>
        <w:rPr>
          <w:rFonts w:ascii="Courier New" w:cs="Courier New" w:eastAsia="Courier New" w:hAnsi="Courier New"/>
          <w:sz w:val="18"/>
          <w:szCs w:val="18"/>
          <w:color w:val="auto"/>
        </w:rPr>
      </w:pPr>
    </w:p>
    <w:p>
      <w:pPr>
        <w:jc w:val="both"/>
        <w:ind w:left="4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212" w:lineRule="exact"/>
        <w:rPr>
          <w:rFonts w:ascii="Courier New" w:cs="Courier New" w:eastAsia="Courier New" w:hAnsi="Courier New"/>
          <w:sz w:val="18"/>
          <w:szCs w:val="18"/>
          <w:color w:val="auto"/>
        </w:rPr>
      </w:pPr>
    </w:p>
    <w:p>
      <w:pPr>
        <w:jc w:val="both"/>
        <w:ind w:left="420"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Accordingly, the Company has elected not to participate in any remediation which might be required at the site. As a result of the joint and several liability of PRP's, the Company may be subject to financial participation in the costs of the remediation plan, if any. However, management does not believe any such obligations would have a significant adverse effect on the Company's results of operations or financial condition.</w:t>
      </w:r>
    </w:p>
    <w:p>
      <w:pPr>
        <w:spacing w:after="0" w:line="208" w:lineRule="exact"/>
        <w:rPr>
          <w:rFonts w:ascii="Courier New" w:cs="Courier New" w:eastAsia="Courier New" w:hAnsi="Courier New"/>
          <w:sz w:val="18"/>
          <w:szCs w:val="18"/>
          <w:color w:val="auto"/>
        </w:rPr>
      </w:pPr>
    </w:p>
    <w:p>
      <w:pPr>
        <w:jc w:val="both"/>
        <w:ind w:left="420" w:right="19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July 1990, the Philadelphia district of the Army Corps of Engineers directed that peat harvesting operations be discontinued at Hyponex's Lafayette, New Jersey facility, and the Company complied. In May 1992, the Department of Justice in the U. S. District Court for the District of New Jersey, filed suit seeking a permanent injunction against such harvesting at that facility and civil penalties. The Philadelphia District of the</w:t>
      </w: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919" w:right="1440" w:bottom="1440" w:gutter="0" w:footer="0" w:header="0"/>
          <w:type w:val="continuous"/>
        </w:sectPr>
      </w:pPr>
    </w:p>
    <w:bookmarkStart w:id="9" w:name="page10"/>
    <w:bookmarkEnd w:id="9"/>
    <w:p>
      <w:pPr>
        <w:ind w:left="1900"/>
        <w:spacing w:after="0"/>
        <w:rPr>
          <w:sz w:val="20"/>
          <w:szCs w:val="20"/>
          <w:color w:val="auto"/>
        </w:rPr>
      </w:pPr>
      <w:r>
        <w:rPr>
          <w:rFonts w:ascii="Courier New" w:cs="Courier New" w:eastAsia="Courier New" w:hAnsi="Courier New"/>
          <w:sz w:val="18"/>
          <w:szCs w:val="18"/>
          <w:color w:val="auto"/>
        </w:rPr>
        <w:t>THE SCOTTS COMPANY AND SUBSIDIARIES</w:t>
      </w:r>
    </w:p>
    <w:p>
      <w:pPr>
        <w:ind w:left="148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both"/>
        <w:ind w:left="120" w:right="1999"/>
        <w:spacing w:after="0" w:line="237" w:lineRule="auto"/>
        <w:rPr>
          <w:sz w:val="20"/>
          <w:szCs w:val="20"/>
          <w:color w:val="auto"/>
        </w:rPr>
      </w:pPr>
      <w:r>
        <w:rPr>
          <w:rFonts w:ascii="Courier New" w:cs="Courier New" w:eastAsia="Courier New" w:hAnsi="Courier New"/>
          <w:sz w:val="18"/>
          <w:szCs w:val="18"/>
          <w:color w:val="auto"/>
        </w:rPr>
        <w:t>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216" w:lineRule="exact"/>
        <w:rPr>
          <w:sz w:val="20"/>
          <w:szCs w:val="20"/>
          <w:color w:val="auto"/>
        </w:rPr>
      </w:pPr>
    </w:p>
    <w:p>
      <w:pPr>
        <w:jc w:val="both"/>
        <w:ind w:right="1999"/>
        <w:spacing w:after="0" w:line="272" w:lineRule="auto"/>
        <w:rPr>
          <w:sz w:val="20"/>
          <w:szCs w:val="20"/>
          <w:color w:val="auto"/>
        </w:rPr>
      </w:pPr>
      <w:r>
        <w:rPr>
          <w:rFonts w:ascii="Courier New" w:cs="Courier New" w:eastAsia="Courier New" w:hAnsi="Courier New"/>
          <w:sz w:val="16"/>
          <w:szCs w:val="16"/>
          <w:color w:val="auto"/>
        </w:rPr>
        <w:t>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this proceeding will have a material adverse effect on its financial condition or results of operations.</w:t>
      </w:r>
    </w:p>
    <w:p>
      <w:pPr>
        <w:spacing w:after="0" w:line="186"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On January 30, 1996, the United States Environmental Protection Agency (the "U. S. EPA") served a Complaint and Notice of Opportunity for Hearing upon Sierra's wholly-owned subsidiary, Scotts-Sierra Crop Protection Company ("Crop Protection"). The Complaint alleges labeling violations under the Federal Insecticide, Fungicide and Rodenticide Act ("FIFRA") during 1992 and 1993. It proposes penalties totalling $785,000, the maximum allowable under FIFRA according to management's calculations. Based upon Crop Protection's good faith compliance actions and FIFRA's provisions for "gravity-based" penalty reductions, management believes Crop Protection's maximum liability to be $200,000, which has been accrued in the financial statements. The Company does not believe that the outcome of this proceeding will have a material adverse effect on its financial condition or results of operations.</w:t>
      </w:r>
    </w:p>
    <w:p>
      <w:pPr>
        <w:spacing w:after="0" w:line="207"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During 1993 and 1994, Stern's Miracle-Gro Products, Inc. ("Miracle-Gro Products") discussed with Pursell Industries, Inc. ("Pursell") the feasibility of forming a joint venture to produce and market a line of slow-release lawn food, and in October 1993, signed a non-binding "heads of agreement." After the merger transactions between the Company and the Miracle-Gro Companies were announced, Pursell demanded that Miracle-Gro Products reimburse it for monies allegedly spent by Pursell in connection with the proposed project. Because Miracle-Gro Products does not believe that any such monies are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Products owed no monies to Pursell relating to the proposed project and that no joint venture was formed. Pursell moved to dismiss the New York Action in favor of the Alabama action described below, which motion was granted August 7, 1995.</w:t>
      </w:r>
    </w:p>
    <w:p>
      <w:pPr>
        <w:spacing w:after="0" w:line="209"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On March 2, 1995, Pursell instituted an action in the United States District Court for the Northern District of Alabama, PURSELL INDUSTRIES, INC. V. STERN'S MIRACLE-GRO PRODUCTS, INC., CV-95-C-0524-S (the "Alabama Action"), alleging, among other things, that a joint venture was formed, that Miracle-Gro Products breached an alleged joint venture contract, committed fraud, and breached an alleged fiduciary duty owed Pursell by not informing Pursell of negotiations concerning the merger transactions. On December 18, 1995, Pursell filed an amended complaint in the Alabama Action in which Scotts was named as an additional party defendant. The amended complaint contains a number of allegations and seeks compensatory damages in excess of $10 million, punitive damages of $20 million, treble damages as allowed by law and injunctive relief with respect to the advertising and trade dress allegations. The Company does not believe that the amended complaint has any merit and intends to vigorously defend that action.</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9799"/>
          </w:cols>
          <w:pgMar w:left="660" w:top="717" w:right="1440" w:bottom="970" w:gutter="0" w:footer="0" w:header="0"/>
        </w:sectPr>
      </w:pPr>
    </w:p>
    <w:bookmarkStart w:id="10" w:name="page11"/>
    <w:bookmarkEnd w:id="10"/>
    <w:p>
      <w:pPr>
        <w:ind w:left="1580"/>
        <w:spacing w:after="0"/>
        <w:rPr>
          <w:sz w:val="20"/>
          <w:szCs w:val="20"/>
          <w:color w:val="auto"/>
        </w:rPr>
      </w:pPr>
      <w:r>
        <w:rPr>
          <w:rFonts w:ascii="Courier New" w:cs="Courier New" w:eastAsia="Courier New" w:hAnsi="Courier New"/>
          <w:sz w:val="18"/>
          <w:szCs w:val="18"/>
          <w:color w:val="auto"/>
        </w:rPr>
        <w:t>ITEM II. MANAGEMENT'S DISCUSSION AND ANALYSIS OF</w:t>
      </w:r>
    </w:p>
    <w:p>
      <w:pPr>
        <w:ind w:left="1800"/>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 included elsewhere in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Three Months Ended December 30, 1995 versus Three Months Ended December 31, 1994 (restated)</w:t>
      </w:r>
    </w:p>
    <w:p>
      <w:pPr>
        <w:spacing w:after="0" w:line="208"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sales increased to $117.9 million, up 20.3%. The increase is attributed to additional unit sales volume which increased sales 16.7% and increases in average selling prices of approximately 3.6%. Increased purchases from the marketing program incentivizing retailers to purchase their spring requirements early ($13.7 million) and the inclusion of Miracle-Gro ($13.1 million) were the primary factors of the sales gain. On a pro forma basis, including Miracle-Gro, net sales increased by $8.0 million or 7.3%.</w:t>
      </w:r>
    </w:p>
    <w:p>
      <w:pPr>
        <w:spacing w:after="0" w:line="211"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Consumer Business Group net sales increased by 37.5% to $76.4 million. The increase is attributed to additional unit sales volume which increased sales 29.8% and increases in average selling prices of approximately 7.7%. Sales increased in all categories including fertilizers, spreaders and garden products. Increased purchases from the retailer incentive program discussed above ($13.7 million) and the inclusion of Miracle-Gro ($13.1 million) were the primary factors of the sales gain. Professional Business Group net sales decreased 6.4% to $26.1 million. The decrease was a result of the loss of exclusivity of an advanced control chemistry and a decrease in Horticulture due to competitive pressures. International sales increased by 5.6% to $15.4 million. The increase resulted primarily from increased sales volume in Canada and the Pacific Rim.</w:t>
      </w:r>
    </w:p>
    <w:p>
      <w:pPr>
        <w:spacing w:after="0" w:line="207"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Cost of sales represented 54.9% of net sales, nearly flat compared to 54.6% of net sales last year.</w:t>
      </w:r>
    </w:p>
    <w:p>
      <w:pPr>
        <w:spacing w:after="0" w:line="20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Operating expenses increased approximately 27% due partially to the inclusion of Miracle-Gro. Marketing expenses increased 23.2% due to increased promotional allowances to retailers and increased advertising. Distribution costs increased 13.2% as a result of higher sales volume and increased warehousing costs partially offset by lower distribution costs for Miracle-Gro, and as a result of favorable sales mix. General and administrative expenses increased 35% due to the inclusion of Miracle-Gro. In addition, a $1.6 million charge for personnel reductions, goodwill and other amortization of $1.1 million related to the Miracle-Gro Companies merger transactions and a $.5 million charge for closed facilities consisting of three composting sites and the Scotts U.K. distribution operation resulted in a $3.5 million increase in "other expenses, net."</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Interest expense increased 15.9%. The increase was caused primarily by an increase in borrowing levels (13.5%) principally to support higher sales levels recorded in the past six months.</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Company's effective tax rate increased from 41.5% to 43.2% in 1996. This increase results primarily from an increase in nondeductible amortization of intangible assets discussed above.</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loss of $7.2 million increased by $2.6 million from 1995. Among the significant items impacting 1996 results were the inclusion of Miracle-Gro which increased sales and marketing expenses, increased revenues offset by higher benefit costs, the $1.6 million charge for personnel reduction, higher interest expense and higher tax rates as discussed more fully above.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Financial Position as of December 30, 1995</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Current assets of $411.5 million increased by $60.7 million compared with current assets at September 30, 1995 and by $115.3 compared with current assets at December 31, 1994. The increase compared with September 30, 1995 is primarily attributable to the seasonal nature of the Company's business, with inventory and accounts receivable levels generally being higher in December relative to September. In addition, international inventories increased. The increase compared with December 31, 1994 was due in part to the inclusion of Miracle-Gro's current assets which amounted to $38.7 million. The increase was also caused by higher receivables associated with sales increases in the past six months and to higher inventory levels.</w:t>
      </w:r>
    </w:p>
    <w:p>
      <w:pPr>
        <w:spacing w:after="0" w:line="215" w:lineRule="exact"/>
        <w:rPr>
          <w:sz w:val="20"/>
          <w:szCs w:val="20"/>
          <w:color w:val="auto"/>
        </w:rPr>
      </w:pPr>
    </w:p>
    <w:p>
      <w:pPr>
        <w:jc w:val="both"/>
        <w:ind w:right="1999"/>
        <w:spacing w:after="0" w:line="270" w:lineRule="auto"/>
        <w:rPr>
          <w:sz w:val="20"/>
          <w:szCs w:val="20"/>
          <w:color w:val="auto"/>
        </w:rPr>
      </w:pPr>
      <w:r>
        <w:rPr>
          <w:rFonts w:ascii="Courier New" w:cs="Courier New" w:eastAsia="Courier New" w:hAnsi="Courier New"/>
          <w:sz w:val="16"/>
          <w:szCs w:val="16"/>
          <w:color w:val="auto"/>
        </w:rPr>
        <w:t>Current liabilities of $138.4 million increased by $14.6 million compared with current liabilities at September 30, 1995 and decreased by $23.8 million compared with current liabilities at December 31, 1994. The increase compared with September 30, 1995 is caused, in part, by increased short-term borrowings, offset by lower trade payables and accrued expenses. The decrease compared with December 31, 1994 is caused by a decrease in short-term debt due to the terms of the Fourth Amended and Restated Credit Agreement (the "Credit Agreement") dated March 17, 1995, which requires the Company to reduce revolving credit borrowing to no more than $225 million for 30 consecutive days each year as compared to $30 million prior to the amendment.</w:t>
      </w:r>
    </w:p>
    <w:p>
      <w:pPr>
        <w:spacing w:after="0" w:line="18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Capital expenditures for the year ended September 30, 1996 are expected to be approximately $28.0 million. The Credit Agreement restricts the amount the Company may spend on capital expenditures to $50 million per year for fiscal 1996 and each year thereafter. These expected capital expenditures will be financed with cash provided by operations and utilization of available credit facilities.</w:t>
      </w:r>
    </w:p>
    <w:p>
      <w:pPr>
        <w:spacing w:after="0" w:line="210" w:lineRule="exact"/>
        <w:rPr>
          <w:sz w:val="20"/>
          <w:szCs w:val="20"/>
          <w:color w:val="auto"/>
        </w:rPr>
      </w:pPr>
    </w:p>
    <w:p>
      <w:pPr>
        <w:jc w:val="both"/>
        <w:ind w:right="1999"/>
        <w:spacing w:after="0" w:line="271" w:lineRule="auto"/>
        <w:rPr>
          <w:sz w:val="20"/>
          <w:szCs w:val="20"/>
          <w:color w:val="auto"/>
        </w:rPr>
      </w:pPr>
      <w:r>
        <w:rPr>
          <w:rFonts w:ascii="Courier New" w:cs="Courier New" w:eastAsia="Courier New" w:hAnsi="Courier New"/>
          <w:sz w:val="16"/>
          <w:szCs w:val="16"/>
          <w:color w:val="auto"/>
        </w:rPr>
        <w:t>Long-term debt increased by $52.3 million compared with long-term debt at September 30, 1995 and by $106.8 compared with long-term debt at December 31, 1994. The increase as compared to September 30, 1995 was to support increased working capital and capital expenditures. The increase compared to December 31, 1994 was attributable to the change in terms of borrowings under the Credit Agreement discussed above ($31.6 million) and the remaining increase in borrowings was to support increased working capital and capital expenditures.</w:t>
      </w:r>
    </w:p>
    <w:p>
      <w:pPr>
        <w:spacing w:after="0" w:line="18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Shareholders' equity decreased $9.8 million compared with shareholders' equity at September 30, 1995 and increased by $207.4 million compared with shareholders' equity at December 31, 1994. The decrease compared with September 30, 1995 reflects the net loss for the three months ended December 30, 1995 of $7.2 million, the Convertible Preferred Stock dividends of $2.4 million and the change in the cumulative foreign currency adjustment of $.2 million. The increase compared with December 31, 1994 resulted primarily due to the issuance of Convertible Preferred Stock with a fair market value of $177.3 million and Warrants with a fair market value of $14.4 million in the merger transactions with the Miracle-Gro Companies. The remaining change in shareholders' equity was a result of net income for the twelve months ended December 30, 1995 of $19.8 million and the change in the cumulative foreign currency adjustment of $1.8 million, partially offset by Convertible Preferred Stock dividends of $6.0 million.</w:t>
      </w:r>
    </w:p>
    <w:p>
      <w:pPr>
        <w:spacing w:after="0" w:line="20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The Company has foreign exchange rate risk related to international earnings and cash flows. During fiscal 1995, a management program was designed to minimize the exposure to adverse currency impacts on the cash value of the Company's non-local currency receivables and payables, as well as the associated earnings impact. The Company has entered into forward foreign exchange contracts and purchased currency options tied to the economic value of receivables and payables and expected cash flows denominated in non-local foreign currencies. Management anticipated that these financial statements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514" w:right="1440" w:bottom="1440" w:gutter="0" w:footer="0" w:header="0"/>
        </w:sectPr>
      </w:pPr>
    </w:p>
    <w:bookmarkStart w:id="12" w:name="page13"/>
    <w:bookmarkEnd w:id="12"/>
    <w:p>
      <w:pPr>
        <w:jc w:val="both"/>
        <w:ind w:right="1999"/>
        <w:spacing w:after="0" w:line="237" w:lineRule="auto"/>
        <w:rPr>
          <w:sz w:val="20"/>
          <w:szCs w:val="20"/>
          <w:color w:val="auto"/>
        </w:rPr>
      </w:pPr>
      <w:r>
        <w:rPr>
          <w:rFonts w:ascii="Courier New" w:cs="Courier New" w:eastAsia="Courier New" w:hAnsi="Courier New"/>
          <w:sz w:val="18"/>
          <w:szCs w:val="18"/>
          <w:color w:val="auto"/>
        </w:rPr>
        <w:t>As of December 30, 1995, the Company's European operations had foreign exchange risk in various European currencies tied to the Dutch Guilder. These currencies include the Austrian Dollar, Belgian Franc, German Mark, Spanish Peseta, Italian Lira, French Franc, British Pound and the U. S. Dollar. The Company's U. S. operations had foreign exchange rate risk in the Canadian Dollar, Dutch Guilder and the British Pound which are tied to the U. S. Dollar. As of December 30, 1995, outstanding foreign exchange forward contracts had a contract value of approximately $35.4 million and outstanding purchased currency options had a contract value of approximately $14.8 million. These contracts have maturity dates ranging from January 3, 1996 to October 2, 1996.</w:t>
      </w:r>
    </w:p>
    <w:p>
      <w:pPr>
        <w:spacing w:after="0" w:line="216"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primary sources of liquidity for the Company are funds generated by operations and borrowings under the Company's Credit Agreement. As amended, the Credit Agreement is unsecured and provides up to $375 million through March 31, 2000 and does not contain a term loan facility.</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 the opinion of the Company's management, cash flows from operations and capital resources will be sufficient to meet future debt service and working capital needs during the 1996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Company is subject to the effects of changing prices. The Company has, however, generally been able to pass along inflationary increases in its costs by increasing the prices of its products.</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Selective price increases for products which contain urea became effective at the beginning of 1996. The price increases offset higher urea prices experienced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 December 1995, the Financial Accounting Standards Board issued Statement of Financial Accounting Standards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Company is involved in various lawsuits and claims that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Additional information with respect to the more significant of these matters is described in footnote number 9 to the Company's Consolidated Financial Statements.</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13" w:name="page14"/>
    <w:bookmarkEnd w:id="13"/>
    <w:p>
      <w:pPr>
        <w:ind w:left="274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1060" w:right="199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16 for a list of the exhibits included herewith.</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fiscal quarter ended December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717"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99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160" w:space="120"/>
            <w:col w:w="493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 w:leader="none" w:pos="4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29, 1996</w:t>
      </w:r>
      <w:r>
        <w:rPr>
          <w:sz w:val="20"/>
          <w:szCs w:val="20"/>
          <w:color w:val="auto"/>
        </w:rPr>
        <w:tab/>
      </w:r>
      <w:r>
        <w:rPr>
          <w:rFonts w:ascii="Courier New" w:cs="Courier New" w:eastAsia="Courier New" w:hAnsi="Courier New"/>
          <w:sz w:val="16"/>
          <w:szCs w:val="16"/>
          <w:color w:val="auto"/>
        </w:rPr>
        <w:t>/s/Paul D. Yeager</w:t>
      </w:r>
    </w:p>
    <w:p>
      <w:pPr>
        <w:ind w:left="4740"/>
        <w:spacing w:after="0" w:line="238" w:lineRule="auto"/>
        <w:rPr>
          <w:sz w:val="20"/>
          <w:szCs w:val="20"/>
          <w:color w:val="auto"/>
        </w:rPr>
      </w:pPr>
      <w:r>
        <w:rPr>
          <w:rFonts w:ascii="Courier New" w:cs="Courier New" w:eastAsia="Courier New" w:hAnsi="Courier New"/>
          <w:sz w:val="18"/>
          <w:szCs w:val="18"/>
          <w:color w:val="auto"/>
        </w:rPr>
        <w:t>Paul D. Yeager</w:t>
      </w:r>
    </w:p>
    <w:p>
      <w:pPr>
        <w:ind w:left="4740"/>
        <w:spacing w:after="0"/>
        <w:rPr>
          <w:sz w:val="20"/>
          <w:szCs w:val="20"/>
          <w:color w:val="auto"/>
        </w:rPr>
      </w:pPr>
      <w:r>
        <w:rPr>
          <w:rFonts w:ascii="Courier New" w:cs="Courier New" w:eastAsia="Courier New" w:hAnsi="Courier New"/>
          <w:sz w:val="18"/>
          <w:szCs w:val="18"/>
          <w:color w:val="auto"/>
        </w:rPr>
        <w:t>Executive Vice President</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723" w:right="1440" w:bottom="1440" w:gutter="0" w:footer="0" w:header="0"/>
          <w:type w:val="continuous"/>
        </w:sectPr>
      </w:pPr>
    </w:p>
    <w:bookmarkStart w:id="15" w:name="page16"/>
    <w:bookmarkEnd w:id="15"/>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QUARTERLY REPORT ON FORM 10-Q/A FOR</w:t>
      </w:r>
    </w:p>
    <w:p>
      <w:pPr>
        <w:ind w:left="2120"/>
        <w:spacing w:after="0" w:line="238" w:lineRule="auto"/>
        <w:rPr>
          <w:sz w:val="20"/>
          <w:szCs w:val="20"/>
          <w:color w:val="auto"/>
        </w:rPr>
      </w:pPr>
      <w:r>
        <w:rPr>
          <w:rFonts w:ascii="Courier New" w:cs="Courier New" w:eastAsia="Courier New" w:hAnsi="Courier New"/>
          <w:sz w:val="18"/>
          <w:szCs w:val="18"/>
          <w:color w:val="auto"/>
        </w:rPr>
        <w:t>FISCAL QUARTER ENDED DECEMBER 30, 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6"/>
          <w:szCs w:val="16"/>
          <w:color w:val="auto"/>
        </w:rPr>
        <w:t>Page</w:t>
      </w:r>
    </w:p>
    <w:p>
      <w:pPr>
        <w:ind w:left="120"/>
        <w:spacing w:after="0"/>
        <w:tabs>
          <w:tab w:leader="none" w:pos="2200" w:val="left"/>
          <w:tab w:leader="none" w:pos="60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Number</w:t>
      </w:r>
    </w:p>
    <w:p>
      <w:pPr>
        <w:spacing w:after="0" w:line="202"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Computation of Net Income (Loss)</w:t>
      </w:r>
    </w:p>
    <w:p>
      <w:pPr>
        <w:ind w:left="960"/>
        <w:spacing w:after="0" w:line="238" w:lineRule="auto"/>
        <w:tabs>
          <w:tab w:leader="dot" w:pos="6200" w:val="left"/>
        </w:tabs>
        <w:rPr>
          <w:sz w:val="20"/>
          <w:szCs w:val="20"/>
          <w:color w:val="auto"/>
        </w:rPr>
      </w:pPr>
      <w:r>
        <w:rPr>
          <w:rFonts w:ascii="Courier New" w:cs="Courier New" w:eastAsia="Courier New" w:hAnsi="Courier New"/>
          <w:sz w:val="18"/>
          <w:szCs w:val="18"/>
          <w:color w:val="auto"/>
        </w:rPr>
        <w:t>Per Common Share</w:t>
      </w:r>
      <w:r>
        <w:rPr>
          <w:sz w:val="20"/>
          <w:szCs w:val="20"/>
          <w:color w:val="auto"/>
        </w:rPr>
        <w:tab/>
      </w: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940" w:val="left"/>
          <w:tab w:leader="dot" w:pos="620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r>
        <w:rPr>
          <w:sz w:val="20"/>
          <w:szCs w:val="20"/>
          <w:color w:val="auto"/>
        </w:rPr>
        <w:tab/>
      </w: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919" w:right="1440" w:bottom="1440" w:gutter="0" w:footer="0" w:header="0"/>
        </w:sectPr>
      </w:pPr>
    </w:p>
    <w:bookmarkStart w:id="16" w:name="page17"/>
    <w:bookmarkEnd w:id="16"/>
    <w:p>
      <w:pPr>
        <w:ind w:left="6860"/>
        <w:spacing w:after="0"/>
        <w:rPr>
          <w:sz w:val="20"/>
          <w:szCs w:val="20"/>
          <w:color w:val="auto"/>
        </w:rPr>
      </w:pPr>
      <w:r>
        <w:rPr>
          <w:rFonts w:ascii="Courier New" w:cs="Courier New" w:eastAsia="Courier New" w:hAnsi="Courier New"/>
          <w:sz w:val="16"/>
          <w:szCs w:val="16"/>
          <w:color w:val="auto"/>
        </w:rPr>
        <w:t>Exhibit 11(a)</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Computation of Net Income (Loss) Per Common Share</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Primary (Unaudited)</w:t>
      </w:r>
    </w:p>
    <w:p>
      <w:pPr>
        <w:jc w:val="center"/>
        <w:ind w:right="1879"/>
        <w:spacing w:after="0"/>
        <w:rPr>
          <w:sz w:val="20"/>
          <w:szCs w:val="20"/>
          <w:color w:val="auto"/>
        </w:rPr>
      </w:pPr>
      <w:r>
        <w:rPr>
          <w:rFonts w:ascii="Courier New" w:cs="Courier New" w:eastAsia="Courier New" w:hAnsi="Courier New"/>
          <w:sz w:val="18"/>
          <w:szCs w:val="18"/>
          <w:color w:val="auto"/>
        </w:rPr>
        <w:t>(Dollars in thousands except per share amounts)</w:t>
      </w:r>
    </w:p>
    <w:p>
      <w:pPr>
        <w:spacing w:after="0" w:line="200" w:lineRule="exact"/>
        <w:rPr>
          <w:sz w:val="20"/>
          <w:szCs w:val="20"/>
          <w:color w:val="auto"/>
        </w:rPr>
      </w:pP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For The Three Months Ended</w:t>
      </w:r>
    </w:p>
    <w:p>
      <w:pPr>
        <w:ind w:left="5060"/>
        <w:spacing w:after="0"/>
        <w:tabs>
          <w:tab w:leader="none" w:pos="662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30,</w:t>
      </w:r>
    </w:p>
    <w:p>
      <w:pPr>
        <w:ind w:left="5480"/>
        <w:spacing w:after="0"/>
        <w:tabs>
          <w:tab w:leader="none" w:pos="694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 for computing net loss</w:t>
      </w:r>
    </w:p>
    <w:p>
      <w:pPr>
        <w:ind w:left="320"/>
        <w:spacing w:after="0" w:line="238" w:lineRule="auto"/>
        <w:rPr>
          <w:sz w:val="20"/>
          <w:szCs w:val="20"/>
          <w:color w:val="auto"/>
        </w:rPr>
      </w:pPr>
      <w:r>
        <w:rPr>
          <w:rFonts w:ascii="Courier New" w:cs="Courier New" w:eastAsia="Courier New" w:hAnsi="Courier New"/>
          <w:sz w:val="18"/>
          <w:szCs w:val="18"/>
          <w:color w:val="auto"/>
        </w:rPr>
        <w:t>per common share:</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(4,598)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(7,174)</w:t>
      </w:r>
    </w:p>
    <w:p>
      <w:pPr>
        <w:spacing w:after="0" w:line="200" w:lineRule="exact"/>
        <w:rPr>
          <w:sz w:val="20"/>
          <w:szCs w:val="20"/>
          <w:color w:val="auto"/>
        </w:rPr>
      </w:pPr>
    </w:p>
    <w:p>
      <w:pPr>
        <w:sectPr>
          <w:pgSz w:w="11900" w:h="16838" w:orient="portrait"/>
          <w:cols w:equalWidth="0" w:num="3">
            <w:col w:w="4340" w:space="720"/>
            <w:col w:w="960" w:space="520"/>
            <w:col w:w="367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dividend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(2,436)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340" w:space="720"/>
            <w:col w:w="960" w:space="720"/>
            <w:col w:w="3479"/>
          </w:cols>
          <w:pgMar w:left="240" w:top="142" w:right="1440" w:bottom="1440" w:gutter="0" w:footer="0" w:header="0"/>
          <w:type w:val="continuous"/>
        </w:sectPr>
      </w:pPr>
    </w:p>
    <w:p>
      <w:pPr>
        <w:spacing w:after="0" w:line="7" w:lineRule="exact"/>
        <w:rPr>
          <w:sz w:val="20"/>
          <w:szCs w:val="20"/>
          <w:color w:val="auto"/>
        </w:rPr>
      </w:pPr>
    </w:p>
    <w:p>
      <w:pPr>
        <w:ind w:left="320" w:right="1280" w:hanging="315"/>
        <w:spacing w:after="0" w:line="235" w:lineRule="auto"/>
        <w:rPr>
          <w:sz w:val="20"/>
          <w:szCs w:val="20"/>
          <w:color w:val="auto"/>
        </w:rPr>
      </w:pPr>
      <w:r>
        <w:rPr>
          <w:rFonts w:ascii="Courier New" w:cs="Courier New" w:eastAsia="Courier New" w:hAnsi="Courier New"/>
          <w:sz w:val="18"/>
          <w:szCs w:val="18"/>
          <w:color w:val="auto"/>
        </w:rPr>
        <w:t>Net loss applicable to common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(4,598)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(9,610)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3">
            <w:col w:w="4340" w:space="720"/>
            <w:col w:w="960" w:space="520"/>
            <w:col w:w="3679"/>
          </w:cols>
          <w:pgMar w:left="240" w:top="142"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per common share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(.25)</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(.51)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4">
            <w:col w:w="4340" w:space="720"/>
            <w:col w:w="960" w:space="520"/>
            <w:col w:w="100" w:space="0"/>
            <w:col w:w="3579"/>
          </w:cols>
          <w:pgMar w:left="240" w:top="142" w:right="1440" w:bottom="1440" w:gutter="0" w:footer="0" w:header="0"/>
          <w:type w:val="continuous"/>
        </w:sect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Computation of Weighted Average Number</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Common Shares Outstanding (Unaudited)</w:t>
      </w: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For The Three Months Ended</w:t>
      </w:r>
    </w:p>
    <w:p>
      <w:pPr>
        <w:spacing w:after="0" w:line="16" w:lineRule="exact"/>
        <w:rPr>
          <w:sz w:val="20"/>
          <w:szCs w:val="20"/>
          <w:color w:val="auto"/>
        </w:rPr>
      </w:pPr>
    </w:p>
    <w:p>
      <w:pPr>
        <w:ind w:left="5060"/>
        <w:spacing w:after="0"/>
        <w:tabs>
          <w:tab w:leader="none" w:pos="652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30,</w:t>
      </w:r>
    </w:p>
    <w:p>
      <w:pPr>
        <w:ind w:left="5380"/>
        <w:spacing w:after="0" w:line="238" w:lineRule="auto"/>
        <w:tabs>
          <w:tab w:leader="none" w:pos="694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spacing w:after="0"/>
        <w:rPr>
          <w:sz w:val="20"/>
          <w:szCs w:val="20"/>
          <w:color w:val="auto"/>
        </w:rPr>
      </w:pPr>
      <w:r>
        <w:rPr>
          <w:rFonts w:ascii="Courier New" w:cs="Courier New" w:eastAsia="Courier New" w:hAnsi="Courier New"/>
          <w:sz w:val="18"/>
          <w:szCs w:val="18"/>
          <w:color w:val="auto"/>
        </w:rPr>
        <w:t>Weighted average number of</w:t>
      </w:r>
    </w:p>
    <w:p>
      <w:pPr>
        <w:ind w:left="420"/>
        <w:spacing w:after="0" w:line="237" w:lineRule="auto"/>
        <w:rPr>
          <w:sz w:val="20"/>
          <w:szCs w:val="20"/>
          <w:color w:val="auto"/>
        </w:rPr>
      </w:pPr>
      <w:r>
        <w:rPr>
          <w:rFonts w:ascii="Courier New" w:cs="Courier New" w:eastAsia="Courier New" w:hAnsi="Courier New"/>
          <w:sz w:val="18"/>
          <w:szCs w:val="18"/>
          <w:color w:val="auto"/>
        </w:rPr>
        <w:t>shares for computing net loss</w:t>
      </w:r>
    </w:p>
    <w:p>
      <w:pPr>
        <w:sectPr>
          <w:pgSz w:w="11900" w:h="16838" w:orient="portrait"/>
          <w:cols w:equalWidth="0" w:num="1">
            <w:col w:w="10219"/>
          </w:cols>
          <w:pgMar w:left="240" w:top="142" w:right="1440" w:bottom="144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18,667,064(1)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18,688,934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140" w:space="720"/>
            <w:col w:w="1360" w:space="320"/>
            <w:col w:w="3679"/>
          </w:cols>
          <w:pgMar w:left="240" w:top="14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540" w:right="199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fully diluted basis, weighted average shares outstanding did not differ from the primary calculation due to the anti-dilutive effect of common stock equivalents in a loss period.</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17</w:t>
      </w:r>
    </w:p>
    <w:p>
      <w:pPr>
        <w:sectPr>
          <w:pgSz w:w="11900" w:h="16838" w:orient="portrait"/>
          <w:cols w:equalWidth="0" w:num="1">
            <w:col w:w="10219"/>
          </w:cols>
          <w:pgMar w:left="240" w:top="142" w:right="1440" w:bottom="1440" w:gutter="0" w:footer="0" w:header="0"/>
          <w:type w:val="continuous"/>
        </w:sectPr>
      </w:pPr>
    </w:p>
    <w:bookmarkStart w:id="17" w:name="page18"/>
    <w:bookmarkEnd w:id="17"/>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1959" w:firstLine="527"/>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and consolidated statement of income of The Scotts Company and is qualified in its entirety by reference to the Form 10-Q for the quarter ended December 30, 1995.</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SEP-30-1996</w:t>
      </w:r>
    </w:p>
    <w:p>
      <w:pPr>
        <w:ind w:left="3020"/>
        <w:spacing w:after="0"/>
        <w:rPr>
          <w:sz w:val="20"/>
          <w:szCs w:val="20"/>
          <w:color w:val="auto"/>
        </w:rPr>
      </w:pPr>
      <w:r>
        <w:rPr>
          <w:rFonts w:ascii="Courier New" w:cs="Courier New" w:eastAsia="Courier New" w:hAnsi="Courier New"/>
          <w:sz w:val="18"/>
          <w:szCs w:val="18"/>
          <w:color w:val="auto"/>
        </w:rPr>
        <w:t>OCT-01-1995</w:t>
      </w:r>
    </w:p>
    <w:p>
      <w:pPr>
        <w:ind w:left="3240"/>
        <w:spacing w:after="0" w:line="237" w:lineRule="auto"/>
        <w:rPr>
          <w:sz w:val="20"/>
          <w:szCs w:val="20"/>
          <w:color w:val="auto"/>
        </w:rPr>
      </w:pPr>
      <w:r>
        <w:rPr>
          <w:rFonts w:ascii="Courier New" w:cs="Courier New" w:eastAsia="Courier New" w:hAnsi="Courier New"/>
          <w:sz w:val="18"/>
          <w:szCs w:val="18"/>
          <w:color w:val="auto"/>
        </w:rPr>
        <w:t>DEC-30-1995</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500"/>
        <w:spacing w:after="0"/>
        <w:rPr>
          <w:sz w:val="20"/>
          <w:szCs w:val="20"/>
          <w:color w:val="auto"/>
        </w:rPr>
      </w:pPr>
      <w:r>
        <w:rPr>
          <w:rFonts w:ascii="Courier New" w:cs="Courier New" w:eastAsia="Courier New" w:hAnsi="Courier New"/>
          <w:sz w:val="18"/>
          <w:szCs w:val="18"/>
          <w:color w:val="auto"/>
        </w:rPr>
        <w:t>7,903</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199,754</w:t>
      </w:r>
    </w:p>
    <w:p>
      <w:pPr>
        <w:ind w:left="3860"/>
        <w:spacing w:after="0" w:line="237" w:lineRule="auto"/>
        <w:rPr>
          <w:sz w:val="20"/>
          <w:szCs w:val="20"/>
          <w:color w:val="auto"/>
        </w:rPr>
      </w:pPr>
      <w:r>
        <w:rPr>
          <w:rFonts w:ascii="Courier New" w:cs="Courier New" w:eastAsia="Courier New" w:hAnsi="Courier New"/>
          <w:sz w:val="18"/>
          <w:szCs w:val="18"/>
          <w:color w:val="auto"/>
        </w:rPr>
        <w:t>3,381</w:t>
      </w:r>
    </w:p>
    <w:p>
      <w:pPr>
        <w:ind w:left="3760"/>
        <w:spacing w:after="0"/>
        <w:rPr>
          <w:sz w:val="20"/>
          <w:szCs w:val="20"/>
          <w:color w:val="auto"/>
        </w:rPr>
      </w:pPr>
      <w:r>
        <w:rPr>
          <w:rFonts w:ascii="Courier New" w:cs="Courier New" w:eastAsia="Courier New" w:hAnsi="Courier New"/>
          <w:sz w:val="18"/>
          <w:szCs w:val="18"/>
          <w:color w:val="auto"/>
        </w:rPr>
        <w:t>184,629</w:t>
      </w:r>
    </w:p>
    <w:p>
      <w:pPr>
        <w:ind w:left="3240"/>
        <w:spacing w:after="0" w:line="237" w:lineRule="auto"/>
        <w:rPr>
          <w:sz w:val="20"/>
          <w:szCs w:val="20"/>
          <w:color w:val="auto"/>
        </w:rPr>
      </w:pPr>
      <w:r>
        <w:rPr>
          <w:rFonts w:ascii="Courier New" w:cs="Courier New" w:eastAsia="Courier New" w:hAnsi="Courier New"/>
          <w:sz w:val="18"/>
          <w:szCs w:val="18"/>
          <w:color w:val="auto"/>
        </w:rPr>
        <w:t>411,542</w:t>
      </w:r>
    </w:p>
    <w:p>
      <w:pPr>
        <w:ind w:left="4280"/>
        <w:spacing w:after="0" w:line="238" w:lineRule="auto"/>
        <w:rPr>
          <w:sz w:val="20"/>
          <w:szCs w:val="20"/>
          <w:color w:val="auto"/>
        </w:rPr>
      </w:pPr>
      <w:r>
        <w:rPr>
          <w:rFonts w:ascii="Courier New" w:cs="Courier New" w:eastAsia="Courier New" w:hAnsi="Courier New"/>
          <w:sz w:val="18"/>
          <w:szCs w:val="18"/>
          <w:color w:val="auto"/>
        </w:rPr>
        <w:t>233,933</w:t>
      </w:r>
    </w:p>
    <w:p>
      <w:pPr>
        <w:ind w:left="3540"/>
        <w:spacing w:after="0"/>
        <w:rPr>
          <w:sz w:val="20"/>
          <w:szCs w:val="20"/>
          <w:color w:val="auto"/>
        </w:rPr>
      </w:pPr>
      <w:r>
        <w:rPr>
          <w:rFonts w:ascii="Courier New" w:cs="Courier New" w:eastAsia="Courier New" w:hAnsi="Courier New"/>
          <w:sz w:val="18"/>
          <w:szCs w:val="18"/>
          <w:color w:val="auto"/>
        </w:rPr>
        <w:t>86,146</w:t>
      </w:r>
    </w:p>
    <w:p>
      <w:pPr>
        <w:ind w:left="3440"/>
        <w:spacing w:after="0" w:line="237" w:lineRule="auto"/>
        <w:rPr>
          <w:sz w:val="20"/>
          <w:szCs w:val="20"/>
          <w:color w:val="auto"/>
        </w:rPr>
      </w:pPr>
      <w:r>
        <w:rPr>
          <w:rFonts w:ascii="Courier New" w:cs="Courier New" w:eastAsia="Courier New" w:hAnsi="Courier New"/>
          <w:sz w:val="18"/>
          <w:szCs w:val="18"/>
          <w:color w:val="auto"/>
        </w:rPr>
        <w:t>866,207</w:t>
      </w:r>
    </w:p>
    <w:p>
      <w:pPr>
        <w:ind w:left="2700"/>
        <w:spacing w:after="0"/>
        <w:rPr>
          <w:sz w:val="20"/>
          <w:szCs w:val="20"/>
          <w:color w:val="auto"/>
        </w:rPr>
      </w:pPr>
      <w:r>
        <w:rPr>
          <w:rFonts w:ascii="Courier New" w:cs="Courier New" w:eastAsia="Courier New" w:hAnsi="Courier New"/>
          <w:sz w:val="18"/>
          <w:szCs w:val="18"/>
          <w:color w:val="auto"/>
        </w:rPr>
        <w:t>138,445</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177,255</w:t>
      </w:r>
    </w:p>
    <w:p>
      <w:pPr>
        <w:ind w:left="4500"/>
        <w:spacing w:after="0" w:line="238" w:lineRule="auto"/>
        <w:rPr>
          <w:sz w:val="20"/>
          <w:szCs w:val="20"/>
          <w:color w:val="auto"/>
        </w:rPr>
      </w:pPr>
      <w:r>
        <w:rPr>
          <w:rFonts w:ascii="Courier New" w:cs="Courier New" w:eastAsia="Courier New" w:hAnsi="Courier New"/>
          <w:sz w:val="18"/>
          <w:szCs w:val="18"/>
          <w:color w:val="auto"/>
        </w:rPr>
        <w:t>211</w:t>
      </w:r>
    </w:p>
    <w:p>
      <w:pPr>
        <w:ind w:left="3860"/>
        <w:spacing w:after="0"/>
        <w:rPr>
          <w:sz w:val="20"/>
          <w:szCs w:val="20"/>
          <w:color w:val="auto"/>
        </w:rPr>
      </w:pPr>
      <w:r>
        <w:rPr>
          <w:rFonts w:ascii="Courier New" w:cs="Courier New" w:eastAsia="Courier New" w:hAnsi="Courier New"/>
          <w:sz w:val="18"/>
          <w:szCs w:val="18"/>
          <w:color w:val="auto"/>
        </w:rPr>
        <w:t>193,572</w:t>
      </w:r>
    </w:p>
    <w:p>
      <w:pPr>
        <w:ind w:left="1960"/>
        <w:spacing w:after="0" w:line="237" w:lineRule="auto"/>
        <w:rPr>
          <w:sz w:val="20"/>
          <w:szCs w:val="20"/>
          <w:color w:val="auto"/>
        </w:rPr>
      </w:pPr>
      <w:r>
        <w:rPr>
          <w:rFonts w:ascii="Courier New" w:cs="Courier New" w:eastAsia="Courier New" w:hAnsi="Courier New"/>
          <w:sz w:val="18"/>
          <w:szCs w:val="18"/>
          <w:color w:val="auto"/>
        </w:rPr>
        <w:t>866,207</w:t>
      </w:r>
    </w:p>
    <w:p>
      <w:pPr>
        <w:ind w:left="4180"/>
        <w:spacing w:after="0"/>
        <w:rPr>
          <w:sz w:val="20"/>
          <w:szCs w:val="20"/>
          <w:color w:val="auto"/>
        </w:rPr>
      </w:pPr>
      <w:r>
        <w:rPr>
          <w:rFonts w:ascii="Courier New" w:cs="Courier New" w:eastAsia="Courier New" w:hAnsi="Courier New"/>
          <w:sz w:val="18"/>
          <w:szCs w:val="18"/>
          <w:color w:val="auto"/>
        </w:rPr>
        <w:t>117,928</w:t>
      </w:r>
    </w:p>
    <w:p>
      <w:pPr>
        <w:ind w:left="3240"/>
        <w:spacing w:after="0" w:line="237" w:lineRule="auto"/>
        <w:rPr>
          <w:sz w:val="20"/>
          <w:szCs w:val="20"/>
          <w:color w:val="auto"/>
        </w:rPr>
      </w:pPr>
      <w:r>
        <w:rPr>
          <w:rFonts w:ascii="Courier New" w:cs="Courier New" w:eastAsia="Courier New" w:hAnsi="Courier New"/>
          <w:sz w:val="18"/>
          <w:szCs w:val="18"/>
          <w:color w:val="auto"/>
        </w:rPr>
        <w:t>118,070</w:t>
      </w:r>
    </w:p>
    <w:p>
      <w:pPr>
        <w:ind w:left="4500"/>
        <w:spacing w:after="0"/>
        <w:rPr>
          <w:sz w:val="20"/>
          <w:szCs w:val="20"/>
          <w:color w:val="auto"/>
        </w:rPr>
      </w:pPr>
      <w:r>
        <w:rPr>
          <w:rFonts w:ascii="Courier New" w:cs="Courier New" w:eastAsia="Courier New" w:hAnsi="Courier New"/>
          <w:sz w:val="18"/>
          <w:szCs w:val="18"/>
          <w:color w:val="auto"/>
        </w:rPr>
        <w:t>64,714</w:t>
      </w:r>
    </w:p>
    <w:p>
      <w:pPr>
        <w:ind w:left="3540"/>
        <w:spacing w:after="0" w:line="237" w:lineRule="auto"/>
        <w:rPr>
          <w:sz w:val="20"/>
          <w:szCs w:val="20"/>
          <w:color w:val="auto"/>
        </w:rPr>
      </w:pPr>
      <w:r>
        <w:rPr>
          <w:rFonts w:ascii="Courier New" w:cs="Courier New" w:eastAsia="Courier New" w:hAnsi="Courier New"/>
          <w:sz w:val="18"/>
          <w:szCs w:val="18"/>
          <w:color w:val="auto"/>
        </w:rPr>
        <w:t>119,489</w:t>
      </w:r>
    </w:p>
    <w:p>
      <w:pPr>
        <w:ind w:left="3440"/>
        <w:spacing w:after="0"/>
        <w:rPr>
          <w:sz w:val="20"/>
          <w:szCs w:val="20"/>
          <w:color w:val="auto"/>
        </w:rPr>
      </w:pPr>
      <w:r>
        <w:rPr>
          <w:rFonts w:ascii="Courier New" w:cs="Courier New" w:eastAsia="Courier New" w:hAnsi="Courier New"/>
          <w:sz w:val="18"/>
          <w:szCs w:val="18"/>
          <w:color w:val="auto"/>
        </w:rPr>
        <w:t>4,611</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6,601</w:t>
      </w:r>
    </w:p>
    <w:p>
      <w:pPr>
        <w:ind w:left="3240"/>
        <w:spacing w:after="0"/>
        <w:rPr>
          <w:sz w:val="20"/>
          <w:szCs w:val="20"/>
          <w:color w:val="auto"/>
        </w:rPr>
      </w:pPr>
      <w:r>
        <w:rPr>
          <w:rFonts w:ascii="Courier New" w:cs="Courier New" w:eastAsia="Courier New" w:hAnsi="Courier New"/>
          <w:sz w:val="18"/>
          <w:szCs w:val="18"/>
          <w:color w:val="auto"/>
        </w:rPr>
        <w:t>(12,631)</w:t>
      </w:r>
    </w:p>
    <w:p>
      <w:pPr>
        <w:ind w:left="3660"/>
        <w:spacing w:after="0" w:line="237" w:lineRule="auto"/>
        <w:rPr>
          <w:sz w:val="20"/>
          <w:szCs w:val="20"/>
          <w:color w:val="auto"/>
        </w:rPr>
      </w:pPr>
      <w:r>
        <w:rPr>
          <w:rFonts w:ascii="Courier New" w:cs="Courier New" w:eastAsia="Courier New" w:hAnsi="Courier New"/>
          <w:sz w:val="18"/>
          <w:szCs w:val="18"/>
          <w:color w:val="auto"/>
        </w:rPr>
        <w:t>(5,457)</w:t>
      </w:r>
    </w:p>
    <w:p>
      <w:pPr>
        <w:ind w:left="2920"/>
        <w:spacing w:after="0"/>
        <w:rPr>
          <w:sz w:val="20"/>
          <w:szCs w:val="20"/>
          <w:color w:val="auto"/>
        </w:rPr>
      </w:pPr>
      <w:r>
        <w:rPr>
          <w:rFonts w:ascii="Courier New" w:cs="Courier New" w:eastAsia="Courier New" w:hAnsi="Courier New"/>
          <w:sz w:val="18"/>
          <w:szCs w:val="18"/>
          <w:color w:val="auto"/>
        </w:rPr>
        <w:t>(7,174)</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119"/>
        <w:spacing w:after="0" w:line="238" w:lineRule="auto"/>
        <w:rPr>
          <w:sz w:val="20"/>
          <w:szCs w:val="20"/>
          <w:color w:val="auto"/>
        </w:rPr>
      </w:pPr>
      <w:r>
        <w:rPr>
          <w:rFonts w:ascii="Courier New" w:cs="Courier New" w:eastAsia="Courier New" w:hAnsi="Courier New"/>
          <w:sz w:val="18"/>
          <w:szCs w:val="18"/>
          <w:color w:val="auto"/>
        </w:rPr>
        <w:t>(7,174)</w:t>
      </w:r>
    </w:p>
    <w:p>
      <w:pPr>
        <w:jc w:val="center"/>
        <w:ind w:right="2119"/>
        <w:spacing w:after="0"/>
        <w:rPr>
          <w:sz w:val="20"/>
          <w:szCs w:val="20"/>
          <w:color w:val="auto"/>
        </w:rPr>
      </w:pPr>
      <w:r>
        <w:rPr>
          <w:rFonts w:ascii="Courier New" w:cs="Courier New" w:eastAsia="Courier New" w:hAnsi="Courier New"/>
          <w:sz w:val="18"/>
          <w:szCs w:val="18"/>
          <w:color w:val="auto"/>
        </w:rPr>
        <w:t>(.51)</w:t>
      </w:r>
    </w:p>
    <w:p>
      <w:pPr>
        <w:jc w:val="center"/>
        <w:ind w:right="2119"/>
        <w:spacing w:after="0" w:line="237" w:lineRule="auto"/>
        <w:rPr>
          <w:sz w:val="20"/>
          <w:szCs w:val="20"/>
          <w:color w:val="auto"/>
        </w:rPr>
      </w:pPr>
      <w:r>
        <w:rPr>
          <w:rFonts w:ascii="Courier New" w:cs="Courier New" w:eastAsia="Courier New" w:hAnsi="Courier New"/>
          <w:sz w:val="18"/>
          <w:szCs w:val="18"/>
          <w:color w:val="auto"/>
        </w:rPr>
        <w:t>(.51)</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8"/>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2019-12-19T23:47:00Z</dcterms:created>
  <dcterms:modified xsi:type="dcterms:W3CDTF">2019-12-19T23:47:00Z</dcterms:modified>
</cp:coreProperties>
</file>